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7810"/>
        <w:spacing w:before="45" w:line="294" w:lineRule="exact"/>
        <w:rPr>
          <w:rFonts w:ascii="STXingkai" w:hAnsi="STXingkai" w:eastAsia="STXingkai" w:cs="STXingkai"/>
          <w:sz w:val="21"/>
          <w:szCs w:val="21"/>
        </w:rPr>
      </w:pPr>
      <w:r>
        <w:drawing>
          <wp:anchor distT="0" distB="0" distL="0" distR="0" simplePos="0" relativeHeight="251658240" behindDoc="0" locked="0" layoutInCell="1" allowOverlap="1">
            <wp:simplePos x="0" y="0"/>
            <wp:positionH relativeFrom="column">
              <wp:posOffset>4794243</wp:posOffset>
            </wp:positionH>
            <wp:positionV relativeFrom="paragraph">
              <wp:posOffset>167914</wp:posOffset>
            </wp:positionV>
            <wp:extent cx="1549345" cy="666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49345" cy="6667"/>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4660829</wp:posOffset>
            </wp:positionH>
            <wp:positionV relativeFrom="paragraph">
              <wp:posOffset>74012</wp:posOffset>
            </wp:positionV>
            <wp:extent cx="215960" cy="215944"/>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15960" cy="215944"/>
                    </a:xfrm>
                    <a:prstGeom prst="rect">
                      <a:avLst/>
                    </a:prstGeom>
                  </pic:spPr>
                </pic:pic>
              </a:graphicData>
            </a:graphic>
          </wp:anchor>
        </w:drawing>
      </w:r>
      <w:r>
        <w:rPr>
          <w:rFonts w:ascii="STXingkai" w:hAnsi="STXingkai" w:eastAsia="STXingkai" w:cs="STXingkai"/>
          <w:sz w:val="21"/>
          <w:szCs w:val="21"/>
          <w:b/>
          <w:bCs/>
          <w:spacing w:val="-18"/>
          <w:position w:val="3"/>
        </w:rPr>
        <w:t>附</w:t>
      </w:r>
      <w:r>
        <w:rPr>
          <w:rFonts w:ascii="STXingkai" w:hAnsi="STXingkai" w:eastAsia="STXingkai" w:cs="STXingkai"/>
          <w:sz w:val="21"/>
          <w:szCs w:val="21"/>
          <w:spacing w:val="1"/>
          <w:position w:val="3"/>
        </w:rPr>
        <w:t xml:space="preserve">    </w:t>
      </w:r>
      <w:r>
        <w:rPr>
          <w:rFonts w:ascii="STXingkai" w:hAnsi="STXingkai" w:eastAsia="STXingkai" w:cs="STXingkai"/>
          <w:sz w:val="21"/>
          <w:szCs w:val="21"/>
          <w:b/>
          <w:bCs/>
          <w:spacing w:val="-18"/>
          <w:position w:val="3"/>
        </w:rPr>
        <w:t>录</w:t>
      </w:r>
      <w:r>
        <w:rPr>
          <w:rFonts w:ascii="STXingkai" w:hAnsi="STXingkai" w:eastAsia="STXingkai" w:cs="STXingkai"/>
          <w:sz w:val="21"/>
          <w:szCs w:val="21"/>
          <w:spacing w:val="-18"/>
          <w:position w:val="3"/>
        </w:rPr>
        <w:t xml:space="preserve">      </w:t>
      </w:r>
      <w:r>
        <w:rPr>
          <w:rFonts w:ascii="STXingkai" w:hAnsi="STXingkai" w:eastAsia="STXingkai" w:cs="STXingkai"/>
          <w:sz w:val="21"/>
          <w:szCs w:val="21"/>
          <w:b/>
          <w:bCs/>
          <w:spacing w:val="-18"/>
          <w:position w:val="3"/>
        </w:rPr>
        <w:t>·</w:t>
      </w:r>
      <w:r>
        <w:rPr>
          <w:rFonts w:ascii="STXingkai" w:hAnsi="STXingkai" w:eastAsia="STXingkai" w:cs="STXingkai"/>
          <w:sz w:val="21"/>
          <w:szCs w:val="21"/>
          <w:spacing w:val="-18"/>
          <w:position w:val="3"/>
        </w:rPr>
        <w:t xml:space="preserve">     </w:t>
      </w:r>
      <w:r>
        <w:rPr>
          <w:rFonts w:ascii="STXingkai" w:hAnsi="STXingkai" w:eastAsia="STXingkai" w:cs="STXingkai"/>
          <w:sz w:val="21"/>
          <w:szCs w:val="21"/>
          <w:b/>
          <w:bCs/>
          <w:spacing w:val="-18"/>
          <w:position w:val="3"/>
        </w:rPr>
        <w:t>指</w:t>
      </w:r>
      <w:r>
        <w:rPr>
          <w:rFonts w:ascii="STXingkai" w:hAnsi="STXingkai" w:eastAsia="STXingkai" w:cs="STXingkai"/>
          <w:sz w:val="21"/>
          <w:szCs w:val="21"/>
          <w:spacing w:val="14"/>
          <w:w w:val="101"/>
          <w:position w:val="3"/>
        </w:rPr>
        <w:t xml:space="preserve">   </w:t>
      </w:r>
      <w:r>
        <w:rPr>
          <w:rFonts w:ascii="STXingkai" w:hAnsi="STXingkai" w:eastAsia="STXingkai" w:cs="STXingkai"/>
          <w:sz w:val="21"/>
          <w:szCs w:val="21"/>
          <w:b/>
          <w:bCs/>
          <w:spacing w:val="-18"/>
          <w:position w:val="3"/>
        </w:rPr>
        <w:t>古</w:t>
      </w:r>
    </w:p>
    <w:p>
      <w:pPr>
        <w:ind w:left="1724"/>
        <w:spacing w:before="223" w:line="221" w:lineRule="auto"/>
        <w:outlineLvl w:val="0"/>
        <w:rPr>
          <w:rFonts w:ascii="SimHei" w:hAnsi="SimHei" w:eastAsia="SimHei" w:cs="SimHei"/>
          <w:sz w:val="32"/>
          <w:szCs w:val="32"/>
        </w:rPr>
      </w:pPr>
      <w:r>
        <w:rPr>
          <w:rFonts w:ascii="SimHei" w:hAnsi="SimHei" w:eastAsia="SimHei" w:cs="SimHei"/>
          <w:sz w:val="32"/>
          <w:szCs w:val="32"/>
          <w:b/>
          <w:bCs/>
          <w:spacing w:val="7"/>
        </w:rPr>
        <w:t>欧洲泌尿外科学会2006年泌尿系结石诊治指</w:t>
      </w:r>
      <w:r>
        <w:rPr>
          <w:rFonts w:ascii="SimHei" w:hAnsi="SimHei" w:eastAsia="SimHei" w:cs="SimHei"/>
          <w:sz w:val="32"/>
          <w:szCs w:val="32"/>
          <w:b/>
          <w:bCs/>
          <w:spacing w:val="6"/>
        </w:rPr>
        <w:t>南(三)</w:t>
      </w:r>
    </w:p>
    <w:p>
      <w:pPr>
        <w:pStyle w:val="BodyText"/>
        <w:ind w:left="749"/>
        <w:spacing w:before="40" w:line="220" w:lineRule="auto"/>
        <w:rPr/>
      </w:pPr>
      <w:r>
        <w:rPr>
          <w:spacing w:val="3"/>
        </w:rPr>
        <w:t>9.</w:t>
      </w:r>
      <w:r>
        <w:rPr>
          <w:spacing w:val="-25"/>
        </w:rPr>
        <w:t xml:space="preserve"> </w:t>
      </w:r>
      <w:r>
        <w:rPr>
          <w:spacing w:val="3"/>
        </w:rPr>
        <w:t>结石的治疗原则和注意事项</w:t>
      </w:r>
    </w:p>
    <w:p>
      <w:pPr>
        <w:pStyle w:val="BodyText"/>
        <w:ind w:left="749"/>
        <w:spacing w:before="69" w:line="220" w:lineRule="auto"/>
        <w:rPr/>
      </w:pPr>
      <w:r>
        <w:rPr>
          <w:spacing w:val="2"/>
        </w:rPr>
        <w:t>9.1</w:t>
      </w:r>
      <w:r>
        <w:rPr>
          <w:spacing w:val="-42"/>
        </w:rPr>
        <w:t xml:space="preserve"> </w:t>
      </w:r>
      <w:r>
        <w:rPr>
          <w:spacing w:val="2"/>
        </w:rPr>
        <w:t>感染</w:t>
      </w:r>
    </w:p>
    <w:p>
      <w:pPr>
        <w:pStyle w:val="BodyText"/>
        <w:ind w:left="459" w:right="43" w:firstLine="290"/>
        <w:spacing w:before="99" w:line="283" w:lineRule="auto"/>
        <w:rPr/>
      </w:pPr>
      <w:r>
        <w:rPr>
          <w:spacing w:val="5"/>
        </w:rPr>
        <w:t>所有准备取石的患者都必须行菌尿检查。对于病情并不复杂的患者进行试纸法是行之有效的，部分</w:t>
      </w:r>
      <w:r>
        <w:rPr>
          <w:spacing w:val="2"/>
        </w:rPr>
        <w:t xml:space="preserve"> </w:t>
      </w:r>
      <w:r>
        <w:rPr>
          <w:spacing w:val="-1"/>
        </w:rPr>
        <w:t>患者则必须行尿培养。</w:t>
      </w:r>
    </w:p>
    <w:p>
      <w:pPr>
        <w:pStyle w:val="BodyText"/>
        <w:ind w:left="429" w:right="42" w:firstLine="320"/>
        <w:spacing w:before="26" w:line="283" w:lineRule="auto"/>
        <w:rPr/>
      </w:pPr>
      <w:r>
        <w:rPr>
          <w:spacing w:val="5"/>
        </w:rPr>
        <w:t>对于临床上有明显感染和梗阻表现的患者，在取石之前需进行必要的处理，如置入输尿管支架管或</w:t>
      </w:r>
      <w:r>
        <w:rPr>
          <w:spacing w:val="3"/>
        </w:rPr>
        <w:t xml:space="preserve"> </w:t>
      </w:r>
      <w:r>
        <w:rPr/>
        <w:t>行经皮肾造瘘术。</w:t>
      </w:r>
    </w:p>
    <w:p>
      <w:pPr>
        <w:pStyle w:val="BodyText"/>
        <w:ind w:left="749"/>
        <w:spacing w:before="19" w:line="223" w:lineRule="auto"/>
        <w:rPr/>
      </w:pPr>
      <w:r>
        <w:rPr>
          <w:spacing w:val="-6"/>
        </w:rPr>
        <w:t>9.2 出血</w:t>
      </w:r>
    </w:p>
    <w:p>
      <w:pPr>
        <w:pStyle w:val="BodyText"/>
        <w:ind w:left="459" w:right="40" w:firstLine="290"/>
        <w:spacing w:before="83" w:line="290" w:lineRule="auto"/>
        <w:rPr/>
      </w:pPr>
      <w:r>
        <w:rPr>
          <w:spacing w:val="5"/>
        </w:rPr>
        <w:t>对于有出血性疾病或正在服用抗凝药物的患者，在整个治疗过程中应和内科医师保持联系，请其协 </w:t>
      </w:r>
      <w:r>
        <w:rPr>
          <w:spacing w:val="6"/>
        </w:rPr>
        <w:t>助诊治。凝血功能障碍对于体外冲击波碎石(</w:t>
      </w:r>
      <w:r>
        <w:rPr/>
        <w:t>ESWL</w:t>
      </w:r>
      <w:r>
        <w:rPr>
          <w:spacing w:val="6"/>
        </w:rPr>
        <w:t>)、   经皮肾镜碎石术(</w:t>
      </w:r>
      <w:r>
        <w:rPr/>
        <w:t>PNL</w:t>
      </w:r>
      <w:r>
        <w:rPr>
          <w:spacing w:val="6"/>
        </w:rPr>
        <w:t>)、</w:t>
      </w:r>
      <w:r>
        <w:rPr>
          <w:spacing w:val="48"/>
        </w:rPr>
        <w:t xml:space="preserve">  </w:t>
      </w:r>
      <w:r>
        <w:rPr>
          <w:spacing w:val="6"/>
        </w:rPr>
        <w:t>输尿管镜(</w:t>
      </w:r>
      <w:r>
        <w:rPr/>
        <w:t>URS</w:t>
      </w:r>
      <w:r>
        <w:rPr>
          <w:spacing w:val="6"/>
        </w:rPr>
        <w:t>)</w:t>
      </w:r>
    </w:p>
    <w:p>
      <w:pPr>
        <w:pStyle w:val="BodyText"/>
        <w:ind w:left="459"/>
        <w:spacing w:line="219" w:lineRule="auto"/>
        <w:rPr/>
      </w:pPr>
      <w:r>
        <w:rPr>
          <w:spacing w:val="1"/>
        </w:rPr>
        <w:t>以及开放手术来说都是禁忌症。</w:t>
      </w:r>
    </w:p>
    <w:p>
      <w:pPr>
        <w:pStyle w:val="BodyText"/>
        <w:ind w:left="749"/>
        <w:spacing w:before="94" w:line="221" w:lineRule="auto"/>
        <w:rPr/>
      </w:pPr>
      <w:r>
        <w:rPr>
          <w:spacing w:val="-8"/>
        </w:rPr>
        <w:t>9.3 妊娠</w:t>
      </w:r>
    </w:p>
    <w:p>
      <w:pPr>
        <w:pStyle w:val="BodyText"/>
        <w:ind w:left="459" w:right="3" w:firstLine="290"/>
        <w:spacing w:before="94" w:line="282" w:lineRule="auto"/>
        <w:rPr/>
      </w:pPr>
      <w:r>
        <w:rPr>
          <w:spacing w:val="2"/>
        </w:rPr>
        <w:t>妊娠是</w:t>
      </w:r>
      <w:r>
        <w:rPr>
          <w:rFonts w:ascii="Times New Roman" w:hAnsi="Times New Roman" w:eastAsia="Times New Roman" w:cs="Times New Roman"/>
        </w:rPr>
        <w:t>ESWL</w:t>
      </w:r>
      <w:r>
        <w:rPr>
          <w:rFonts w:ascii="Times New Roman" w:hAnsi="Times New Roman" w:eastAsia="Times New Roman" w:cs="Times New Roman"/>
          <w:spacing w:val="-24"/>
        </w:rPr>
        <w:t xml:space="preserve"> </w:t>
      </w:r>
      <w:r>
        <w:rPr>
          <w:spacing w:val="2"/>
        </w:rPr>
        <w:t>、</w:t>
      </w:r>
      <w:r>
        <w:rPr>
          <w:rFonts w:ascii="Times New Roman" w:hAnsi="Times New Roman" w:eastAsia="Times New Roman" w:cs="Times New Roman"/>
        </w:rPr>
        <w:t>PNL</w:t>
      </w:r>
      <w:r>
        <w:rPr>
          <w:spacing w:val="2"/>
        </w:rPr>
        <w:t>以及</w:t>
      </w:r>
      <w:r>
        <w:rPr>
          <w:rFonts w:ascii="Times New Roman" w:hAnsi="Times New Roman" w:eastAsia="Times New Roman" w:cs="Times New Roman"/>
        </w:rPr>
        <w:t>URS</w:t>
      </w:r>
      <w:r>
        <w:rPr>
          <w:spacing w:val="2"/>
        </w:rPr>
        <w:t>的禁忌症。不过有经验的专家可以地为妊娠结石患者取石。这里需要强</w:t>
      </w:r>
      <w:r>
        <w:rPr/>
        <w:t xml:space="preserve"> </w:t>
      </w:r>
      <w:r>
        <w:rPr>
          <w:spacing w:val="8"/>
        </w:rPr>
        <w:t>调的一点是，如果术中出现并发症则极难处理。总而言之，对于妊</w:t>
      </w:r>
      <w:r>
        <w:rPr>
          <w:spacing w:val="7"/>
        </w:rPr>
        <w:t>娠的结石患者，保持尿流通畅是治</w:t>
      </w:r>
      <w:r>
        <w:rPr/>
        <w:t xml:space="preserve"> </w:t>
      </w:r>
      <w:r>
        <w:rPr>
          <w:spacing w:val="2"/>
        </w:rPr>
        <w:t>疗的主要目的，我们可以通过经皮肾穿刺造瘘、置入双J管或输尿管支架等方法来引流尿液。</w:t>
      </w:r>
    </w:p>
    <w:p>
      <w:pPr>
        <w:pStyle w:val="BodyText"/>
        <w:ind w:left="749"/>
        <w:spacing w:before="19" w:line="219" w:lineRule="auto"/>
        <w:rPr/>
      </w:pPr>
      <w:r>
        <w:rPr>
          <w:spacing w:val="-2"/>
        </w:rPr>
        <w:t>9.4 安装心脏起搏器</w:t>
      </w:r>
    </w:p>
    <w:p>
      <w:pPr>
        <w:pStyle w:val="BodyText"/>
        <w:ind w:left="752"/>
        <w:spacing w:before="87" w:line="219" w:lineRule="auto"/>
        <w:rPr/>
      </w:pPr>
      <w:r>
        <w:rPr>
          <w:b/>
          <w:bCs/>
          <w:spacing w:val="-1"/>
        </w:rPr>
        <w:t>虽然原则上安装心脏起搏器的患者可以行ESWL</w:t>
      </w:r>
      <w:r>
        <w:rPr>
          <w:spacing w:val="43"/>
        </w:rPr>
        <w:t xml:space="preserve"> </w:t>
      </w:r>
      <w:r>
        <w:rPr>
          <w:b/>
          <w:bCs/>
          <w:spacing w:val="-1"/>
        </w:rPr>
        <w:t>术，但是在行ESWL</w:t>
      </w:r>
      <w:r>
        <w:rPr>
          <w:spacing w:val="40"/>
        </w:rPr>
        <w:t xml:space="preserve"> </w:t>
      </w:r>
      <w:r>
        <w:rPr>
          <w:b/>
          <w:bCs/>
          <w:spacing w:val="-1"/>
        </w:rPr>
        <w:t>之前最好请心内科医师会诊。</w:t>
      </w:r>
    </w:p>
    <w:p>
      <w:pPr>
        <w:pStyle w:val="BodyText"/>
        <w:ind w:left="749"/>
        <w:spacing w:before="106" w:line="220" w:lineRule="auto"/>
        <w:rPr/>
      </w:pPr>
      <w:r>
        <w:rPr>
          <w:spacing w:val="-4"/>
        </w:rPr>
        <w:t>9.5 结石硬度</w:t>
      </w:r>
    </w:p>
    <w:p>
      <w:pPr>
        <w:pStyle w:val="BodyText"/>
        <w:ind w:left="462" w:firstLine="370"/>
        <w:spacing w:before="94" w:line="293" w:lineRule="auto"/>
        <w:rPr/>
      </w:pPr>
      <w:r>
        <w:rPr>
          <w:b/>
          <w:bCs/>
          <w:spacing w:val="2"/>
        </w:rPr>
        <w:t>含有一水草酸钙或磷酸氢钙的结石硬度大。对于这类结石，特别是当它们的体积较大时，最</w:t>
      </w:r>
      <w:r>
        <w:rPr>
          <w:b/>
          <w:bCs/>
          <w:spacing w:val="1"/>
        </w:rPr>
        <w:t>好采用</w:t>
      </w:r>
      <w:r>
        <w:rPr/>
        <w:t xml:space="preserve"> </w:t>
      </w:r>
      <w:r>
        <w:rPr>
          <w:b/>
          <w:bCs/>
          <w:spacing w:val="1"/>
        </w:rPr>
        <w:t>经皮肾镜取石。这类结石取石后复发率高，所</w:t>
      </w:r>
      <w:r>
        <w:rPr>
          <w:b/>
          <w:bCs/>
        </w:rPr>
        <w:t>以有必要在取石后进行药物治疗。</w:t>
      </w:r>
    </w:p>
    <w:p>
      <w:pPr>
        <w:pStyle w:val="BodyText"/>
        <w:ind w:left="752"/>
        <w:spacing w:before="16" w:line="220" w:lineRule="auto"/>
        <w:outlineLvl w:val="4"/>
        <w:rPr/>
      </w:pPr>
      <w:r>
        <w:rPr>
          <w:b/>
          <w:bCs/>
          <w:spacing w:val="-1"/>
        </w:rPr>
        <w:t>9</w:t>
      </w:r>
      <w:r>
        <w:rPr>
          <w:spacing w:val="-58"/>
        </w:rPr>
        <w:t xml:space="preserve"> </w:t>
      </w:r>
      <w:r>
        <w:rPr>
          <w:b/>
          <w:bCs/>
          <w:spacing w:val="-1"/>
        </w:rPr>
        <w:t>.6透</w:t>
      </w:r>
      <w:r>
        <w:rPr>
          <w:rFonts w:ascii="Times New Roman" w:hAnsi="Times New Roman" w:eastAsia="Times New Roman" w:cs="Times New Roman"/>
          <w:b/>
          <w:bCs/>
          <w:spacing w:val="-1"/>
        </w:rPr>
        <w:t>X</w:t>
      </w:r>
      <w:r>
        <w:rPr>
          <w:b/>
          <w:bCs/>
          <w:spacing w:val="-1"/>
        </w:rPr>
        <w:t>线的结石</w:t>
      </w:r>
    </w:p>
    <w:p>
      <w:pPr>
        <w:pStyle w:val="BodyText"/>
        <w:ind w:left="462" w:right="16" w:firstLine="290"/>
        <w:spacing w:before="88" w:line="285" w:lineRule="auto"/>
        <w:rPr/>
      </w:pPr>
      <w:r>
        <w:rPr>
          <w:b/>
          <w:bCs/>
        </w:rPr>
        <w:t>使用超声、</w:t>
      </w:r>
      <w:r>
        <w:rPr>
          <w:rFonts w:ascii="Times New Roman" w:hAnsi="Times New Roman" w:eastAsia="Times New Roman" w:cs="Times New Roman"/>
          <w:b/>
          <w:bCs/>
        </w:rPr>
        <w:t>IVP</w:t>
      </w:r>
      <w:r>
        <w:rPr>
          <w:b/>
          <w:bCs/>
        </w:rPr>
        <w:t>或逆插造影等方法可以对尿酸结石进行定位。口服药物能够溶解尿酸结石，但</w:t>
      </w:r>
      <w:r>
        <w:rPr>
          <w:b/>
          <w:bCs/>
          <w:spacing w:val="-1"/>
        </w:rPr>
        <w:t>对于尿</w:t>
      </w:r>
      <w:r>
        <w:rPr/>
        <w:t xml:space="preserve"> </w:t>
      </w:r>
      <w:r>
        <w:rPr>
          <w:b/>
          <w:bCs/>
          <w:spacing w:val="-2"/>
        </w:rPr>
        <w:t>酸盐结石或铵盐结石则无效。</w:t>
      </w:r>
    </w:p>
    <w:p>
      <w:pPr>
        <w:pStyle w:val="BodyText"/>
        <w:ind w:left="3693"/>
        <w:spacing w:before="143" w:line="219" w:lineRule="auto"/>
        <w:rPr>
          <w:sz w:val="27"/>
          <w:szCs w:val="27"/>
        </w:rPr>
      </w:pPr>
      <w:r>
        <w:rPr>
          <w:sz w:val="27"/>
          <w:szCs w:val="27"/>
          <w:b/>
          <w:bCs/>
          <w:spacing w:val="-2"/>
        </w:rPr>
        <w:t>表20特别需要注意的几点</w:t>
      </w:r>
    </w:p>
    <w:p>
      <w:pPr>
        <w:spacing w:line="49" w:lineRule="exact"/>
        <w:rPr/>
      </w:pPr>
      <w:r/>
    </w:p>
    <w:tbl>
      <w:tblPr>
        <w:tblStyle w:val="TableNormal"/>
        <w:tblW w:w="8309" w:type="dxa"/>
        <w:tblInd w:w="11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70"/>
        <w:gridCol w:w="4239"/>
      </w:tblGrid>
      <w:tr>
        <w:trPr>
          <w:trHeight w:val="474" w:hRule="atLeast"/>
        </w:trPr>
        <w:tc>
          <w:tcPr>
            <w:tcW w:w="8309" w:type="dxa"/>
            <w:vAlign w:val="top"/>
            <w:gridSpan w:val="2"/>
          </w:tcPr>
          <w:p>
            <w:pPr>
              <w:pStyle w:val="TableText"/>
              <w:ind w:left="5144"/>
              <w:spacing w:before="95" w:line="217" w:lineRule="auto"/>
              <w:rPr/>
            </w:pPr>
            <w:r>
              <w:rPr>
                <w:position w:val="-2"/>
              </w:rPr>
              <w:t>GR</w:t>
            </w:r>
            <w:r>
              <w:rPr>
                <w:spacing w:val="3"/>
                <w:position w:val="-2"/>
              </w:rPr>
              <w:t xml:space="preserve">              </w:t>
            </w:r>
            <w:r>
              <w:rPr>
                <w:spacing w:val="2"/>
                <w:position w:val="1"/>
              </w:rPr>
              <w:t>参见</w:t>
            </w:r>
          </w:p>
        </w:tc>
      </w:tr>
      <w:tr>
        <w:trPr>
          <w:trHeight w:val="1397" w:hRule="atLeast"/>
        </w:trPr>
        <w:tc>
          <w:tcPr>
            <w:tcW w:w="8309" w:type="dxa"/>
            <w:vAlign w:val="top"/>
            <w:gridSpan w:val="2"/>
          </w:tcPr>
          <w:p>
            <w:pPr>
              <w:pStyle w:val="TableText"/>
              <w:ind w:left="14"/>
              <w:spacing w:before="91" w:line="223" w:lineRule="auto"/>
              <w:rPr>
                <w:rFonts w:ascii="MS Gothic" w:hAnsi="MS Gothic" w:eastAsia="MS Gothic" w:cs="MS Gothic"/>
              </w:rPr>
            </w:pPr>
            <w:r>
              <w:rPr/>
              <w:t>对于尿培养阳性或浸试条法阳性及怀         Be               9.</w:t>
            </w:r>
            <w:r>
              <w:rPr>
                <w:spacing w:val="-1"/>
              </w:rPr>
              <w:t>1</w:t>
            </w:r>
            <w:r>
              <w:rPr>
                <w:rFonts w:ascii="MS Gothic" w:hAnsi="MS Gothic" w:eastAsia="MS Gothic" w:cs="MS Gothic"/>
                <w:spacing w:val="-1"/>
              </w:rPr>
              <w:t>↵</w:t>
            </w:r>
          </w:p>
          <w:p>
            <w:pPr>
              <w:pStyle w:val="TableText"/>
              <w:ind w:left="14" w:right="4274"/>
              <w:spacing w:before="156" w:line="309" w:lineRule="auto"/>
              <w:rPr/>
            </w:pPr>
            <w:r>
              <w:rPr/>
              <w:t>疑有感染的患者在取石前都必须行抗</w:t>
            </w:r>
            <w:r>
              <w:rPr>
                <w:spacing w:val="8"/>
              </w:rPr>
              <w:t xml:space="preserve"> </w:t>
            </w:r>
            <w:r>
              <w:rPr>
                <w:spacing w:val="2"/>
              </w:rPr>
              <w:t>生索治疗</w:t>
            </w:r>
          </w:p>
        </w:tc>
      </w:tr>
      <w:tr>
        <w:trPr>
          <w:trHeight w:val="928" w:hRule="atLeast"/>
        </w:trPr>
        <w:tc>
          <w:tcPr>
            <w:tcW w:w="8309" w:type="dxa"/>
            <w:vAlign w:val="top"/>
            <w:gridSpan w:val="2"/>
          </w:tcPr>
          <w:p>
            <w:pPr>
              <w:pStyle w:val="TableText"/>
              <w:ind w:left="14"/>
              <w:spacing w:before="104" w:line="361" w:lineRule="exact"/>
              <w:rPr/>
            </w:pPr>
            <w:r>
              <w:rPr>
                <w:spacing w:val="2"/>
                <w:position w:val="2"/>
              </w:rPr>
              <w:t>对于在服用水杨酸盐的患者，必须在停</w:t>
            </w:r>
            <w:r>
              <w:rPr>
                <w:spacing w:val="8"/>
                <w:position w:val="2"/>
              </w:rPr>
              <w:t xml:space="preserve">       </w:t>
            </w:r>
            <w:r>
              <w:rPr>
                <w:spacing w:val="2"/>
                <w:position w:val="-1"/>
              </w:rPr>
              <w:t>B </w:t>
            </w:r>
            <w:r>
              <w:rPr>
                <w:spacing w:val="1"/>
                <w:position w:val="-1"/>
              </w:rPr>
              <w:t xml:space="preserve">              </w:t>
            </w:r>
            <w:r>
              <w:rPr>
                <w:spacing w:val="1"/>
              </w:rPr>
              <w:t>9.2</w:t>
            </w:r>
          </w:p>
          <w:p>
            <w:pPr>
              <w:pStyle w:val="TableText"/>
              <w:ind w:left="14"/>
              <w:spacing w:before="97" w:line="219" w:lineRule="auto"/>
              <w:rPr/>
            </w:pPr>
            <w:r>
              <w:rPr>
                <w:spacing w:val="1"/>
              </w:rPr>
              <w:t>药后10天才考虑取石</w:t>
            </w:r>
          </w:p>
        </w:tc>
      </w:tr>
      <w:tr>
        <w:trPr>
          <w:trHeight w:val="459" w:hRule="atLeast"/>
        </w:trPr>
        <w:tc>
          <w:tcPr>
            <w:tcW w:w="4070" w:type="dxa"/>
            <w:vAlign w:val="top"/>
          </w:tcPr>
          <w:p>
            <w:pPr>
              <w:pStyle w:val="TableText"/>
              <w:ind w:left="14"/>
              <w:spacing w:before="78" w:line="214" w:lineRule="auto"/>
              <w:rPr>
                <w:sz w:val="32"/>
                <w:szCs w:val="32"/>
              </w:rPr>
            </w:pPr>
            <w:r>
              <w:rPr>
                <w:sz w:val="32"/>
                <w:szCs w:val="32"/>
                <w:spacing w:val="2"/>
              </w:rPr>
              <w:t>妊娠是</w:t>
            </w:r>
            <w:r>
              <w:rPr>
                <w:sz w:val="32"/>
                <w:szCs w:val="32"/>
              </w:rPr>
              <w:t>ESWL</w:t>
            </w:r>
            <w:r>
              <w:rPr>
                <w:sz w:val="32"/>
                <w:szCs w:val="32"/>
                <w:spacing w:val="2"/>
              </w:rPr>
              <w:t>和</w:t>
            </w:r>
            <w:r>
              <w:rPr>
                <w:sz w:val="32"/>
                <w:szCs w:val="32"/>
              </w:rPr>
              <w:t>PCNL</w:t>
            </w:r>
            <w:r>
              <w:rPr>
                <w:sz w:val="32"/>
                <w:szCs w:val="32"/>
                <w:spacing w:val="2"/>
              </w:rPr>
              <w:t>的禁忌症</w:t>
            </w:r>
          </w:p>
        </w:tc>
        <w:tc>
          <w:tcPr>
            <w:tcW w:w="4239" w:type="dxa"/>
            <w:vAlign w:val="top"/>
          </w:tcPr>
          <w:p>
            <w:pPr>
              <w:pStyle w:val="TableText"/>
              <w:ind w:left="1114"/>
              <w:spacing w:before="141" w:line="227" w:lineRule="auto"/>
              <w:rPr>
                <w:rFonts w:ascii="MS Gothic" w:hAnsi="MS Gothic" w:eastAsia="MS Gothic" w:cs="MS Gothic"/>
              </w:rPr>
            </w:pPr>
            <w:r>
              <w:rPr>
                <w:spacing w:val="-3"/>
              </w:rPr>
              <w:t>C4               9.3</w:t>
            </w:r>
            <w:r>
              <w:rPr>
                <w:rFonts w:ascii="MS Gothic" w:hAnsi="MS Gothic" w:eastAsia="MS Gothic" w:cs="MS Gothic"/>
                <w:spacing w:val="-3"/>
              </w:rPr>
              <w:t>↵</w:t>
            </w:r>
          </w:p>
        </w:tc>
      </w:tr>
      <w:tr>
        <w:trPr>
          <w:trHeight w:val="928" w:hRule="atLeast"/>
        </w:trPr>
        <w:tc>
          <w:tcPr>
            <w:tcW w:w="4070" w:type="dxa"/>
            <w:vAlign w:val="top"/>
          </w:tcPr>
          <w:p>
            <w:pPr>
              <w:pStyle w:val="TableText"/>
              <w:ind w:left="14" w:right="264"/>
              <w:spacing w:before="127" w:line="292" w:lineRule="auto"/>
              <w:rPr/>
            </w:pPr>
            <w:r>
              <w:rPr>
                <w:spacing w:val="2"/>
              </w:rPr>
              <w:t>安装有心脏起搏器的患者是可以用</w:t>
            </w:r>
            <w:r>
              <w:rPr/>
              <w:t xml:space="preserve"> </w:t>
            </w:r>
            <w:r>
              <w:rPr>
                <w:spacing w:val="-6"/>
              </w:rPr>
              <w:t>E</w:t>
            </w:r>
            <w:r>
              <w:rPr>
                <w:spacing w:val="-24"/>
              </w:rPr>
              <w:t xml:space="preserve"> </w:t>
            </w:r>
            <w:r>
              <w:rPr>
                <w:spacing w:val="-6"/>
              </w:rPr>
              <w:t>S</w:t>
            </w:r>
            <w:r>
              <w:rPr>
                <w:spacing w:val="-34"/>
              </w:rPr>
              <w:t xml:space="preserve"> </w:t>
            </w:r>
            <w:r>
              <w:rPr>
                <w:spacing w:val="-6"/>
              </w:rPr>
              <w:t>W</w:t>
            </w:r>
            <w:r>
              <w:rPr>
                <w:spacing w:val="-28"/>
              </w:rPr>
              <w:t xml:space="preserve"> </w:t>
            </w:r>
            <w:r>
              <w:rPr>
                <w:spacing w:val="-6"/>
              </w:rPr>
              <w:t>L 的</w:t>
            </w:r>
          </w:p>
        </w:tc>
        <w:tc>
          <w:tcPr>
            <w:tcW w:w="4239" w:type="dxa"/>
            <w:vAlign w:val="top"/>
          </w:tcPr>
          <w:p>
            <w:pPr>
              <w:pStyle w:val="TableText"/>
              <w:ind w:left="1114"/>
              <w:spacing w:before="152" w:line="239" w:lineRule="auto"/>
              <w:rPr/>
            </w:pPr>
            <w:r>
              <w:rPr>
                <w:spacing w:val="-3"/>
              </w:rPr>
              <w:t>C</w:t>
            </w:r>
            <w:r>
              <w:rPr>
                <w:rFonts w:ascii="MS Gothic" w:hAnsi="MS Gothic" w:eastAsia="MS Gothic" w:cs="MS Gothic"/>
                <w:spacing w:val="-3"/>
              </w:rPr>
              <w:t>↵</w:t>
            </w:r>
            <w:r>
              <w:rPr>
                <w:rFonts w:ascii="MS Gothic" w:hAnsi="MS Gothic" w:eastAsia="MS Gothic" w:cs="MS Gothic"/>
                <w:spacing w:val="-3"/>
              </w:rPr>
              <w:t xml:space="preserve">               </w:t>
            </w:r>
            <w:r>
              <w:rPr>
                <w:spacing w:val="-3"/>
              </w:rPr>
              <w:t>9.4</w:t>
            </w:r>
          </w:p>
        </w:tc>
      </w:tr>
      <w:tr>
        <w:trPr>
          <w:trHeight w:val="473" w:hRule="atLeast"/>
        </w:trPr>
        <w:tc>
          <w:tcPr>
            <w:tcW w:w="8309" w:type="dxa"/>
            <w:vAlign w:val="top"/>
            <w:gridSpan w:val="2"/>
          </w:tcPr>
          <w:p>
            <w:pPr>
              <w:pStyle w:val="TableText"/>
              <w:ind w:left="14"/>
              <w:spacing w:before="117" w:line="219" w:lineRule="auto"/>
              <w:rPr/>
            </w:pPr>
            <w:r>
              <w:rPr/>
              <w:t>GR=惟荐的攀级：ESWL=体外冲方鼓碎石：PCNL</w:t>
            </w:r>
            <w:r>
              <w:rPr>
                <w:spacing w:val="-1"/>
              </w:rPr>
              <w:t>=经皮滑镜碎石术</w:t>
            </w:r>
          </w:p>
        </w:tc>
      </w:tr>
    </w:tbl>
    <w:p>
      <w:pPr>
        <w:spacing w:line="321" w:lineRule="auto"/>
        <w:rPr>
          <w:rFonts w:ascii="Arial"/>
          <w:sz w:val="21"/>
        </w:rPr>
      </w:pPr>
      <w:r/>
    </w:p>
    <w:p>
      <w:pPr>
        <w:spacing w:line="322" w:lineRule="auto"/>
        <w:rPr>
          <w:rFonts w:ascii="Arial"/>
          <w:sz w:val="21"/>
        </w:rPr>
      </w:pPr>
      <w:r/>
    </w:p>
    <w:p>
      <w:pPr>
        <w:ind w:left="482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—229—</w:t>
      </w:r>
    </w:p>
    <w:p>
      <w:pPr>
        <w:spacing w:line="332"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763" w:right="1407" w:bottom="0" w:left="400" w:header="0" w:footer="0" w:gutter="0"/>
        </w:sectPr>
        <w:rPr>
          <w:rFonts w:ascii="Times New Roman" w:hAnsi="Times New Roman" w:eastAsia="Times New Roman" w:cs="Times New Roman"/>
          <w:sz w:val="21"/>
          <w:szCs w:val="21"/>
        </w:rPr>
      </w:pPr>
    </w:p>
    <w:p>
      <w:pPr>
        <w:ind w:firstLine="609"/>
        <w:spacing w:line="520" w:lineRule="exact"/>
        <w:rPr/>
      </w:pPr>
      <w:r>
        <w:rPr>
          <w:position w:val="-10"/>
        </w:rPr>
        <w:drawing>
          <wp:inline distT="0" distB="0" distL="0" distR="0">
            <wp:extent cx="1720910" cy="330219"/>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720910" cy="330219"/>
                    </a:xfrm>
                    <a:prstGeom prst="rect">
                      <a:avLst/>
                    </a:prstGeom>
                  </pic:spPr>
                </pic:pic>
              </a:graphicData>
            </a:graphic>
          </wp:inline>
        </w:drawing>
      </w:r>
    </w:p>
    <w:p>
      <w:pPr>
        <w:pStyle w:val="BodyText"/>
        <w:ind w:left="1059"/>
        <w:spacing w:before="248" w:line="219" w:lineRule="auto"/>
        <w:rPr/>
      </w:pPr>
      <w:r>
        <w:rPr>
          <w:spacing w:val="-2"/>
        </w:rPr>
        <w:t>9.7 参考文献</w:t>
      </w:r>
    </w:p>
    <w:p>
      <w:pPr>
        <w:ind w:left="599"/>
        <w:spacing w:before="17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1.0'Regan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S,Laberge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I,Homsy</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Y.Urolithiasis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pregnancy.Eur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Urol   1984;10:40-42.</w:t>
      </w:r>
    </w:p>
    <w:p>
      <w:pPr>
        <w:ind w:left="599"/>
        <w:spacing w:before="196"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ids=6698085</w:t>
        </w:r>
      </w:hyperlink>
    </w:p>
    <w:p>
      <w:pPr>
        <w:ind w:left="599"/>
        <w:spacing w:before="186"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spacing w:val="-1"/>
          </w:rPr>
          <w:t>2.Kroovand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RL.Stones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pregnancy</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children.J</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Urol  1992</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6">
        <w:r>
          <w:rPr>
            <w:rFonts w:ascii="Times New Roman" w:hAnsi="Times New Roman" w:eastAsia="Times New Roman" w:cs="Times New Roman"/>
            <w:sz w:val="21"/>
            <w:szCs w:val="21"/>
            <w:spacing w:val="-1"/>
          </w:rPr>
          <w:t>148:1076-1078</w:t>
        </w:r>
      </w:hyperlink>
      <w:r>
        <w:rPr>
          <w:rFonts w:ascii="Times New Roman" w:hAnsi="Times New Roman" w:eastAsia="Times New Roman" w:cs="Times New Roman"/>
          <w:sz w:val="21"/>
          <w:szCs w:val="21"/>
          <w:spacing w:val="-1"/>
        </w:rPr>
        <w:t>.</w:t>
      </w:r>
    </w:p>
    <w:p>
      <w:pPr>
        <w:ind w:left="599"/>
        <w:spacing w:before="197"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http://www.nebi.nlm.nih.govlentrez/query.fcgi?cmd=Retrieve&amp;db=pu</w:t>
        </w:r>
        <w:r>
          <w:rPr>
            <w:rFonts w:ascii="Times New Roman" w:hAnsi="Times New Roman" w:eastAsia="Times New Roman" w:cs="Times New Roman"/>
            <w:sz w:val="21"/>
            <w:szCs w:val="21"/>
            <w:spacing w:val="-1"/>
          </w:rPr>
          <w:t>bmed&amp;dopt=Abstract&amp;list_uids=1507336</w:t>
        </w:r>
      </w:hyperlink>
    </w:p>
    <w:p>
      <w:pPr>
        <w:ind w:left="599"/>
        <w:spacing w:before="207"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3.Marberger</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7">
        <w:r>
          <w:rPr>
            <w:rFonts w:ascii="Times New Roman" w:hAnsi="Times New Roman" w:eastAsia="Times New Roman" w:cs="Times New Roman"/>
            <w:sz w:val="21"/>
            <w:szCs w:val="21"/>
          </w:rPr>
          <w:t>Hofbaue</w:t>
        </w:r>
        <w:r>
          <w:rPr>
            <w:rFonts w:ascii="Times New Roman" w:hAnsi="Times New Roman" w:eastAsia="Times New Roman" w:cs="Times New Roman"/>
            <w:sz w:val="21"/>
            <w:szCs w:val="21"/>
            <w:spacing w:val="-1"/>
          </w:rPr>
          <w:t>r</w:t>
        </w:r>
      </w:hyperlink>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J.Problems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complications</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disease.Curr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Opin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Urol  1994;4:234-238.</w:t>
      </w:r>
    </w:p>
    <w:p>
      <w:pPr>
        <w:ind w:left="599" w:right="10"/>
        <w:spacing w:before="186" w:line="2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4.Carringer</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M,Swartz</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R,Johansson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JE.Management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of ureteric</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during</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pregnanc</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ureteroscopy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laser  lithotripsy.BrJ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Urol   1996;7</w:t>
      </w:r>
      <w:r>
        <w:rPr>
          <w:rFonts w:ascii="Times New Roman" w:hAnsi="Times New Roman" w:eastAsia="Times New Roman" w:cs="Times New Roman"/>
          <w:sz w:val="21"/>
          <w:szCs w:val="21"/>
          <w:spacing w:val="-1"/>
        </w:rPr>
        <w:t>7:17-20.</w:t>
      </w:r>
    </w:p>
    <w:p>
      <w:pPr>
        <w:ind w:left="599"/>
        <w:spacing w:before="187"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http://www.ncbi.nlm.nih.gov/entrezlquery.fcgi?cmd=Retrieve&amp;db=pubmed&amp;dopt=Abstract&amp;list_u</w:t>
        </w:r>
        <w:r>
          <w:rPr>
            <w:rFonts w:ascii="Times New Roman" w:hAnsi="Times New Roman" w:eastAsia="Times New Roman" w:cs="Times New Roman"/>
            <w:sz w:val="21"/>
            <w:szCs w:val="21"/>
            <w:spacing w:val="-1"/>
          </w:rPr>
          <w:t>ids=8653305</w:t>
        </w:r>
      </w:hyperlink>
    </w:p>
    <w:p>
      <w:pPr>
        <w:ind w:left="599" w:right="10"/>
        <w:spacing w:before="197" w:line="36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5.Scarpa  RM</w:t>
        </w:r>
      </w:hyperlink>
      <w:r>
        <w:rPr>
          <w:rFonts w:ascii="Times New Roman" w:hAnsi="Times New Roman" w:eastAsia="Times New Roman" w:cs="Times New Roman"/>
          <w:sz w:val="21"/>
          <w:szCs w:val="21"/>
        </w:rPr>
        <w:t>,</w:t>
      </w:r>
      <w:hyperlink w:history="true" r:id="rId8">
        <w:r>
          <w:rPr>
            <w:rFonts w:ascii="Times New Roman" w:hAnsi="Times New Roman" w:eastAsia="Times New Roman" w:cs="Times New Roman"/>
            <w:sz w:val="21"/>
            <w:szCs w:val="21"/>
          </w:rPr>
          <w:t>De</w:t>
        </w:r>
      </w:hyperlink>
      <w:r>
        <w:rPr>
          <w:rFonts w:ascii="Times New Roman" w:hAnsi="Times New Roman" w:eastAsia="Times New Roman" w:cs="Times New Roman"/>
          <w:sz w:val="21"/>
          <w:szCs w:val="21"/>
        </w:rPr>
        <w:t xml:space="preserve">  Lisa  A,Usai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E.Diagnosis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ureteral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during</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pregnancy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rig</w:t>
      </w:r>
      <w:r>
        <w:rPr>
          <w:rFonts w:ascii="Times New Roman" w:hAnsi="Times New Roman" w:eastAsia="Times New Roman" w:cs="Times New Roman"/>
          <w:sz w:val="21"/>
          <w:szCs w:val="21"/>
          <w:spacing w:val="-1"/>
        </w:rPr>
        <w:t>id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ureteroscopes.J  Urol   1996;155:875-877.</w:t>
      </w:r>
    </w:p>
    <w:p>
      <w:pPr>
        <w:ind w:left="599"/>
        <w:spacing w:before="31"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http://www.ncbi.nlm.nih.govlentrez/query.fcgi?cmd=Retrieve&amp;db=pu</w:t>
        </w:r>
        <w:r>
          <w:rPr>
            <w:rFonts w:ascii="Times New Roman" w:hAnsi="Times New Roman" w:eastAsia="Times New Roman" w:cs="Times New Roman"/>
            <w:sz w:val="21"/>
            <w:szCs w:val="21"/>
            <w:spacing w:val="-1"/>
          </w:rPr>
          <w:t>bmed&amp;dopt=Abstract&amp;list_uids=8583596</w:t>
        </w:r>
      </w:hyperlink>
    </w:p>
    <w:p>
      <w:pPr>
        <w:ind w:left="599" w:right="10"/>
        <w:spacing w:before="208" w:line="369"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6.Parulkar   BG</w:t>
        </w:r>
      </w:hyperlink>
      <w:r>
        <w:rPr>
          <w:rFonts w:ascii="Times New Roman" w:hAnsi="Times New Roman" w:eastAsia="Times New Roman" w:cs="Times New Roman"/>
          <w:sz w:val="21"/>
          <w:szCs w:val="21"/>
        </w:rPr>
        <w:t>,</w:t>
      </w:r>
      <w:hyperlink w:history="true" r:id="rId9">
        <w:r>
          <w:rPr>
            <w:rFonts w:ascii="Times New Roman" w:hAnsi="Times New Roman" w:eastAsia="Times New Roman" w:cs="Times New Roman"/>
            <w:sz w:val="21"/>
            <w:szCs w:val="21"/>
          </w:rPr>
          <w:t>Hopkins</w:t>
        </w:r>
      </w:hyperlink>
      <w:r>
        <w:rPr>
          <w:rFonts w:ascii="Times New Roman" w:hAnsi="Times New Roman" w:eastAsia="Times New Roman" w:cs="Times New Roman"/>
          <w:sz w:val="21"/>
          <w:szCs w:val="21"/>
        </w:rPr>
        <w:t xml:space="preserve">    TB,Wollin   MR,Howard    PJ,Lal   A.Renal    colic    during </w:t>
      </w:r>
      <w:r>
        <w:rPr>
          <w:rFonts w:ascii="Times New Roman" w:hAnsi="Times New Roman" w:eastAsia="Times New Roman" w:cs="Times New Roman"/>
          <w:sz w:val="21"/>
          <w:szCs w:val="21"/>
          <w:spacing w:val="-1"/>
        </w:rPr>
        <w:t xml:space="preserve">  pregnancy:a    case   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conservative  treatment.J  Urol   1998;159:3</w:t>
      </w:r>
      <w:r>
        <w:rPr>
          <w:rFonts w:ascii="Times New Roman" w:hAnsi="Times New Roman" w:eastAsia="Times New Roman" w:cs="Times New Roman"/>
          <w:sz w:val="21"/>
          <w:szCs w:val="21"/>
          <w:spacing w:val="-1"/>
        </w:rPr>
        <w:t>65-368.</w:t>
      </w:r>
    </w:p>
    <w:p>
      <w:pPr>
        <w:ind w:left="599"/>
        <w:spacing w:before="46"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rPr>
          <w:t>http://www.ncbi.nlm.nih.gov/entrez/query.fcg</w:t>
        </w:r>
        <w:r>
          <w:rPr>
            <w:rFonts w:ascii="Times New Roman" w:hAnsi="Times New Roman" w:eastAsia="Times New Roman" w:cs="Times New Roman"/>
            <w:sz w:val="21"/>
            <w:szCs w:val="21"/>
            <w:spacing w:val="-1"/>
          </w:rPr>
          <w:t>i?cmd=Retrieve&amp;db=pubmed&amp;dopt=Abstract&amp;list_uids=9649240</w:t>
        </w:r>
      </w:hyperlink>
    </w:p>
    <w:p>
      <w:pPr>
        <w:ind w:left="599" w:right="6"/>
        <w:spacing w:before="211" w:line="377" w:lineRule="auto"/>
        <w:jc w:val="both"/>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b/>
            <w:bCs/>
          </w:rPr>
          <w:t>7.Lingeman  JE</w:t>
        </w:r>
      </w:hyperlink>
      <w:r>
        <w:rPr>
          <w:rFonts w:ascii="Times New Roman" w:hAnsi="Times New Roman" w:eastAsia="Times New Roman" w:cs="Times New Roman"/>
          <w:sz w:val="21"/>
          <w:szCs w:val="21"/>
          <w:b/>
          <w:bCs/>
        </w:rPr>
        <w:t>,</w:t>
      </w:r>
      <w:hyperlink w:history="true" r:id="rId10">
        <w:r>
          <w:rPr>
            <w:rFonts w:ascii="Times New Roman" w:hAnsi="Times New Roman" w:eastAsia="Times New Roman" w:cs="Times New Roman"/>
            <w:sz w:val="21"/>
            <w:szCs w:val="21"/>
            <w:b/>
            <w:bCs/>
          </w:rPr>
          <w:t>Coury</w:t>
        </w:r>
      </w:hyperlink>
      <w:r>
        <w:rPr>
          <w:rFonts w:ascii="Times New Roman" w:hAnsi="Times New Roman" w:eastAsia="Times New Roman" w:cs="Times New Roman"/>
          <w:sz w:val="21"/>
          <w:szCs w:val="21"/>
          <w:b/>
          <w:bCs/>
        </w:rPr>
        <w:t xml:space="preserve">  TA,Newman  DM,Kahnoski</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rPr>
        <w:t>RJ,Mertz  JH,Mosbaugh</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rPr>
        <w:t>PG,Steele</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RE,Woods</w:t>
      </w:r>
      <w:r>
        <w:rPr>
          <w:rFonts w:ascii="Times New Roman" w:hAnsi="Times New Roman" w:eastAsia="Times New Roman" w:cs="Times New Roman"/>
          <w:sz w:val="21"/>
          <w:szCs w:val="21"/>
          <w:b/>
          <w:bCs/>
          <w:spacing w:val="6"/>
        </w:rPr>
        <w:t xml:space="preserve">  </w:t>
      </w:r>
      <w:r>
        <w:rPr>
          <w:rFonts w:ascii="Times New Roman" w:hAnsi="Times New Roman" w:eastAsia="Times New Roman" w:cs="Times New Roman"/>
          <w:sz w:val="21"/>
          <w:szCs w:val="21"/>
          <w:b/>
          <w:bCs/>
        </w:rPr>
        <w:t>JR</w:t>
      </w:r>
      <w:r>
        <w:rPr>
          <w:rFonts w:ascii="Times New Roman" w:hAnsi="Times New Roman" w:eastAsia="Times New Roman" w:cs="Times New Roman"/>
          <w:sz w:val="21"/>
          <w:szCs w:val="21"/>
        </w:rPr>
        <w:t>. </w:t>
      </w:r>
      <w:r>
        <w:rPr>
          <w:rFonts w:ascii="Times New Roman" w:hAnsi="Times New Roman" w:eastAsia="Times New Roman" w:cs="Times New Roman"/>
          <w:sz w:val="21"/>
          <w:szCs w:val="21"/>
          <w:b/>
          <w:bCs/>
        </w:rPr>
        <w:t>Comparison of results and morbidity of</w:t>
      </w:r>
      <w:r>
        <w:rPr>
          <w:rFonts w:ascii="Times New Roman" w:hAnsi="Times New Roman" w:eastAsia="Times New Roman" w:cs="Times New Roman"/>
          <w:sz w:val="21"/>
          <w:szCs w:val="21"/>
          <w:b/>
          <w:bCs/>
          <w:spacing w:val="-11"/>
        </w:rPr>
        <w:t xml:space="preserve"> </w:t>
      </w:r>
      <w:r>
        <w:rPr>
          <w:rFonts w:ascii="Times New Roman" w:hAnsi="Times New Roman" w:eastAsia="Times New Roman" w:cs="Times New Roman"/>
          <w:sz w:val="21"/>
          <w:szCs w:val="21"/>
          <w:b/>
          <w:bCs/>
        </w:rPr>
        <w:t>percutan</w:t>
      </w:r>
      <w:r>
        <w:rPr>
          <w:rFonts w:ascii="Times New Roman" w:hAnsi="Times New Roman" w:eastAsia="Times New Roman" w:cs="Times New Roman"/>
          <w:sz w:val="21"/>
          <w:szCs w:val="21"/>
          <w:b/>
          <w:bCs/>
          <w:spacing w:val="-1"/>
        </w:rPr>
        <w:t>eous nephrostolithotomy and</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spacing w:val="-1"/>
        </w:rPr>
        <w:t>extracorporeal</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spacing w:val="-1"/>
        </w:rPr>
        <w:t>shock wavee</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b/>
          <w:bCs/>
          <w:spacing w:val="-1"/>
        </w:rPr>
        <w:t>lithotripsy.J Urol</w:t>
      </w:r>
      <w:r>
        <w:rPr>
          <w:rFonts w:ascii="Times New Roman" w:hAnsi="Times New Roman" w:eastAsia="Times New Roman" w:cs="Times New Roman"/>
          <w:sz w:val="21"/>
          <w:szCs w:val="21"/>
          <w:b/>
          <w:bCs/>
          <w:spacing w:val="28"/>
        </w:rPr>
        <w:t xml:space="preserve"> </w:t>
      </w:r>
      <w:r>
        <w:rPr>
          <w:rFonts w:ascii="Times New Roman" w:hAnsi="Times New Roman" w:eastAsia="Times New Roman" w:cs="Times New Roman"/>
          <w:sz w:val="21"/>
          <w:szCs w:val="21"/>
          <w:b/>
          <w:bCs/>
          <w:spacing w:val="-1"/>
        </w:rPr>
        <w:t>1987;138:485-490.</w:t>
      </w:r>
    </w:p>
    <w:p>
      <w:pPr>
        <w:ind w:left="599"/>
        <w:spacing w:before="48" w:line="192"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spacing w:val="-5"/>
          </w:rPr>
          <w:t>ht</w:t>
        </w:r>
        <w:r>
          <w:rPr>
            <w:rFonts w:ascii="Times New Roman" w:hAnsi="Times New Roman" w:eastAsia="Times New Roman" w:cs="Times New Roman"/>
            <w:sz w:val="21"/>
            <w:szCs w:val="21"/>
            <w:b/>
            <w:bCs/>
            <w:spacing w:val="-5"/>
          </w:rPr>
          <w:t>tp://www.ncbi.nlm.nih.go</w:t>
        </w:r>
        <w:r>
          <w:rPr>
            <w:rFonts w:ascii="Times New Roman" w:hAnsi="Times New Roman" w:eastAsia="Times New Roman" w:cs="Times New Roman"/>
            <w:sz w:val="21"/>
            <w:szCs w:val="21"/>
            <w:b/>
            <w:bCs/>
            <w:spacing w:val="-6"/>
          </w:rPr>
          <w:t>v/entrez/query.fcgi?cmd=Retrieve&amp;db=pubmed&amp;dopt=Abstract&amp;list_uids=3625845</w:t>
        </w:r>
      </w:hyperlink>
    </w:p>
    <w:p>
      <w:pPr>
        <w:ind w:left="599" w:right="19"/>
        <w:spacing w:before="200" w:line="370" w:lineRule="auto"/>
        <w:rPr>
          <w:rFonts w:ascii="Times New Roman" w:hAnsi="Times New Roman" w:eastAsia="Times New Roman" w:cs="Times New Roman"/>
          <w:sz w:val="21"/>
          <w:szCs w:val="21"/>
        </w:rPr>
      </w:pPr>
      <w:hyperlink w:history="true" r:id="rId5">
        <w:r>
          <w:rPr>
            <w:rFonts w:ascii="Times New Roman" w:hAnsi="Times New Roman" w:eastAsia="Times New Roman" w:cs="Times New Roman"/>
            <w:sz w:val="21"/>
            <w:szCs w:val="21"/>
            <w:b/>
            <w:bCs/>
          </w:rPr>
          <w:t>8.Bhatta KM</w:t>
        </w:r>
      </w:hyperlink>
      <w:r>
        <w:rPr>
          <w:rFonts w:ascii="Times New Roman" w:hAnsi="Times New Roman" w:eastAsia="Times New Roman" w:cs="Times New Roman"/>
          <w:sz w:val="21"/>
          <w:szCs w:val="21"/>
          <w:b/>
          <w:bCs/>
        </w:rPr>
        <w:t>,</w:t>
      </w:r>
      <w:hyperlink w:history="true" r:id="rId11">
        <w:r>
          <w:rPr>
            <w:rFonts w:ascii="Times New Roman" w:hAnsi="Times New Roman" w:eastAsia="Times New Roman" w:cs="Times New Roman"/>
            <w:sz w:val="21"/>
            <w:szCs w:val="21"/>
            <w:b/>
            <w:bCs/>
          </w:rPr>
          <w:t>Prien ELJr</w:t>
        </w:r>
      </w:hyperlink>
      <w:r>
        <w:rPr>
          <w:rFonts w:ascii="Times New Roman" w:hAnsi="Times New Roman" w:eastAsia="Times New Roman" w:cs="Times New Roman"/>
          <w:sz w:val="21"/>
          <w:szCs w:val="21"/>
          <w:b/>
          <w:bCs/>
        </w:rPr>
        <w:t>,</w:t>
      </w:r>
      <w:hyperlink w:history="true" r:id="rId12">
        <w:r>
          <w:rPr>
            <w:rFonts w:ascii="Times New Roman" w:hAnsi="Times New Roman" w:eastAsia="Times New Roman" w:cs="Times New Roman"/>
            <w:sz w:val="21"/>
            <w:szCs w:val="21"/>
            <w:b/>
            <w:bCs/>
          </w:rPr>
          <w:t>Dretler SP.Cystine calculi:two types.In:Shock Wave Lithotripsy</w:t>
        </w:r>
      </w:hyperlink>
      <w:r>
        <w:rPr>
          <w:rFonts w:ascii="Times New Roman" w:hAnsi="Times New Roman" w:eastAsia="Times New Roman" w:cs="Times New Roman"/>
          <w:sz w:val="21"/>
          <w:szCs w:val="21"/>
          <w:b/>
          <w:bCs/>
        </w:rPr>
        <w:t xml:space="preserve"> 2.Ling</w:t>
      </w:r>
      <w:r>
        <w:rPr>
          <w:rFonts w:ascii="Times New Roman" w:hAnsi="Times New Roman" w:eastAsia="Times New Roman" w:cs="Times New Roman"/>
          <w:sz w:val="21"/>
          <w:szCs w:val="21"/>
          <w:b/>
          <w:bCs/>
          <w:spacing w:val="-1"/>
        </w:rPr>
        <w:t>eman JE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b/>
          <w:bCs/>
        </w:rPr>
        <w:t>Newman</w:t>
      </w:r>
      <w:r>
        <w:rPr>
          <w:rFonts w:ascii="Times New Roman" w:hAnsi="Times New Roman" w:eastAsia="Times New Roman" w:cs="Times New Roman"/>
          <w:sz w:val="21"/>
          <w:szCs w:val="21"/>
          <w:b/>
          <w:bCs/>
          <w:spacing w:val="17"/>
        </w:rPr>
        <w:t xml:space="preserve"> </w:t>
      </w:r>
      <w:r>
        <w:rPr>
          <w:rFonts w:ascii="Times New Roman" w:hAnsi="Times New Roman" w:eastAsia="Times New Roman" w:cs="Times New Roman"/>
          <w:sz w:val="21"/>
          <w:szCs w:val="21"/>
          <w:b/>
          <w:bCs/>
        </w:rPr>
        <w:t>DM(eds).Plenum</w:t>
      </w:r>
      <w:r>
        <w:rPr>
          <w:rFonts w:ascii="Times New Roman" w:hAnsi="Times New Roman" w:eastAsia="Times New Roman" w:cs="Times New Roman"/>
          <w:sz w:val="21"/>
          <w:szCs w:val="21"/>
          <w:b/>
          <w:bCs/>
          <w:spacing w:val="19"/>
          <w:w w:val="101"/>
        </w:rPr>
        <w:t xml:space="preserve"> </w:t>
      </w:r>
      <w:r>
        <w:rPr>
          <w:rFonts w:ascii="Times New Roman" w:hAnsi="Times New Roman" w:eastAsia="Times New Roman" w:cs="Times New Roman"/>
          <w:sz w:val="21"/>
          <w:szCs w:val="21"/>
          <w:b/>
          <w:bCs/>
        </w:rPr>
        <w:t>Pre</w:t>
      </w:r>
      <w:r>
        <w:rPr>
          <w:rFonts w:ascii="Times New Roman" w:hAnsi="Times New Roman" w:eastAsia="Times New Roman" w:cs="Times New Roman"/>
          <w:sz w:val="21"/>
          <w:szCs w:val="21"/>
          <w:b/>
          <w:bCs/>
          <w:spacing w:val="-1"/>
        </w:rPr>
        <w:t>ss:New</w:t>
      </w:r>
      <w:r>
        <w:rPr>
          <w:rFonts w:ascii="Times New Roman" w:hAnsi="Times New Roman" w:eastAsia="Times New Roman" w:cs="Times New Roman"/>
          <w:sz w:val="21"/>
          <w:szCs w:val="21"/>
          <w:b/>
          <w:bCs/>
          <w:spacing w:val="16"/>
        </w:rPr>
        <w:t xml:space="preserve"> </w:t>
      </w:r>
      <w:r>
        <w:rPr>
          <w:rFonts w:ascii="Times New Roman" w:hAnsi="Times New Roman" w:eastAsia="Times New Roman" w:cs="Times New Roman"/>
          <w:sz w:val="21"/>
          <w:szCs w:val="21"/>
          <w:b/>
          <w:bCs/>
          <w:spacing w:val="-1"/>
        </w:rPr>
        <w:t>York,1989,pp</w:t>
      </w:r>
      <w:r>
        <w:rPr>
          <w:rFonts w:ascii="Times New Roman" w:hAnsi="Times New Roman" w:eastAsia="Times New Roman" w:cs="Times New Roman"/>
          <w:sz w:val="21"/>
          <w:szCs w:val="21"/>
          <w:b/>
          <w:bCs/>
          <w:spacing w:val="21"/>
          <w:w w:val="101"/>
        </w:rPr>
        <w:t xml:space="preserve"> </w:t>
      </w:r>
      <w:r>
        <w:rPr>
          <w:rFonts w:ascii="Times New Roman" w:hAnsi="Times New Roman" w:eastAsia="Times New Roman" w:cs="Times New Roman"/>
          <w:sz w:val="21"/>
          <w:szCs w:val="21"/>
          <w:b/>
          <w:bCs/>
          <w:spacing w:val="-1"/>
        </w:rPr>
        <w:t>55-59.</w:t>
      </w:r>
    </w:p>
    <w:p>
      <w:pPr>
        <w:pStyle w:val="BodyText"/>
        <w:ind w:left="1062"/>
        <w:spacing w:before="1" w:line="218" w:lineRule="auto"/>
        <w:outlineLvl w:val="4"/>
        <w:rPr/>
      </w:pPr>
      <w:r>
        <w:rPr>
          <w:b/>
          <w:bCs/>
          <w:spacing w:val="-3"/>
        </w:rPr>
        <w:t>10.完全性或部分性鹿角形结石</w:t>
      </w:r>
    </w:p>
    <w:p>
      <w:pPr>
        <w:pStyle w:val="BodyText"/>
        <w:ind w:left="602" w:right="3" w:firstLine="430"/>
        <w:spacing w:before="142" w:line="347" w:lineRule="auto"/>
        <w:rPr/>
      </w:pPr>
      <w:r>
        <w:rPr>
          <w:b/>
          <w:bCs/>
          <w:spacing w:val="-1"/>
        </w:rPr>
        <w:t>鹿角形结石是指充满肾盂和至少一个肾盏的结石。部分性鹿角形结石仅仅填充部分集合系统，完全</w:t>
      </w:r>
      <w:r>
        <w:rPr>
          <w:spacing w:val="1"/>
        </w:rPr>
        <w:t xml:space="preserve"> </w:t>
      </w:r>
      <w:r>
        <w:rPr>
          <w:b/>
          <w:bCs/>
          <w:spacing w:val="-1"/>
        </w:rPr>
        <w:t>性鹿角形结石则填充整个肾集合系统。各类型的鹿角形结石的治疗方案在表22中进行了详细的介绍。</w:t>
      </w:r>
    </w:p>
    <w:p>
      <w:pPr>
        <w:pStyle w:val="BodyText"/>
        <w:ind w:left="602" w:firstLine="460"/>
        <w:spacing w:line="345" w:lineRule="auto"/>
        <w:rPr/>
      </w:pPr>
      <w:r>
        <w:rPr>
          <w:b/>
          <w:bCs/>
        </w:rPr>
        <w:t>小的鹿角形结石且无肾积水的患者，放置支架分期行ESWL</w:t>
      </w:r>
      <w:r>
        <w:rPr>
          <w:spacing w:val="34"/>
        </w:rPr>
        <w:t xml:space="preserve"> </w:t>
      </w:r>
      <w:r>
        <w:rPr>
          <w:b/>
          <w:bCs/>
        </w:rPr>
        <w:t>是个比较合理的治疗方案。肾脏已无功</w:t>
      </w:r>
      <w:r>
        <w:rPr/>
        <w:t xml:space="preserve"> </w:t>
      </w:r>
      <w:r>
        <w:rPr>
          <w:b/>
          <w:bCs/>
          <w:spacing w:val="-1"/>
        </w:rPr>
        <w:t>能的患者应考虑肾切除术。</w:t>
      </w:r>
      <w:r>
        <w:rPr>
          <w:rFonts w:ascii="Times New Roman" w:hAnsi="Times New Roman" w:eastAsia="Times New Roman" w:cs="Times New Roman"/>
          <w:b/>
          <w:bCs/>
          <w:spacing w:val="-1"/>
        </w:rPr>
        <w:t>ESWL</w:t>
      </w:r>
      <w:r>
        <w:rPr>
          <w:b/>
          <w:bCs/>
          <w:spacing w:val="-1"/>
        </w:rPr>
        <w:t>和化学溶石法联合应用可治疗感染石、胱氨酸、尿酸和磷酸钙结石。</w:t>
      </w:r>
      <w:r>
        <w:rPr>
          <w:spacing w:val="7"/>
        </w:rPr>
        <w:t xml:space="preserve">  </w:t>
      </w:r>
      <w:r>
        <w:rPr>
          <w:b/>
          <w:bCs/>
          <w:spacing w:val="-4"/>
        </w:rPr>
        <w:t>化学溶石法的治疗原则在7.5节已经论述。</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05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—230—</w:t>
      </w:r>
    </w:p>
    <w:p>
      <w:pPr>
        <w:spacing w:line="41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609" w:right="1349" w:bottom="0" w:left="380" w:header="0" w:footer="0" w:gutter="0"/>
        </w:sectPr>
        <w:rPr>
          <w:rFonts w:ascii="Times New Roman" w:hAnsi="Times New Roman" w:eastAsia="Times New Roman" w:cs="Times New Roman"/>
          <w:sz w:val="21"/>
          <w:szCs w:val="21"/>
        </w:rPr>
      </w:pPr>
    </w:p>
    <w:p>
      <w:pPr>
        <w:pStyle w:val="BodyText"/>
        <w:ind w:left="2809"/>
        <w:spacing w:before="209" w:line="219" w:lineRule="auto"/>
        <w:rPr>
          <w:sz w:val="18"/>
          <w:szCs w:val="18"/>
        </w:rPr>
      </w:pPr>
      <w:r>
        <w:rPr>
          <w:sz w:val="18"/>
          <w:szCs w:val="18"/>
          <w:spacing w:val="-1"/>
        </w:rPr>
        <w:t>表22完整或部分的度角形结石有效去除*</w:t>
      </w:r>
    </w:p>
    <w:p>
      <w:pPr>
        <w:spacing w:line="15" w:lineRule="exact"/>
        <w:rPr/>
      </w:pPr>
      <w:r/>
    </w:p>
    <w:tbl>
      <w:tblPr>
        <w:tblStyle w:val="TableNormal"/>
        <w:tblW w:w="5809" w:type="dxa"/>
        <w:tblInd w:w="14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92"/>
        <w:gridCol w:w="1306"/>
        <w:gridCol w:w="1411"/>
      </w:tblGrid>
      <w:tr>
        <w:trPr>
          <w:trHeight w:val="295" w:hRule="atLeast"/>
        </w:trPr>
        <w:tc>
          <w:tcPr>
            <w:tcW w:w="3092" w:type="dxa"/>
            <w:vAlign w:val="top"/>
            <w:tcBorders>
              <w:left w:val="single" w:color="000000" w:sz="4" w:space="0"/>
              <w:bottom w:val="single" w:color="000000" w:sz="4" w:space="0"/>
              <w:top w:val="single" w:color="000000" w:sz="4" w:space="0"/>
            </w:tcBorders>
          </w:tcPr>
          <w:p>
            <w:pPr>
              <w:pStyle w:val="TableText"/>
              <w:ind w:left="54"/>
              <w:spacing w:before="53" w:line="215" w:lineRule="auto"/>
              <w:rPr>
                <w:sz w:val="19"/>
                <w:szCs w:val="19"/>
              </w:rPr>
            </w:pPr>
            <w:r>
              <w:rPr>
                <w:sz w:val="19"/>
                <w:szCs w:val="19"/>
                <w:spacing w:val="2"/>
              </w:rPr>
              <w:t>结石的类型     </w:t>
            </w:r>
            <w:r>
              <w:rPr>
                <w:sz w:val="19"/>
                <w:szCs w:val="19"/>
                <w:spacing w:val="2"/>
                <w:position w:val="1"/>
              </w:rPr>
              <w:t>治疗方案</w:t>
            </w:r>
          </w:p>
        </w:tc>
        <w:tc>
          <w:tcPr>
            <w:tcW w:w="1306" w:type="dxa"/>
            <w:vAlign w:val="top"/>
            <w:tcBorders>
              <w:bottom w:val="single" w:color="000000" w:sz="4" w:space="0"/>
              <w:top w:val="single" w:color="000000" w:sz="4" w:space="0"/>
            </w:tcBorders>
          </w:tcPr>
          <w:p>
            <w:pPr>
              <w:pStyle w:val="TableText"/>
              <w:ind w:left="437"/>
              <w:spacing w:before="133" w:line="151" w:lineRule="exact"/>
              <w:rPr>
                <w:sz w:val="19"/>
                <w:szCs w:val="19"/>
              </w:rPr>
            </w:pPr>
            <w:r>
              <w:rPr>
                <w:sz w:val="19"/>
                <w:szCs w:val="19"/>
                <w:spacing w:val="-2"/>
                <w:position w:val="-2"/>
              </w:rPr>
              <w:t>LE</w:t>
            </w:r>
          </w:p>
        </w:tc>
        <w:tc>
          <w:tcPr>
            <w:tcW w:w="1411" w:type="dxa"/>
            <w:vAlign w:val="top"/>
            <w:tcBorders>
              <w:bottom w:val="single" w:color="000000" w:sz="4" w:space="0"/>
              <w:right w:val="single" w:color="000000" w:sz="4" w:space="0"/>
              <w:top w:val="single" w:color="000000" w:sz="4" w:space="0"/>
            </w:tcBorders>
          </w:tcPr>
          <w:p>
            <w:pPr>
              <w:pStyle w:val="TableText"/>
              <w:ind w:left="572"/>
              <w:spacing w:before="131" w:line="153" w:lineRule="exact"/>
              <w:rPr>
                <w:sz w:val="19"/>
                <w:szCs w:val="19"/>
              </w:rPr>
            </w:pPr>
            <w:r>
              <w:rPr>
                <w:sz w:val="19"/>
                <w:szCs w:val="19"/>
                <w:spacing w:val="-2"/>
                <w:position w:val="-2"/>
              </w:rPr>
              <w:t>GR</w:t>
            </w:r>
          </w:p>
        </w:tc>
      </w:tr>
      <w:tr>
        <w:trPr>
          <w:trHeight w:val="1168" w:hRule="atLeast"/>
        </w:trPr>
        <w:tc>
          <w:tcPr>
            <w:tcW w:w="3092" w:type="dxa"/>
            <w:vAlign w:val="top"/>
            <w:tcBorders>
              <w:left w:val="single" w:color="000000" w:sz="4" w:space="0"/>
              <w:bottom w:val="single" w:color="000000" w:sz="4" w:space="0"/>
              <w:top w:val="single" w:color="000000" w:sz="4" w:space="0"/>
            </w:tcBorders>
          </w:tcPr>
          <w:p>
            <w:pPr>
              <w:pStyle w:val="TableText"/>
              <w:ind w:left="74"/>
              <w:spacing w:before="47" w:line="285" w:lineRule="exact"/>
              <w:rPr>
                <w:sz w:val="19"/>
                <w:szCs w:val="19"/>
              </w:rPr>
            </w:pPr>
            <w:r>
              <w:rPr>
                <w:sz w:val="19"/>
                <w:szCs w:val="19"/>
                <w:spacing w:val="-2"/>
                <w:position w:val="2"/>
              </w:rPr>
              <w:t>不透光结石</w:t>
            </w:r>
            <w:r>
              <w:rPr>
                <w:sz w:val="19"/>
                <w:szCs w:val="19"/>
                <w:spacing w:val="21"/>
                <w:position w:val="2"/>
              </w:rPr>
              <w:t xml:space="preserve">    </w:t>
            </w:r>
            <w:r>
              <w:rPr>
                <w:sz w:val="19"/>
                <w:szCs w:val="19"/>
                <w:spacing w:val="-2"/>
                <w:position w:val="-1"/>
              </w:rPr>
              <w:t>1.PNL</w:t>
            </w:r>
          </w:p>
          <w:p>
            <w:pPr>
              <w:pStyle w:val="TableText"/>
              <w:ind w:left="1504"/>
              <w:spacing w:before="63" w:line="239" w:lineRule="auto"/>
              <w:rPr>
                <w:sz w:val="19"/>
                <w:szCs w:val="19"/>
              </w:rPr>
            </w:pPr>
            <w:r>
              <w:rPr>
                <w:sz w:val="19"/>
                <w:szCs w:val="19"/>
                <w:spacing w:val="-1"/>
              </w:rPr>
              <w:t>2.PNL+ESWL</w:t>
            </w:r>
          </w:p>
          <w:p>
            <w:pPr>
              <w:pStyle w:val="TableText"/>
              <w:ind w:left="1504"/>
              <w:spacing w:before="43"/>
              <w:rPr>
                <w:sz w:val="19"/>
                <w:szCs w:val="19"/>
              </w:rPr>
            </w:pPr>
            <w:r>
              <w:rPr>
                <w:sz w:val="19"/>
                <w:szCs w:val="19"/>
                <w:spacing w:val="-2"/>
              </w:rPr>
              <w:t>3</w:t>
            </w:r>
            <w:r>
              <w:rPr>
                <w:sz w:val="19"/>
                <w:szCs w:val="19"/>
                <w:spacing w:val="27"/>
              </w:rPr>
              <w:t xml:space="preserve">   </w:t>
            </w:r>
            <w:r>
              <w:rPr>
                <w:sz w:val="19"/>
                <w:szCs w:val="19"/>
                <w:spacing w:val="-2"/>
              </w:rPr>
              <w:t>ESWL+PNL</w:t>
            </w:r>
          </w:p>
          <w:p>
            <w:pPr>
              <w:pStyle w:val="TableText"/>
              <w:ind w:left="1504"/>
              <w:spacing w:before="24" w:line="195" w:lineRule="auto"/>
              <w:rPr>
                <w:sz w:val="19"/>
                <w:szCs w:val="19"/>
              </w:rPr>
            </w:pPr>
            <w:r>
              <w:rPr>
                <w:sz w:val="19"/>
                <w:szCs w:val="19"/>
                <w:spacing w:val="-2"/>
              </w:rPr>
              <w:t>4.开放手术</w:t>
            </w:r>
          </w:p>
        </w:tc>
        <w:tc>
          <w:tcPr>
            <w:tcW w:w="1306" w:type="dxa"/>
            <w:vAlign w:val="top"/>
            <w:tcBorders>
              <w:bottom w:val="single" w:color="000000" w:sz="4" w:space="0"/>
              <w:top w:val="single" w:color="000000" w:sz="4" w:space="0"/>
            </w:tcBorders>
          </w:tcPr>
          <w:p>
            <w:pPr>
              <w:pStyle w:val="TableText"/>
              <w:ind w:left="467" w:right="669" w:hanging="20"/>
              <w:spacing w:before="96" w:line="282" w:lineRule="auto"/>
              <w:rPr>
                <w:sz w:val="19"/>
                <w:szCs w:val="19"/>
              </w:rPr>
            </w:pPr>
            <w:r>
              <w:rPr>
                <w:sz w:val="19"/>
                <w:szCs w:val="19"/>
                <w:spacing w:val="-11"/>
              </w:rPr>
              <w:t>1b</w:t>
            </w:r>
            <w:r>
              <w:rPr>
                <w:sz w:val="19"/>
                <w:szCs w:val="19"/>
              </w:rPr>
              <w:t xml:space="preserve"> </w:t>
            </w:r>
            <w:r>
              <w:rPr>
                <w:sz w:val="19"/>
                <w:szCs w:val="19"/>
                <w:spacing w:val="-11"/>
              </w:rPr>
              <w:t>1b</w:t>
            </w:r>
          </w:p>
          <w:p>
            <w:pPr>
              <w:pStyle w:val="TableText"/>
              <w:ind w:left="457"/>
              <w:rPr>
                <w:sz w:val="19"/>
                <w:szCs w:val="19"/>
              </w:rPr>
            </w:pPr>
            <w:r>
              <w:rPr>
                <w:sz w:val="19"/>
                <w:szCs w:val="19"/>
                <w:spacing w:val="-6"/>
              </w:rPr>
              <w:t>1b</w:t>
            </w:r>
          </w:p>
          <w:p>
            <w:pPr>
              <w:pStyle w:val="TableText"/>
              <w:ind w:left="358"/>
              <w:spacing w:before="34" w:line="194" w:lineRule="auto"/>
              <w:rPr>
                <w:sz w:val="19"/>
                <w:szCs w:val="19"/>
              </w:rPr>
            </w:pPr>
            <w:r>
              <w:rPr>
                <w:sz w:val="19"/>
                <w:szCs w:val="19"/>
                <w:spacing w:val="-3"/>
              </w:rPr>
              <w:t>标准</w:t>
            </w:r>
          </w:p>
        </w:tc>
        <w:tc>
          <w:tcPr>
            <w:tcW w:w="1411" w:type="dxa"/>
            <w:vAlign w:val="top"/>
            <w:tcBorders>
              <w:bottom w:val="single" w:color="000000" w:sz="4" w:space="0"/>
              <w:right w:val="single" w:color="000000" w:sz="4" w:space="0"/>
              <w:top w:val="single" w:color="000000" w:sz="4" w:space="0"/>
            </w:tcBorders>
          </w:tcPr>
          <w:p>
            <w:pPr>
              <w:pStyle w:val="TableText"/>
              <w:ind w:left="611"/>
              <w:spacing w:before="115" w:line="184" w:lineRule="auto"/>
              <w:rPr>
                <w:sz w:val="19"/>
                <w:szCs w:val="19"/>
              </w:rPr>
            </w:pPr>
            <w:r>
              <w:rPr>
                <w:sz w:val="19"/>
                <w:szCs w:val="19"/>
              </w:rPr>
              <w:t>A</w:t>
            </w:r>
          </w:p>
          <w:p>
            <w:pPr>
              <w:pStyle w:val="TableText"/>
              <w:ind w:left="611"/>
              <w:spacing w:before="110" w:line="184" w:lineRule="auto"/>
              <w:rPr>
                <w:sz w:val="19"/>
                <w:szCs w:val="19"/>
              </w:rPr>
            </w:pPr>
            <w:r>
              <w:rPr>
                <w:sz w:val="19"/>
                <w:szCs w:val="19"/>
              </w:rPr>
              <w:t>A</w:t>
            </w:r>
          </w:p>
          <w:p>
            <w:pPr>
              <w:pStyle w:val="TableText"/>
              <w:ind w:left="601"/>
              <w:spacing w:before="100" w:line="184" w:lineRule="auto"/>
              <w:rPr>
                <w:sz w:val="19"/>
                <w:szCs w:val="19"/>
              </w:rPr>
            </w:pPr>
            <w:r>
              <w:rPr>
                <w:sz w:val="19"/>
                <w:szCs w:val="19"/>
              </w:rPr>
              <w:t>A</w:t>
            </w:r>
          </w:p>
        </w:tc>
      </w:tr>
      <w:tr>
        <w:trPr>
          <w:trHeight w:val="2676" w:hRule="atLeast"/>
        </w:trPr>
        <w:tc>
          <w:tcPr>
            <w:tcW w:w="3092" w:type="dxa"/>
            <w:vAlign w:val="top"/>
            <w:tcBorders>
              <w:left w:val="single" w:color="000000" w:sz="4" w:space="0"/>
              <w:bottom w:val="single" w:color="000000" w:sz="4" w:space="0"/>
              <w:top w:val="single" w:color="000000" w:sz="4" w:space="0"/>
            </w:tcBorders>
          </w:tcPr>
          <w:p>
            <w:pPr>
              <w:pStyle w:val="TableText"/>
              <w:ind w:left="64" w:right="366"/>
              <w:spacing w:before="70" w:line="292" w:lineRule="auto"/>
              <w:rPr>
                <w:sz w:val="19"/>
                <w:szCs w:val="19"/>
              </w:rPr>
            </w:pPr>
            <w:r>
              <w:rPr>
                <w:sz w:val="19"/>
                <w:szCs w:val="19"/>
                <w:spacing w:val="-1"/>
              </w:rPr>
              <w:t>感染结石和结石</w:t>
            </w:r>
            <w:r>
              <w:rPr>
                <w:sz w:val="19"/>
                <w:szCs w:val="19"/>
                <w:spacing w:val="45"/>
                <w:w w:val="101"/>
              </w:rPr>
              <w:t xml:space="preserve"> </w:t>
            </w:r>
            <w:r>
              <w:rPr>
                <w:sz w:val="19"/>
                <w:szCs w:val="19"/>
                <w:spacing w:val="-1"/>
              </w:rPr>
              <w:t>1.抗生素+PNL</w:t>
            </w:r>
            <w:r>
              <w:rPr>
                <w:sz w:val="19"/>
                <w:szCs w:val="19"/>
              </w:rPr>
              <w:t xml:space="preserve"> </w:t>
            </w:r>
            <w:r>
              <w:rPr>
                <w:sz w:val="19"/>
                <w:szCs w:val="19"/>
                <w:spacing w:val="-1"/>
              </w:rPr>
              <w:t>伴感染         2.抗生素+PNL+</w:t>
            </w:r>
          </w:p>
          <w:p>
            <w:pPr>
              <w:pStyle w:val="TableText"/>
              <w:ind w:left="1484"/>
              <w:spacing w:before="37" w:line="183" w:lineRule="auto"/>
              <w:rPr>
                <w:sz w:val="19"/>
                <w:szCs w:val="19"/>
              </w:rPr>
            </w:pPr>
            <w:r>
              <w:rPr>
                <w:sz w:val="19"/>
                <w:szCs w:val="19"/>
                <w:spacing w:val="-2"/>
              </w:rPr>
              <w:t>ESWL</w:t>
            </w:r>
          </w:p>
          <w:p>
            <w:pPr>
              <w:pStyle w:val="TableText"/>
              <w:ind w:left="1503" w:right="368" w:hanging="9"/>
              <w:spacing w:before="63" w:line="256" w:lineRule="auto"/>
              <w:rPr>
                <w:sz w:val="19"/>
                <w:szCs w:val="19"/>
              </w:rPr>
            </w:pPr>
            <w:r>
              <w:rPr>
                <w:sz w:val="19"/>
                <w:szCs w:val="19"/>
                <w:spacing w:val="-2"/>
              </w:rPr>
              <w:t>3.抗生素+ESWL</w:t>
            </w:r>
            <w:r>
              <w:rPr>
                <w:sz w:val="19"/>
                <w:szCs w:val="19"/>
                <w:spacing w:val="7"/>
              </w:rPr>
              <w:t xml:space="preserve"> </w:t>
            </w:r>
            <w:r>
              <w:rPr>
                <w:sz w:val="19"/>
                <w:szCs w:val="19"/>
                <w:spacing w:val="-3"/>
              </w:rPr>
              <w:t>+PNL</w:t>
            </w:r>
          </w:p>
          <w:p>
            <w:pPr>
              <w:pStyle w:val="TableText"/>
              <w:ind w:left="1503" w:right="355" w:hanging="9"/>
              <w:spacing w:before="61" w:line="251" w:lineRule="auto"/>
              <w:rPr>
                <w:sz w:val="19"/>
                <w:szCs w:val="19"/>
              </w:rPr>
            </w:pPr>
            <w:r>
              <w:rPr>
                <w:sz w:val="19"/>
                <w:szCs w:val="19"/>
                <w:spacing w:val="-1"/>
              </w:rPr>
              <w:t>4.抗生素+ESWL</w:t>
            </w:r>
            <w:r>
              <w:rPr>
                <w:sz w:val="19"/>
                <w:szCs w:val="19"/>
                <w:spacing w:val="2"/>
              </w:rPr>
              <w:t xml:space="preserve"> </w:t>
            </w:r>
            <w:r>
              <w:rPr>
                <w:sz w:val="19"/>
                <w:szCs w:val="19"/>
                <w:spacing w:val="-2"/>
              </w:rPr>
              <w:t>+局部化学溶解</w:t>
            </w:r>
          </w:p>
          <w:p>
            <w:pPr>
              <w:pStyle w:val="TableText"/>
              <w:ind w:left="1494" w:right="348" w:firstLine="20"/>
              <w:spacing w:before="94" w:line="246" w:lineRule="auto"/>
              <w:rPr>
                <w:sz w:val="19"/>
                <w:szCs w:val="19"/>
              </w:rPr>
            </w:pPr>
            <w:r>
              <w:rPr>
                <w:sz w:val="19"/>
                <w:szCs w:val="19"/>
                <w:spacing w:val="-2"/>
              </w:rPr>
              <w:t>5.抗生素+开放</w:t>
            </w:r>
            <w:r>
              <w:rPr>
                <w:sz w:val="19"/>
                <w:szCs w:val="19"/>
                <w:spacing w:val="3"/>
              </w:rPr>
              <w:t xml:space="preserve"> </w:t>
            </w:r>
            <w:r>
              <w:rPr>
                <w:sz w:val="19"/>
                <w:szCs w:val="19"/>
                <w:spacing w:val="-4"/>
              </w:rPr>
              <w:t>手</w:t>
            </w:r>
            <w:r>
              <w:rPr>
                <w:sz w:val="19"/>
                <w:szCs w:val="19"/>
                <w:spacing w:val="7"/>
              </w:rPr>
              <w:t xml:space="preserve">  </w:t>
            </w:r>
            <w:r>
              <w:rPr>
                <w:sz w:val="19"/>
                <w:szCs w:val="19"/>
                <w:spacing w:val="-4"/>
              </w:rPr>
              <w:t>术</w:t>
            </w:r>
          </w:p>
        </w:tc>
        <w:tc>
          <w:tcPr>
            <w:tcW w:w="1306" w:type="dxa"/>
            <w:vAlign w:val="top"/>
            <w:tcBorders>
              <w:bottom w:val="single" w:color="000000" w:sz="4" w:space="0"/>
              <w:top w:val="single" w:color="000000" w:sz="4" w:space="0"/>
            </w:tcBorders>
          </w:tcPr>
          <w:p>
            <w:pPr>
              <w:pStyle w:val="TableText"/>
              <w:ind w:left="457"/>
              <w:spacing w:before="89"/>
              <w:rPr>
                <w:sz w:val="19"/>
                <w:szCs w:val="19"/>
              </w:rPr>
            </w:pPr>
            <w:r>
              <w:rPr>
                <w:sz w:val="19"/>
                <w:szCs w:val="19"/>
                <w:spacing w:val="-6"/>
              </w:rPr>
              <w:t>1b</w:t>
            </w:r>
          </w:p>
          <w:p>
            <w:pPr>
              <w:pStyle w:val="TableText"/>
              <w:ind w:left="437"/>
              <w:spacing w:before="52"/>
              <w:rPr>
                <w:sz w:val="19"/>
                <w:szCs w:val="19"/>
              </w:rPr>
            </w:pPr>
            <w:r>
              <w:rPr>
                <w:sz w:val="19"/>
                <w:szCs w:val="19"/>
                <w:spacing w:val="-6"/>
              </w:rPr>
              <w:t>1b</w:t>
            </w:r>
          </w:p>
          <w:p>
            <w:pPr>
              <w:spacing w:line="269" w:lineRule="auto"/>
              <w:rPr>
                <w:rFonts w:ascii="Arial"/>
                <w:sz w:val="21"/>
              </w:rPr>
            </w:pPr>
            <w:r/>
          </w:p>
          <w:p>
            <w:pPr>
              <w:pStyle w:val="TableText"/>
              <w:ind w:left="447"/>
              <w:spacing w:before="62"/>
              <w:rPr>
                <w:sz w:val="19"/>
                <w:szCs w:val="19"/>
              </w:rPr>
            </w:pPr>
            <w:r>
              <w:rPr>
                <w:sz w:val="19"/>
                <w:szCs w:val="19"/>
                <w:spacing w:val="-6"/>
              </w:rPr>
              <w:t>1b</w:t>
            </w:r>
          </w:p>
          <w:p>
            <w:pPr>
              <w:spacing w:line="289" w:lineRule="auto"/>
              <w:rPr>
                <w:rFonts w:ascii="Arial"/>
                <w:sz w:val="21"/>
              </w:rPr>
            </w:pPr>
            <w:r/>
          </w:p>
          <w:p>
            <w:pPr>
              <w:pStyle w:val="TableText"/>
              <w:ind w:left="467"/>
              <w:spacing w:before="62"/>
              <w:rPr>
                <w:sz w:val="19"/>
                <w:szCs w:val="19"/>
              </w:rPr>
            </w:pPr>
            <w:r>
              <w:rPr>
                <w:sz w:val="19"/>
                <w:szCs w:val="19"/>
                <w:spacing w:val="-3"/>
              </w:rPr>
              <w:t>2a</w:t>
            </w:r>
          </w:p>
          <w:p>
            <w:pPr>
              <w:spacing w:line="261" w:lineRule="auto"/>
              <w:rPr>
                <w:rFonts w:ascii="Arial"/>
                <w:sz w:val="21"/>
              </w:rPr>
            </w:pPr>
            <w:r/>
          </w:p>
          <w:p>
            <w:pPr>
              <w:pStyle w:val="TableText"/>
              <w:ind w:left="377"/>
              <w:spacing w:before="61" w:line="220" w:lineRule="auto"/>
              <w:rPr>
                <w:sz w:val="19"/>
                <w:szCs w:val="19"/>
              </w:rPr>
            </w:pPr>
            <w:r>
              <w:rPr>
                <w:sz w:val="19"/>
                <w:szCs w:val="19"/>
                <w:spacing w:val="-3"/>
              </w:rPr>
              <w:t>标准</w:t>
            </w:r>
          </w:p>
        </w:tc>
        <w:tc>
          <w:tcPr>
            <w:tcW w:w="1411" w:type="dxa"/>
            <w:vAlign w:val="top"/>
            <w:tcBorders>
              <w:bottom w:val="single" w:color="000000" w:sz="4" w:space="0"/>
              <w:right w:val="single" w:color="000000" w:sz="4" w:space="0"/>
              <w:top w:val="single" w:color="000000" w:sz="4" w:space="0"/>
            </w:tcBorders>
          </w:tcPr>
          <w:p>
            <w:pPr>
              <w:pStyle w:val="TableText"/>
              <w:ind w:left="611"/>
              <w:spacing w:before="107" w:line="184" w:lineRule="auto"/>
              <w:rPr>
                <w:sz w:val="19"/>
                <w:szCs w:val="19"/>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rightMargin">
                        <wp:posOffset>-525023</wp:posOffset>
                      </wp:positionH>
                      <wp:positionV relativeFrom="topMargin">
                        <wp:posOffset>948781</wp:posOffset>
                      </wp:positionV>
                      <wp:extent cx="83185" cy="181610"/>
                      <wp:effectExtent l="0" t="0" r="0" b="0"/>
                      <wp:wrapNone/>
                      <wp:docPr id="12" name="TextBox 12"/>
                      <wp:cNvGraphicFramePr/>
                      <a:graphic>
                        <a:graphicData uri="http://schemas.microsoft.com/office/word/2010/wordprocessingShape">
                          <wps:wsp>
                            <wps:cNvPr id="12" name="TextBox 12"/>
                            <wps:cNvSpPr txBox="1"/>
                            <wps:spPr>
                              <a:xfrm rot="16200000">
                                <a:off x="-525023" y="948781"/>
                                <a:ext cx="83185" cy="18161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77" w:line="182" w:lineRule="auto"/>
                                    <w:rPr>
                                      <w:sz w:val="19"/>
                                      <w:szCs w:val="19"/>
                                    </w:rPr>
                                  </w:pPr>
                                  <w:r>
                                    <w:rPr>
                                      <w:sz w:val="19"/>
                                      <w:szCs w:val="19"/>
                                    </w:rPr>
                                    <w:t>P</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41.3404pt;margin-top:74.7072pt;mso-position-vertical-relative:top-margin-area;mso-position-horizontal-relative:right-margin-area;width:6.55pt;height:14.3pt;z-index:251662336;rotation:270;" filled="false" stroked="false" type="#_x0000_t202">
                      <v:fill on="false"/>
                      <v:stroke on="false"/>
                      <v:path/>
                      <v:imagedata o:title=""/>
                      <o:lock v:ext="edit" aspectratio="false"/>
                      <v:textbox inset="0mm,0mm,0mm,0mm">
                        <w:txbxContent>
                          <w:p>
                            <w:pPr>
                              <w:pStyle w:val="TableText"/>
                              <w:ind w:left="20"/>
                              <w:spacing w:before="77" w:line="182" w:lineRule="auto"/>
                              <w:rPr>
                                <w:sz w:val="19"/>
                                <w:szCs w:val="19"/>
                              </w:rPr>
                            </w:pPr>
                            <w:r>
                              <w:rPr>
                                <w:sz w:val="19"/>
                                <w:szCs w:val="19"/>
                              </w:rPr>
                              <w:t>P</w:t>
                            </w:r>
                          </w:p>
                        </w:txbxContent>
                      </v:textbox>
                    </v:shape>
                  </w:pict>
                </mc:Fallback>
              </mc:AlternateContent>
            </w:r>
            <w:r>
              <w:rPr>
                <w:sz w:val="19"/>
                <w:szCs w:val="19"/>
              </w:rPr>
              <w:t>A</w:t>
            </w:r>
          </w:p>
          <w:p>
            <w:pPr>
              <w:pStyle w:val="TableText"/>
              <w:ind w:left="601"/>
              <w:spacing w:before="120" w:line="184" w:lineRule="auto"/>
              <w:rPr>
                <w:sz w:val="19"/>
                <w:szCs w:val="19"/>
              </w:rPr>
            </w:pPr>
            <w:r>
              <w:rPr>
                <w:sz w:val="19"/>
                <w:szCs w:val="19"/>
              </w:rPr>
              <w:t>A</w:t>
            </w:r>
          </w:p>
          <w:p>
            <w:pPr>
              <w:spacing w:line="325" w:lineRule="auto"/>
              <w:rPr>
                <w:rFonts w:ascii="Arial"/>
                <w:sz w:val="21"/>
              </w:rPr>
            </w:pPr>
            <w:r/>
          </w:p>
          <w:p>
            <w:pPr>
              <w:pStyle w:val="TableText"/>
              <w:ind w:left="631"/>
              <w:spacing w:before="62" w:line="185" w:lineRule="auto"/>
              <w:rPr>
                <w:sz w:val="19"/>
                <w:szCs w:val="19"/>
              </w:rPr>
            </w:pPr>
            <w:r>
              <w:rPr>
                <w:sz w:val="19"/>
                <w:szCs w:val="19"/>
                <w:spacing w:val="-1"/>
              </w:rPr>
              <w:t>Ae</w:t>
            </w:r>
          </w:p>
        </w:tc>
      </w:tr>
      <w:tr>
        <w:trPr>
          <w:trHeight w:val="325" w:hRule="atLeast"/>
        </w:trPr>
        <w:tc>
          <w:tcPr>
            <w:tcW w:w="3092" w:type="dxa"/>
            <w:vAlign w:val="top"/>
            <w:tcBorders>
              <w:left w:val="single" w:color="000000" w:sz="4" w:space="0"/>
              <w:top w:val="single" w:color="000000" w:sz="4" w:space="0"/>
            </w:tcBorders>
          </w:tcPr>
          <w:p>
            <w:pPr>
              <w:pStyle w:val="TableText"/>
              <w:ind w:left="54"/>
              <w:spacing w:before="65" w:line="233" w:lineRule="auto"/>
              <w:rPr>
                <w:rFonts w:ascii="MS Gothic" w:hAnsi="MS Gothic" w:eastAsia="MS Gothic" w:cs="MS Gothic"/>
                <w:sz w:val="19"/>
                <w:szCs w:val="19"/>
              </w:rPr>
            </w:pPr>
            <w:r>
              <w:rPr>
                <w:sz w:val="19"/>
                <w:szCs w:val="19"/>
                <w:spacing w:val="-3"/>
              </w:rPr>
              <w:t>尿酸/尿酸盐结石</w:t>
            </w:r>
            <w:r>
              <w:rPr>
                <w:sz w:val="19"/>
                <w:szCs w:val="19"/>
                <w:spacing w:val="-41"/>
              </w:rPr>
              <w:t xml:space="preserve"> </w:t>
            </w:r>
            <w:r>
              <w:rPr>
                <w:sz w:val="19"/>
                <w:szCs w:val="19"/>
                <w:spacing w:val="-3"/>
                <w:position w:val="-1"/>
              </w:rPr>
              <w:t>1.PNL</w:t>
            </w:r>
            <w:r>
              <w:rPr>
                <w:rFonts w:ascii="MS Gothic" w:hAnsi="MS Gothic" w:eastAsia="MS Gothic" w:cs="MS Gothic"/>
                <w:sz w:val="19"/>
                <w:szCs w:val="19"/>
                <w:spacing w:val="-3"/>
                <w:position w:val="-1"/>
              </w:rPr>
              <w:t>↵</w:t>
            </w:r>
          </w:p>
        </w:tc>
        <w:tc>
          <w:tcPr>
            <w:tcW w:w="1306" w:type="dxa"/>
            <w:vAlign w:val="top"/>
            <w:tcBorders>
              <w:top w:val="single" w:color="000000" w:sz="4" w:space="0"/>
            </w:tcBorders>
          </w:tcPr>
          <w:p>
            <w:pPr>
              <w:pStyle w:val="TableText"/>
              <w:ind w:left="457"/>
              <w:spacing w:before="82" w:line="226" w:lineRule="auto"/>
              <w:rPr>
                <w:sz w:val="19"/>
                <w:szCs w:val="19"/>
              </w:rPr>
            </w:pPr>
            <w:r>
              <w:rPr>
                <w:sz w:val="19"/>
                <w:szCs w:val="19"/>
                <w:spacing w:val="-6"/>
              </w:rPr>
              <w:t>1b</w:t>
            </w:r>
          </w:p>
        </w:tc>
        <w:tc>
          <w:tcPr>
            <w:tcW w:w="1411" w:type="dxa"/>
            <w:vAlign w:val="top"/>
            <w:tcBorders>
              <w:right w:val="single" w:color="000000" w:sz="4" w:space="0"/>
              <w:top w:val="single" w:color="000000" w:sz="4" w:space="0"/>
            </w:tcBorders>
          </w:tcPr>
          <w:p>
            <w:pPr>
              <w:pStyle w:val="TableText"/>
              <w:ind w:left="601"/>
              <w:spacing w:before="82" w:line="226" w:lineRule="auto"/>
              <w:rPr>
                <w:rFonts w:ascii="MS Gothic" w:hAnsi="MS Gothic" w:eastAsia="MS Gothic" w:cs="MS Gothic"/>
                <w:sz w:val="19"/>
                <w:szCs w:val="19"/>
              </w:rPr>
            </w:pPr>
            <w:r>
              <w:rPr>
                <w:sz w:val="19"/>
                <w:szCs w:val="19"/>
                <w:spacing w:val="-1"/>
              </w:rPr>
              <w:t>A</w:t>
            </w:r>
            <w:r>
              <w:rPr>
                <w:rFonts w:ascii="MS Gothic" w:hAnsi="MS Gothic" w:eastAsia="MS Gothic" w:cs="MS Gothic"/>
                <w:sz w:val="19"/>
                <w:szCs w:val="19"/>
                <w:spacing w:val="-1"/>
              </w:rPr>
              <w:t>↵</w:t>
            </w:r>
          </w:p>
        </w:tc>
      </w:tr>
      <w:tr>
        <w:trPr>
          <w:trHeight w:val="292" w:hRule="atLeast"/>
        </w:trPr>
        <w:tc>
          <w:tcPr>
            <w:tcW w:w="3092" w:type="dxa"/>
            <w:vAlign w:val="top"/>
            <w:tcBorders>
              <w:left w:val="single" w:color="000000" w:sz="4" w:space="0"/>
            </w:tcBorders>
          </w:tcPr>
          <w:p>
            <w:pPr>
              <w:pStyle w:val="TableText"/>
              <w:ind w:left="1504"/>
              <w:spacing w:before="67" w:line="208" w:lineRule="auto"/>
              <w:rPr>
                <w:sz w:val="19"/>
                <w:szCs w:val="19"/>
              </w:rPr>
            </w:pPr>
            <w:r>
              <w:rPr>
                <w:sz w:val="19"/>
                <w:szCs w:val="19"/>
                <w:spacing w:val="-1"/>
              </w:rPr>
              <w:t>2.PNL+ESWL</w:t>
            </w:r>
          </w:p>
        </w:tc>
        <w:tc>
          <w:tcPr>
            <w:tcW w:w="1306" w:type="dxa"/>
            <w:vAlign w:val="top"/>
          </w:tcPr>
          <w:p>
            <w:pPr>
              <w:pStyle w:val="TableText"/>
              <w:ind w:left="457"/>
              <w:spacing w:before="57" w:line="218" w:lineRule="auto"/>
              <w:rPr>
                <w:sz w:val="19"/>
                <w:szCs w:val="19"/>
              </w:rPr>
            </w:pPr>
            <w:r>
              <w:rPr>
                <w:sz w:val="19"/>
                <w:szCs w:val="19"/>
                <w:spacing w:val="-6"/>
              </w:rPr>
              <w:t>1b</w:t>
            </w:r>
          </w:p>
        </w:tc>
        <w:tc>
          <w:tcPr>
            <w:tcW w:w="1411" w:type="dxa"/>
            <w:vAlign w:val="top"/>
            <w:tcBorders>
              <w:right w:val="single" w:color="000000" w:sz="4" w:space="0"/>
            </w:tcBorders>
          </w:tcPr>
          <w:p>
            <w:pPr>
              <w:pStyle w:val="TableText"/>
              <w:ind w:left="601"/>
              <w:spacing w:before="57" w:line="218" w:lineRule="auto"/>
              <w:rPr>
                <w:rFonts w:ascii="MS Gothic" w:hAnsi="MS Gothic" w:eastAsia="MS Gothic" w:cs="MS Gothic"/>
                <w:sz w:val="19"/>
                <w:szCs w:val="19"/>
              </w:rPr>
            </w:pPr>
            <w:r>
              <w:rPr>
                <w:sz w:val="19"/>
                <w:szCs w:val="19"/>
                <w:spacing w:val="-1"/>
              </w:rPr>
              <w:t>A</w:t>
            </w:r>
            <w:r>
              <w:rPr>
                <w:rFonts w:ascii="MS Gothic" w:hAnsi="MS Gothic" w:eastAsia="MS Gothic" w:cs="MS Gothic"/>
                <w:sz w:val="19"/>
                <w:szCs w:val="19"/>
                <w:spacing w:val="-1"/>
              </w:rPr>
              <w:t>↵</w:t>
            </w:r>
          </w:p>
        </w:tc>
      </w:tr>
      <w:tr>
        <w:trPr>
          <w:trHeight w:val="602" w:hRule="atLeast"/>
        </w:trPr>
        <w:tc>
          <w:tcPr>
            <w:tcW w:w="3092" w:type="dxa"/>
            <w:vAlign w:val="top"/>
            <w:tcBorders>
              <w:left w:val="single" w:color="000000" w:sz="4" w:space="0"/>
            </w:tcBorders>
          </w:tcPr>
          <w:p>
            <w:pPr>
              <w:pStyle w:val="TableText"/>
              <w:ind w:left="1494" w:right="433" w:hanging="10"/>
              <w:spacing w:before="60" w:line="258" w:lineRule="auto"/>
              <w:rPr>
                <w:sz w:val="19"/>
                <w:szCs w:val="19"/>
              </w:rPr>
            </w:pPr>
            <w:r>
              <w:rPr>
                <w:sz w:val="19"/>
                <w:szCs w:val="19"/>
                <w:spacing w:val="7"/>
              </w:rPr>
              <w:t>2</w:t>
            </w:r>
            <w:r>
              <w:rPr>
                <w:sz w:val="19"/>
                <w:szCs w:val="19"/>
              </w:rPr>
              <w:t>PNL</w:t>
            </w:r>
            <w:r>
              <w:rPr>
                <w:sz w:val="19"/>
                <w:szCs w:val="19"/>
                <w:spacing w:val="7"/>
              </w:rPr>
              <w:t>/</w:t>
            </w:r>
            <w:r>
              <w:rPr>
                <w:sz w:val="19"/>
                <w:szCs w:val="19"/>
              </w:rPr>
              <w:t>ESWL</w:t>
            </w:r>
            <w:r>
              <w:rPr>
                <w:sz w:val="19"/>
                <w:szCs w:val="19"/>
                <w:spacing w:val="7"/>
              </w:rPr>
              <w:t>+口</w:t>
            </w:r>
            <w:r>
              <w:rPr>
                <w:sz w:val="19"/>
                <w:szCs w:val="19"/>
              </w:rPr>
              <w:t xml:space="preserve"> </w:t>
            </w:r>
            <w:r>
              <w:rPr>
                <w:sz w:val="19"/>
                <w:szCs w:val="19"/>
                <w:spacing w:val="-2"/>
              </w:rPr>
              <w:t>服化学溶解</w:t>
            </w:r>
          </w:p>
        </w:tc>
        <w:tc>
          <w:tcPr>
            <w:tcW w:w="1306" w:type="dxa"/>
            <w:vAlign w:val="top"/>
          </w:tcPr>
          <w:p>
            <w:pPr>
              <w:pStyle w:val="TableText"/>
              <w:ind w:left="447"/>
              <w:spacing w:before="66"/>
              <w:rPr>
                <w:sz w:val="19"/>
                <w:szCs w:val="19"/>
              </w:rPr>
            </w:pPr>
            <w:r>
              <w:rPr>
                <w:sz w:val="19"/>
                <w:szCs w:val="19"/>
                <w:spacing w:val="-6"/>
              </w:rPr>
              <w:t>1b</w:t>
            </w:r>
          </w:p>
        </w:tc>
        <w:tc>
          <w:tcPr>
            <w:tcW w:w="1411" w:type="dxa"/>
            <w:vAlign w:val="top"/>
            <w:tcBorders>
              <w:right w:val="single" w:color="000000" w:sz="4" w:space="0"/>
            </w:tcBorders>
          </w:tcPr>
          <w:p>
            <w:pPr>
              <w:pStyle w:val="TableText"/>
              <w:ind w:left="622"/>
              <w:spacing w:before="66"/>
              <w:rPr>
                <w:rFonts w:ascii="MS Gothic" w:hAnsi="MS Gothic" w:eastAsia="MS Gothic" w:cs="MS Gothic"/>
                <w:sz w:val="19"/>
                <w:szCs w:val="19"/>
              </w:rPr>
            </w:pPr>
            <w:r>
              <w:rPr>
                <w:sz w:val="19"/>
                <w:szCs w:val="19"/>
                <w:spacing w:val="-1"/>
              </w:rPr>
              <w:t>A</w:t>
            </w:r>
            <w:r>
              <w:rPr>
                <w:rFonts w:ascii="MS Gothic" w:hAnsi="MS Gothic" w:eastAsia="MS Gothic" w:cs="MS Gothic"/>
                <w:sz w:val="19"/>
                <w:szCs w:val="19"/>
                <w:spacing w:val="-1"/>
              </w:rPr>
              <w:t>↵</w:t>
            </w:r>
          </w:p>
        </w:tc>
      </w:tr>
      <w:tr>
        <w:trPr>
          <w:trHeight w:val="279" w:hRule="atLeast"/>
        </w:trPr>
        <w:tc>
          <w:tcPr>
            <w:tcW w:w="3092" w:type="dxa"/>
            <w:vAlign w:val="top"/>
            <w:tcBorders>
              <w:left w:val="single" w:color="000000" w:sz="4" w:space="0"/>
              <w:bottom w:val="single" w:color="000000" w:sz="4" w:space="0"/>
            </w:tcBorders>
          </w:tcPr>
          <w:p>
            <w:pPr>
              <w:pStyle w:val="TableText"/>
              <w:ind w:left="1504"/>
              <w:spacing w:before="83" w:line="180" w:lineRule="auto"/>
              <w:rPr>
                <w:sz w:val="19"/>
                <w:szCs w:val="19"/>
              </w:rPr>
            </w:pPr>
            <w:r>
              <w:rPr>
                <w:sz w:val="19"/>
                <w:szCs w:val="19"/>
                <w:spacing w:val="-2"/>
              </w:rPr>
              <w:t>3.ESWL+PNL</w:t>
            </w:r>
          </w:p>
        </w:tc>
        <w:tc>
          <w:tcPr>
            <w:tcW w:w="1306" w:type="dxa"/>
            <w:vAlign w:val="top"/>
            <w:tcBorders>
              <w:bottom w:val="single" w:color="000000" w:sz="4" w:space="0"/>
            </w:tcBorders>
          </w:tcPr>
          <w:p>
            <w:pPr>
              <w:pStyle w:val="TableText"/>
              <w:ind w:left="447"/>
              <w:spacing w:before="73" w:line="190" w:lineRule="auto"/>
              <w:rPr>
                <w:sz w:val="19"/>
                <w:szCs w:val="19"/>
              </w:rPr>
            </w:pPr>
            <w:r>
              <w:rPr>
                <w:sz w:val="19"/>
                <w:szCs w:val="19"/>
                <w:spacing w:val="-6"/>
              </w:rPr>
              <w:t>1b</w:t>
            </w:r>
          </w:p>
        </w:tc>
        <w:tc>
          <w:tcPr>
            <w:tcW w:w="1411" w:type="dxa"/>
            <w:vAlign w:val="top"/>
            <w:tcBorders>
              <w:bottom w:val="single" w:color="000000" w:sz="4" w:space="0"/>
              <w:right w:val="single" w:color="000000" w:sz="4" w:space="0"/>
            </w:tcBorders>
          </w:tcPr>
          <w:p>
            <w:pPr>
              <w:pStyle w:val="TableText"/>
              <w:ind w:left="591"/>
              <w:spacing w:before="105" w:line="159" w:lineRule="auto"/>
              <w:rPr>
                <w:sz w:val="19"/>
                <w:szCs w:val="19"/>
              </w:rPr>
            </w:pPr>
            <w:r>
              <w:rPr>
                <w:sz w:val="19"/>
                <w:szCs w:val="19"/>
                <w:spacing w:val="-1"/>
              </w:rPr>
              <w:t>Be</w:t>
            </w:r>
          </w:p>
        </w:tc>
      </w:tr>
      <w:tr>
        <w:trPr>
          <w:trHeight w:val="318" w:hRule="atLeast"/>
        </w:trPr>
        <w:tc>
          <w:tcPr>
            <w:tcW w:w="3092" w:type="dxa"/>
            <w:vAlign w:val="top"/>
            <w:tcBorders>
              <w:left w:val="single" w:color="000000" w:sz="4" w:space="0"/>
              <w:top w:val="single" w:color="000000" w:sz="4" w:space="0"/>
            </w:tcBorders>
          </w:tcPr>
          <w:p>
            <w:pPr>
              <w:pStyle w:val="TableText"/>
              <w:ind w:left="64"/>
              <w:spacing w:before="76" w:line="215" w:lineRule="auto"/>
              <w:rPr>
                <w:sz w:val="19"/>
                <w:szCs w:val="19"/>
              </w:rPr>
            </w:pPr>
            <w:r>
              <w:rPr>
                <w:sz w:val="19"/>
                <w:szCs w:val="19"/>
                <w:spacing w:val="-4"/>
              </w:rPr>
              <w:t>胱氨酸结石</w:t>
            </w:r>
            <w:r>
              <w:rPr>
                <w:sz w:val="19"/>
                <w:szCs w:val="19"/>
                <w:spacing w:val="4"/>
              </w:rPr>
              <w:t xml:space="preserve">     </w:t>
            </w:r>
            <w:r>
              <w:rPr>
                <w:sz w:val="19"/>
                <w:szCs w:val="19"/>
                <w:spacing w:val="-4"/>
                <w:position w:val="-1"/>
              </w:rPr>
              <w:t>1</w:t>
            </w:r>
            <w:r>
              <w:rPr>
                <w:sz w:val="19"/>
                <w:szCs w:val="19"/>
                <w:spacing w:val="30"/>
                <w:w w:val="101"/>
                <w:position w:val="-1"/>
              </w:rPr>
              <w:t xml:space="preserve"> </w:t>
            </w:r>
            <w:r>
              <w:rPr>
                <w:sz w:val="19"/>
                <w:szCs w:val="19"/>
                <w:spacing w:val="-4"/>
                <w:position w:val="-1"/>
              </w:rPr>
              <w:t>PNL</w:t>
            </w:r>
          </w:p>
        </w:tc>
        <w:tc>
          <w:tcPr>
            <w:tcW w:w="1306" w:type="dxa"/>
            <w:vAlign w:val="top"/>
            <w:tcBorders>
              <w:top w:val="single" w:color="000000" w:sz="4" w:space="0"/>
            </w:tcBorders>
          </w:tcPr>
          <w:p>
            <w:pPr>
              <w:pStyle w:val="TableText"/>
              <w:ind w:left="457"/>
              <w:spacing w:before="74" w:line="227" w:lineRule="auto"/>
              <w:rPr>
                <w:sz w:val="19"/>
                <w:szCs w:val="19"/>
              </w:rPr>
            </w:pPr>
            <w:r>
              <w:rPr>
                <w:sz w:val="19"/>
                <w:szCs w:val="19"/>
                <w:spacing w:val="-3"/>
              </w:rPr>
              <w:t>2a</w:t>
            </w:r>
          </w:p>
        </w:tc>
        <w:tc>
          <w:tcPr>
            <w:tcW w:w="1411" w:type="dxa"/>
            <w:vAlign w:val="top"/>
            <w:tcBorders>
              <w:right w:val="single" w:color="000000" w:sz="4" w:space="0"/>
              <w:top w:val="single" w:color="000000" w:sz="4" w:space="0"/>
            </w:tcBorders>
          </w:tcPr>
          <w:p>
            <w:pPr>
              <w:pStyle w:val="TableText"/>
              <w:ind w:left="601"/>
              <w:spacing w:before="86"/>
              <w:rPr>
                <w:rFonts w:ascii="MS Gothic" w:hAnsi="MS Gothic" w:eastAsia="MS Gothic" w:cs="MS Gothic"/>
                <w:sz w:val="13"/>
                <w:szCs w:val="13"/>
              </w:rPr>
            </w:pPr>
            <w:r>
              <w:rPr>
                <w:sz w:val="13"/>
                <w:szCs w:val="13"/>
                <w:spacing w:val="-2"/>
              </w:rPr>
              <w:t>B</w:t>
            </w:r>
            <w:r>
              <w:rPr>
                <w:rFonts w:ascii="MS Gothic" w:hAnsi="MS Gothic" w:eastAsia="MS Gothic" w:cs="MS Gothic"/>
                <w:sz w:val="13"/>
                <w:szCs w:val="13"/>
                <w:spacing w:val="-2"/>
              </w:rPr>
              <w:t>↵</w:t>
            </w:r>
          </w:p>
        </w:tc>
      </w:tr>
      <w:tr>
        <w:trPr>
          <w:trHeight w:val="305" w:hRule="atLeast"/>
        </w:trPr>
        <w:tc>
          <w:tcPr>
            <w:tcW w:w="3092" w:type="dxa"/>
            <w:vAlign w:val="top"/>
            <w:tcBorders>
              <w:left w:val="single" w:color="000000" w:sz="4" w:space="0"/>
            </w:tcBorders>
          </w:tcPr>
          <w:p>
            <w:pPr>
              <w:pStyle w:val="TableText"/>
              <w:ind w:left="1504"/>
              <w:spacing w:before="76" w:line="212" w:lineRule="auto"/>
              <w:rPr>
                <w:sz w:val="19"/>
                <w:szCs w:val="19"/>
              </w:rPr>
            </w:pPr>
            <w:r>
              <w:rPr>
                <w:sz w:val="19"/>
                <w:szCs w:val="19"/>
                <w:spacing w:val="-1"/>
              </w:rPr>
              <w:t>2.PNL+ESWL</w:t>
            </w:r>
          </w:p>
        </w:tc>
        <w:tc>
          <w:tcPr>
            <w:tcW w:w="1306" w:type="dxa"/>
            <w:vAlign w:val="top"/>
          </w:tcPr>
          <w:p>
            <w:pPr>
              <w:pStyle w:val="TableText"/>
              <w:ind w:left="457"/>
              <w:spacing w:before="66" w:line="222" w:lineRule="auto"/>
              <w:rPr>
                <w:sz w:val="19"/>
                <w:szCs w:val="19"/>
              </w:rPr>
            </w:pPr>
            <w:r>
              <w:rPr>
                <w:sz w:val="19"/>
                <w:szCs w:val="19"/>
                <w:spacing w:val="-3"/>
              </w:rPr>
              <w:t>2a</w:t>
            </w:r>
          </w:p>
        </w:tc>
        <w:tc>
          <w:tcPr>
            <w:tcW w:w="1411" w:type="dxa"/>
            <w:vAlign w:val="top"/>
            <w:tcBorders>
              <w:right w:val="single" w:color="000000" w:sz="4" w:space="0"/>
            </w:tcBorders>
          </w:tcPr>
          <w:p>
            <w:pPr>
              <w:pStyle w:val="TableText"/>
              <w:ind w:left="622"/>
              <w:spacing w:before="57"/>
              <w:rPr>
                <w:rFonts w:ascii="MS Gothic" w:hAnsi="MS Gothic" w:eastAsia="MS Gothic" w:cs="MS Gothic"/>
                <w:sz w:val="12"/>
                <w:szCs w:val="12"/>
              </w:rPr>
            </w:pPr>
            <w:r>
              <w:rPr>
                <w:sz w:val="12"/>
                <w:szCs w:val="12"/>
                <w:spacing w:val="-1"/>
              </w:rPr>
              <w:t>B</w:t>
            </w:r>
            <w:r>
              <w:rPr>
                <w:rFonts w:ascii="MS Gothic" w:hAnsi="MS Gothic" w:eastAsia="MS Gothic" w:cs="MS Gothic"/>
                <w:sz w:val="12"/>
                <w:szCs w:val="12"/>
                <w:spacing w:val="-1"/>
              </w:rPr>
              <w:t>↵</w:t>
            </w:r>
          </w:p>
        </w:tc>
      </w:tr>
      <w:tr>
        <w:trPr>
          <w:trHeight w:val="266" w:hRule="atLeast"/>
        </w:trPr>
        <w:tc>
          <w:tcPr>
            <w:tcW w:w="3092" w:type="dxa"/>
            <w:vAlign w:val="top"/>
            <w:tcBorders>
              <w:left w:val="single" w:color="000000" w:sz="4" w:space="0"/>
              <w:bottom w:val="single" w:color="000000" w:sz="4" w:space="0"/>
            </w:tcBorders>
          </w:tcPr>
          <w:p>
            <w:pPr>
              <w:pStyle w:val="TableText"/>
              <w:ind w:left="1504"/>
              <w:spacing w:before="61" w:line="189" w:lineRule="auto"/>
              <w:rPr>
                <w:sz w:val="19"/>
                <w:szCs w:val="19"/>
              </w:rPr>
            </w:pPr>
            <w:r>
              <w:rPr>
                <w:sz w:val="19"/>
                <w:szCs w:val="19"/>
                <w:spacing w:val="-2"/>
              </w:rPr>
              <w:t>3.ESWL+PNL</w:t>
            </w:r>
          </w:p>
        </w:tc>
        <w:tc>
          <w:tcPr>
            <w:tcW w:w="1306" w:type="dxa"/>
            <w:vAlign w:val="top"/>
            <w:tcBorders>
              <w:bottom w:val="single" w:color="000000" w:sz="4" w:space="0"/>
            </w:tcBorders>
          </w:tcPr>
          <w:p>
            <w:pPr>
              <w:pStyle w:val="TableText"/>
              <w:ind w:left="457"/>
              <w:spacing w:before="61" w:line="189" w:lineRule="auto"/>
              <w:rPr>
                <w:sz w:val="19"/>
                <w:szCs w:val="19"/>
              </w:rPr>
            </w:pPr>
            <w:r>
              <w:rPr>
                <w:sz w:val="19"/>
                <w:szCs w:val="19"/>
                <w:spacing w:val="-3"/>
              </w:rPr>
              <w:t>2a</w:t>
            </w:r>
          </w:p>
        </w:tc>
        <w:tc>
          <w:tcPr>
            <w:tcW w:w="1411" w:type="dxa"/>
            <w:vAlign w:val="top"/>
            <w:tcBorders>
              <w:bottom w:val="single" w:color="000000" w:sz="4" w:space="0"/>
              <w:right w:val="single" w:color="000000" w:sz="4" w:space="0"/>
            </w:tcBorders>
          </w:tcPr>
          <w:p>
            <w:pPr>
              <w:pStyle w:val="TableText"/>
              <w:ind w:left="591"/>
              <w:spacing w:before="83" w:line="168" w:lineRule="auto"/>
              <w:rPr>
                <w:sz w:val="19"/>
                <w:szCs w:val="19"/>
              </w:rPr>
            </w:pPr>
            <w:r>
              <w:rPr>
                <w:sz w:val="19"/>
                <w:szCs w:val="19"/>
              </w:rPr>
              <w:t>B</w:t>
            </w:r>
          </w:p>
        </w:tc>
      </w:tr>
      <w:tr>
        <w:trPr>
          <w:trHeight w:val="594" w:hRule="atLeast"/>
        </w:trPr>
        <w:tc>
          <w:tcPr>
            <w:tcW w:w="5809" w:type="dxa"/>
            <w:vAlign w:val="top"/>
            <w:gridSpan w:val="3"/>
            <w:tcBorders>
              <w:left w:val="single" w:color="000000" w:sz="4" w:space="0"/>
              <w:bottom w:val="single" w:color="000000" w:sz="4" w:space="0"/>
              <w:right w:val="single" w:color="000000" w:sz="4" w:space="0"/>
              <w:top w:val="single" w:color="000000" w:sz="4" w:space="0"/>
            </w:tcBorders>
          </w:tcPr>
          <w:p>
            <w:pPr>
              <w:pStyle w:val="TableText"/>
              <w:ind w:left="83" w:hanging="49"/>
              <w:spacing w:before="65" w:line="252" w:lineRule="auto"/>
              <w:rPr>
                <w:sz w:val="19"/>
                <w:szCs w:val="19"/>
              </w:rPr>
            </w:pPr>
            <w:r>
              <w:rPr>
                <w:sz w:val="19"/>
                <w:szCs w:val="19"/>
                <w:spacing w:val="-6"/>
              </w:rPr>
              <w:t>LE=证据的级别；GR=维荐的级；ESWZ=体外钟方波弹石术，也包括压力碎</w:t>
            </w:r>
            <w:r>
              <w:rPr>
                <w:sz w:val="19"/>
                <w:szCs w:val="19"/>
              </w:rPr>
              <w:t xml:space="preserve"> </w:t>
            </w:r>
            <w:r>
              <w:rPr>
                <w:sz w:val="19"/>
                <w:szCs w:val="19"/>
                <w:spacing w:val="-1"/>
              </w:rPr>
              <w:t>石术；PNL =经皮滑映</w:t>
            </w:r>
          </w:p>
        </w:tc>
      </w:tr>
    </w:tbl>
    <w:p>
      <w:pPr>
        <w:pStyle w:val="BodyText"/>
        <w:ind w:left="449" w:right="2" w:firstLine="400"/>
        <w:spacing w:before="259" w:line="252" w:lineRule="auto"/>
        <w:rPr/>
      </w:pPr>
      <w:r>
        <w:rPr>
          <w:spacing w:val="4"/>
        </w:rPr>
        <w:t>*用数字(1,2,3,4,5)表示治疗方式</w:t>
      </w:r>
      <w:r>
        <w:rPr>
          <w:spacing w:val="3"/>
        </w:rPr>
        <w:t>选择的顺序。如果两种治疗方案具有相同疗效则被标记相同的数</w:t>
      </w:r>
      <w:r>
        <w:rPr/>
        <w:t xml:space="preserve"> </w:t>
      </w:r>
      <w:r>
        <w:rPr>
          <w:spacing w:val="1"/>
        </w:rPr>
        <w:t>字。首选者标记为1。</w:t>
      </w:r>
    </w:p>
    <w:p>
      <w:pPr>
        <w:pStyle w:val="BodyText"/>
        <w:ind w:left="850"/>
        <w:spacing w:before="80" w:line="219" w:lineRule="auto"/>
        <w:rPr/>
      </w:pPr>
      <w:r>
        <w:rPr>
          <w:spacing w:val="1"/>
        </w:rPr>
        <w:t>11.特殊问题的处理</w:t>
      </w:r>
    </w:p>
    <w:p>
      <w:pPr>
        <w:pStyle w:val="BodyText"/>
        <w:ind w:left="449" w:right="32" w:firstLine="400"/>
        <w:spacing w:before="109" w:line="302" w:lineRule="auto"/>
        <w:jc w:val="both"/>
        <w:rPr/>
      </w:pPr>
      <w:r>
        <w:rPr>
          <w:spacing w:val="6"/>
        </w:rPr>
        <w:t>肾盏憩室结石可用</w:t>
      </w:r>
      <w:r>
        <w:rPr>
          <w:rFonts w:ascii="Times New Roman" w:hAnsi="Times New Roman" w:eastAsia="Times New Roman" w:cs="Times New Roman"/>
        </w:rPr>
        <w:t>ESWL</w:t>
      </w:r>
      <w:r>
        <w:rPr>
          <w:spacing w:val="6"/>
        </w:rPr>
        <w:t>、</w:t>
      </w:r>
      <w:r>
        <w:rPr>
          <w:rFonts w:ascii="Times New Roman" w:hAnsi="Times New Roman" w:eastAsia="Times New Roman" w:cs="Times New Roman"/>
        </w:rPr>
        <w:t>PNL</w:t>
      </w:r>
      <w:r>
        <w:rPr>
          <w:spacing w:val="6"/>
        </w:rPr>
        <w:t>(如可能)或逆行输尿管镜来处理。</w:t>
      </w:r>
      <w:r>
        <w:rPr>
          <w:spacing w:val="5"/>
        </w:rPr>
        <w:t>后腹腔镜手术也可用于治疗肾盏</w:t>
      </w:r>
      <w:r>
        <w:rPr/>
        <w:t xml:space="preserve"> </w:t>
      </w:r>
      <w:r>
        <w:rPr>
          <w:spacing w:val="5"/>
        </w:rPr>
        <w:t>憩室结石。内窥镜治疗的原则已在前面[1-5]介绍。肾集合系统和憩室之间</w:t>
      </w:r>
      <w:r>
        <w:rPr>
          <w:spacing w:val="4"/>
        </w:rPr>
        <w:t>的连接部相对狭窄，即使碎</w:t>
      </w:r>
      <w:r>
        <w:rPr/>
        <w:t xml:space="preserve"> </w:t>
      </w:r>
      <w:r>
        <w:rPr>
          <w:spacing w:val="3"/>
        </w:rPr>
        <w:t>石效果较好，结石仍有可能停留在原处无法排出。碎石后，这类患者可以无任何症状。</w:t>
      </w:r>
    </w:p>
    <w:p>
      <w:pPr>
        <w:pStyle w:val="BodyText"/>
        <w:ind w:left="449" w:right="28" w:firstLine="400"/>
        <w:spacing w:before="1" w:line="300" w:lineRule="auto"/>
        <w:rPr/>
      </w:pPr>
      <w:r>
        <w:rPr>
          <w:spacing w:val="1"/>
        </w:rPr>
        <w:t>马蹄肾结石可依照前面所提到的一般结石的处理原则进行治疗[6]。需要强调的是</w:t>
      </w:r>
      <w:r>
        <w:rPr/>
        <w:t>，患者通常根据肾 </w:t>
      </w:r>
      <w:r>
        <w:rPr>
          <w:spacing w:val="9"/>
        </w:rPr>
        <w:t>在体表的投影，取俯卧位行</w:t>
      </w:r>
      <w:r>
        <w:rPr>
          <w:rFonts w:ascii="Times New Roman" w:hAnsi="Times New Roman" w:eastAsia="Times New Roman" w:cs="Times New Roman"/>
        </w:rPr>
        <w:t>ESWL</w:t>
      </w:r>
      <w:r>
        <w:rPr>
          <w:spacing w:val="9"/>
        </w:rPr>
        <w:t>治疗(即冲击波从前腹进入体内)。</w:t>
      </w:r>
    </w:p>
    <w:p>
      <w:pPr>
        <w:pStyle w:val="BodyText"/>
        <w:ind w:left="449" w:right="34"/>
        <w:spacing w:before="16" w:line="292" w:lineRule="auto"/>
        <w:rPr/>
      </w:pPr>
      <w:r>
        <w:rPr>
          <w:spacing w:val="7"/>
        </w:rPr>
        <w:t>肾移植患者取石推荐</w:t>
      </w:r>
      <w:r>
        <w:rPr>
          <w:rFonts w:ascii="Times New Roman" w:hAnsi="Times New Roman" w:eastAsia="Times New Roman" w:cs="Times New Roman"/>
        </w:rPr>
        <w:t>ESWL</w:t>
      </w:r>
      <w:r>
        <w:rPr>
          <w:spacing w:val="7"/>
        </w:rPr>
        <w:t>和</w:t>
      </w:r>
      <w:r>
        <w:rPr>
          <w:rFonts w:ascii="Times New Roman" w:hAnsi="Times New Roman" w:eastAsia="Times New Roman" w:cs="Times New Roman"/>
        </w:rPr>
        <w:t>PNL</w:t>
      </w:r>
      <w:r>
        <w:rPr>
          <w:spacing w:val="7"/>
        </w:rPr>
        <w:t>。对于肾脏位于盆腔的患者，推荐使用</w:t>
      </w:r>
      <w:r>
        <w:rPr>
          <w:rFonts w:ascii="Times New Roman" w:hAnsi="Times New Roman" w:eastAsia="Times New Roman" w:cs="Times New Roman"/>
        </w:rPr>
        <w:t>ESWL</w:t>
      </w:r>
      <w:r>
        <w:rPr>
          <w:spacing w:val="7"/>
        </w:rPr>
        <w:t>或腹腔镜手术。</w:t>
      </w:r>
      <w:r>
        <w:rPr>
          <w:spacing w:val="6"/>
        </w:rPr>
        <w:t>对于肥</w:t>
      </w:r>
      <w:r>
        <w:rPr/>
        <w:t xml:space="preserve"> </w:t>
      </w:r>
      <w:r>
        <w:rPr>
          <w:spacing w:val="-2"/>
        </w:rPr>
        <w:t>胖的患者，推荐用</w:t>
      </w:r>
      <w:r>
        <w:rPr>
          <w:rFonts w:ascii="Times New Roman" w:hAnsi="Times New Roman" w:eastAsia="Times New Roman" w:cs="Times New Roman"/>
          <w:spacing w:val="-2"/>
        </w:rPr>
        <w:t>ESWL</w:t>
      </w:r>
      <w:r>
        <w:rPr>
          <w:rFonts w:ascii="Times New Roman" w:hAnsi="Times New Roman" w:eastAsia="Times New Roman" w:cs="Times New Roman"/>
          <w:spacing w:val="-23"/>
        </w:rPr>
        <w:t xml:space="preserve"> </w:t>
      </w:r>
      <w:r>
        <w:rPr>
          <w:spacing w:val="-2"/>
        </w:rPr>
        <w:t>、</w:t>
      </w:r>
      <w:r>
        <w:rPr>
          <w:rFonts w:ascii="Times New Roman" w:hAnsi="Times New Roman" w:eastAsia="Times New Roman" w:cs="Times New Roman"/>
          <w:spacing w:val="-2"/>
        </w:rPr>
        <w:t>PNL</w:t>
      </w:r>
      <w:r>
        <w:rPr>
          <w:spacing w:val="-2"/>
        </w:rPr>
        <w:t>或开放手术。</w:t>
      </w:r>
    </w:p>
    <w:p>
      <w:pPr>
        <w:pStyle w:val="BodyText"/>
        <w:ind w:left="449" w:firstLine="500"/>
        <w:spacing w:before="15" w:line="285" w:lineRule="auto"/>
        <w:rPr/>
      </w:pPr>
      <w:r>
        <w:rPr>
          <w:spacing w:val="2"/>
        </w:rPr>
        <w:t>肾实质囊性病变内形成的结石表现各异，处理起来相对</w:t>
      </w:r>
      <w:r>
        <w:rPr>
          <w:spacing w:val="1"/>
        </w:rPr>
        <w:t>困难[7-14]。这类结石情况各异，应根据具</w:t>
      </w:r>
      <w:r>
        <w:rPr/>
        <w:t xml:space="preserve"> </w:t>
      </w:r>
      <w:r>
        <w:rPr>
          <w:spacing w:val="2"/>
        </w:rPr>
        <w:t>体情况单独处理，目前还没有统一的处理原则。</w:t>
      </w:r>
    </w:p>
    <w:p>
      <w:pPr>
        <w:pStyle w:val="BodyText"/>
        <w:ind w:left="449" w:right="30" w:firstLine="400"/>
        <w:spacing w:before="13" w:line="295" w:lineRule="auto"/>
        <w:rPr/>
      </w:pPr>
      <w:r>
        <w:rPr>
          <w:spacing w:val="3"/>
        </w:rPr>
        <w:t>对于肾盂输尿管的交界处梗阻的患者，在行经皮肾孟内切开术或开放肾盂成形术时一并</w:t>
      </w:r>
      <w:r>
        <w:rPr>
          <w:spacing w:val="2"/>
        </w:rPr>
        <w:t>取出结石。</w:t>
      </w:r>
      <w:r>
        <w:rPr/>
        <w:t xml:space="preserve"> </w:t>
      </w:r>
      <w:r>
        <w:rPr>
          <w:spacing w:val="5"/>
        </w:rPr>
        <w:t>用钬：钇铝石榴石(</w:t>
      </w:r>
      <w:r>
        <w:rPr/>
        <w:t>Ho</w:t>
      </w:r>
      <w:r>
        <w:rPr>
          <w:spacing w:val="5"/>
        </w:rPr>
        <w:t>:</w:t>
      </w:r>
      <w:r>
        <w:rPr/>
        <w:t>YAG</w:t>
      </w:r>
      <w:r>
        <w:rPr>
          <w:spacing w:val="5"/>
        </w:rPr>
        <w:t>)    激光经输尿管肾盂切开也是另一个可行的方法。在切口处放置</w:t>
      </w:r>
      <w:r>
        <w:rPr/>
        <w:t>Acucise</w:t>
      </w:r>
      <w:r>
        <w:rPr>
          <w:spacing w:val="15"/>
        </w:rPr>
        <w:t xml:space="preserve"> </w:t>
      </w:r>
      <w:r>
        <w:rPr>
          <w:spacing w:val="-2"/>
        </w:rPr>
        <w:t>气囊导管可防止结石落下[36-39]。</w:t>
      </w:r>
    </w:p>
    <w:p>
      <w:pPr>
        <w:pStyle w:val="BodyText"/>
        <w:ind w:left="942"/>
        <w:spacing w:before="1" w:line="219" w:lineRule="auto"/>
        <w:outlineLvl w:val="4"/>
        <w:rPr/>
      </w:pPr>
      <w:r>
        <w:rPr>
          <w:b/>
          <w:bCs/>
          <w:spacing w:val="-1"/>
        </w:rPr>
        <w:t>11.1参考文献</w:t>
      </w:r>
    </w:p>
    <w:p>
      <w:pPr>
        <w:ind w:left="449"/>
        <w:spacing w:before="13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1.Raboy  A,Ferzli  GS,Loffreda</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R,Albert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PS.Laparoscopic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ureterolitho</w:t>
      </w:r>
      <w:r>
        <w:rPr>
          <w:rFonts w:ascii="Times New Roman" w:hAnsi="Times New Roman" w:eastAsia="Times New Roman" w:cs="Times New Roman"/>
          <w:sz w:val="21"/>
          <w:szCs w:val="21"/>
          <w:spacing w:val="-1"/>
        </w:rPr>
        <w:t>tomy.Urology   1992;39:223-225.</w:t>
      </w:r>
    </w:p>
    <w:p>
      <w:pPr>
        <w:ind w:left="4879"/>
        <w:spacing w:before="2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—231—</w:t>
      </w:r>
    </w:p>
    <w:p>
      <w:pPr>
        <w:spacing w:line="33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3"/>
          <w:pgSz w:w="11850" w:h="16140"/>
          <w:pgMar w:top="1226" w:right="1418" w:bottom="0" w:left="380" w:header="722" w:footer="0" w:gutter="0"/>
        </w:sectPr>
        <w:rPr>
          <w:rFonts w:ascii="Times New Roman" w:hAnsi="Times New Roman" w:eastAsia="Times New Roman" w:cs="Times New Roman"/>
          <w:sz w:val="21"/>
          <w:szCs w:val="21"/>
        </w:rPr>
      </w:pPr>
    </w:p>
    <w:p>
      <w:pPr>
        <w:spacing w:line="318" w:lineRule="auto"/>
        <w:rPr>
          <w:rFonts w:ascii="Arial"/>
          <w:sz w:val="21"/>
        </w:rPr>
      </w:pPr>
      <w:r/>
    </w:p>
    <w:p>
      <w:pPr>
        <w:ind w:firstLine="429"/>
        <w:spacing w:line="389" w:lineRule="exact"/>
        <w:rPr/>
      </w:pPr>
      <w:r>
        <w:rPr>
          <w:position w:val="-7"/>
        </w:rPr>
        <w:drawing>
          <wp:inline distT="0" distB="0" distL="0" distR="0">
            <wp:extent cx="1727231" cy="247613"/>
            <wp:effectExtent l="0" t="0" r="0" b="0"/>
            <wp:docPr id="14" name="IM 14"/>
            <wp:cNvGraphicFramePr/>
            <a:graphic>
              <a:graphicData uri="http://schemas.openxmlformats.org/drawingml/2006/picture">
                <pic:pic>
                  <pic:nvPicPr>
                    <pic:cNvPr id="14" name="IM 14"/>
                    <pic:cNvPicPr/>
                  </pic:nvPicPr>
                  <pic:blipFill>
                    <a:blip r:embed="rId15"/>
                    <a:stretch>
                      <a:fillRect/>
                    </a:stretch>
                  </pic:blipFill>
                  <pic:spPr>
                    <a:xfrm rot="0">
                      <a:off x="0" y="0"/>
                      <a:ext cx="1727231" cy="247613"/>
                    </a:xfrm>
                    <a:prstGeom prst="rect">
                      <a:avLst/>
                    </a:prstGeom>
                  </pic:spPr>
                </pic:pic>
              </a:graphicData>
            </a:graphic>
          </wp:inline>
        </w:drawing>
      </w:r>
    </w:p>
    <w:p>
      <w:pPr>
        <w:ind w:left="379"/>
        <w:spacing w:before="24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=PubMed&amp;list_uids=1532102&amp;dopt=Abstract</w:t>
        </w:r>
      </w:hyperlink>
    </w:p>
    <w:p>
      <w:pPr>
        <w:ind w:left="379" w:right="30"/>
        <w:spacing w:before="137" w:line="293"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2.Gaur    DD.Retroperitoneal    endoscopic    urete</w:t>
        </w:r>
        <w:r>
          <w:rPr>
            <w:rFonts w:ascii="Times New Roman" w:hAnsi="Times New Roman" w:eastAsia="Times New Roman" w:cs="Times New Roman"/>
            <w:sz w:val="21"/>
            <w:szCs w:val="21"/>
            <w:spacing w:val="-1"/>
          </w:rPr>
          <w:t>rolithotomy:our     experience    in    12</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patients.J     Endourol</w:t>
        </w:r>
      </w:hyperlink>
      <w:r>
        <w:rPr>
          <w:rFonts w:ascii="Times New Roman" w:hAnsi="Times New Roman" w:eastAsia="Times New Roman" w:cs="Times New Roman"/>
          <w:sz w:val="21"/>
          <w:szCs w:val="21"/>
        </w:rPr>
        <w:t xml:space="preserve"> </w:t>
      </w:r>
      <w:hyperlink w:history="true" r:id="rId16">
        <w:r>
          <w:rPr>
            <w:rFonts w:ascii="Times New Roman" w:hAnsi="Times New Roman" w:eastAsia="Times New Roman" w:cs="Times New Roman"/>
            <w:sz w:val="21"/>
            <w:szCs w:val="21"/>
            <w:spacing w:val="-1"/>
          </w:rPr>
          <w:t>1993</w:t>
        </w:r>
      </w:hyperlink>
      <w:r>
        <w:rPr>
          <w:rFonts w:ascii="Times New Roman" w:hAnsi="Times New Roman" w:eastAsia="Times New Roman" w:cs="Times New Roman"/>
          <w:sz w:val="21"/>
          <w:szCs w:val="21"/>
          <w:spacing w:val="-1"/>
        </w:rPr>
        <w:t>;</w:t>
      </w:r>
      <w:hyperlink w:history="true" r:id="rId17">
        <w:r>
          <w:rPr>
            <w:rFonts w:ascii="Times New Roman" w:hAnsi="Times New Roman" w:eastAsia="Times New Roman" w:cs="Times New Roman"/>
            <w:sz w:val="21"/>
            <w:szCs w:val="21"/>
            <w:spacing w:val="-1"/>
          </w:rPr>
          <w:t>7:501-503</w:t>
        </w:r>
      </w:hyperlink>
      <w:r>
        <w:rPr>
          <w:rFonts w:ascii="Times New Roman" w:hAnsi="Times New Roman" w:eastAsia="Times New Roman" w:cs="Times New Roman"/>
          <w:sz w:val="21"/>
          <w:szCs w:val="21"/>
          <w:spacing w:val="-1"/>
        </w:rPr>
        <w:t>.</w:t>
      </w:r>
    </w:p>
    <w:p>
      <w:pPr>
        <w:ind w:left="379"/>
        <w:spacing w:before="80"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=PubMed&amp;list_uids=8124346&amp;dopt=Abstract</w:t>
        </w:r>
      </w:hyperlink>
    </w:p>
    <w:p>
      <w:pPr>
        <w:ind w:left="379"/>
        <w:spacing w:before="14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3.Gaur</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DD.Retroperitoneal  laparoscopic</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ureterolithotomy.World</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Urol  1993</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18">
        <w:r>
          <w:rPr>
            <w:rFonts w:ascii="Times New Roman" w:hAnsi="Times New Roman" w:eastAsia="Times New Roman" w:cs="Times New Roman"/>
            <w:sz w:val="21"/>
            <w:szCs w:val="21"/>
            <w:spacing w:val="-1"/>
          </w:rPr>
          <w:t>11:175-177</w:t>
        </w:r>
      </w:hyperlink>
      <w:r>
        <w:rPr>
          <w:rFonts w:ascii="Times New Roman" w:hAnsi="Times New Roman" w:eastAsia="Times New Roman" w:cs="Times New Roman"/>
          <w:sz w:val="21"/>
          <w:szCs w:val="21"/>
          <w:spacing w:val="-1"/>
        </w:rPr>
        <w:t>.</w:t>
      </w:r>
    </w:p>
    <w:p>
      <w:pPr>
        <w:ind w:left="379"/>
        <w:spacing w:before="13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=PubMed&amp;list_uids=8401638&amp;dopt=Abstract</w:t>
        </w:r>
      </w:hyperlink>
    </w:p>
    <w:p>
      <w:pPr>
        <w:ind w:left="379" w:right="10"/>
        <w:spacing w:before="138" w:line="255"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4.Gaur   DD</w:t>
        </w:r>
      </w:hyperlink>
      <w:r>
        <w:rPr>
          <w:rFonts w:ascii="Times New Roman" w:hAnsi="Times New Roman" w:eastAsia="Times New Roman" w:cs="Times New Roman"/>
          <w:sz w:val="21"/>
          <w:szCs w:val="21"/>
        </w:rPr>
        <w:t>,</w:t>
      </w:r>
      <w:hyperlink w:history="true" r:id="rId19">
        <w:r>
          <w:rPr>
            <w:rFonts w:ascii="Times New Roman" w:hAnsi="Times New Roman" w:eastAsia="Times New Roman" w:cs="Times New Roman"/>
            <w:sz w:val="21"/>
            <w:szCs w:val="21"/>
          </w:rPr>
          <w:t>Agarwal</w:t>
        </w:r>
      </w:hyperlink>
      <w:r>
        <w:rPr>
          <w:rFonts w:ascii="Times New Roman" w:hAnsi="Times New Roman" w:eastAsia="Times New Roman" w:cs="Times New Roman"/>
          <w:sz w:val="21"/>
          <w:szCs w:val="21"/>
        </w:rPr>
        <w:t xml:space="preserve">    DK,Purohit   KC,Darshane    AS.Retroperitoneal   laparoscopic    pyelolithotomy.J   Urol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1994;151:927-929.</w:t>
      </w:r>
    </w:p>
    <w:p>
      <w:pPr>
        <w:ind w:left="379"/>
        <w:spacing w:before="15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http://www.ncbi.nlm.nih.govlentrez/query.fcgi?cmd=Retrieve&amp;db</w:t>
        </w:r>
        <w:r>
          <w:rPr>
            <w:rFonts w:ascii="Times New Roman" w:hAnsi="Times New Roman" w:eastAsia="Times New Roman" w:cs="Times New Roman"/>
            <w:sz w:val="21"/>
            <w:szCs w:val="21"/>
            <w:spacing w:val="-1"/>
          </w:rPr>
          <w:t>=PubMed&amp;list_uids=8126827&amp;dopt=Abstract</w:t>
        </w:r>
      </w:hyperlink>
    </w:p>
    <w:p>
      <w:pPr>
        <w:ind w:left="379" w:right="31"/>
        <w:spacing w:before="127" w:line="270"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5.Escovar</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Diaz</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P</w:t>
        </w:r>
      </w:hyperlink>
      <w:r>
        <w:rPr>
          <w:rFonts w:ascii="Times New Roman" w:hAnsi="Times New Roman" w:eastAsia="Times New Roman" w:cs="Times New Roman"/>
          <w:sz w:val="21"/>
          <w:szCs w:val="21"/>
        </w:rPr>
        <w:t>,</w:t>
      </w:r>
      <w:hyperlink w:history="true" r:id="rId20">
        <w:r>
          <w:rPr>
            <w:rFonts w:ascii="Times New Roman" w:hAnsi="Times New Roman" w:eastAsia="Times New Roman" w:cs="Times New Roman"/>
            <w:sz w:val="21"/>
            <w:szCs w:val="21"/>
          </w:rPr>
          <w:t>Rey</w:t>
        </w:r>
      </w:hyperlink>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Pacheco</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M,Lopez</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Escalante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JR,Rodriguez  Cordero</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M,la</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Riva</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Rodriguez</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F,Gonzalez</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Zerpa  RD,Garcia  JL,Cuervo  R.[Ureterolitotomia  laparoscopia.]Arch  Esp  Urol  19</w:t>
      </w:r>
      <w:r>
        <w:rPr>
          <w:rFonts w:ascii="Times New Roman" w:hAnsi="Times New Roman" w:eastAsia="Times New Roman" w:cs="Times New Roman"/>
          <w:sz w:val="21"/>
          <w:szCs w:val="21"/>
          <w:spacing w:val="-1"/>
        </w:rPr>
        <w:t>93;46:633-637.[Spanish]</w:t>
      </w:r>
    </w:p>
    <w:p>
      <w:pPr>
        <w:ind w:left="379"/>
        <w:spacing w:before="12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http://www.ncbi.nlm.nih.govlentrez/query.fcgi?cmd=Retrieve&amp;db</w:t>
        </w:r>
        <w:r>
          <w:rPr>
            <w:rFonts w:ascii="Times New Roman" w:hAnsi="Times New Roman" w:eastAsia="Times New Roman" w:cs="Times New Roman"/>
            <w:sz w:val="21"/>
            <w:szCs w:val="21"/>
            <w:spacing w:val="-1"/>
          </w:rPr>
          <w:t>=PubMed&amp;list_uids=8239742&amp;dopt=Abstract</w:t>
        </w:r>
      </w:hyperlink>
    </w:p>
    <w:p>
      <w:pPr>
        <w:ind w:left="379" w:right="9"/>
        <w:spacing w:before="147" w:line="260"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6.Locke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DR</w:t>
        </w:r>
      </w:hyperlink>
      <w:r>
        <w:rPr>
          <w:rFonts w:ascii="Times New Roman" w:hAnsi="Times New Roman" w:eastAsia="Times New Roman" w:cs="Times New Roman"/>
          <w:sz w:val="21"/>
          <w:szCs w:val="21"/>
        </w:rPr>
        <w:t>,</w:t>
      </w:r>
      <w:hyperlink w:history="true" r:id="rId21">
        <w:r>
          <w:rPr>
            <w:rFonts w:ascii="Times New Roman" w:hAnsi="Times New Roman" w:eastAsia="Times New Roman" w:cs="Times New Roman"/>
            <w:sz w:val="21"/>
            <w:szCs w:val="21"/>
          </w:rPr>
          <w:t>Newman</w:t>
        </w:r>
      </w:hyperlink>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RC,Steinbock</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G</w:t>
      </w:r>
      <w:r>
        <w:rPr>
          <w:rFonts w:ascii="Times New Roman" w:hAnsi="Times New Roman" w:eastAsia="Times New Roman" w:cs="Times New Roman"/>
          <w:sz w:val="21"/>
          <w:szCs w:val="21"/>
          <w:spacing w:val="-1"/>
        </w:rPr>
        <w:t>S,Finlayson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B.Extracorporeal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horseshoe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kidney.Urology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1990;35:407-411.</w:t>
      </w:r>
    </w:p>
    <w:p>
      <w:pPr>
        <w:ind w:left="379"/>
        <w:spacing w:before="15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=PubMed&amp;list_uids=2336770&amp;dopt=Abstract</w:t>
        </w:r>
      </w:hyperlink>
    </w:p>
    <w:p>
      <w:pPr>
        <w:ind w:left="379" w:right="10"/>
        <w:spacing w:before="147" w:line="303"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7.Chen  KK</w:t>
        </w:r>
      </w:hyperlink>
      <w:r>
        <w:rPr>
          <w:rFonts w:ascii="Times New Roman" w:hAnsi="Times New Roman" w:eastAsia="Times New Roman" w:cs="Times New Roman"/>
          <w:sz w:val="21"/>
          <w:szCs w:val="21"/>
        </w:rPr>
        <w:t>,</w:t>
      </w:r>
      <w:hyperlink w:history="true" r:id="rId22">
        <w:r>
          <w:rPr>
            <w:rFonts w:ascii="Times New Roman" w:hAnsi="Times New Roman" w:eastAsia="Times New Roman" w:cs="Times New Roman"/>
            <w:sz w:val="21"/>
            <w:szCs w:val="21"/>
          </w:rPr>
          <w:t>Chang</w:t>
        </w:r>
      </w:hyperlink>
      <w:r>
        <w:rPr>
          <w:rFonts w:ascii="Times New Roman" w:hAnsi="Times New Roman" w:eastAsia="Times New Roman" w:cs="Times New Roman"/>
          <w:sz w:val="21"/>
          <w:szCs w:val="21"/>
        </w:rPr>
        <w:t xml:space="preserve">  LS,Chen  MTC,Lee  YH.Electrohydraulic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  Koc</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pouch.Eur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1989;16:110-113.</w:t>
      </w:r>
    </w:p>
    <w:p>
      <w:pPr>
        <w:ind w:left="379"/>
        <w:spacing w:before="70"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http://www.ncbi.nlm.nih.govlentrez/query.fcgi?cmd=Retrieve&amp;db</w:t>
        </w:r>
        <w:r>
          <w:rPr>
            <w:rFonts w:ascii="Times New Roman" w:hAnsi="Times New Roman" w:eastAsia="Times New Roman" w:cs="Times New Roman"/>
            <w:sz w:val="21"/>
            <w:szCs w:val="21"/>
            <w:spacing w:val="-1"/>
          </w:rPr>
          <w:t>=PubMed&amp;list_uids=2714327&amp;dopt=Abstract</w:t>
        </w:r>
      </w:hyperlink>
    </w:p>
    <w:p>
      <w:pPr>
        <w:ind w:left="379" w:right="34"/>
        <w:spacing w:before="147" w:line="250"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8.Weinerth  JL</w:t>
        </w:r>
      </w:hyperlink>
      <w:r>
        <w:rPr>
          <w:rFonts w:ascii="Times New Roman" w:hAnsi="Times New Roman" w:eastAsia="Times New Roman" w:cs="Times New Roman"/>
          <w:sz w:val="21"/>
          <w:szCs w:val="21"/>
        </w:rPr>
        <w:t>,</w:t>
      </w:r>
      <w:hyperlink w:history="true" r:id="rId23">
        <w:r>
          <w:rPr>
            <w:rFonts w:ascii="Times New Roman" w:hAnsi="Times New Roman" w:eastAsia="Times New Roman" w:cs="Times New Roman"/>
            <w:sz w:val="21"/>
            <w:szCs w:val="21"/>
          </w:rPr>
          <w:t>Webster</w:t>
        </w:r>
      </w:hyperlink>
      <w:r>
        <w:rPr>
          <w:rFonts w:ascii="Times New Roman" w:hAnsi="Times New Roman" w:eastAsia="Times New Roman" w:cs="Times New Roman"/>
          <w:sz w:val="21"/>
          <w:szCs w:val="21"/>
        </w:rPr>
        <w:t xml:space="preserve">  GD.Experience  with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stones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formed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within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Kock</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pouch</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continent </w:t>
      </w:r>
      <w:r>
        <w:rPr>
          <w:rFonts w:ascii="Times New Roman" w:hAnsi="Times New Roman" w:eastAsia="Times New Roman" w:cs="Times New Roman"/>
          <w:sz w:val="21"/>
          <w:szCs w:val="21"/>
        </w:rPr>
        <w:t>urinary  diversions.J  Endourol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199</w:t>
      </w:r>
      <w:r>
        <w:rPr>
          <w:rFonts w:ascii="Times New Roman" w:hAnsi="Times New Roman" w:eastAsia="Times New Roman" w:cs="Times New Roman"/>
          <w:sz w:val="21"/>
          <w:szCs w:val="21"/>
          <w:spacing w:val="-1"/>
        </w:rPr>
        <w:t>0;4:149-154.</w:t>
      </w:r>
    </w:p>
    <w:p>
      <w:pPr>
        <w:ind w:left="379"/>
        <w:spacing w:before="167"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9.Khatri</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VP,Walden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T,Pol</w:t>
      </w:r>
      <w:r>
        <w:rPr>
          <w:rFonts w:ascii="Times New Roman" w:hAnsi="Times New Roman" w:eastAsia="Times New Roman" w:cs="Times New Roman"/>
          <w:sz w:val="21"/>
          <w:szCs w:val="21"/>
          <w:spacing w:val="-1"/>
        </w:rPr>
        <w:t>lack</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MS.Multiple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calculi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continent  urinary   reservoir:a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case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report.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J??Urol   1992;148:1129-1130.</w:t>
      </w:r>
    </w:p>
    <w:p>
      <w:pPr>
        <w:ind w:left="379"/>
        <w:spacing w:before="16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=PubMed&amp;list_uids=1507351&amp;dopt=Abstract</w:t>
        </w:r>
      </w:hyperlink>
    </w:p>
    <w:p>
      <w:pPr>
        <w:ind w:left="379" w:right="34"/>
        <w:spacing w:before="147" w:line="265"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10.Chin  JL</w:t>
        </w:r>
      </w:hyperlink>
      <w:r>
        <w:rPr>
          <w:rFonts w:ascii="Times New Roman" w:hAnsi="Times New Roman" w:eastAsia="Times New Roman" w:cs="Times New Roman"/>
          <w:sz w:val="21"/>
          <w:szCs w:val="21"/>
        </w:rPr>
        <w:t>,</w:t>
      </w:r>
      <w:hyperlink w:history="true" r:id="rId24">
        <w:r>
          <w:rPr>
            <w:rFonts w:ascii="Times New Roman" w:hAnsi="Times New Roman" w:eastAsia="Times New Roman" w:cs="Times New Roman"/>
            <w:sz w:val="21"/>
            <w:szCs w:val="21"/>
          </w:rPr>
          <w:t>Denstedt</w:t>
        </w:r>
      </w:hyperlink>
      <w:r>
        <w:rPr>
          <w:rFonts w:ascii="Times New Roman" w:hAnsi="Times New Roman" w:eastAsia="Times New Roman" w:cs="Times New Roman"/>
          <w:sz w:val="21"/>
          <w:szCs w:val="21"/>
        </w:rPr>
        <w:t xml:space="preserve">  JD.Massive  calculi</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formation  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Indiana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cont</w:t>
      </w:r>
      <w:r>
        <w:rPr>
          <w:rFonts w:ascii="Times New Roman" w:hAnsi="Times New Roman" w:eastAsia="Times New Roman" w:cs="Times New Roman"/>
          <w:sz w:val="21"/>
          <w:szCs w:val="21"/>
          <w:spacing w:val="-1"/>
        </w:rPr>
        <w:t>inent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reservoir:pathogenesis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problems.J</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Dis  1992:4:323-327.</w:t>
      </w:r>
    </w:p>
    <w:p>
      <w:pPr>
        <w:ind w:left="379" w:right="34"/>
        <w:spacing w:before="14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11.Terai  A,Arai  Y,Kawakita  M,Okada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Y,Yoshida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0.Effect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urinary</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intestinal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diversi</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urolithiasis.J</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U</w:t>
      </w:r>
      <w:r>
        <w:rPr>
          <w:rFonts w:ascii="Times New Roman" w:hAnsi="Times New Roman" w:eastAsia="Times New Roman" w:cs="Times New Roman"/>
          <w:sz w:val="21"/>
          <w:szCs w:val="21"/>
          <w:spacing w:val="-1"/>
        </w:rPr>
        <w:t>rol  1995;153:37-41.</w:t>
      </w:r>
    </w:p>
    <w:p>
      <w:pPr>
        <w:ind w:left="379"/>
        <w:spacing w:before="15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http://www.nebi.nlm.nih.govlentrez/query.fcgi?cmd=Retrieve&amp;db</w:t>
        </w:r>
        <w:r>
          <w:rPr>
            <w:rFonts w:ascii="Times New Roman" w:hAnsi="Times New Roman" w:eastAsia="Times New Roman" w:cs="Times New Roman"/>
            <w:sz w:val="21"/>
            <w:szCs w:val="21"/>
            <w:spacing w:val="-1"/>
          </w:rPr>
          <w:t>=PubMed&amp;list_uids=7966785&amp;dopt=Abstract</w:t>
        </w:r>
      </w:hyperlink>
    </w:p>
    <w:p>
      <w:pPr>
        <w:ind w:left="379" w:right="31"/>
        <w:spacing w:before="137" w:line="265"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12.Cohen   TD</w:t>
        </w:r>
      </w:hyperlink>
      <w:r>
        <w:rPr>
          <w:rFonts w:ascii="Times New Roman" w:hAnsi="Times New Roman" w:eastAsia="Times New Roman" w:cs="Times New Roman"/>
          <w:sz w:val="21"/>
          <w:szCs w:val="21"/>
        </w:rPr>
        <w:t>,</w:t>
      </w:r>
      <w:hyperlink w:history="true" r:id="rId25">
        <w:r>
          <w:rPr>
            <w:rFonts w:ascii="Times New Roman" w:hAnsi="Times New Roman" w:eastAsia="Times New Roman" w:cs="Times New Roman"/>
            <w:sz w:val="21"/>
            <w:szCs w:val="21"/>
          </w:rPr>
          <w:t>Streem</w:t>
        </w:r>
      </w:hyperlink>
      <w:r>
        <w:rPr>
          <w:rFonts w:ascii="Times New Roman" w:hAnsi="Times New Roman" w:eastAsia="Times New Roman" w:cs="Times New Roman"/>
          <w:sz w:val="21"/>
          <w:szCs w:val="21"/>
        </w:rPr>
        <w:t xml:space="preserve">    SB,Lammert    G.L</w:t>
      </w:r>
      <w:r>
        <w:rPr>
          <w:rFonts w:ascii="Times New Roman" w:hAnsi="Times New Roman" w:eastAsia="Times New Roman" w:cs="Times New Roman"/>
          <w:sz w:val="21"/>
          <w:szCs w:val="21"/>
          <w:spacing w:val="-1"/>
        </w:rPr>
        <w:t>ongterm   incidence    and    risks   for    recurrent    stones   following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contemporary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of upper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tract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patie</w:t>
      </w:r>
      <w:r>
        <w:rPr>
          <w:rFonts w:ascii="Times New Roman" w:hAnsi="Times New Roman" w:eastAsia="Times New Roman" w:cs="Times New Roman"/>
          <w:sz w:val="21"/>
          <w:szCs w:val="21"/>
          <w:spacing w:val="-1"/>
        </w:rPr>
        <w:t>nts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diversion.J</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1996;155:62-65.</w:t>
      </w:r>
    </w:p>
    <w:p>
      <w:pPr>
        <w:ind w:left="379"/>
        <w:spacing w:before="14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http://www.ncbi.nlm.nih.govlentrez/query.fcgi?cmd=Retrieve&amp;db</w:t>
        </w:r>
        <w:r>
          <w:rPr>
            <w:rFonts w:ascii="Times New Roman" w:hAnsi="Times New Roman" w:eastAsia="Times New Roman" w:cs="Times New Roman"/>
            <w:sz w:val="21"/>
            <w:szCs w:val="21"/>
            <w:spacing w:val="-1"/>
          </w:rPr>
          <w:t>=PubMed&amp;list_uids=7490899&amp;dopt=Abstract</w:t>
        </w:r>
      </w:hyperlink>
    </w:p>
    <w:p>
      <w:pPr>
        <w:ind w:left="379" w:right="34"/>
        <w:spacing w:before="147" w:line="289"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13.Terai  A</w:t>
        </w:r>
      </w:hyperlink>
      <w:r>
        <w:rPr>
          <w:rFonts w:ascii="Times New Roman" w:hAnsi="Times New Roman" w:eastAsia="Times New Roman" w:cs="Times New Roman"/>
          <w:sz w:val="21"/>
          <w:szCs w:val="21"/>
        </w:rPr>
        <w:t>,</w:t>
      </w:r>
      <w:hyperlink w:history="true" r:id="rId26">
        <w:r>
          <w:rPr>
            <w:rFonts w:ascii="Times New Roman" w:hAnsi="Times New Roman" w:eastAsia="Times New Roman" w:cs="Times New Roman"/>
            <w:sz w:val="21"/>
            <w:szCs w:val="21"/>
          </w:rPr>
          <w:t>Ueda</w:t>
        </w:r>
      </w:hyperlink>
      <w:r>
        <w:rPr>
          <w:rFonts w:ascii="Times New Roman" w:hAnsi="Times New Roman" w:eastAsia="Times New Roman" w:cs="Times New Roman"/>
          <w:sz w:val="21"/>
          <w:szCs w:val="21"/>
        </w:rPr>
        <w:t xml:space="preserve">  T,Kakehi  Y,Terachi  T,Ara</w:t>
      </w:r>
      <w:r>
        <w:rPr>
          <w:rFonts w:ascii="Times New Roman" w:hAnsi="Times New Roman" w:eastAsia="Times New Roman" w:cs="Times New Roman"/>
          <w:sz w:val="21"/>
          <w:szCs w:val="21"/>
          <w:spacing w:val="-1"/>
        </w:rPr>
        <w:t>i  Y,Okada  Y,Yoshida  O.Urinary  calculi</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late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complication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Indiana</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continent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diversion:comparison</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Kock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ouch</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procedure.JUrol  1996;155:66-68.</w:t>
      </w:r>
      <w:r>
        <w:rPr>
          <w:rFonts w:ascii="Times New Roman" w:hAnsi="Times New Roman" w:eastAsia="Times New Roman" w:cs="Times New Roman"/>
          <w:sz w:val="21"/>
          <w:szCs w:val="21"/>
        </w:rPr>
        <w:t xml:space="preserve"> </w:t>
      </w: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=PubMed&amp;list_uids=7490900&amp;dopt=Abstract</w:t>
        </w:r>
      </w:hyperlink>
    </w:p>
    <w:p>
      <w:pPr>
        <w:ind w:left="379"/>
        <w:spacing w:before="12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14.Assimos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DG.Editorial.Ne</w:t>
        </w:r>
        <w:r>
          <w:rPr>
            <w:rFonts w:ascii="Times New Roman" w:hAnsi="Times New Roman" w:eastAsia="Times New Roman" w:cs="Times New Roman"/>
            <w:sz w:val="21"/>
            <w:szCs w:val="21"/>
            <w:spacing w:val="-1"/>
          </w:rPr>
          <w:t>phrolithiasis</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urinary  diversion.J</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Urol  1996</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27">
        <w:r>
          <w:rPr>
            <w:rFonts w:ascii="Times New Roman" w:hAnsi="Times New Roman" w:eastAsia="Times New Roman" w:cs="Times New Roman"/>
            <w:sz w:val="21"/>
            <w:szCs w:val="21"/>
            <w:spacing w:val="-1"/>
          </w:rPr>
          <w:t>155:69-70</w:t>
        </w:r>
      </w:hyperlink>
      <w:r>
        <w:rPr>
          <w:rFonts w:ascii="Times New Roman" w:hAnsi="Times New Roman" w:eastAsia="Times New Roman" w:cs="Times New Roman"/>
          <w:sz w:val="21"/>
          <w:szCs w:val="21"/>
          <w:spacing w:val="-1"/>
        </w:rPr>
        <w:t>.</w:t>
      </w:r>
    </w:p>
    <w:p>
      <w:pPr>
        <w:ind w:left="379"/>
        <w:spacing w:before="177"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http://www.ncbi.nlm.nih.govlentrez/query.fcgi?cmd=Retrieve&amp;db</w:t>
        </w:r>
        <w:r>
          <w:rPr>
            <w:rFonts w:ascii="Times New Roman" w:hAnsi="Times New Roman" w:eastAsia="Times New Roman" w:cs="Times New Roman"/>
            <w:sz w:val="21"/>
            <w:szCs w:val="21"/>
            <w:spacing w:val="-1"/>
          </w:rPr>
          <w:t>=PubMed&amp;list_uids=7490901&amp;dopt=Abstract</w:t>
        </w:r>
      </w:hyperlink>
    </w:p>
    <w:p>
      <w:pPr>
        <w:ind w:left="379" w:right="57"/>
        <w:spacing w:before="117" w:line="275"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15.Ramsay  JWA</w:t>
        </w:r>
      </w:hyperlink>
      <w:r>
        <w:rPr>
          <w:rFonts w:ascii="Times New Roman" w:hAnsi="Times New Roman" w:eastAsia="Times New Roman" w:cs="Times New Roman"/>
          <w:sz w:val="21"/>
          <w:szCs w:val="21"/>
        </w:rPr>
        <w:t>,</w:t>
      </w:r>
      <w:hyperlink w:history="true" r:id="rId28">
        <w:r>
          <w:rPr>
            <w:rFonts w:ascii="Times New Roman" w:hAnsi="Times New Roman" w:eastAsia="Times New Roman" w:cs="Times New Roman"/>
            <w:sz w:val="21"/>
            <w:szCs w:val="21"/>
          </w:rPr>
          <w:t>Miller</w:t>
        </w:r>
      </w:hyperlink>
      <w:r>
        <w:rPr>
          <w:rFonts w:ascii="Times New Roman" w:hAnsi="Times New Roman" w:eastAsia="Times New Roman" w:cs="Times New Roman"/>
          <w:sz w:val="21"/>
          <w:szCs w:val="21"/>
        </w:rPr>
        <w:t xml:space="preserve">  RA,Kellett  MJ,Blackford  HN,Wi</w:t>
      </w:r>
      <w:r>
        <w:rPr>
          <w:rFonts w:ascii="Times New Roman" w:hAnsi="Times New Roman" w:eastAsia="Times New Roman" w:cs="Times New Roman"/>
          <w:sz w:val="21"/>
          <w:szCs w:val="21"/>
          <w:spacing w:val="-1"/>
        </w:rPr>
        <w:t>ckham  JEA,Whitfield  HN.Percutaneous  pyelolysis: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indications,complications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  results.BrJ</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Urol   1984;</w:t>
      </w:r>
      <w:r>
        <w:rPr>
          <w:rFonts w:ascii="Times New Roman" w:hAnsi="Times New Roman" w:eastAsia="Times New Roman" w:cs="Times New Roman"/>
          <w:sz w:val="21"/>
          <w:szCs w:val="21"/>
          <w:spacing w:val="-1"/>
        </w:rPr>
        <w:t>56:586-588.</w:t>
      </w:r>
    </w:p>
    <w:p>
      <w:pPr>
        <w:ind w:left="379"/>
        <w:spacing w:before="166" w:line="192" w:lineRule="auto"/>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=PubMed&amp;list_uids=6534471&amp;dopt=Abstract</w:t>
        </w:r>
      </w:hyperlink>
    </w:p>
    <w:p>
      <w:pPr>
        <w:ind w:right="20"/>
        <w:spacing w:before="137" w:line="192" w:lineRule="auto"/>
        <w:jc w:val="right"/>
        <w:rPr>
          <w:rFonts w:ascii="Times New Roman" w:hAnsi="Times New Roman" w:eastAsia="Times New Roman" w:cs="Times New Roman"/>
          <w:sz w:val="21"/>
          <w:szCs w:val="21"/>
        </w:rPr>
      </w:pPr>
      <w:hyperlink w:history="true" r:id="rId16">
        <w:r>
          <w:rPr>
            <w:rFonts w:ascii="Times New Roman" w:hAnsi="Times New Roman" w:eastAsia="Times New Roman" w:cs="Times New Roman"/>
            <w:sz w:val="21"/>
            <w:szCs w:val="21"/>
          </w:rPr>
          <w:t>16.Brannen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GE</w:t>
        </w:r>
      </w:hyperlink>
      <w:r>
        <w:rPr>
          <w:rFonts w:ascii="Times New Roman" w:hAnsi="Times New Roman" w:eastAsia="Times New Roman" w:cs="Times New Roman"/>
          <w:sz w:val="21"/>
          <w:szCs w:val="21"/>
        </w:rPr>
        <w:t>,</w:t>
      </w:r>
      <w:hyperlink w:history="true" r:id="rId29">
        <w:r>
          <w:rPr>
            <w:rFonts w:ascii="Times New Roman" w:hAnsi="Times New Roman" w:eastAsia="Times New Roman" w:cs="Times New Roman"/>
            <w:sz w:val="21"/>
            <w:szCs w:val="21"/>
          </w:rPr>
          <w:t>Bush</w:t>
        </w:r>
      </w:hyperlink>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WH,Lewis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GP.Endopyelotomy</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primary</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repair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ureteropelvic</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junction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obstruction.</w:t>
      </w:r>
    </w:p>
    <w:p>
      <w:pPr>
        <w:ind w:left="4899"/>
        <w:spacing w:before="272"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8"/>
        </w:rPr>
        <w:t>—232—</w:t>
      </w:r>
    </w:p>
    <w:p>
      <w:pPr>
        <w:spacing w:line="389" w:lineRule="auto"/>
        <w:rPr>
          <w:rFonts w:ascii="Arial"/>
          <w:sz w:val="21"/>
        </w:rPr>
      </w:pPr>
      <w:r/>
    </w:p>
    <w:p>
      <w:pPr>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4"/>
          <w:pgSz w:w="11850" w:h="16140"/>
          <w:pgMar w:top="400" w:right="1525" w:bottom="0" w:left="400" w:header="0" w:footer="0" w:gutter="0"/>
        </w:sectPr>
        <w:rPr>
          <w:rFonts w:ascii="Times New Roman" w:hAnsi="Times New Roman" w:eastAsia="Times New Roman" w:cs="Times New Roman"/>
          <w:sz w:val="21"/>
          <w:szCs w:val="21"/>
        </w:rPr>
      </w:pPr>
    </w:p>
    <w:p>
      <w:pPr>
        <w:spacing w:line="387" w:lineRule="auto"/>
        <w:rPr>
          <w:rFonts w:ascii="Arial"/>
          <w:sz w:val="21"/>
        </w:rPr>
      </w:pPr>
      <w:r/>
    </w:p>
    <w:p>
      <w:pPr>
        <w:ind w:firstLine="7260"/>
        <w:spacing w:line="510" w:lineRule="exact"/>
        <w:rPr/>
      </w:pPr>
      <w:r>
        <w:rPr>
          <w:position w:val="-10"/>
        </w:rPr>
        <w:drawing>
          <wp:inline distT="0" distB="0" distL="0" distR="0">
            <wp:extent cx="1714439" cy="323865"/>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1714439" cy="323865"/>
                    </a:xfrm>
                    <a:prstGeom prst="rect">
                      <a:avLst/>
                    </a:prstGeom>
                  </pic:spPr>
                </pic:pic>
              </a:graphicData>
            </a:graphic>
          </wp:inline>
        </w:drawing>
      </w:r>
    </w:p>
    <w:p>
      <w:pPr>
        <w:ind w:left="410"/>
        <w:spacing w:before="215"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J</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1"/>
        </w:rPr>
        <w:t>Urol   1988;139:29-32.</w:t>
      </w:r>
    </w:p>
    <w:p>
      <w:pPr>
        <w:ind w:left="410"/>
        <w:spacing w:before="186"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http://www.ncbi.nlm.nih.govlentrezlquery.fcgi?cmd=Retrieve&amp;db=PubMed&amp;list_uids=3336099&amp;dop</w:t>
        </w:r>
        <w:r>
          <w:rPr>
            <w:rFonts w:ascii="Times New Roman" w:hAnsi="Times New Roman" w:eastAsia="Times New Roman" w:cs="Times New Roman"/>
            <w:sz w:val="20"/>
            <w:szCs w:val="20"/>
            <w:spacing w:val="-1"/>
          </w:rPr>
          <w:t>t=Abstract</w:t>
        </w:r>
      </w:hyperlink>
    </w:p>
    <w:p>
      <w:pPr>
        <w:ind w:left="410" w:right="99"/>
        <w:spacing w:before="135" w:line="317"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17.Payne</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SR</w:t>
        </w:r>
      </w:hyperlink>
      <w:r>
        <w:rPr>
          <w:rFonts w:ascii="Times New Roman" w:hAnsi="Times New Roman" w:eastAsia="Times New Roman" w:cs="Times New Roman"/>
          <w:sz w:val="20"/>
          <w:szCs w:val="20"/>
        </w:rPr>
        <w:t>,</w:t>
      </w:r>
      <w:hyperlink w:history="true" r:id="rId32">
        <w:r>
          <w:rPr>
            <w:rFonts w:ascii="Times New Roman" w:hAnsi="Times New Roman" w:eastAsia="Times New Roman" w:cs="Times New Roman"/>
            <w:sz w:val="20"/>
            <w:szCs w:val="20"/>
          </w:rPr>
          <w:t>Coptcoat</w:t>
        </w:r>
      </w:hyperlink>
      <w:r>
        <w:rPr>
          <w:rFonts w:ascii="Times New Roman" w:hAnsi="Times New Roman" w:eastAsia="Times New Roman" w:cs="Times New Roman"/>
          <w:sz w:val="20"/>
          <w:szCs w:val="20"/>
        </w:rPr>
        <w:t xml:space="preserve">   MJ,Kellett    MJ,Wickham   JEA.Effecti</w:t>
      </w:r>
      <w:r>
        <w:rPr>
          <w:rFonts w:ascii="Times New Roman" w:hAnsi="Times New Roman" w:eastAsia="Times New Roman" w:cs="Times New Roman"/>
          <w:sz w:val="20"/>
          <w:szCs w:val="20"/>
          <w:spacing w:val="-1"/>
        </w:rPr>
        <w:t>ve    intubation    for   percutaneous    pyelolysis.Eur</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1988,14:477-481.</w:t>
      </w:r>
    </w:p>
    <w:p>
      <w:pPr>
        <w:ind w:left="410"/>
        <w:spacing w:before="83"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http://www.ncbi.nlm.nih.gov/entrez/query.fcgi?cmd=Retrieve&amp;db=PubMed&amp;list_uids=3181229&amp;dop</w:t>
        </w:r>
        <w:r>
          <w:rPr>
            <w:rFonts w:ascii="Times New Roman" w:hAnsi="Times New Roman" w:eastAsia="Times New Roman" w:cs="Times New Roman"/>
            <w:sz w:val="20"/>
            <w:szCs w:val="20"/>
            <w:spacing w:val="-1"/>
          </w:rPr>
          <w:t>t=Abstract</w:t>
        </w:r>
      </w:hyperlink>
    </w:p>
    <w:p>
      <w:pPr>
        <w:ind w:left="410" w:right="65"/>
        <w:spacing w:before="146" w:line="268"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18.Baba    S</w:t>
        </w:r>
      </w:hyperlink>
      <w:r>
        <w:rPr>
          <w:rFonts w:ascii="Times New Roman" w:hAnsi="Times New Roman" w:eastAsia="Times New Roman" w:cs="Times New Roman"/>
          <w:sz w:val="20"/>
          <w:szCs w:val="20"/>
        </w:rPr>
        <w:t>,</w:t>
      </w:r>
      <w:hyperlink w:history="true" r:id="rId33">
        <w:r>
          <w:rPr>
            <w:rFonts w:ascii="Times New Roman" w:hAnsi="Times New Roman" w:eastAsia="Times New Roman" w:cs="Times New Roman"/>
            <w:sz w:val="20"/>
            <w:szCs w:val="20"/>
          </w:rPr>
          <w:t>Masuda</w:t>
        </w:r>
      </w:hyperlink>
      <w:r>
        <w:rPr>
          <w:rFonts w:ascii="Times New Roman" w:hAnsi="Times New Roman" w:eastAsia="Times New Roman" w:cs="Times New Roman"/>
          <w:sz w:val="20"/>
          <w:szCs w:val="20"/>
        </w:rPr>
        <w:t xml:space="preserve">    T,Yoshimura   </w:t>
      </w:r>
      <w:r>
        <w:rPr>
          <w:rFonts w:ascii="Times New Roman" w:hAnsi="Times New Roman" w:eastAsia="Times New Roman" w:cs="Times New Roman"/>
          <w:sz w:val="20"/>
          <w:szCs w:val="20"/>
          <w:spacing w:val="-1"/>
        </w:rPr>
        <w:t xml:space="preserve"> K,Ohkuma     K,Ido    K,Sugiura    K,Tazaki    H.Percutaneous     transperitoneal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endopyelotomy</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ureteroplasty</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pelvic</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kidney</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
        </w:rPr>
        <w:t>ssociated</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1"/>
        </w:rPr>
        <w:t>with</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1"/>
        </w:rPr>
        <w:t>ureteral</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1"/>
        </w:rPr>
        <w:t>calculus.JEndourol</w:t>
      </w:r>
      <w:r>
        <w:rPr>
          <w:rFonts w:ascii="Times New Roman" w:hAnsi="Times New Roman" w:eastAsia="Times New Roman" w:cs="Times New Roman"/>
          <w:sz w:val="20"/>
          <w:szCs w:val="20"/>
          <w:spacing w:val="45"/>
        </w:rPr>
        <w:t xml:space="preserve"> </w:t>
      </w:r>
      <w:r>
        <w:rPr>
          <w:rFonts w:ascii="Times New Roman" w:hAnsi="Times New Roman" w:eastAsia="Times New Roman" w:cs="Times New Roman"/>
          <w:sz w:val="20"/>
          <w:szCs w:val="20"/>
          <w:spacing w:val="-1"/>
        </w:rPr>
        <w:t>1990;4:253-258.</w:t>
      </w:r>
    </w:p>
    <w:p>
      <w:pPr>
        <w:ind w:left="410"/>
        <w:spacing w:before="1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19.Kuenkel   M,Korth   K.Endopyelotomy:lo</w:t>
      </w:r>
      <w:r>
        <w:rPr>
          <w:rFonts w:ascii="Times New Roman" w:hAnsi="Times New Roman" w:eastAsia="Times New Roman" w:cs="Times New Roman"/>
          <w:sz w:val="20"/>
          <w:szCs w:val="20"/>
          <w:spacing w:val="-1"/>
        </w:rPr>
        <w:t>ng   term   follow-up   of   143   patients.JEndourol    1990;4:109-116.</w:t>
      </w:r>
    </w:p>
    <w:p>
      <w:pPr>
        <w:ind w:left="410" w:right="65"/>
        <w:spacing w:before="147" w:line="25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w:t>
      </w:r>
      <w:r>
        <w:rPr>
          <w:rFonts w:ascii="Times New Roman" w:hAnsi="Times New Roman" w:eastAsia="Times New Roman" w:cs="Times New Roman"/>
          <w:sz w:val="20"/>
          <w:szCs w:val="20"/>
        </w:rPr>
        <w:t>Gelet</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Martin</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X</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DessoukiT</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Ureteropelvic</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rPr>
        <w:t>invagination</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reliable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technique</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endopyelotomy</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JEndourol </w:t>
      </w:r>
      <w:r>
        <w:rPr>
          <w:rFonts w:ascii="Times New Roman" w:hAnsi="Times New Roman" w:eastAsia="Times New Roman" w:cs="Times New Roman"/>
          <w:sz w:val="20"/>
          <w:szCs w:val="20"/>
          <w:spacing w:val="-1"/>
        </w:rPr>
        <w:t>1991;5:223-224.</w:t>
      </w:r>
    </w:p>
    <w:p>
      <w:pPr>
        <w:ind w:left="410" w:right="69"/>
        <w:spacing w:before="176" w:line="26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21.Cassis    AN,Brannen     GE,Bush     WH,Correa     RJ,Chambers     M.Endopyelotomy:review     of    result</w:t>
      </w:r>
      <w:r>
        <w:rPr>
          <w:rFonts w:ascii="Times New Roman" w:hAnsi="Times New Roman" w:eastAsia="Times New Roman" w:cs="Times New Roman"/>
          <w:sz w:val="20"/>
          <w:szCs w:val="20"/>
          <w:spacing w:val="-1"/>
        </w:rPr>
        <w:t>s     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complications.J    Urol    1991;146:1492-1495.</w:t>
      </w:r>
    </w:p>
    <w:p>
      <w:pPr>
        <w:ind w:left="410"/>
        <w:spacing w:before="166"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http://www.ncbi.nlm.nih.gov/entrez/query.fcgi?cmd=Retrieve&amp;db=PubMed&amp;list_uids=1942325&amp;dop</w:t>
        </w:r>
        <w:r>
          <w:rPr>
            <w:rFonts w:ascii="Times New Roman" w:hAnsi="Times New Roman" w:eastAsia="Times New Roman" w:cs="Times New Roman"/>
            <w:sz w:val="20"/>
            <w:szCs w:val="20"/>
            <w:spacing w:val="-1"/>
          </w:rPr>
          <w:t>t=Abstract</w:t>
        </w:r>
      </w:hyperlink>
    </w:p>
    <w:p>
      <w:pPr>
        <w:ind w:left="410" w:right="65"/>
        <w:spacing w:before="156" w:line="328"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22.MotolaJA</w:t>
        </w:r>
      </w:hyperlink>
      <w:r>
        <w:rPr>
          <w:rFonts w:ascii="Times New Roman" w:hAnsi="Times New Roman" w:eastAsia="Times New Roman" w:cs="Times New Roman"/>
          <w:sz w:val="20"/>
          <w:szCs w:val="20"/>
        </w:rPr>
        <w:t>,</w:t>
      </w:r>
      <w:hyperlink w:history="true" r:id="rId34">
        <w:r>
          <w:rPr>
            <w:rFonts w:ascii="Times New Roman" w:hAnsi="Times New Roman" w:eastAsia="Times New Roman" w:cs="Times New Roman"/>
            <w:sz w:val="20"/>
            <w:szCs w:val="20"/>
          </w:rPr>
          <w:t>Badlani</w:t>
        </w:r>
      </w:hyperlink>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GH,Smith</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AD.Results</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3"/>
        </w:rPr>
        <w:t xml:space="preserve">  </w:t>
      </w:r>
      <w:r>
        <w:rPr>
          <w:rFonts w:ascii="Times New Roman" w:hAnsi="Times New Roman" w:eastAsia="Times New Roman" w:cs="Times New Roman"/>
          <w:sz w:val="20"/>
          <w:szCs w:val="20"/>
        </w:rPr>
        <w:t>212</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rPr>
        <w:t>consecutive   e</w:t>
      </w:r>
      <w:r>
        <w:rPr>
          <w:rFonts w:ascii="Times New Roman" w:hAnsi="Times New Roman" w:eastAsia="Times New Roman" w:cs="Times New Roman"/>
          <w:sz w:val="20"/>
          <w:szCs w:val="20"/>
          <w:spacing w:val="-1"/>
        </w:rPr>
        <w:t>ndopyelotomies:an   8-year   followup.J</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1"/>
        </w:rPr>
        <w:t>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1993;149:453-456.</w:t>
      </w:r>
    </w:p>
    <w:p>
      <w:pPr>
        <w:ind w:left="410"/>
        <w:spacing w:before="52"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http://www.ncbi.nlm.nih.gov/entrez/query.fcgi?cmd=Retrieve&amp;db=PubMed&amp;list_uids=8437245&amp;dop</w:t>
        </w:r>
        <w:r>
          <w:rPr>
            <w:rFonts w:ascii="Times New Roman" w:hAnsi="Times New Roman" w:eastAsia="Times New Roman" w:cs="Times New Roman"/>
            <w:sz w:val="20"/>
            <w:szCs w:val="20"/>
            <w:spacing w:val="-1"/>
          </w:rPr>
          <w:t>t=Abstract</w:t>
        </w:r>
      </w:hyperlink>
    </w:p>
    <w:p>
      <w:pPr>
        <w:ind w:left="410" w:right="68"/>
        <w:spacing w:before="155" w:line="317"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23.Klahr   S</w:t>
        </w:r>
      </w:hyperlink>
      <w:r>
        <w:rPr>
          <w:rFonts w:ascii="Times New Roman" w:hAnsi="Times New Roman" w:eastAsia="Times New Roman" w:cs="Times New Roman"/>
          <w:sz w:val="20"/>
          <w:szCs w:val="20"/>
        </w:rPr>
        <w:t>,</w:t>
      </w:r>
      <w:hyperlink w:history="true" r:id="rId35">
        <w:r>
          <w:rPr>
            <w:rFonts w:ascii="Times New Roman" w:hAnsi="Times New Roman" w:eastAsia="Times New Roman" w:cs="Times New Roman"/>
            <w:sz w:val="20"/>
            <w:szCs w:val="20"/>
          </w:rPr>
          <w:t>Chandhoke</w:t>
        </w:r>
      </w:hyperlink>
      <w:r>
        <w:rPr>
          <w:rFonts w:ascii="Times New Roman" w:hAnsi="Times New Roman" w:eastAsia="Times New Roman" w:cs="Times New Roman"/>
          <w:sz w:val="20"/>
          <w:szCs w:val="20"/>
        </w:rPr>
        <w:t xml:space="preserve">    P,Clayman   RV.Review:obstructive    uropathy-renal   effect</w:t>
      </w:r>
      <w:r>
        <w:rPr>
          <w:rFonts w:ascii="Times New Roman" w:hAnsi="Times New Roman" w:eastAsia="Times New Roman" w:cs="Times New Roman"/>
          <w:sz w:val="20"/>
          <w:szCs w:val="20"/>
          <w:spacing w:val="-1"/>
        </w:rPr>
        <w:t>s    and    endosurgical   relief.J</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Endourol</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spacing w:val="-1"/>
        </w:rPr>
        <w:t>1993;7:395-398.</w:t>
      </w:r>
    </w:p>
    <w:p>
      <w:pPr>
        <w:ind w:left="410"/>
        <w:spacing w:before="63"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http://www.ncbi.nlm.nih.gov/entrez/query.fcgi?cmd=Retrieve&amp;db=PubMed&amp;list_uids=8298622&amp;dop</w:t>
        </w:r>
        <w:r>
          <w:rPr>
            <w:rFonts w:ascii="Times New Roman" w:hAnsi="Times New Roman" w:eastAsia="Times New Roman" w:cs="Times New Roman"/>
            <w:sz w:val="20"/>
            <w:szCs w:val="20"/>
            <w:spacing w:val="-1"/>
          </w:rPr>
          <w:t>t=Abstract</w:t>
        </w:r>
      </w:hyperlink>
    </w:p>
    <w:p>
      <w:pPr>
        <w:ind w:left="410" w:right="64"/>
        <w:spacing w:before="166" w:line="339"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24.Motola   JA</w:t>
        </w:r>
      </w:hyperlink>
      <w:r>
        <w:rPr>
          <w:rFonts w:ascii="Times New Roman" w:hAnsi="Times New Roman" w:eastAsia="Times New Roman" w:cs="Times New Roman"/>
          <w:sz w:val="20"/>
          <w:szCs w:val="20"/>
        </w:rPr>
        <w:t>,</w:t>
      </w:r>
      <w:hyperlink w:history="true" r:id="rId36">
        <w:r>
          <w:rPr>
            <w:rFonts w:ascii="Times New Roman" w:hAnsi="Times New Roman" w:eastAsia="Times New Roman" w:cs="Times New Roman"/>
            <w:sz w:val="20"/>
            <w:szCs w:val="20"/>
          </w:rPr>
          <w:t>Fried</w:t>
        </w:r>
      </w:hyperlink>
      <w:r>
        <w:rPr>
          <w:rFonts w:ascii="Times New Roman" w:hAnsi="Times New Roman" w:eastAsia="Times New Roman" w:cs="Times New Roman"/>
          <w:sz w:val="20"/>
          <w:szCs w:val="20"/>
        </w:rPr>
        <w:t xml:space="preserve">   R,Badlani   GH,Smith   AD.Failed   endopyelotomy:impli</w:t>
      </w:r>
      <w:r>
        <w:rPr>
          <w:rFonts w:ascii="Times New Roman" w:hAnsi="Times New Roman" w:eastAsia="Times New Roman" w:cs="Times New Roman"/>
          <w:sz w:val="20"/>
          <w:szCs w:val="20"/>
          <w:spacing w:val="-1"/>
        </w:rPr>
        <w:t>cations   for   future   surgery   on   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ureteropelvic</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rPr>
        <w:t>junction.J   Urol    1993;150:821-823.</w:t>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410"/>
            <w:spacing w:before="30" w:line="192" w:lineRule="auto"/>
            <w:rPr>
              <w:rFonts w:ascii="Times New Roman" w:hAnsi="Times New Roman" w:eastAsia="Times New Roman" w:cs="Times New Roman"/>
              <w:sz w:val="20"/>
              <w:szCs w:val="20"/>
            </w:rPr>
          </w:pPr>
          <w:hyperlink w:history="true" w:anchor="bookmark1">
            <w:r>
              <w:rPr>
                <w:rFonts w:ascii="Times New Roman" w:hAnsi="Times New Roman" w:eastAsia="Times New Roman" w:cs="Times New Roman"/>
                <w:sz w:val="20"/>
                <w:szCs w:val="20"/>
              </w:rPr>
              <w:t>http://www.ncbi.nlm.nih.gov/entrez/query.fcgi?cmd=Retrieve&amp;db=PubMed&amp;list_uids=8345591&amp;dop</w:t>
            </w:r>
            <w:r>
              <w:rPr>
                <w:rFonts w:ascii="Times New Roman" w:hAnsi="Times New Roman" w:eastAsia="Times New Roman" w:cs="Times New Roman"/>
                <w:sz w:val="20"/>
                <w:szCs w:val="20"/>
                <w:spacing w:val="-1"/>
              </w:rPr>
              <w:t>t=Abstract</w:t>
            </w:r>
          </w:hyperlink>
        </w:p>
        <w:p>
          <w:pPr>
            <w:ind w:left="410"/>
            <w:spacing w:before="156" w:line="192" w:lineRule="auto"/>
            <w:rPr>
              <w:rFonts w:ascii="Times New Roman" w:hAnsi="Times New Roman" w:eastAsia="Times New Roman" w:cs="Times New Roman"/>
              <w:sz w:val="20"/>
              <w:szCs w:val="20"/>
            </w:rPr>
          </w:pPr>
          <w:hyperlink w:history="true" w:anchor="bookmark2">
            <w:r>
              <w:rPr>
                <w:rFonts w:ascii="Times New Roman" w:hAnsi="Times New Roman" w:eastAsia="Times New Roman" w:cs="Times New Roman"/>
                <w:sz w:val="20"/>
                <w:szCs w:val="20"/>
              </w:rPr>
              <w:t>25.Gerber</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GS,Lyon</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ES.Endopyelotomy:patient</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rPr>
              <w:t>selection,res</w:t>
            </w:r>
            <w:r>
              <w:rPr>
                <w:rFonts w:ascii="Times New Roman" w:hAnsi="Times New Roman" w:eastAsia="Times New Roman" w:cs="Times New Roman"/>
                <w:sz w:val="20"/>
                <w:szCs w:val="20"/>
                <w:spacing w:val="-1"/>
              </w:rPr>
              <w:t>ults</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and</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complications.Urology    1994;43:2-10.</w:t>
            </w:r>
          </w:hyperlink>
        </w:p>
        <w:p>
          <w:pPr>
            <w:ind w:left="410"/>
            <w:spacing w:before="146" w:line="192" w:lineRule="auto"/>
            <w:rPr>
              <w:rFonts w:ascii="Times New Roman" w:hAnsi="Times New Roman" w:eastAsia="Times New Roman" w:cs="Times New Roman"/>
              <w:sz w:val="20"/>
              <w:szCs w:val="20"/>
            </w:rPr>
          </w:pPr>
          <w:hyperlink w:history="true" w:anchor="bookmark3">
            <w:r>
              <w:rPr>
                <w:rFonts w:ascii="Times New Roman" w:hAnsi="Times New Roman" w:eastAsia="Times New Roman" w:cs="Times New Roman"/>
                <w:sz w:val="20"/>
                <w:szCs w:val="20"/>
              </w:rPr>
              <w:t>http://www.ncbi.nlm.nih.gov/entrez/query.fcgi?cmd=Retrieve&amp;db=PubMed&amp;list_uids=8284881&amp;dop</w:t>
            </w:r>
            <w:r>
              <w:rPr>
                <w:rFonts w:ascii="Times New Roman" w:hAnsi="Times New Roman" w:eastAsia="Times New Roman" w:cs="Times New Roman"/>
                <w:sz w:val="20"/>
                <w:szCs w:val="20"/>
                <w:spacing w:val="-1"/>
              </w:rPr>
              <w:t>t=Abstract</w:t>
            </w:r>
          </w:hyperlink>
        </w:p>
        <w:p>
          <w:pPr>
            <w:ind w:left="410"/>
            <w:spacing w:before="166" w:line="192" w:lineRule="auto"/>
            <w:rPr>
              <w:rFonts w:ascii="Times New Roman" w:hAnsi="Times New Roman" w:eastAsia="Times New Roman" w:cs="Times New Roman"/>
              <w:sz w:val="20"/>
              <w:szCs w:val="20"/>
            </w:rPr>
          </w:pPr>
          <w:hyperlink w:history="true" w:anchor="bookmark4">
            <w:r>
              <w:rPr>
                <w:rFonts w:ascii="Times New Roman" w:hAnsi="Times New Roman" w:eastAsia="Times New Roman" w:cs="Times New Roman"/>
                <w:sz w:val="20"/>
                <w:szCs w:val="20"/>
              </w:rPr>
              <w:t>26.Nakamura    K,Baba      S,Tazaki     H.Endopylotomy     in     horseshoe</w:t>
            </w:r>
            <w:r>
              <w:rPr>
                <w:rFonts w:ascii="Times New Roman" w:hAnsi="Times New Roman" w:eastAsia="Times New Roman" w:cs="Times New Roman"/>
                <w:sz w:val="20"/>
                <w:szCs w:val="20"/>
                <w:spacing w:val="-1"/>
              </w:rPr>
              <w:t xml:space="preserve">    kidneys.J     Endourol      1994;8:203-206.</w:t>
            </w:r>
          </w:hyperlink>
        </w:p>
      </w:sdtContent>
    </w:sdt>
    <w:p>
      <w:pPr>
        <w:ind w:left="410"/>
        <w:spacing w:before="146"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http://www.ncbi.nlm.nih.gov/entrez/query.fcgi?cmd=Retrieve&amp;db=PubMed&amp;list_uids=7951285&amp;dop</w:t>
        </w:r>
        <w:r>
          <w:rPr>
            <w:rFonts w:ascii="Times New Roman" w:hAnsi="Times New Roman" w:eastAsia="Times New Roman" w:cs="Times New Roman"/>
            <w:sz w:val="20"/>
            <w:szCs w:val="20"/>
            <w:spacing w:val="-1"/>
          </w:rPr>
          <w:t>t=Abstract</w:t>
        </w:r>
      </w:hyperlink>
    </w:p>
    <w:p>
      <w:pPr>
        <w:ind w:left="410" w:right="69"/>
        <w:spacing w:before="147" w:line="328"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27.Bagley   DH</w:t>
        </w:r>
      </w:hyperlink>
      <w:r>
        <w:rPr>
          <w:rFonts w:ascii="Times New Roman" w:hAnsi="Times New Roman" w:eastAsia="Times New Roman" w:cs="Times New Roman"/>
          <w:sz w:val="20"/>
          <w:szCs w:val="20"/>
        </w:rPr>
        <w:t>,</w:t>
      </w:r>
      <w:hyperlink w:history="true" r:id="rId37">
        <w:r>
          <w:rPr>
            <w:rFonts w:ascii="Times New Roman" w:hAnsi="Times New Roman" w:eastAsia="Times New Roman" w:cs="Times New Roman"/>
            <w:sz w:val="20"/>
            <w:szCs w:val="20"/>
          </w:rPr>
          <w:t>Liu</w:t>
        </w:r>
      </w:hyperlink>
      <w:r>
        <w:rPr>
          <w:rFonts w:ascii="Times New Roman" w:hAnsi="Times New Roman" w:eastAsia="Times New Roman" w:cs="Times New Roman"/>
          <w:sz w:val="20"/>
          <w:szCs w:val="20"/>
        </w:rPr>
        <w:t xml:space="preserve">   JB,Goldberg   BB,Grasso   M.Endopyelotomy:importance   of   crossing   vessels</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demonstrated</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by</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endoluminal</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rPr>
        <w:t>ultrasonography.J</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rPr>
        <w:t>Endourol   199</w:t>
      </w:r>
      <w:r>
        <w:rPr>
          <w:rFonts w:ascii="Times New Roman" w:hAnsi="Times New Roman" w:eastAsia="Times New Roman" w:cs="Times New Roman"/>
          <w:sz w:val="20"/>
          <w:szCs w:val="20"/>
          <w:spacing w:val="-1"/>
        </w:rPr>
        <w:t>5;9:465-467.</w:t>
      </w:r>
    </w:p>
    <w:p>
      <w:pPr>
        <w:ind w:left="410"/>
        <w:spacing w:before="51"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http://www.ncbi.nlm.nih.gov/entrez/query.fcgi?cmd=Retrieve&amp;db=PubMed&amp;list_uids=8775076&amp;dop</w:t>
        </w:r>
        <w:r>
          <w:rPr>
            <w:rFonts w:ascii="Times New Roman" w:hAnsi="Times New Roman" w:eastAsia="Times New Roman" w:cs="Times New Roman"/>
            <w:sz w:val="20"/>
            <w:szCs w:val="20"/>
            <w:spacing w:val="-1"/>
          </w:rPr>
          <w:t>t=Abstract</w:t>
        </w:r>
      </w:hyperlink>
    </w:p>
    <w:p>
      <w:pPr>
        <w:ind w:left="410" w:right="69"/>
        <w:spacing w:before="146" w:line="357"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28.Danuser    H</w:t>
        </w:r>
      </w:hyperlink>
      <w:r>
        <w:rPr>
          <w:rFonts w:ascii="Times New Roman" w:hAnsi="Times New Roman" w:eastAsia="Times New Roman" w:cs="Times New Roman"/>
          <w:sz w:val="20"/>
          <w:szCs w:val="20"/>
        </w:rPr>
        <w:t>,</w:t>
      </w:r>
      <w:hyperlink w:history="true" r:id="rId38">
        <w:r>
          <w:rPr>
            <w:rFonts w:ascii="Times New Roman" w:hAnsi="Times New Roman" w:eastAsia="Times New Roman" w:cs="Times New Roman"/>
            <w:sz w:val="20"/>
            <w:szCs w:val="20"/>
          </w:rPr>
          <w:t>Ackermann</w:t>
        </w:r>
      </w:hyperlink>
      <w:r>
        <w:rPr>
          <w:rFonts w:ascii="Times New Roman" w:hAnsi="Times New Roman" w:eastAsia="Times New Roman" w:cs="Times New Roman"/>
          <w:sz w:val="20"/>
          <w:szCs w:val="20"/>
        </w:rPr>
        <w:t xml:space="preserve">    DK,B?hlen    D,Studer    UE.Endopyelotomy     for    primary    ureteropelvic    j</w:t>
      </w:r>
      <w:r>
        <w:rPr>
          <w:rFonts w:ascii="Times New Roman" w:hAnsi="Times New Roman" w:eastAsia="Times New Roman" w:cs="Times New Roman"/>
          <w:sz w:val="20"/>
          <w:szCs w:val="20"/>
          <w:spacing w:val="-1"/>
        </w:rPr>
        <w:t>unction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obstruction:risk</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rPr>
        <w:t>facto</w:t>
      </w:r>
      <w:r>
        <w:rPr>
          <w:rFonts w:ascii="Times New Roman" w:hAnsi="Times New Roman" w:eastAsia="Times New Roman" w:cs="Times New Roman"/>
          <w:sz w:val="20"/>
          <w:szCs w:val="20"/>
          <w:spacing w:val="-1"/>
        </w:rPr>
        <w:t>rs</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1"/>
        </w:rPr>
        <w:t>determine</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the</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1"/>
        </w:rPr>
        <w:t>success</w:t>
      </w:r>
      <w:r>
        <w:rPr>
          <w:rFonts w:ascii="Times New Roman" w:hAnsi="Times New Roman" w:eastAsia="Times New Roman" w:cs="Times New Roman"/>
          <w:sz w:val="20"/>
          <w:szCs w:val="20"/>
          <w:spacing w:val="14"/>
        </w:rPr>
        <w:t xml:space="preserve">  </w:t>
      </w:r>
      <w:r>
        <w:rPr>
          <w:rFonts w:ascii="Times New Roman" w:hAnsi="Times New Roman" w:eastAsia="Times New Roman" w:cs="Times New Roman"/>
          <w:sz w:val="20"/>
          <w:szCs w:val="20"/>
          <w:spacing w:val="-1"/>
        </w:rPr>
        <w:t>rate.J</w:t>
      </w:r>
      <w:r>
        <w:rPr>
          <w:rFonts w:ascii="Times New Roman" w:hAnsi="Times New Roman" w:eastAsia="Times New Roman" w:cs="Times New Roman"/>
          <w:sz w:val="20"/>
          <w:szCs w:val="20"/>
          <w:spacing w:val="14"/>
          <w:w w:val="101"/>
        </w:rPr>
        <w:t xml:space="preserve">  </w:t>
      </w:r>
      <w:r>
        <w:rPr>
          <w:rFonts w:ascii="Times New Roman" w:hAnsi="Times New Roman" w:eastAsia="Times New Roman" w:cs="Times New Roman"/>
          <w:sz w:val="20"/>
          <w:szCs w:val="20"/>
          <w:spacing w:val="-1"/>
        </w:rPr>
        <w:t>Urol   1998;159:56-61.</w:t>
      </w:r>
    </w:p>
    <w:p>
      <w:pPr>
        <w:ind w:left="410"/>
        <w:spacing w:before="26"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http://www.ncbi.nlm.nih.gov/entrez/query.fcgi?cmd=Retrieve&amp;db=PubMed&amp;list_uids=9400436&amp;dop</w:t>
        </w:r>
        <w:r>
          <w:rPr>
            <w:rFonts w:ascii="Times New Roman" w:hAnsi="Times New Roman" w:eastAsia="Times New Roman" w:cs="Times New Roman"/>
            <w:sz w:val="20"/>
            <w:szCs w:val="20"/>
            <w:spacing w:val="-1"/>
          </w:rPr>
          <w:t>t=Abstract</w:t>
        </w:r>
      </w:hyperlink>
    </w:p>
    <w:p>
      <w:pPr>
        <w:ind w:left="410" w:right="65"/>
        <w:spacing w:before="146" w:line="338"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29.Van    Cangh    PJ.Editorial.Endopyelotomy     -a    panacea     for    ureteropelvic    junction     obstru</w:t>
        </w:r>
        <w:r>
          <w:rPr>
            <w:rFonts w:ascii="Times New Roman" w:hAnsi="Times New Roman" w:eastAsia="Times New Roman" w:cs="Times New Roman"/>
            <w:sz w:val="20"/>
            <w:szCs w:val="20"/>
            <w:spacing w:val="-1"/>
          </w:rPr>
          <w:t>ction?J    Urol</w:t>
        </w:r>
      </w:hyperlink>
      <w:r>
        <w:rPr>
          <w:rFonts w:ascii="Times New Roman" w:hAnsi="Times New Roman" w:eastAsia="Times New Roman" w:cs="Times New Roman"/>
          <w:sz w:val="20"/>
          <w:szCs w:val="20"/>
        </w:rPr>
        <w:t xml:space="preserve"> </w:t>
      </w:r>
      <w:hyperlink w:history="true" r:id="rId31">
        <w:r>
          <w:rPr>
            <w:rFonts w:ascii="Times New Roman" w:hAnsi="Times New Roman" w:eastAsia="Times New Roman" w:cs="Times New Roman"/>
            <w:sz w:val="20"/>
            <w:szCs w:val="20"/>
            <w:spacing w:val="-3"/>
          </w:rPr>
          <w:t>1998</w:t>
        </w:r>
      </w:hyperlink>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5"/>
        </w:rPr>
        <w:t xml:space="preserve"> </w:t>
      </w:r>
      <w:hyperlink w:history="true" r:id="rId39">
        <w:r>
          <w:rPr>
            <w:rFonts w:ascii="Times New Roman" w:hAnsi="Times New Roman" w:eastAsia="Times New Roman" w:cs="Times New Roman"/>
            <w:sz w:val="20"/>
            <w:szCs w:val="20"/>
            <w:spacing w:val="-3"/>
          </w:rPr>
          <w:t>159:66</w:t>
        </w:r>
      </w:hyperlink>
      <w:r>
        <w:rPr>
          <w:rFonts w:ascii="Times New Roman" w:hAnsi="Times New Roman" w:eastAsia="Times New Roman" w:cs="Times New Roman"/>
          <w:sz w:val="20"/>
          <w:szCs w:val="20"/>
          <w:spacing w:val="-3"/>
        </w:rPr>
        <w:t>.</w:t>
      </w:r>
    </w:p>
    <w:p>
      <w:pPr>
        <w:ind w:left="410"/>
        <w:spacing w:before="32" w:line="192"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http://www.ncbi.nlm.nih.gov/entrez/query.fcgi?cmd=Retrieve&amp;db=PubMed&amp;list_uids=9400438&amp;dop</w:t>
        </w:r>
        <w:r>
          <w:rPr>
            <w:rFonts w:ascii="Times New Roman" w:hAnsi="Times New Roman" w:eastAsia="Times New Roman" w:cs="Times New Roman"/>
            <w:sz w:val="20"/>
            <w:szCs w:val="20"/>
            <w:spacing w:val="-1"/>
          </w:rPr>
          <w:t>t=Abstract</w:t>
        </w:r>
      </w:hyperlink>
    </w:p>
    <w:p>
      <w:pPr>
        <w:ind w:left="410" w:right="64"/>
        <w:spacing w:before="145" w:line="279" w:lineRule="auto"/>
        <w:rPr>
          <w:rFonts w:ascii="Times New Roman" w:hAnsi="Times New Roman" w:eastAsia="Times New Roman" w:cs="Times New Roman"/>
          <w:sz w:val="20"/>
          <w:szCs w:val="20"/>
        </w:rPr>
      </w:pPr>
      <w:hyperlink w:history="true" r:id="rId31">
        <w:r>
          <w:rPr>
            <w:rFonts w:ascii="Times New Roman" w:hAnsi="Times New Roman" w:eastAsia="Times New Roman" w:cs="Times New Roman"/>
            <w:sz w:val="20"/>
            <w:szCs w:val="20"/>
          </w:rPr>
          <w:t>30.Gallucci     M</w:t>
        </w:r>
      </w:hyperlink>
      <w:r>
        <w:rPr>
          <w:rFonts w:ascii="Times New Roman" w:hAnsi="Times New Roman" w:eastAsia="Times New Roman" w:cs="Times New Roman"/>
          <w:sz w:val="20"/>
          <w:szCs w:val="20"/>
        </w:rPr>
        <w:t>,</w:t>
      </w:r>
      <w:hyperlink w:history="true" r:id="rId40">
        <w:r>
          <w:rPr>
            <w:rFonts w:ascii="Times New Roman" w:hAnsi="Times New Roman" w:eastAsia="Times New Roman" w:cs="Times New Roman"/>
            <w:sz w:val="20"/>
            <w:szCs w:val="20"/>
          </w:rPr>
          <w:t>Alpi</w:t>
        </w:r>
      </w:hyperlink>
      <w:r>
        <w:rPr>
          <w:rFonts w:ascii="Times New Roman" w:hAnsi="Times New Roman" w:eastAsia="Times New Roman" w:cs="Times New Roman"/>
          <w:sz w:val="20"/>
          <w:szCs w:val="20"/>
        </w:rPr>
        <w:t xml:space="preserve">     G,Ricciuti      GP,Cassanelli   </w:t>
      </w:r>
      <w:r>
        <w:rPr>
          <w:rFonts w:ascii="Times New Roman" w:hAnsi="Times New Roman" w:eastAsia="Times New Roman" w:cs="Times New Roman"/>
          <w:sz w:val="20"/>
          <w:szCs w:val="20"/>
          <w:spacing w:val="-1"/>
        </w:rPr>
        <w:t xml:space="preserve">  A,Persechino     F,Di      Silverio     F.Retrograde      cold-knife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endopyelotomy  in  secondary</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stenosis  of  the  ureteropelvic  junction.J</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Endourol   1991;</w:t>
      </w:r>
      <w:r>
        <w:rPr>
          <w:rFonts w:ascii="Times New Roman" w:hAnsi="Times New Roman" w:eastAsia="Times New Roman" w:cs="Times New Roman"/>
          <w:sz w:val="20"/>
          <w:szCs w:val="20"/>
          <w:spacing w:val="-1"/>
        </w:rPr>
        <w:t>5:49-50.</w:t>
      </w:r>
    </w:p>
    <w:p>
      <w:pPr>
        <w:ind w:left="529" w:right="65" w:hanging="119"/>
        <w:spacing w:before="125" w:line="27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31.Chowdhury</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rPr>
        <w:t>SD,Kenogbon   J.Rigid    ureteroscopic    endopy</w:t>
      </w:r>
      <w:r>
        <w:rPr>
          <w:rFonts w:ascii="Times New Roman" w:hAnsi="Times New Roman" w:eastAsia="Times New Roman" w:cs="Times New Roman"/>
          <w:sz w:val="20"/>
          <w:szCs w:val="20"/>
          <w:spacing w:val="-1"/>
        </w:rPr>
        <w:t>elotomy   without    external    drainage.J    Endourol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1"/>
        </w:rPr>
        <w:t>1992;6:357-360.</w:t>
      </w:r>
    </w:p>
    <w:p>
      <w:pPr>
        <w:ind w:left="410"/>
        <w:spacing w:before="1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32.Chandhoke    PS,Clayman     RV,Stone     AM,McDougall    EM,Buelna     T,Hilal     N,Chang    </w:t>
      </w:r>
      <w:r>
        <w:rPr>
          <w:rFonts w:ascii="Times New Roman" w:hAnsi="Times New Roman" w:eastAsia="Times New Roman" w:cs="Times New Roman"/>
          <w:sz w:val="20"/>
          <w:szCs w:val="20"/>
          <w:spacing w:val="-1"/>
        </w:rPr>
        <w:t>M,Stegwell     MJ.</w:t>
      </w:r>
    </w:p>
    <w:p>
      <w:pPr>
        <w:spacing w:line="260" w:lineRule="auto"/>
        <w:rPr>
          <w:rFonts w:ascii="Arial"/>
          <w:sz w:val="21"/>
        </w:rPr>
      </w:pPr>
      <w:r/>
    </w:p>
    <w:p>
      <w:pPr>
        <w:ind w:left="485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—233—</w:t>
      </w:r>
    </w:p>
    <w:p>
      <w:pPr>
        <w:spacing w:before="26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pgSz w:w="11850" w:h="16140"/>
          <w:pgMar w:top="400" w:right="1510" w:bottom="0" w:left="380" w:header="0" w:footer="0" w:gutter="0"/>
        </w:sectPr>
        <w:rPr>
          <w:rFonts w:ascii="Times New Roman" w:hAnsi="Times New Roman" w:eastAsia="Times New Roman" w:cs="Times New Roman"/>
          <w:sz w:val="20"/>
          <w:szCs w:val="20"/>
        </w:rPr>
      </w:pPr>
    </w:p>
    <w:p>
      <w:pPr>
        <w:spacing w:line="268" w:lineRule="auto"/>
        <w:rPr>
          <w:rFonts w:ascii="Arial"/>
          <w:sz w:val="21"/>
        </w:rPr>
      </w:pPr>
      <w:r/>
    </w:p>
    <w:p>
      <w:pPr>
        <w:ind w:firstLine="589"/>
        <w:spacing w:line="520" w:lineRule="exact"/>
        <w:rPr/>
      </w:pPr>
      <w:r>
        <w:rPr>
          <w:position w:val="-10"/>
        </w:rPr>
        <w:drawing>
          <wp:inline distT="0" distB="0" distL="0" distR="0">
            <wp:extent cx="1708193" cy="330219"/>
            <wp:effectExtent l="0" t="0" r="0" b="0"/>
            <wp:docPr id="18" name="IM 18"/>
            <wp:cNvGraphicFramePr/>
            <a:graphic>
              <a:graphicData uri="http://schemas.openxmlformats.org/drawingml/2006/picture">
                <pic:pic>
                  <pic:nvPicPr>
                    <pic:cNvPr id="18" name="IM 18"/>
                    <pic:cNvPicPr/>
                  </pic:nvPicPr>
                  <pic:blipFill>
                    <a:blip r:embed="rId41"/>
                    <a:stretch>
                      <a:fillRect/>
                    </a:stretch>
                  </pic:blipFill>
                  <pic:spPr>
                    <a:xfrm rot="0">
                      <a:off x="0" y="0"/>
                      <a:ext cx="1708193" cy="330219"/>
                    </a:xfrm>
                    <a:prstGeom prst="rect">
                      <a:avLst/>
                    </a:prstGeom>
                  </pic:spPr>
                </pic:pic>
              </a:graphicData>
            </a:graphic>
          </wp:inline>
        </w:drawing>
      </w:r>
    </w:p>
    <w:p>
      <w:pPr>
        <w:ind w:left="569" w:firstLine="119"/>
        <w:spacing w:before="216" w:line="32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Endopyelotomy</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endoureterotomy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wit</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acucise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ureteral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cutting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balloon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device:preliminary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Endourol  1993;7;45-51.</w:t>
      </w:r>
    </w:p>
    <w:p>
      <w:pPr>
        <w:ind w:left="569"/>
        <w:spacing w:before="33" w:line="192" w:lineRule="auto"/>
        <w:rPr>
          <w:rFonts w:ascii="Times New Roman" w:hAnsi="Times New Roman" w:eastAsia="Times New Roman" w:cs="Times New Roman"/>
          <w:sz w:val="21"/>
          <w:szCs w:val="21"/>
        </w:rPr>
      </w:pPr>
      <w:hyperlink w:history="true" r:id="rId42">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st_uids=8481721&amp;dopt=Abstract</w:t>
        </w:r>
      </w:hyperlink>
    </w:p>
    <w:p>
      <w:pPr>
        <w:ind w:left="569" w:right="103"/>
        <w:spacing w:before="127" w:line="321" w:lineRule="auto"/>
        <w:rPr>
          <w:rFonts w:ascii="Times New Roman" w:hAnsi="Times New Roman" w:eastAsia="Times New Roman" w:cs="Times New Roman"/>
          <w:sz w:val="21"/>
          <w:szCs w:val="21"/>
        </w:rPr>
      </w:pPr>
      <w:hyperlink w:history="true" r:id="rId42">
        <w:r>
          <w:rPr>
            <w:rFonts w:ascii="Times New Roman" w:hAnsi="Times New Roman" w:eastAsia="Times New Roman" w:cs="Times New Roman"/>
            <w:sz w:val="21"/>
            <w:szCs w:val="21"/>
          </w:rPr>
          <w:t>33.MeClinton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S</w:t>
        </w:r>
      </w:hyperlink>
      <w:r>
        <w:rPr>
          <w:rFonts w:ascii="Times New Roman" w:hAnsi="Times New Roman" w:eastAsia="Times New Roman" w:cs="Times New Roman"/>
          <w:sz w:val="21"/>
          <w:szCs w:val="21"/>
        </w:rPr>
        <w:t>,</w:t>
      </w:r>
      <w:hyperlink w:history="true" r:id="rId43">
        <w:r>
          <w:rPr>
            <w:rFonts w:ascii="Times New Roman" w:hAnsi="Times New Roman" w:eastAsia="Times New Roman" w:cs="Times New Roman"/>
            <w:sz w:val="21"/>
            <w:szCs w:val="21"/>
          </w:rPr>
          <w:t>Steyn</w:t>
        </w:r>
      </w:hyperlink>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JH,Hussey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JK.Retrograde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balloon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dilat</w:t>
      </w:r>
      <w:r>
        <w:rPr>
          <w:rFonts w:ascii="Times New Roman" w:hAnsi="Times New Roman" w:eastAsia="Times New Roman" w:cs="Times New Roman"/>
          <w:sz w:val="21"/>
          <w:szCs w:val="21"/>
          <w:spacing w:val="-1"/>
        </w:rPr>
        <w:t>ation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pelviureteric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junction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obstruction.BrJ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1993;71:152-155.</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569"/>
            <w:spacing w:before="44" w:line="192" w:lineRule="auto"/>
            <w:rPr>
              <w:rFonts w:ascii="Times New Roman" w:hAnsi="Times New Roman" w:eastAsia="Times New Roman" w:cs="Times New Roman"/>
              <w:sz w:val="21"/>
              <w:szCs w:val="21"/>
            </w:rPr>
          </w:pPr>
          <w:hyperlink w:history="true" w:anchor="bookmark5">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st_uids=8461946&amp;dopt=Abstract</w:t>
            </w:r>
          </w:hyperlink>
        </w:p>
        <w:p>
          <w:pPr>
            <w:ind w:left="569"/>
            <w:spacing w:before="127" w:line="192" w:lineRule="auto"/>
            <w:rPr>
              <w:rFonts w:ascii="Times New Roman" w:hAnsi="Times New Roman" w:eastAsia="Times New Roman" w:cs="Times New Roman"/>
              <w:sz w:val="21"/>
              <w:szCs w:val="21"/>
            </w:rPr>
          </w:pPr>
          <w:hyperlink w:history="true" w:anchor="bookmark6">
            <w:r>
              <w:rPr>
                <w:rFonts w:ascii="Times New Roman" w:hAnsi="Times New Roman" w:eastAsia="Times New Roman" w:cs="Times New Roman"/>
                <w:sz w:val="21"/>
                <w:szCs w:val="21"/>
              </w:rPr>
              <w:t>34.Gerber  GS,Lyon  ES.Endopyelotomy:patient  selection,results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complications.Urology   1994;43:2-10.</w:t>
            </w:r>
          </w:hyperlink>
        </w:p>
        <w:p>
          <w:pPr>
            <w:ind w:left="569"/>
            <w:spacing w:before="146" w:line="192" w:lineRule="auto"/>
            <w:rPr>
              <w:rFonts w:ascii="Times New Roman" w:hAnsi="Times New Roman" w:eastAsia="Times New Roman" w:cs="Times New Roman"/>
              <w:sz w:val="21"/>
              <w:szCs w:val="21"/>
            </w:rPr>
          </w:pPr>
          <w:hyperlink w:history="true" w:anchor="bookmark7">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st_uids=8284881&amp;dopt=Abstract</w:t>
            </w:r>
          </w:hyperlink>
        </w:p>
        <w:p>
          <w:pPr>
            <w:ind w:left="569"/>
            <w:spacing w:before="127" w:line="192" w:lineRule="auto"/>
            <w:rPr>
              <w:rFonts w:ascii="Times New Roman" w:hAnsi="Times New Roman" w:eastAsia="Times New Roman" w:cs="Times New Roman"/>
              <w:sz w:val="21"/>
              <w:szCs w:val="21"/>
            </w:rPr>
          </w:pPr>
          <w:hyperlink w:history="true" w:anchor="bookmark8">
            <w:r>
              <w:rPr>
                <w:rFonts w:ascii="Times New Roman" w:hAnsi="Times New Roman" w:eastAsia="Times New Roman" w:cs="Times New Roman"/>
                <w:sz w:val="21"/>
                <w:szCs w:val="21"/>
              </w:rPr>
              <w:t>35.Bolton</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DM,Bogaert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GA,Mevorach</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RA,Kogan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AB,Stoller</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ML.Pediatric</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ureter</w:t>
            </w:r>
            <w:r>
              <w:rPr>
                <w:rFonts w:ascii="Times New Roman" w:hAnsi="Times New Roman" w:eastAsia="Times New Roman" w:cs="Times New Roman"/>
                <w:sz w:val="21"/>
                <w:szCs w:val="21"/>
                <w:spacing w:val="-1"/>
              </w:rPr>
              <w:t>opelvic</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junction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obstruction</w:t>
            </w:r>
          </w:hyperlink>
        </w:p>
      </w:sdtContent>
    </w:sdt>
    <w:p>
      <w:pPr>
        <w:ind w:left="56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treated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retrograde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endopyelotomy.</w:t>
      </w:r>
      <w:r>
        <w:rPr>
          <w:rFonts w:ascii="Times New Roman" w:hAnsi="Times New Roman" w:eastAsia="Times New Roman" w:cs="Times New Roman"/>
          <w:sz w:val="21"/>
          <w:szCs w:val="21"/>
          <w:spacing w:val="-1"/>
        </w:rPr>
        <w:t>Urol  1994;44:609-613.</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569"/>
            <w:spacing w:before="147" w:line="192" w:lineRule="auto"/>
            <w:rPr>
              <w:rFonts w:ascii="Times New Roman" w:hAnsi="Times New Roman" w:eastAsia="Times New Roman" w:cs="Times New Roman"/>
              <w:sz w:val="21"/>
              <w:szCs w:val="21"/>
            </w:rPr>
          </w:pPr>
          <w:hyperlink w:history="true" w:anchor="bookmark9">
            <w:r>
              <w:rPr>
                <w:rFonts w:ascii="Times New Roman" w:hAnsi="Times New Roman" w:eastAsia="Times New Roman" w:cs="Times New Roman"/>
                <w:sz w:val="21"/>
                <w:szCs w:val="21"/>
                <w:spacing w:val="-1"/>
              </w:rPr>
              <w:t>http://www.ncbi.nlm.nih.govlentrez/query.fcgi?cmd=Retrieve&amp;db=PubMed&amp;li</w:t>
            </w:r>
            <w:r>
              <w:rPr>
                <w:rFonts w:ascii="Times New Roman" w:hAnsi="Times New Roman" w:eastAsia="Times New Roman" w:cs="Times New Roman"/>
                <w:sz w:val="21"/>
                <w:szCs w:val="21"/>
                <w:spacing w:val="-2"/>
              </w:rPr>
              <w:t>st_uids=7941208&amp;dopt=Abstract</w:t>
            </w:r>
          </w:hyperlink>
        </w:p>
        <w:p>
          <w:pPr>
            <w:ind w:left="569"/>
            <w:spacing w:before="127" w:line="192" w:lineRule="auto"/>
            <w:rPr>
              <w:rFonts w:ascii="Times New Roman" w:hAnsi="Times New Roman" w:eastAsia="Times New Roman" w:cs="Times New Roman"/>
              <w:sz w:val="21"/>
              <w:szCs w:val="21"/>
            </w:rPr>
          </w:pPr>
          <w:hyperlink w:history="true" w:anchor="bookmark10">
            <w:r>
              <w:rPr>
                <w:rFonts w:ascii="Times New Roman" w:hAnsi="Times New Roman" w:eastAsia="Times New Roman" w:cs="Times New Roman"/>
                <w:sz w:val="21"/>
                <w:szCs w:val="21"/>
              </w:rPr>
              <w:t>36.Gelet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A,Combe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M,Ramackers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JM,Ben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Rais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N,Martin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X,Dawahra</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,Marechal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JM,Dubernard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JM1.</w:t>
            </w:r>
          </w:hyperlink>
        </w:p>
        <w:p>
          <w:pPr>
            <w:ind w:left="569"/>
            <w:spacing w:before="146" w:line="192" w:lineRule="auto"/>
            <w:rPr>
              <w:rFonts w:ascii="Times New Roman" w:hAnsi="Times New Roman" w:eastAsia="Times New Roman" w:cs="Times New Roman"/>
              <w:sz w:val="21"/>
              <w:szCs w:val="21"/>
            </w:rPr>
          </w:pPr>
          <w:hyperlink w:history="true" w:anchor="bookmark11">
            <w:r>
              <w:rPr>
                <w:rFonts w:ascii="Times New Roman" w:hAnsi="Times New Roman" w:eastAsia="Times New Roman" w:cs="Times New Roman"/>
                <w:sz w:val="21"/>
                <w:szCs w:val="21"/>
              </w:rPr>
              <w:t>Endopyelotomy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Acucise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cutting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ball</w:t>
            </w:r>
            <w:r>
              <w:rPr>
                <w:rFonts w:ascii="Times New Roman" w:hAnsi="Times New Roman" w:eastAsia="Times New Roman" w:cs="Times New Roman"/>
                <w:sz w:val="21"/>
                <w:szCs w:val="21"/>
                <w:spacing w:val="-1"/>
              </w:rPr>
              <w:t>oon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device.Early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experience.Eur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1997;31:389-393.</w:t>
            </w:r>
          </w:hyperlink>
        </w:p>
        <w:p>
          <w:pPr>
            <w:ind w:left="569"/>
            <w:spacing w:before="157" w:line="192" w:lineRule="auto"/>
            <w:rPr>
              <w:rFonts w:ascii="Times New Roman" w:hAnsi="Times New Roman" w:eastAsia="Times New Roman" w:cs="Times New Roman"/>
              <w:sz w:val="21"/>
              <w:szCs w:val="21"/>
            </w:rPr>
          </w:pPr>
          <w:hyperlink w:history="true" w:anchor="bookmark12">
            <w:r>
              <w:rPr>
                <w:rFonts w:ascii="Times New Roman" w:hAnsi="Times New Roman" w:eastAsia="Times New Roman" w:cs="Times New Roman"/>
                <w:sz w:val="21"/>
                <w:szCs w:val="21"/>
                <w:spacing w:val="-1"/>
              </w:rPr>
              <w:t>http://www.ncbi.nlm.nih.govlentrezlquery.fcgi?cmd=Retrieve&amp;db=PubMed&amp;li</w:t>
            </w:r>
            <w:r>
              <w:rPr>
                <w:rFonts w:ascii="Times New Roman" w:hAnsi="Times New Roman" w:eastAsia="Times New Roman" w:cs="Times New Roman"/>
                <w:sz w:val="21"/>
                <w:szCs w:val="21"/>
                <w:spacing w:val="-2"/>
              </w:rPr>
              <w:t>st_uids=9187895&amp;dopt=Abstract</w:t>
            </w:r>
          </w:hyperlink>
        </w:p>
        <w:p>
          <w:pPr>
            <w:ind w:left="569"/>
            <w:spacing w:before="137" w:line="192" w:lineRule="auto"/>
            <w:rPr>
              <w:rFonts w:ascii="Times New Roman" w:hAnsi="Times New Roman" w:eastAsia="Times New Roman" w:cs="Times New Roman"/>
              <w:sz w:val="21"/>
              <w:szCs w:val="21"/>
            </w:rPr>
          </w:pPr>
          <w:hyperlink w:history="true" w:anchor="bookmark13">
            <w:r>
              <w:rPr>
                <w:rFonts w:ascii="Times New Roman" w:hAnsi="Times New Roman" w:eastAsia="Times New Roman" w:cs="Times New Roman"/>
                <w:sz w:val="21"/>
                <w:szCs w:val="21"/>
              </w:rPr>
              <w:t>37.Faerber  GJ,Richardson  TD,Farah  N,Ohl  DA.Retrograde  treatment  of</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ureteropelvic  junction  obstruction</w:t>
            </w:r>
          </w:hyperlink>
        </w:p>
      </w:sdtContent>
    </w:sdt>
    <w:p>
      <w:pPr>
        <w:ind w:left="569"/>
        <w:spacing w:before="16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using</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cutting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ballo</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catheter.Urol</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1997;157:454-458.</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569"/>
            <w:spacing w:before="147" w:line="192" w:lineRule="auto"/>
            <w:rPr>
              <w:rFonts w:ascii="Times New Roman" w:hAnsi="Times New Roman" w:eastAsia="Times New Roman" w:cs="Times New Roman"/>
              <w:sz w:val="21"/>
              <w:szCs w:val="21"/>
            </w:rPr>
          </w:pPr>
          <w:hyperlink w:history="true" w:anchor="bookmark14">
            <w:r>
              <w:rPr>
                <w:rFonts w:ascii="Times New Roman" w:hAnsi="Times New Roman" w:eastAsia="Times New Roman" w:cs="Times New Roman"/>
                <w:sz w:val="21"/>
                <w:szCs w:val="21"/>
                <w:spacing w:val="-1"/>
              </w:rPr>
              <w:t>http://www.ncbi.nlm.nih.govlentrez/query.fcgi?cmd=Retrieve&amp;db=PubMed&amp;li</w:t>
            </w:r>
            <w:r>
              <w:rPr>
                <w:rFonts w:ascii="Times New Roman" w:hAnsi="Times New Roman" w:eastAsia="Times New Roman" w:cs="Times New Roman"/>
                <w:sz w:val="21"/>
                <w:szCs w:val="21"/>
                <w:spacing w:val="-2"/>
              </w:rPr>
              <w:t>st_uids=8996330&amp;dopt=Abstract</w:t>
            </w:r>
          </w:hyperlink>
        </w:p>
        <w:p>
          <w:pPr>
            <w:ind w:left="569"/>
            <w:spacing w:before="136" w:line="192" w:lineRule="auto"/>
            <w:rPr>
              <w:rFonts w:ascii="Times New Roman" w:hAnsi="Times New Roman" w:eastAsia="Times New Roman" w:cs="Times New Roman"/>
              <w:sz w:val="21"/>
              <w:szCs w:val="21"/>
            </w:rPr>
          </w:pPr>
          <w:hyperlink w:history="true" w:anchor="bookmark15">
            <w:r>
              <w:rPr>
                <w:rFonts w:ascii="Times New Roman" w:hAnsi="Times New Roman" w:eastAsia="Times New Roman" w:cs="Times New Roman"/>
                <w:sz w:val="21"/>
                <w:szCs w:val="21"/>
              </w:rPr>
              <w:t>38.Conlin   MJ,Bagley   DH.Ureteroscopic   en</w:t>
            </w:r>
            <w:r>
              <w:rPr>
                <w:rFonts w:ascii="Times New Roman" w:hAnsi="Times New Roman" w:eastAsia="Times New Roman" w:cs="Times New Roman"/>
                <w:sz w:val="21"/>
                <w:szCs w:val="21"/>
                <w:spacing w:val="-1"/>
              </w:rPr>
              <w:t>dopyelotomy   at   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single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setting.J</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Urol    1998;159:727-731.</w:t>
            </w:r>
          </w:hyperlink>
        </w:p>
        <w:p>
          <w:pPr>
            <w:ind w:left="569"/>
            <w:spacing w:before="157" w:line="192" w:lineRule="auto"/>
            <w:rPr>
              <w:rFonts w:ascii="Times New Roman" w:hAnsi="Times New Roman" w:eastAsia="Times New Roman" w:cs="Times New Roman"/>
              <w:sz w:val="21"/>
              <w:szCs w:val="21"/>
            </w:rPr>
          </w:pPr>
          <w:hyperlink w:history="true" w:anchor="bookmark16">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st_uids=9474135&amp;dopt=Abstract</w:t>
            </w:r>
          </w:hyperlink>
        </w:p>
        <w:p>
          <w:pPr>
            <w:ind w:left="569"/>
            <w:spacing w:before="127" w:line="192" w:lineRule="auto"/>
            <w:rPr>
              <w:rFonts w:ascii="Times New Roman" w:hAnsi="Times New Roman" w:eastAsia="Times New Roman" w:cs="Times New Roman"/>
              <w:sz w:val="21"/>
              <w:szCs w:val="21"/>
            </w:rPr>
          </w:pPr>
          <w:hyperlink w:history="true" w:anchor="bookmark17">
            <w:r>
              <w:rPr>
                <w:rFonts w:ascii="Times New Roman" w:hAnsi="Times New Roman" w:eastAsia="Times New Roman" w:cs="Times New Roman"/>
                <w:sz w:val="21"/>
                <w:szCs w:val="21"/>
              </w:rPr>
              <w:t>39.Nakada  SY,Wolf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JS,Brink  JA,Quillen  SP,Nadler  RB,Gaines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MV,</w:t>
            </w:r>
            <w:r>
              <w:rPr>
                <w:rFonts w:ascii="Times New Roman" w:hAnsi="Times New Roman" w:eastAsia="Times New Roman" w:cs="Times New Roman"/>
                <w:sz w:val="21"/>
                <w:szCs w:val="21"/>
                <w:spacing w:val="-1"/>
              </w:rPr>
              <w:t>Clayman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RV.Retrospective  analysis</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of</w:t>
            </w:r>
          </w:hyperlink>
        </w:p>
      </w:sdtContent>
    </w:sdt>
    <w:p>
      <w:pPr>
        <w:ind w:left="569" w:right="84"/>
        <w:spacing w:before="137" w:line="3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the  ffect  of</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crossing  vessels  on  successful  retrograde  endopyelotomy  o</w:t>
      </w:r>
      <w:r>
        <w:rPr>
          <w:rFonts w:ascii="Times New Roman" w:hAnsi="Times New Roman" w:eastAsia="Times New Roman" w:cs="Times New Roman"/>
          <w:sz w:val="21"/>
          <w:szCs w:val="21"/>
          <w:spacing w:val="-1"/>
        </w:rPr>
        <w:t>utcomes  using  spiral  computerized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tomography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angiography.J</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1998;159:62-65.</w:t>
      </w:r>
    </w:p>
    <w:p>
      <w:pPr>
        <w:ind w:left="569"/>
        <w:spacing w:before="62" w:line="192" w:lineRule="auto"/>
        <w:rPr>
          <w:rFonts w:ascii="Times New Roman" w:hAnsi="Times New Roman" w:eastAsia="Times New Roman" w:cs="Times New Roman"/>
          <w:sz w:val="21"/>
          <w:szCs w:val="21"/>
        </w:rPr>
      </w:pPr>
      <w:hyperlink w:history="true" r:id="rId44">
        <w:r>
          <w:rPr>
            <w:rFonts w:ascii="Times New Roman" w:hAnsi="Times New Roman" w:eastAsia="Times New Roman" w:cs="Times New Roman"/>
            <w:sz w:val="21"/>
            <w:szCs w:val="21"/>
            <w:spacing w:val="-1"/>
          </w:rPr>
          <w:t>http://www.ncbi.nlm.nih.gov/entrez/query.fcgi?cmd=Retrieve&amp;db=PubMed&amp;li</w:t>
        </w:r>
        <w:r>
          <w:rPr>
            <w:rFonts w:ascii="Times New Roman" w:hAnsi="Times New Roman" w:eastAsia="Times New Roman" w:cs="Times New Roman"/>
            <w:sz w:val="21"/>
            <w:szCs w:val="21"/>
            <w:spacing w:val="-2"/>
          </w:rPr>
          <w:t>st_uids=9400437&amp;dopt=Abstract</w:t>
        </w:r>
      </w:hyperlink>
    </w:p>
    <w:p>
      <w:pPr>
        <w:pStyle w:val="BodyText"/>
        <w:ind w:left="999"/>
        <w:spacing w:before="99" w:line="219" w:lineRule="auto"/>
        <w:rPr/>
      </w:pPr>
      <w:r>
        <w:rPr>
          <w:spacing w:val="-2"/>
        </w:rPr>
        <w:t>12. 残石碎片</w:t>
      </w:r>
    </w:p>
    <w:p>
      <w:pPr>
        <w:pStyle w:val="BodyText"/>
        <w:ind w:left="569" w:right="60" w:firstLine="429"/>
        <w:spacing w:before="101" w:line="294" w:lineRule="auto"/>
        <w:rPr/>
      </w:pPr>
      <w:r>
        <w:rPr>
          <w:spacing w:val="-2"/>
        </w:rPr>
        <w:t>残石碎片常见于</w:t>
      </w:r>
      <w:r>
        <w:rPr>
          <w:rFonts w:ascii="Times New Roman" w:hAnsi="Times New Roman" w:eastAsia="Times New Roman" w:cs="Times New Roman"/>
          <w:spacing w:val="-2"/>
        </w:rPr>
        <w:t>ESWL</w:t>
      </w:r>
      <w:r>
        <w:rPr>
          <w:spacing w:val="-2"/>
        </w:rPr>
        <w:t>术后，最多见于下组肾盏，在较大的结石碎裂后出现。结石不</w:t>
      </w:r>
      <w:r>
        <w:rPr>
          <w:spacing w:val="-3"/>
        </w:rPr>
        <w:t>论大小经</w:t>
      </w:r>
      <w:r>
        <w:rPr>
          <w:rFonts w:ascii="Times New Roman" w:hAnsi="Times New Roman" w:eastAsia="Times New Roman" w:cs="Times New Roman"/>
          <w:spacing w:val="-3"/>
        </w:rPr>
        <w:t>ESWL</w:t>
      </w:r>
      <w:r>
        <w:rPr>
          <w:rFonts w:ascii="Times New Roman" w:hAnsi="Times New Roman" w:eastAsia="Times New Roman" w:cs="Times New Roman"/>
        </w:rPr>
        <w:t xml:space="preserve"> </w:t>
      </w:r>
      <w:r>
        <w:rPr>
          <w:spacing w:val="-4"/>
        </w:rPr>
        <w:t>后都有可能形成残石碎片。</w:t>
      </w:r>
    </w:p>
    <w:p>
      <w:pPr>
        <w:pStyle w:val="BodyText"/>
        <w:ind w:left="569" w:right="65" w:firstLine="429"/>
        <w:spacing w:before="5" w:line="299" w:lineRule="auto"/>
        <w:jc w:val="both"/>
        <w:rPr/>
      </w:pPr>
      <w:r>
        <w:rPr>
          <w:spacing w:val="-1"/>
        </w:rPr>
        <w:t>不同的影像学检查手段对结石诊断的敏感性</w:t>
      </w:r>
      <w:r>
        <w:rPr>
          <w:spacing w:val="-2"/>
        </w:rPr>
        <w:t>不尽相同，CT</w:t>
      </w:r>
      <w:r>
        <w:rPr>
          <w:spacing w:val="-48"/>
        </w:rPr>
        <w:t xml:space="preserve"> </w:t>
      </w:r>
      <w:r>
        <w:rPr>
          <w:spacing w:val="-2"/>
        </w:rPr>
        <w:t>或局部造影在诊断结石的敏感性上均好于</w:t>
      </w:r>
      <w:r>
        <w:rPr/>
        <w:t xml:space="preserve"> </w:t>
      </w:r>
      <w:r>
        <w:rPr>
          <w:spacing w:val="8"/>
        </w:rPr>
        <w:t>腹部平片。</w:t>
      </w:r>
      <w:r>
        <w:rPr>
          <w:rFonts w:ascii="Times New Roman" w:hAnsi="Times New Roman" w:eastAsia="Times New Roman" w:cs="Times New Roman"/>
        </w:rPr>
        <w:t>CT</w:t>
      </w:r>
      <w:r>
        <w:rPr>
          <w:spacing w:val="8"/>
        </w:rPr>
        <w:t>扫描还能用于诊断尿酸结石(透光的阴性结石)。由于不同机构所采用的影像学检查手</w:t>
      </w:r>
      <w:r>
        <w:rPr>
          <w:spacing w:val="5"/>
        </w:rPr>
        <w:t xml:space="preserve"> </w:t>
      </w:r>
      <w:r>
        <w:rPr>
          <w:spacing w:val="3"/>
        </w:rPr>
        <w:t>段不同，关于残余碎片的报道也不完全一致。目前尚无文献证实仅</w:t>
      </w:r>
      <w:r>
        <w:rPr/>
        <w:t>CT</w:t>
      </w:r>
      <w:r>
        <w:rPr>
          <w:spacing w:val="-32"/>
        </w:rPr>
        <w:t xml:space="preserve"> </w:t>
      </w:r>
      <w:r>
        <w:rPr>
          <w:spacing w:val="3"/>
        </w:rPr>
        <w:t>能发现的微小结石有任何临床意</w:t>
      </w:r>
      <w:r>
        <w:rPr/>
        <w:t xml:space="preserve"> </w:t>
      </w:r>
      <w:r>
        <w:rPr>
          <w:spacing w:val="-2"/>
        </w:rPr>
        <w:t>义，因此并非任何患者都需要进行</w:t>
      </w:r>
      <w:r>
        <w:rPr>
          <w:rFonts w:ascii="Times New Roman" w:hAnsi="Times New Roman" w:eastAsia="Times New Roman" w:cs="Times New Roman"/>
          <w:spacing w:val="-2"/>
        </w:rPr>
        <w:t>CT</w:t>
      </w:r>
      <w:r>
        <w:rPr>
          <w:spacing w:val="-2"/>
        </w:rPr>
        <w:t>扫描。</w:t>
      </w:r>
    </w:p>
    <w:p>
      <w:pPr>
        <w:pStyle w:val="BodyText"/>
        <w:ind w:left="569" w:right="43" w:firstLine="429"/>
        <w:spacing w:before="14" w:line="286" w:lineRule="auto"/>
        <w:rPr/>
      </w:pPr>
      <w:r>
        <w:rPr>
          <w:spacing w:val="-1"/>
        </w:rPr>
        <w:t>目前我们认为高质量KUB 平片对取石或碎石效果的好坏有十分重要的影响，C</w:t>
      </w:r>
      <w:r>
        <w:rPr>
          <w:spacing w:val="-2"/>
        </w:rPr>
        <w:t>T</w:t>
      </w:r>
      <w:r>
        <w:rPr>
          <w:spacing w:val="-39"/>
        </w:rPr>
        <w:t xml:space="preserve"> </w:t>
      </w:r>
      <w:r>
        <w:rPr>
          <w:spacing w:val="-2"/>
        </w:rPr>
        <w:t>检查仅用于诊断尿酸</w:t>
      </w:r>
      <w:r>
        <w:rPr/>
        <w:t xml:space="preserve"> </w:t>
      </w:r>
      <w:r>
        <w:rPr>
          <w:spacing w:val="-2"/>
        </w:rPr>
        <w:t>结石。</w:t>
      </w:r>
    </w:p>
    <w:p>
      <w:pPr>
        <w:pStyle w:val="BodyText"/>
        <w:ind w:left="969"/>
        <w:spacing w:before="41" w:line="219" w:lineRule="auto"/>
        <w:rPr/>
      </w:pPr>
      <w:r>
        <w:rPr/>
        <w:t>结石残余物的直径不超过4毫米，定义为残余碎片，而大于等于5毫米的石块则称为残余结石。</w:t>
      </w:r>
    </w:p>
    <w:p>
      <w:pPr>
        <w:pStyle w:val="BodyText"/>
        <w:ind w:left="569" w:right="74" w:firstLine="429"/>
        <w:spacing w:before="82" w:line="291" w:lineRule="auto"/>
        <w:rPr/>
      </w:pPr>
      <w:r>
        <w:rPr>
          <w:spacing w:val="-1"/>
        </w:rPr>
        <w:t>临床上，无症状的肾脏残余结石增加了结石复发的风险，因为残石可以为新结石的形成提供核心。</w:t>
      </w:r>
      <w:r>
        <w:rPr>
          <w:spacing w:val="17"/>
        </w:rPr>
        <w:t xml:space="preserve"> </w:t>
      </w:r>
      <w:r>
        <w:rPr>
          <w:spacing w:val="5"/>
        </w:rPr>
        <w:t>有残余碎片或残余结石的患者应定期随访以确定其</w:t>
      </w:r>
      <w:r>
        <w:rPr>
          <w:spacing w:val="4"/>
        </w:rPr>
        <w:t>致病因素。确定危险因素并进行适当的预防对这类</w:t>
      </w:r>
      <w:r>
        <w:rPr/>
        <w:t xml:space="preserve"> </w:t>
      </w:r>
      <w:r>
        <w:rPr>
          <w:spacing w:val="5"/>
        </w:rPr>
        <w:t>患者而言是非常必要的。对于有症状的患者而言，解</w:t>
      </w:r>
      <w:r>
        <w:rPr>
          <w:spacing w:val="4"/>
        </w:rPr>
        <w:t>除结石梗阻，妥善处理可能出现的问题是很重要</w:t>
      </w:r>
      <w:r>
        <w:rPr/>
        <w:t xml:space="preserve"> </w:t>
      </w:r>
      <w:r>
        <w:rPr>
          <w:spacing w:val="5"/>
        </w:rPr>
        <w:t>的；同时应采取必要的治疗措施消除症状。对于无</w:t>
      </w:r>
      <w:r>
        <w:rPr>
          <w:spacing w:val="4"/>
        </w:rPr>
        <w:t>症状、石块不能自行排除的患者，应该依据结石情</w:t>
      </w:r>
      <w:r>
        <w:rPr/>
        <w:t xml:space="preserve"> </w:t>
      </w:r>
      <w:r>
        <w:rPr>
          <w:spacing w:val="-4"/>
        </w:rPr>
        <w:t>况进行相应的处理。</w:t>
      </w:r>
    </w:p>
    <w:p>
      <w:pPr>
        <w:pStyle w:val="BodyText"/>
        <w:ind w:left="569" w:right="67" w:firstLine="429"/>
        <w:spacing w:before="44" w:line="336" w:lineRule="auto"/>
        <w:rPr/>
      </w:pPr>
      <w:r>
        <w:rPr>
          <w:spacing w:val="-5"/>
        </w:rPr>
        <w:t>感染性结石的患者在进行治疗后，如伴有结石残留则具有复发的危险，这一点认识已经明确。对53例</w:t>
      </w:r>
      <w:r>
        <w:rPr/>
        <w:t xml:space="preserve"> </w:t>
      </w:r>
      <w:r>
        <w:rPr>
          <w:spacing w:val="-2"/>
        </w:rPr>
        <w:t>患者进行2.2年的随访后发现有78%的伴有结石残</w:t>
      </w:r>
      <w:r>
        <w:rPr>
          <w:spacing w:val="-3"/>
        </w:rPr>
        <w:t>余的患者在治疗后3月结石复发，无石率仅为20%[1]。</w:t>
      </w:r>
    </w:p>
    <w:p>
      <w:pPr>
        <w:ind w:left="5039"/>
        <w:spacing w:before="95"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—234—</w:t>
      </w:r>
    </w:p>
    <w:p>
      <w:pPr>
        <w:spacing w:line="30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365" w:bottom="0" w:left="400" w:header="0" w:footer="0" w:gutter="0"/>
        </w:sectPr>
        <w:rPr>
          <w:rFonts w:ascii="Times New Roman" w:hAnsi="Times New Roman" w:eastAsia="Times New Roman" w:cs="Times New Roman"/>
          <w:sz w:val="21"/>
          <w:szCs w:val="21"/>
        </w:rPr>
      </w:pPr>
    </w:p>
    <w:p>
      <w:pPr>
        <w:spacing w:line="345" w:lineRule="auto"/>
        <w:rPr>
          <w:rFonts w:ascii="Arial"/>
          <w:sz w:val="21"/>
        </w:rPr>
      </w:pPr>
      <w:r/>
    </w:p>
    <w:p>
      <w:pPr>
        <w:ind w:left="7750"/>
        <w:spacing w:before="72" w:line="293" w:lineRule="exact"/>
        <w:rPr>
          <w:rFonts w:ascii="STXingkai" w:hAnsi="STXingkai" w:eastAsia="STXingkai" w:cs="STXingkai"/>
          <w:sz w:val="21"/>
          <w:szCs w:val="21"/>
        </w:rPr>
      </w:pPr>
      <w:r>
        <w:drawing>
          <wp:anchor distT="0" distB="0" distL="0" distR="0" simplePos="0" relativeHeight="251670528" behindDoc="0" locked="0" layoutInCell="1" allowOverlap="1">
            <wp:simplePos x="0" y="0"/>
            <wp:positionH relativeFrom="column">
              <wp:posOffset>4616434</wp:posOffset>
            </wp:positionH>
            <wp:positionV relativeFrom="paragraph">
              <wp:posOffset>97052</wp:posOffset>
            </wp:positionV>
            <wp:extent cx="1689081" cy="209590"/>
            <wp:effectExtent l="0" t="0" r="0" b="0"/>
            <wp:wrapNone/>
            <wp:docPr id="20" name="IM 20"/>
            <wp:cNvGraphicFramePr/>
            <a:graphic>
              <a:graphicData uri="http://schemas.openxmlformats.org/drawingml/2006/picture">
                <pic:pic>
                  <pic:nvPicPr>
                    <pic:cNvPr id="20" name="IM 20"/>
                    <pic:cNvPicPr/>
                  </pic:nvPicPr>
                  <pic:blipFill>
                    <a:blip r:embed="rId45"/>
                    <a:stretch>
                      <a:fillRect/>
                    </a:stretch>
                  </pic:blipFill>
                  <pic:spPr>
                    <a:xfrm rot="0">
                      <a:off x="0" y="0"/>
                      <a:ext cx="1689081" cy="209590"/>
                    </a:xfrm>
                    <a:prstGeom prst="rect">
                      <a:avLst/>
                    </a:prstGeom>
                  </pic:spPr>
                </pic:pic>
              </a:graphicData>
            </a:graphic>
          </wp:anchor>
        </w:drawing>
      </w:r>
      <w:r>
        <w:rPr>
          <w:rFonts w:ascii="STXingkai" w:hAnsi="STXingkai" w:eastAsia="STXingkai" w:cs="STXingkai"/>
          <w:sz w:val="21"/>
          <w:szCs w:val="21"/>
          <w:b/>
          <w:bCs/>
          <w:spacing w:val="-16"/>
          <w:position w:val="2"/>
        </w:rPr>
        <w:t>附</w:t>
      </w:r>
      <w:r>
        <w:rPr>
          <w:rFonts w:ascii="STXingkai" w:hAnsi="STXingkai" w:eastAsia="STXingkai" w:cs="STXingkai"/>
          <w:sz w:val="21"/>
          <w:szCs w:val="21"/>
          <w:spacing w:val="4"/>
          <w:position w:val="2"/>
        </w:rPr>
        <w:t xml:space="preserve">    </w:t>
      </w:r>
      <w:r>
        <w:rPr>
          <w:rFonts w:ascii="STXingkai" w:hAnsi="STXingkai" w:eastAsia="STXingkai" w:cs="STXingkai"/>
          <w:sz w:val="21"/>
          <w:szCs w:val="21"/>
          <w:b/>
          <w:bCs/>
          <w:spacing w:val="-16"/>
          <w:position w:val="2"/>
        </w:rPr>
        <w:t>录</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指</w:t>
      </w:r>
      <w:r>
        <w:rPr>
          <w:rFonts w:ascii="STXingkai" w:hAnsi="STXingkai" w:eastAsia="STXingkai" w:cs="STXingkai"/>
          <w:sz w:val="21"/>
          <w:szCs w:val="21"/>
          <w:spacing w:val="-16"/>
          <w:position w:val="2"/>
        </w:rPr>
        <w:t xml:space="preserve">     </w:t>
      </w:r>
      <w:r>
        <w:rPr>
          <w:rFonts w:ascii="STXingkai" w:hAnsi="STXingkai" w:eastAsia="STXingkai" w:cs="STXingkai"/>
          <w:sz w:val="21"/>
          <w:szCs w:val="21"/>
          <w:b/>
          <w:bCs/>
          <w:spacing w:val="-16"/>
          <w:position w:val="2"/>
        </w:rPr>
        <w:t>南</w:t>
      </w:r>
    </w:p>
    <w:p>
      <w:pPr>
        <w:spacing w:line="285" w:lineRule="auto"/>
        <w:rPr>
          <w:rFonts w:ascii="Arial"/>
          <w:sz w:val="21"/>
        </w:rPr>
      </w:pPr>
      <w:r/>
    </w:p>
    <w:p>
      <w:pPr>
        <w:pStyle w:val="BodyText"/>
        <w:ind w:left="410" w:right="19" w:firstLine="439"/>
        <w:spacing w:before="68" w:line="290" w:lineRule="auto"/>
        <w:rPr/>
      </w:pPr>
      <w:r>
        <w:rPr>
          <w:spacing w:val="3"/>
        </w:rPr>
        <w:t>就钙结石而言，人们引入“无临床意义的残石碎片”</w:t>
      </w:r>
      <w:r>
        <w:rPr>
          <w:spacing w:val="-43"/>
        </w:rPr>
        <w:t xml:space="preserve"> </w:t>
      </w:r>
      <w:r>
        <w:rPr>
          <w:spacing w:val="3"/>
        </w:rPr>
        <w:t>(</w:t>
      </w:r>
      <w:r>
        <w:rPr/>
        <w:t>CIRF</w:t>
      </w:r>
      <w:r>
        <w:rPr>
          <w:spacing w:val="3"/>
        </w:rPr>
        <w:t>)  这个提法。长时间以来，关于</w:t>
      </w:r>
      <w:r>
        <w:rPr/>
        <w:t>CIRF </w:t>
      </w:r>
      <w:r>
        <w:rPr>
          <w:spacing w:val="-1"/>
        </w:rPr>
        <w:t>这个定义的作用存在很多争论[2-13].对伴有残余碎片患者的绝大部分长期随访研究集中在术后1到6年。</w:t>
      </w:r>
      <w:r>
        <w:rPr>
          <w:spacing w:val="4"/>
        </w:rPr>
        <w:t xml:space="preserve"> </w:t>
      </w:r>
      <w:r>
        <w:rPr>
          <w:spacing w:val="7"/>
        </w:rPr>
        <w:t>其中，随访时间最长的是</w:t>
      </w:r>
      <w:r>
        <w:rPr>
          <w:rFonts w:ascii="Times New Roman" w:hAnsi="Times New Roman" w:eastAsia="Times New Roman" w:cs="Times New Roman"/>
        </w:rPr>
        <w:t>Yu</w:t>
      </w:r>
      <w:r>
        <w:rPr>
          <w:spacing w:val="7"/>
        </w:rPr>
        <w:t>及其同事[14]。通过近6</w:t>
      </w:r>
      <w:r>
        <w:rPr>
          <w:spacing w:val="6"/>
        </w:rPr>
        <w:t>.3年的随访，26%的患者出现残片增大，15%的患</w:t>
      </w:r>
      <w:r>
        <w:rPr/>
        <w:t xml:space="preserve"> </w:t>
      </w:r>
      <w:r>
        <w:rPr>
          <w:spacing w:val="5"/>
        </w:rPr>
        <w:t>者出现结石复发。在一项为期7到96个月，平均3.4年的随访中，也观察到37%的患者残片增大，22%的 </w:t>
      </w:r>
      <w:r>
        <w:rPr>
          <w:spacing w:val="5"/>
        </w:rPr>
        <w:t>患者需重新进行取石治疗[15]。在对104位伴有残石碎片的患者进行随访后，发现有40%的患者结石减</w:t>
      </w:r>
      <w:r>
        <w:rPr>
          <w:spacing w:val="4"/>
        </w:rPr>
        <w:t xml:space="preserve"> </w:t>
      </w:r>
      <w:r>
        <w:rPr>
          <w:spacing w:val="3"/>
        </w:rPr>
        <w:t>小或稳定无增长，然而，经过为期1.2年的观察随访，仍有5%的患者结石增长了[16],随访</w:t>
      </w:r>
      <w:r>
        <w:rPr>
          <w:spacing w:val="2"/>
        </w:rPr>
        <w:t>2年后发现有</w:t>
      </w:r>
      <w:r>
        <w:rPr/>
        <w:t xml:space="preserve"> </w:t>
      </w:r>
      <w:r>
        <w:rPr>
          <w:spacing w:val="6"/>
        </w:rPr>
        <w:t>9.3%的患者需要进一步的治疗。在一项对残石碎片小于4毫米的患者进行</w:t>
      </w:r>
      <w:r>
        <w:rPr>
          <w:spacing w:val="5"/>
        </w:rPr>
        <w:t>的为期4年的随访中，发现有</w:t>
      </w:r>
      <w:r>
        <w:rPr/>
        <w:t xml:space="preserve"> </w:t>
      </w:r>
      <w:r>
        <w:rPr>
          <w:spacing w:val="4"/>
        </w:rPr>
        <w:t>37%的患者结石增大，12%的患者需要重新接受治疗[17]。</w:t>
      </w:r>
    </w:p>
    <w:p>
      <w:pPr>
        <w:pStyle w:val="BodyText"/>
        <w:ind w:left="410" w:right="34" w:firstLine="439"/>
        <w:spacing w:before="3" w:line="295" w:lineRule="auto"/>
        <w:jc w:val="both"/>
        <w:rPr/>
      </w:pPr>
      <w:r>
        <w:rPr>
          <w:spacing w:val="2"/>
        </w:rPr>
        <w:t>结石的复发需要重新认识，</w:t>
      </w:r>
      <w:r>
        <w:rPr>
          <w:rFonts w:ascii="Times New Roman" w:hAnsi="Times New Roman" w:eastAsia="Times New Roman" w:cs="Times New Roman"/>
        </w:rPr>
        <w:t>ESWL</w:t>
      </w:r>
      <w:r>
        <w:rPr>
          <w:spacing w:val="2"/>
        </w:rPr>
        <w:t>术后无石率往往被过高估计，文献因而报道结</w:t>
      </w:r>
      <w:r>
        <w:rPr>
          <w:spacing w:val="1"/>
        </w:rPr>
        <w:t>石1年复发率为8.4</w:t>
      </w:r>
      <w:r>
        <w:rPr/>
        <w:t xml:space="preserve"> </w:t>
      </w:r>
      <w:r>
        <w:rPr>
          <w:spacing w:val="10"/>
        </w:rPr>
        <w:t>%,但1.6年的复发率仅为6.7%,9.7%的患者在3.3年后复发，20%的患者在3.5年后复发，7%的患者在</w:t>
      </w:r>
      <w:r>
        <w:rPr>
          <w:spacing w:val="15"/>
        </w:rPr>
        <w:t xml:space="preserve"> </w:t>
      </w:r>
      <w:r>
        <w:rPr>
          <w:spacing w:val="3"/>
        </w:rPr>
        <w:t>3.6年后复发[18]。日本学者报道1、3以及5年的</w:t>
      </w:r>
      <w:r>
        <w:rPr>
          <w:spacing w:val="2"/>
        </w:rPr>
        <w:t>复发率分别是6.7%,28.0%和41.8%[19]。对一组钙结石</w:t>
      </w:r>
      <w:r>
        <w:rPr/>
        <w:t xml:space="preserve"> </w:t>
      </w:r>
      <w:r>
        <w:rPr>
          <w:spacing w:val="7"/>
        </w:rPr>
        <w:t>的瑞典患者的研究也发现，在</w:t>
      </w:r>
      <w:r>
        <w:rPr>
          <w:rFonts w:ascii="Times New Roman" w:hAnsi="Times New Roman" w:eastAsia="Times New Roman" w:cs="Times New Roman"/>
        </w:rPr>
        <w:t>ESWL</w:t>
      </w:r>
      <w:r>
        <w:rPr>
          <w:spacing w:val="7"/>
        </w:rPr>
        <w:t>术后4年中有20%的患者结石复发。25%的感染性结石患者在2</w:t>
      </w:r>
      <w:r>
        <w:rPr>
          <w:spacing w:val="6"/>
        </w:rPr>
        <w:t>年后</w:t>
      </w:r>
      <w:r>
        <w:rPr/>
        <w:t xml:space="preserve"> </w:t>
      </w:r>
      <w:r>
        <w:rPr>
          <w:spacing w:val="-2"/>
        </w:rPr>
        <w:t>形成新的结石。结石中含磷酸钙多的患者复发的危险性最高[20</w:t>
      </w:r>
      <w:r>
        <w:rPr>
          <w:spacing w:val="-3"/>
        </w:rPr>
        <w:t>]。</w:t>
      </w:r>
    </w:p>
    <w:p>
      <w:pPr>
        <w:pStyle w:val="BodyText"/>
        <w:ind w:left="410" w:right="18" w:firstLine="439"/>
        <w:spacing w:line="289" w:lineRule="auto"/>
        <w:jc w:val="both"/>
        <w:rPr/>
      </w:pPr>
      <w:r>
        <w:rPr>
          <w:spacing w:val="1"/>
        </w:rPr>
        <w:t>下组肾盏存在结石或碎片且功能丧失的患者，下极肾部分切除术可以作为治疗选择之一[21</w:t>
      </w:r>
      <w:r>
        <w:rPr/>
        <w:t>]。对于 </w:t>
      </w:r>
      <w:r>
        <w:rPr>
          <w:spacing w:val="6"/>
        </w:rPr>
        <w:t>上、中组肾盏的结石，输尿管镜直接碎石也是一种不错的治疗选择</w:t>
      </w:r>
      <w:r>
        <w:rPr>
          <w:spacing w:val="5"/>
        </w:rPr>
        <w:t>。而经皮化学溶石主要适用于含有</w:t>
      </w:r>
      <w:r>
        <w:rPr/>
        <w:t xml:space="preserve"> </w:t>
      </w:r>
      <w:r>
        <w:rPr>
          <w:spacing w:val="1"/>
        </w:rPr>
        <w:t>磷酸镁铵、碳酸盐、尿酸及胱氨酸和磷酸氢钙的结石。</w:t>
      </w:r>
    </w:p>
    <w:p>
      <w:pPr>
        <w:pStyle w:val="BodyText"/>
        <w:ind w:left="410" w:firstLine="439"/>
        <w:spacing w:before="1" w:line="320" w:lineRule="auto"/>
        <w:rPr/>
      </w:pPr>
      <w:r>
        <w:rPr>
          <w:spacing w:val="2"/>
        </w:rPr>
        <w:t>对于结石直径大于20</w:t>
      </w:r>
      <w:r>
        <w:rPr>
          <w:rFonts w:ascii="Times New Roman" w:hAnsi="Times New Roman" w:eastAsia="Times New Roman" w:cs="Times New Roman"/>
        </w:rPr>
        <w:t>mm</w:t>
      </w:r>
      <w:r>
        <w:rPr>
          <w:rFonts w:ascii="Times New Roman" w:hAnsi="Times New Roman" w:eastAsia="Times New Roman" w:cs="Times New Roman"/>
          <w:spacing w:val="2"/>
        </w:rPr>
        <w:t>(300</w:t>
      </w:r>
      <w:r>
        <w:rPr>
          <w:rFonts w:ascii="Times New Roman" w:hAnsi="Times New Roman" w:eastAsia="Times New Roman" w:cs="Times New Roman"/>
        </w:rPr>
        <w:t>mm</w:t>
      </w:r>
      <w:r>
        <w:rPr>
          <w:rFonts w:ascii="Times New Roman" w:hAnsi="Times New Roman" w:eastAsia="Times New Roman" w:cs="Times New Roman"/>
          <w:spacing w:val="2"/>
        </w:rPr>
        <w:t>2)    </w:t>
      </w:r>
      <w:r>
        <w:rPr>
          <w:spacing w:val="2"/>
        </w:rPr>
        <w:t>的患者，在行</w:t>
      </w:r>
      <w:r>
        <w:rPr>
          <w:rFonts w:ascii="Times New Roman" w:hAnsi="Times New Roman" w:eastAsia="Times New Roman" w:cs="Times New Roman"/>
        </w:rPr>
        <w:t>ESWL</w:t>
      </w:r>
      <w:r>
        <w:rPr>
          <w:spacing w:val="2"/>
        </w:rPr>
        <w:t>前，推荐置入双</w:t>
      </w:r>
      <w:r>
        <w:rPr>
          <w:rFonts w:ascii="Times New Roman" w:hAnsi="Times New Roman" w:eastAsia="Times New Roman" w:cs="Times New Roman"/>
          <w:spacing w:val="2"/>
        </w:rPr>
        <w:t>J</w:t>
      </w:r>
      <w:r>
        <w:rPr>
          <w:spacing w:val="2"/>
        </w:rPr>
        <w:t>管，因为</w:t>
      </w:r>
      <w:r>
        <w:rPr>
          <w:spacing w:val="1"/>
        </w:rPr>
        <w:t>它可以减少结石</w:t>
      </w:r>
      <w:r>
        <w:rPr/>
        <w:t xml:space="preserve"> </w:t>
      </w:r>
      <w:r>
        <w:rPr>
          <w:spacing w:val="1"/>
        </w:rPr>
        <w:t>在输尿管的堆积，避免出现石街(见第13节)[22-34]。表23简要列出了残石碎片的治疗建议。</w:t>
      </w:r>
    </w:p>
    <w:p>
      <w:pPr>
        <w:pStyle w:val="BodyText"/>
        <w:ind w:left="3293"/>
        <w:spacing w:before="31" w:line="219" w:lineRule="auto"/>
        <w:rPr>
          <w:sz w:val="24"/>
          <w:szCs w:val="24"/>
        </w:rPr>
      </w:pPr>
      <w:r>
        <w:rPr>
          <w:sz w:val="24"/>
          <w:szCs w:val="24"/>
          <w:b/>
          <w:bCs/>
          <w:spacing w:val="-5"/>
        </w:rPr>
        <w:t>表23残石碎</w:t>
      </w:r>
      <w:r>
        <w:rPr>
          <w:sz w:val="24"/>
          <w:szCs w:val="24"/>
          <w:spacing w:val="4"/>
        </w:rPr>
        <w:t xml:space="preserve">        </w:t>
      </w:r>
      <w:r>
        <w:rPr>
          <w:sz w:val="24"/>
          <w:szCs w:val="24"/>
          <w:b/>
          <w:bCs/>
          <w:spacing w:val="-5"/>
        </w:rPr>
        <w:t>片的推荐治疗</w:t>
      </w:r>
    </w:p>
    <w:p>
      <w:pPr>
        <w:spacing w:line="56" w:lineRule="auto"/>
        <w:rPr>
          <w:rFonts w:ascii="Arial"/>
          <w:sz w:val="2"/>
        </w:rPr>
      </w:pPr>
      <w:r>
        <w:rPr>
          <w:rFonts w:ascii="Arial"/>
          <w:sz w:val="2"/>
        </w:rPr>
      </w:r>
    </w:p>
    <w:tbl>
      <w:tblPr>
        <w:tblStyle w:val="TableNormal"/>
        <w:tblW w:w="7780" w:type="dxa"/>
        <w:tblInd w:w="8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3"/>
        <w:gridCol w:w="2653"/>
        <w:gridCol w:w="3434"/>
      </w:tblGrid>
      <w:tr>
        <w:trPr>
          <w:trHeight w:val="421" w:hRule="atLeast"/>
        </w:trPr>
        <w:tc>
          <w:tcPr>
            <w:tcW w:w="4346" w:type="dxa"/>
            <w:vAlign w:val="top"/>
            <w:gridSpan w:val="2"/>
            <w:tcBorders>
              <w:bottom w:val="single" w:color="000000" w:sz="4" w:space="0"/>
              <w:top w:val="single" w:color="000000" w:sz="4" w:space="0"/>
            </w:tcBorders>
          </w:tcPr>
          <w:p>
            <w:pPr>
              <w:pStyle w:val="TableText"/>
              <w:ind w:left="153"/>
              <w:spacing w:before="91" w:line="219" w:lineRule="auto"/>
              <w:rPr>
                <w:sz w:val="24"/>
                <w:szCs w:val="24"/>
              </w:rPr>
            </w:pPr>
            <w:r>
              <w:rPr>
                <w:sz w:val="24"/>
                <w:szCs w:val="24"/>
                <w:b/>
                <w:bCs/>
                <w:spacing w:val="-4"/>
              </w:rPr>
              <w:t>残余碎片、结石(直径).有症状的患者</w:t>
            </w:r>
          </w:p>
        </w:tc>
        <w:tc>
          <w:tcPr>
            <w:tcW w:w="3434" w:type="dxa"/>
            <w:vAlign w:val="top"/>
            <w:tcBorders>
              <w:bottom w:val="single" w:color="000000" w:sz="4" w:space="0"/>
              <w:top w:val="single" w:color="000000" w:sz="4" w:space="0"/>
            </w:tcBorders>
          </w:tcPr>
          <w:p>
            <w:pPr>
              <w:pStyle w:val="TableText"/>
              <w:ind w:left="257"/>
              <w:spacing w:before="91" w:line="219" w:lineRule="auto"/>
              <w:rPr>
                <w:sz w:val="24"/>
                <w:szCs w:val="24"/>
              </w:rPr>
            </w:pPr>
            <w:r>
              <w:rPr>
                <w:sz w:val="24"/>
                <w:szCs w:val="24"/>
                <w:b/>
                <w:bCs/>
                <w:spacing w:val="-5"/>
              </w:rPr>
              <w:t>无症状的患者</w:t>
            </w:r>
          </w:p>
        </w:tc>
      </w:tr>
      <w:tr>
        <w:trPr>
          <w:trHeight w:val="456" w:hRule="atLeast"/>
        </w:trPr>
        <w:tc>
          <w:tcPr>
            <w:tcW w:w="1693" w:type="dxa"/>
            <w:vAlign w:val="top"/>
            <w:tcBorders>
              <w:bottom w:val="single" w:color="000000" w:sz="4" w:space="0"/>
              <w:top w:val="single" w:color="000000" w:sz="4" w:space="0"/>
            </w:tcBorders>
          </w:tcPr>
          <w:p>
            <w:pPr>
              <w:pStyle w:val="TableText"/>
              <w:ind w:left="139"/>
              <w:spacing w:before="137" w:line="237" w:lineRule="auto"/>
              <w:rPr>
                <w:sz w:val="24"/>
                <w:szCs w:val="24"/>
              </w:rPr>
            </w:pPr>
            <w:r>
              <w:rPr>
                <w:sz w:val="24"/>
                <w:szCs w:val="24"/>
                <w:spacing w:val="-3"/>
              </w:rPr>
              <w:t>&lt;4-5mm</w:t>
            </w:r>
          </w:p>
        </w:tc>
        <w:tc>
          <w:tcPr>
            <w:tcW w:w="2653" w:type="dxa"/>
            <w:vAlign w:val="top"/>
            <w:tcBorders>
              <w:bottom w:val="single" w:color="000000" w:sz="4" w:space="0"/>
              <w:top w:val="single" w:color="000000" w:sz="4" w:space="0"/>
            </w:tcBorders>
          </w:tcPr>
          <w:p>
            <w:pPr>
              <w:pStyle w:val="TableText"/>
              <w:ind w:left="850"/>
              <w:spacing w:before="111" w:line="220" w:lineRule="auto"/>
              <w:rPr>
                <w:sz w:val="24"/>
                <w:szCs w:val="24"/>
              </w:rPr>
            </w:pPr>
            <w:r>
              <w:rPr>
                <w:sz w:val="24"/>
                <w:szCs w:val="24"/>
                <w:b/>
                <w:bCs/>
                <w:spacing w:val="-5"/>
              </w:rPr>
              <w:t>取石治疗</w:t>
            </w:r>
          </w:p>
        </w:tc>
        <w:tc>
          <w:tcPr>
            <w:tcW w:w="3434" w:type="dxa"/>
            <w:vAlign w:val="top"/>
            <w:tcBorders>
              <w:bottom w:val="single" w:color="000000" w:sz="4" w:space="0"/>
              <w:top w:val="single" w:color="000000" w:sz="4" w:space="0"/>
            </w:tcBorders>
          </w:tcPr>
          <w:p>
            <w:pPr>
              <w:pStyle w:val="TableText"/>
              <w:ind w:left="253"/>
              <w:spacing w:before="114" w:line="219" w:lineRule="auto"/>
              <w:rPr>
                <w:sz w:val="24"/>
                <w:szCs w:val="24"/>
              </w:rPr>
            </w:pPr>
            <w:r>
              <w:rPr>
                <w:sz w:val="24"/>
                <w:szCs w:val="24"/>
                <w:spacing w:val="3"/>
              </w:rPr>
              <w:t>合理随访</w:t>
            </w:r>
          </w:p>
        </w:tc>
      </w:tr>
      <w:tr>
        <w:trPr>
          <w:trHeight w:val="422" w:hRule="atLeast"/>
        </w:trPr>
        <w:tc>
          <w:tcPr>
            <w:tcW w:w="1693" w:type="dxa"/>
            <w:vAlign w:val="top"/>
            <w:tcBorders>
              <w:bottom w:val="single" w:color="000000" w:sz="4" w:space="0"/>
              <w:top w:val="single" w:color="000000" w:sz="4" w:space="0"/>
            </w:tcBorders>
          </w:tcPr>
          <w:p>
            <w:pPr>
              <w:pStyle w:val="TableText"/>
              <w:ind w:left="139"/>
              <w:spacing w:before="122" w:line="223" w:lineRule="auto"/>
              <w:rPr>
                <w:sz w:val="24"/>
                <w:szCs w:val="24"/>
              </w:rPr>
            </w:pPr>
            <w:r>
              <w:rPr>
                <w:sz w:val="24"/>
                <w:szCs w:val="24"/>
                <w:spacing w:val="-3"/>
              </w:rPr>
              <w:t>&gt;6-7mm</w:t>
            </w:r>
          </w:p>
        </w:tc>
        <w:tc>
          <w:tcPr>
            <w:tcW w:w="2653" w:type="dxa"/>
            <w:vAlign w:val="top"/>
            <w:tcBorders>
              <w:bottom w:val="single" w:color="000000" w:sz="4" w:space="0"/>
              <w:top w:val="single" w:color="000000" w:sz="4" w:space="0"/>
            </w:tcBorders>
          </w:tcPr>
          <w:p>
            <w:pPr>
              <w:pStyle w:val="TableText"/>
              <w:ind w:left="850"/>
              <w:spacing w:before="95" w:line="220" w:lineRule="auto"/>
              <w:rPr>
                <w:sz w:val="24"/>
                <w:szCs w:val="24"/>
              </w:rPr>
            </w:pPr>
            <w:r>
              <w:rPr>
                <w:sz w:val="24"/>
                <w:szCs w:val="24"/>
                <w:b/>
                <w:bCs/>
                <w:spacing w:val="-5"/>
              </w:rPr>
              <w:t>取石治疗</w:t>
            </w:r>
          </w:p>
        </w:tc>
        <w:tc>
          <w:tcPr>
            <w:tcW w:w="3434" w:type="dxa"/>
            <w:vAlign w:val="top"/>
            <w:tcBorders>
              <w:bottom w:val="single" w:color="000000" w:sz="4" w:space="0"/>
              <w:top w:val="single" w:color="000000" w:sz="4" w:space="0"/>
            </w:tcBorders>
          </w:tcPr>
          <w:p>
            <w:pPr>
              <w:pStyle w:val="TableText"/>
              <w:ind w:left="253"/>
              <w:spacing w:before="98" w:line="220" w:lineRule="auto"/>
              <w:rPr>
                <w:sz w:val="24"/>
                <w:szCs w:val="24"/>
              </w:rPr>
            </w:pPr>
            <w:r>
              <w:rPr>
                <w:sz w:val="24"/>
                <w:szCs w:val="24"/>
                <w:spacing w:val="-1"/>
              </w:rPr>
              <w:t>选择合适的方法进行取石治疗</w:t>
            </w:r>
          </w:p>
        </w:tc>
      </w:tr>
    </w:tbl>
    <w:p>
      <w:pPr>
        <w:spacing w:line="293" w:lineRule="auto"/>
        <w:rPr>
          <w:rFonts w:ascii="Arial"/>
          <w:sz w:val="21"/>
        </w:rPr>
      </w:pPr>
      <w:r/>
    </w:p>
    <w:p>
      <w:pPr>
        <w:pStyle w:val="BodyText"/>
        <w:ind w:left="850"/>
        <w:spacing w:before="69" w:line="219" w:lineRule="auto"/>
        <w:rPr/>
      </w:pPr>
      <w:r>
        <w:rPr/>
        <w:t>12.1参考文献</w:t>
      </w:r>
    </w:p>
    <w:p>
      <w:pPr>
        <w:ind w:left="410" w:right="49"/>
        <w:spacing w:before="119" w:line="30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1.Beck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EM,Riehle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RA</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Jr.The   fate   of  residual   fr</w:t>
      </w:r>
      <w:r>
        <w:rPr>
          <w:rFonts w:ascii="Times New Roman" w:hAnsi="Times New Roman" w:eastAsia="Times New Roman" w:cs="Times New Roman"/>
          <w:sz w:val="21"/>
          <w:szCs w:val="21"/>
          <w:spacing w:val="-1"/>
        </w:rPr>
        <w:t>agments   after   extracorporeal   shock   wave   lithotripsy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monotherapy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of infection</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stones.J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Uro</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1991;145:6-9.</w:t>
      </w:r>
    </w:p>
    <w:p>
      <w:pPr>
        <w:ind w:left="410"/>
        <w:spacing w:before="62" w:line="192"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http://www.ncbi.nlm.nih.gov/entrez/query.fcgi?cmd=Retrieve&amp;db=p</w:t>
        </w:r>
        <w:r>
          <w:rPr>
            <w:rFonts w:ascii="Times New Roman" w:hAnsi="Times New Roman" w:eastAsia="Times New Roman" w:cs="Times New Roman"/>
            <w:sz w:val="21"/>
            <w:szCs w:val="21"/>
            <w:spacing w:val="-1"/>
          </w:rPr>
          <w:t>ubmed&amp;dopt=Abstract&amp;list_uids=1984100</w:t>
        </w:r>
      </w:hyperlink>
    </w:p>
    <w:p>
      <w:pPr>
        <w:ind w:left="410" w:right="49"/>
        <w:spacing w:before="157" w:line="255"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2.Eisenberger</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F</w:t>
        </w:r>
      </w:hyperlink>
      <w:r>
        <w:rPr>
          <w:rFonts w:ascii="Times New Roman" w:hAnsi="Times New Roman" w:eastAsia="Times New Roman" w:cs="Times New Roman"/>
          <w:sz w:val="21"/>
          <w:szCs w:val="21"/>
        </w:rPr>
        <w:t>,</w:t>
      </w:r>
      <w:hyperlink w:history="true" r:id="rId47">
        <w:r>
          <w:rPr>
            <w:rFonts w:ascii="Times New Roman" w:hAnsi="Times New Roman" w:eastAsia="Times New Roman" w:cs="Times New Roman"/>
            <w:sz w:val="21"/>
            <w:szCs w:val="21"/>
          </w:rPr>
          <w:t>Bub</w:t>
        </w:r>
      </w:hyperlink>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P,Schmidt</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A.The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fate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re</w:t>
      </w:r>
      <w:r>
        <w:rPr>
          <w:rFonts w:ascii="Times New Roman" w:hAnsi="Times New Roman" w:eastAsia="Times New Roman" w:cs="Times New Roman"/>
          <w:sz w:val="21"/>
          <w:szCs w:val="21"/>
          <w:spacing w:val="-1"/>
        </w:rPr>
        <w:t>sidual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59"/>
          <w:w w:val="101"/>
        </w:rPr>
        <w:t xml:space="preserve"> </w:t>
      </w:r>
      <w:r>
        <w:rPr>
          <w:rFonts w:ascii="Times New Roman" w:hAnsi="Times New Roman" w:eastAsia="Times New Roman" w:cs="Times New Roman"/>
          <w:sz w:val="21"/>
          <w:szCs w:val="21"/>
          <w:spacing w:val="-1"/>
        </w:rPr>
        <w:t>Endourol  1992;6:217-218.</w:t>
      </w:r>
    </w:p>
    <w:p>
      <w:pPr>
        <w:ind w:left="410" w:right="15"/>
        <w:spacing w:before="167"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3.Liedl   B,Jocham   D,Schuster    C,Lunz    C.Long-term   results   in    ESWL-treated   </w:t>
      </w:r>
      <w:r>
        <w:rPr>
          <w:rFonts w:ascii="Times New Roman" w:hAnsi="Times New Roman" w:eastAsia="Times New Roman" w:cs="Times New Roman"/>
          <w:sz w:val="21"/>
          <w:szCs w:val="21"/>
          <w:spacing w:val="-1"/>
        </w:rPr>
        <w:t>urinary    stone   patients.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Abstract.Urol</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Res  1988</w:t>
      </w:r>
      <w:r>
        <w:rPr>
          <w:rFonts w:ascii="Times New Roman" w:hAnsi="Times New Roman" w:eastAsia="Times New Roman" w:cs="Times New Roman"/>
          <w:sz w:val="21"/>
          <w:szCs w:val="21"/>
          <w:spacing w:val="-1"/>
        </w:rPr>
        <w:t>;16:256.</w:t>
      </w:r>
    </w:p>
    <w:p>
      <w:pPr>
        <w:ind w:left="410" w:right="25"/>
        <w:spacing w:before="166" w:line="2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4.Cicerello</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E,Merlo</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F,Gambaro</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G,Maccatrozzo</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L,Fand</w:t>
      </w:r>
      <w:r>
        <w:rPr>
          <w:rFonts w:ascii="Times New Roman" w:hAnsi="Times New Roman" w:eastAsia="Times New Roman" w:cs="Times New Roman"/>
          <w:sz w:val="21"/>
          <w:szCs w:val="21"/>
          <w:spacing w:val="-1"/>
        </w:rPr>
        <w:t>ella</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A,Baggio</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B,Anselmo</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G.Effect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alkaline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60"/>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clearance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sterile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infection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nephrolithia</w:t>
      </w:r>
      <w:r>
        <w:rPr>
          <w:rFonts w:ascii="Times New Roman" w:hAnsi="Times New Roman" w:eastAsia="Times New Roman" w:cs="Times New Roman"/>
          <w:sz w:val="21"/>
          <w:szCs w:val="21"/>
          <w:spacing w:val="-1"/>
        </w:rPr>
        <w:t>sis</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patients.J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Urol  1994;151:5-9.</w:t>
      </w:r>
    </w:p>
    <w:p>
      <w:pPr>
        <w:ind w:left="410"/>
        <w:spacing w:before="166" w:line="192"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fcgi?cmd=Retrieve&amp;db=PubMed&amp;list_uids=8254832&amp;dopt=Abstract</w:t>
        </w:r>
      </w:hyperlink>
    </w:p>
    <w:p>
      <w:pPr>
        <w:ind w:left="410" w:right="25"/>
        <w:spacing w:before="157" w:line="312"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5.Fine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JK</w:t>
        </w:r>
      </w:hyperlink>
      <w:r>
        <w:rPr>
          <w:rFonts w:ascii="Times New Roman" w:hAnsi="Times New Roman" w:eastAsia="Times New Roman" w:cs="Times New Roman"/>
          <w:sz w:val="21"/>
          <w:szCs w:val="21"/>
        </w:rPr>
        <w:t>,</w:t>
      </w:r>
      <w:hyperlink w:history="true" r:id="rId48">
        <w:r>
          <w:rPr>
            <w:rFonts w:ascii="Times New Roman" w:hAnsi="Times New Roman" w:eastAsia="Times New Roman" w:cs="Times New Roman"/>
            <w:sz w:val="21"/>
            <w:szCs w:val="21"/>
          </w:rPr>
          <w:t>Pak</w:t>
        </w:r>
      </w:hyperlink>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YC,Preminger</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GM.Effect</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edical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recurrent  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following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shock wave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litho</w:t>
      </w:r>
      <w:r>
        <w:rPr>
          <w:rFonts w:ascii="Times New Roman" w:hAnsi="Times New Roman" w:eastAsia="Times New Roman" w:cs="Times New Roman"/>
          <w:sz w:val="21"/>
          <w:szCs w:val="21"/>
          <w:spacing w:val="-1"/>
        </w:rPr>
        <w:t>tripsy.J Urol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1995;153:27-33.</w:t>
      </w:r>
    </w:p>
    <w:p>
      <w:pPr>
        <w:ind w:left="410"/>
        <w:spacing w:before="32" w:line="192"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http://www.ncbi.nlm.nih.gov/entrez/query.</w:t>
        </w:r>
        <w:r>
          <w:rPr>
            <w:rFonts w:ascii="Times New Roman" w:hAnsi="Times New Roman" w:eastAsia="Times New Roman" w:cs="Times New Roman"/>
            <w:sz w:val="21"/>
            <w:szCs w:val="21"/>
            <w:spacing w:val="-1"/>
          </w:rPr>
          <w:t>fcgi?cmd=Retrieve&amp;db=PubMed&amp;list_uids=7966783&amp;dopt=Abstract</w:t>
        </w:r>
      </w:hyperlink>
    </w:p>
    <w:p>
      <w:pPr>
        <w:ind w:left="410"/>
        <w:spacing w:before="157" w:line="192" w:lineRule="auto"/>
        <w:rPr>
          <w:rFonts w:ascii="Times New Roman" w:hAnsi="Times New Roman" w:eastAsia="Times New Roman" w:cs="Times New Roman"/>
          <w:sz w:val="21"/>
          <w:szCs w:val="21"/>
        </w:rPr>
      </w:pPr>
      <w:hyperlink w:history="true" r:id="rId46">
        <w:r>
          <w:rPr>
            <w:rFonts w:ascii="Times New Roman" w:hAnsi="Times New Roman" w:eastAsia="Times New Roman" w:cs="Times New Roman"/>
            <w:sz w:val="21"/>
            <w:szCs w:val="21"/>
          </w:rPr>
          <w:t>6.Streem   SB</w:t>
        </w:r>
      </w:hyperlink>
      <w:r>
        <w:rPr>
          <w:rFonts w:ascii="Times New Roman" w:hAnsi="Times New Roman" w:eastAsia="Times New Roman" w:cs="Times New Roman"/>
          <w:sz w:val="21"/>
          <w:szCs w:val="21"/>
        </w:rPr>
        <w:t>,</w:t>
      </w:r>
      <w:hyperlink w:history="true" r:id="rId49">
        <w:r>
          <w:rPr>
            <w:rFonts w:ascii="Times New Roman" w:hAnsi="Times New Roman" w:eastAsia="Times New Roman" w:cs="Times New Roman"/>
            <w:sz w:val="21"/>
            <w:szCs w:val="21"/>
          </w:rPr>
          <w:t>Yost</w:t>
        </w:r>
      </w:hyperlink>
      <w:r>
        <w:rPr>
          <w:rFonts w:ascii="Times New Roman" w:hAnsi="Times New Roman" w:eastAsia="Times New Roman" w:cs="Times New Roman"/>
          <w:sz w:val="21"/>
          <w:szCs w:val="21"/>
        </w:rPr>
        <w:t xml:space="preserve">   A,Mascha   E.Clinical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implications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clinically   insignificant </w:t>
      </w:r>
      <w:r>
        <w:rPr>
          <w:rFonts w:ascii="Times New Roman" w:hAnsi="Times New Roman" w:eastAsia="Times New Roman" w:cs="Times New Roman"/>
          <w:sz w:val="21"/>
          <w:szCs w:val="21"/>
          <w:spacing w:val="-1"/>
        </w:rPr>
        <w:t xml:space="preserve">   stone   fragments   after</w:t>
      </w:r>
    </w:p>
    <w:p>
      <w:pPr>
        <w:spacing w:line="251" w:lineRule="auto"/>
        <w:rPr>
          <w:rFonts w:ascii="Arial"/>
          <w:sz w:val="21"/>
        </w:rPr>
      </w:pPr>
      <w:r/>
    </w:p>
    <w:p>
      <w:pPr>
        <w:ind w:left="4879"/>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—235—</w:t>
      </w:r>
    </w:p>
    <w:p>
      <w:pPr>
        <w:spacing w:line="242"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529" w:bottom="0" w:left="380" w:header="0" w:footer="0" w:gutter="0"/>
        </w:sectPr>
        <w:rPr>
          <w:rFonts w:ascii="Times New Roman" w:hAnsi="Times New Roman" w:eastAsia="Times New Roman" w:cs="Times New Roman"/>
          <w:sz w:val="21"/>
          <w:szCs w:val="21"/>
        </w:rPr>
      </w:pPr>
    </w:p>
    <w:p>
      <w:pPr>
        <w:ind w:left="569"/>
        <w:spacing w:before="22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1996;155:1186-1190.</w:t>
      </w:r>
    </w:p>
    <w:p>
      <w:pPr>
        <w:ind w:left="569"/>
        <w:spacing w:before="156"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http://www.ncbi.nlm.nih.gov/entrez/query.fcgi?cmd=Retrieve&amp;db=PubMed&amp;list_uids=86</w:t>
        </w:r>
        <w:r>
          <w:rPr>
            <w:rFonts w:ascii="Times New Roman" w:hAnsi="Times New Roman" w:eastAsia="Times New Roman" w:cs="Times New Roman"/>
            <w:sz w:val="21"/>
            <w:szCs w:val="21"/>
            <w:spacing w:val="-2"/>
          </w:rPr>
          <w:t>32527&amp;dopt=Abstract</w:t>
        </w:r>
      </w:hyperlink>
    </w:p>
    <w:p>
      <w:pPr>
        <w:ind w:left="569" w:right="13"/>
        <w:spacing w:before="117" w:line="264"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7.ZanettiG</w:t>
        </w:r>
      </w:hyperlink>
      <w:r>
        <w:rPr>
          <w:rFonts w:ascii="Times New Roman" w:hAnsi="Times New Roman" w:eastAsia="Times New Roman" w:cs="Times New Roman"/>
          <w:sz w:val="21"/>
          <w:szCs w:val="21"/>
        </w:rPr>
        <w:t>,</w:t>
      </w:r>
      <w:hyperlink w:history="true" r:id="rId52">
        <w:r>
          <w:rPr>
            <w:rFonts w:ascii="Times New Roman" w:hAnsi="Times New Roman" w:eastAsia="Times New Roman" w:cs="Times New Roman"/>
            <w:sz w:val="21"/>
            <w:szCs w:val="21"/>
          </w:rPr>
          <w:t>Seveso</w:t>
        </w:r>
      </w:hyperlink>
      <w:r>
        <w:rPr>
          <w:rFonts w:ascii="Times New Roman" w:hAnsi="Times New Roman" w:eastAsia="Times New Roman" w:cs="Times New Roman"/>
          <w:sz w:val="21"/>
          <w:szCs w:val="21"/>
        </w:rPr>
        <w:t xml:space="preserve">  M,Montanari  E,Guarneri</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A,Del  Nero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A,Nespoli</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R,Trinchieri</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A.Renal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fragments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following               shock               </w:t>
      </w:r>
      <w:r>
        <w:rPr>
          <w:rFonts w:ascii="Arial" w:hAnsi="Arial" w:eastAsia="Arial" w:cs="Arial"/>
          <w:sz w:val="21"/>
          <w:szCs w:val="21"/>
        </w:rPr>
        <w:t>wave          </w:t>
      </w:r>
      <w:r>
        <w:rPr>
          <w:rFonts w:ascii="Times New Roman" w:hAnsi="Times New Roman" w:eastAsia="Times New Roman" w:cs="Times New Roman"/>
          <w:sz w:val="21"/>
          <w:szCs w:val="21"/>
        </w:rPr>
        <w:t>lithotripsy.       </w:t>
      </w:r>
      <w:r>
        <w:rPr>
          <w:rFonts w:ascii="Times New Roman" w:hAnsi="Times New Roman" w:eastAsia="Times New Roman" w:cs="Times New Roman"/>
          <w:sz w:val="21"/>
          <w:szCs w:val="21"/>
          <w:spacing w:val="-1"/>
        </w:rPr>
        <w:t xml:space="preserve">          J             Urol              1997;158:352-355.</w:t>
      </w:r>
    </w:p>
    <w:p>
      <w:pPr>
        <w:ind w:left="569"/>
        <w:spacing w:before="157"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http://www.ncbi.nlm.nih.govlentrez/query.fcgi?cmd=Retrieve&amp;db=PubMed&amp;list_uids=92</w:t>
        </w:r>
        <w:r>
          <w:rPr>
            <w:rFonts w:ascii="Times New Roman" w:hAnsi="Times New Roman" w:eastAsia="Times New Roman" w:cs="Times New Roman"/>
            <w:sz w:val="21"/>
            <w:szCs w:val="21"/>
            <w:spacing w:val="-2"/>
          </w:rPr>
          <w:t>24301&amp;dopt=Abstract</w:t>
        </w:r>
      </w:hyperlink>
    </w:p>
    <w:p>
      <w:pPr>
        <w:ind w:left="569" w:right="15"/>
        <w:spacing w:before="126" w:line="283"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8.Pacik  D</w:t>
        </w:r>
      </w:hyperlink>
      <w:r>
        <w:rPr>
          <w:rFonts w:ascii="Times New Roman" w:hAnsi="Times New Roman" w:eastAsia="Times New Roman" w:cs="Times New Roman"/>
          <w:sz w:val="21"/>
          <w:szCs w:val="21"/>
        </w:rPr>
        <w:t>,</w:t>
      </w:r>
      <w:hyperlink w:history="true" r:id="rId53">
        <w:r>
          <w:rPr>
            <w:rFonts w:ascii="Times New Roman" w:hAnsi="Times New Roman" w:eastAsia="Times New Roman" w:cs="Times New Roman"/>
            <w:sz w:val="21"/>
            <w:szCs w:val="21"/>
          </w:rPr>
          <w:t>Hanak</w:t>
        </w:r>
      </w:hyperlink>
      <w:r>
        <w:rPr>
          <w:rFonts w:ascii="Times New Roman" w:hAnsi="Times New Roman" w:eastAsia="Times New Roman" w:cs="Times New Roman"/>
          <w:sz w:val="21"/>
          <w:szCs w:val="21"/>
        </w:rPr>
        <w:t xml:space="preserve">  T,Kumstat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P,Turjaniea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M,Jelinek</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P,Kladensky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J.Effectiveness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ESWL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lowerp</w:t>
      </w:r>
      <w:r>
        <w:rPr>
          <w:rFonts w:ascii="Times New Roman" w:hAnsi="Times New Roman" w:eastAsia="Times New Roman" w:cs="Times New Roman"/>
          <w:sz w:val="21"/>
          <w:szCs w:val="21"/>
          <w:spacing w:val="-1"/>
        </w:rPr>
        <w:t>ole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caliceal        nephrolithiasis:         </w:t>
      </w:r>
      <w:r>
        <w:rPr>
          <w:rFonts w:ascii="Times New Roman" w:hAnsi="Times New Roman" w:eastAsia="Times New Roman" w:cs="Times New Roman"/>
          <w:sz w:val="21"/>
          <w:szCs w:val="21"/>
          <w:position w:val="1"/>
        </w:rPr>
        <w:t>evaluation         of      </w:t>
      </w:r>
      <w:r>
        <w:rPr>
          <w:rFonts w:ascii="Times New Roman" w:hAnsi="Times New Roman" w:eastAsia="Times New Roman" w:cs="Times New Roman"/>
          <w:sz w:val="16"/>
          <w:szCs w:val="16"/>
          <w:position w:val="1"/>
        </w:rPr>
        <w:t>452           </w:t>
      </w:r>
      <w:r>
        <w:rPr>
          <w:rFonts w:ascii="Times New Roman" w:hAnsi="Times New Roman" w:eastAsia="Times New Roman" w:cs="Times New Roman"/>
          <w:sz w:val="21"/>
          <w:szCs w:val="21"/>
        </w:rPr>
        <w:t>cases. </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position w:val="1"/>
        </w:rPr>
        <w:t>J       </w:t>
      </w:r>
      <w:r>
        <w:rPr>
          <w:rFonts w:ascii="Times New Roman" w:hAnsi="Times New Roman" w:eastAsia="Times New Roman" w:cs="Times New Roman"/>
          <w:sz w:val="21"/>
          <w:szCs w:val="21"/>
          <w:spacing w:val="-1"/>
        </w:rPr>
        <w:t>Endourol        </w:t>
      </w:r>
      <w:r>
        <w:rPr>
          <w:rFonts w:ascii="Times New Roman" w:hAnsi="Times New Roman" w:eastAsia="Times New Roman" w:cs="Times New Roman"/>
          <w:sz w:val="21"/>
          <w:szCs w:val="21"/>
          <w:spacing w:val="-1"/>
          <w:position w:val="1"/>
        </w:rPr>
        <w:t>1997;11:305-307.</w:t>
      </w:r>
      <w:r>
        <w:rPr>
          <w:rFonts w:ascii="Times New Roman" w:hAnsi="Times New Roman" w:eastAsia="Times New Roman" w:cs="Times New Roman"/>
          <w:sz w:val="21"/>
          <w:szCs w:val="21"/>
          <w:position w:val="1"/>
        </w:rPr>
        <w:t xml:space="preserve">   </w:t>
      </w:r>
      <w:hyperlink w:history="true" r:id="rId51">
        <w:r>
          <w:rPr>
            <w:rFonts w:ascii="Times New Roman" w:hAnsi="Times New Roman" w:eastAsia="Times New Roman" w:cs="Times New Roman"/>
            <w:sz w:val="21"/>
            <w:szCs w:val="21"/>
            <w:spacing w:val="-1"/>
          </w:rPr>
          <w:t>http://www.ncbi.nlm.nih.gov/entrez/query.fcgi?cmd=Retrieve&amp;db=PubMed&amp;list_uids=93</w:t>
        </w:r>
        <w:r>
          <w:rPr>
            <w:rFonts w:ascii="Times New Roman" w:hAnsi="Times New Roman" w:eastAsia="Times New Roman" w:cs="Times New Roman"/>
            <w:sz w:val="21"/>
            <w:szCs w:val="21"/>
            <w:spacing w:val="-2"/>
          </w:rPr>
          <w:t>55942&amp;dopt=Abstract</w:t>
        </w:r>
      </w:hyperlink>
    </w:p>
    <w:p>
      <w:pPr>
        <w:ind w:left="569"/>
        <w:spacing w:before="136"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9.Segura</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JW.The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definition</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succes</w:t>
        </w:r>
        <w:r>
          <w:rPr>
            <w:rFonts w:ascii="Times New Roman" w:hAnsi="Times New Roman" w:eastAsia="Times New Roman" w:cs="Times New Roman"/>
            <w:sz w:val="21"/>
            <w:szCs w:val="21"/>
            <w:spacing w:val="-1"/>
          </w:rPr>
          <w:t>s.Arch</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Esp</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Urol  1991</w:t>
        </w:r>
      </w:hyperlink>
      <w:r>
        <w:rPr>
          <w:rFonts w:ascii="Times New Roman" w:hAnsi="Times New Roman" w:eastAsia="Times New Roman" w:cs="Times New Roman"/>
          <w:sz w:val="21"/>
          <w:szCs w:val="21"/>
          <w:spacing w:val="-1"/>
        </w:rPr>
        <w:t>;</w:t>
      </w:r>
      <w:hyperlink w:history="true" r:id="rId54">
        <w:r>
          <w:rPr>
            <w:rFonts w:ascii="Times New Roman" w:hAnsi="Times New Roman" w:eastAsia="Times New Roman" w:cs="Times New Roman"/>
            <w:sz w:val="21"/>
            <w:szCs w:val="21"/>
            <w:spacing w:val="-1"/>
          </w:rPr>
          <w:t>44:1023-1024</w:t>
        </w:r>
      </w:hyperlink>
      <w:r>
        <w:rPr>
          <w:rFonts w:ascii="Times New Roman" w:hAnsi="Times New Roman" w:eastAsia="Times New Roman" w:cs="Times New Roman"/>
          <w:sz w:val="21"/>
          <w:szCs w:val="21"/>
          <w:spacing w:val="-1"/>
        </w:rPr>
        <w:t>.</w:t>
      </w:r>
    </w:p>
    <w:p>
      <w:pPr>
        <w:ind w:left="569" w:right="12"/>
        <w:spacing w:before="138" w:line="2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10.Krings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F,Tuerk</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C,Steinkogl</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I,Marberger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M.Extracorporeal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retreatment(“stir-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up”)promotes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discharge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  persistent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caliceal</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fragments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after  primar</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extracorporeal   shock  wave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lithotripsy.J  Urol </w:t>
      </w:r>
      <w:r>
        <w:rPr>
          <w:rFonts w:ascii="Times New Roman" w:hAnsi="Times New Roman" w:eastAsia="Times New Roman" w:cs="Times New Roman"/>
          <w:sz w:val="21"/>
          <w:szCs w:val="21"/>
          <w:spacing w:val="-1"/>
        </w:rPr>
        <w:t xml:space="preserve">  1992;148:1040-1042.</w:t>
      </w:r>
    </w:p>
    <w:p>
      <w:pPr>
        <w:ind w:left="569"/>
        <w:spacing w:before="137"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http://www.ncbi.nlm.nih.gov/entrez/query.fcgi?cmd=Retrieve&amp;db=PubMed&amp;list_uids=15</w:t>
        </w:r>
        <w:r>
          <w:rPr>
            <w:rFonts w:ascii="Times New Roman" w:hAnsi="Times New Roman" w:eastAsia="Times New Roman" w:cs="Times New Roman"/>
            <w:sz w:val="21"/>
            <w:szCs w:val="21"/>
            <w:spacing w:val="-2"/>
          </w:rPr>
          <w:t>07326&amp;dopt=Abstract</w:t>
        </w:r>
      </w:hyperlink>
    </w:p>
    <w:p>
      <w:pPr>
        <w:ind w:left="569" w:right="20"/>
        <w:spacing w:before="157" w:line="32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11.Yu   CC</w:t>
        </w:r>
      </w:hyperlink>
      <w:r>
        <w:rPr>
          <w:rFonts w:ascii="Times New Roman" w:hAnsi="Times New Roman" w:eastAsia="Times New Roman" w:cs="Times New Roman"/>
          <w:sz w:val="21"/>
          <w:szCs w:val="21"/>
        </w:rPr>
        <w:t>,</w:t>
      </w:r>
      <w:hyperlink w:history="true" r:id="rId55">
        <w:r>
          <w:rPr>
            <w:rFonts w:ascii="Times New Roman" w:hAnsi="Times New Roman" w:eastAsia="Times New Roman" w:cs="Times New Roman"/>
            <w:sz w:val="21"/>
            <w:szCs w:val="21"/>
          </w:rPr>
          <w:t>Lee</w:t>
        </w:r>
      </w:hyperlink>
      <w:r>
        <w:rPr>
          <w:rFonts w:ascii="Times New Roman" w:hAnsi="Times New Roman" w:eastAsia="Times New Roman" w:cs="Times New Roman"/>
          <w:sz w:val="21"/>
          <w:szCs w:val="21"/>
        </w:rPr>
        <w:t xml:space="preserve">   YH,Huang   JK,Chen   MT,Chen   KK,Lin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AT</w:t>
      </w:r>
      <w:r>
        <w:rPr>
          <w:rFonts w:ascii="Times New Roman" w:hAnsi="Times New Roman" w:eastAsia="Times New Roman" w:cs="Times New Roman"/>
          <w:sz w:val="21"/>
          <w:szCs w:val="21"/>
          <w:spacing w:val="-1"/>
        </w:rPr>
        <w:t>,Chang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LS.Long-term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regrowth</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recurrence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rates</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extraco</w:t>
      </w:r>
      <w:r>
        <w:rPr>
          <w:rFonts w:ascii="Times New Roman" w:hAnsi="Times New Roman" w:eastAsia="Times New Roman" w:cs="Times New Roman"/>
          <w:sz w:val="21"/>
          <w:szCs w:val="21"/>
          <w:spacing w:val="-1"/>
        </w:rPr>
        <w:t>rporeal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lithotripsy.BrJ</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1993;72:688-691.</w:t>
      </w:r>
    </w:p>
    <w:p>
      <w:pPr>
        <w:ind w:left="569"/>
        <w:spacing w:before="32"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http://www.nebi.nlm.nih.gov/entrez/query.fcgi?cmd=Retrieve&amp;db=PubMed&amp;list_uids=82</w:t>
        </w:r>
        <w:r>
          <w:rPr>
            <w:rFonts w:ascii="Times New Roman" w:hAnsi="Times New Roman" w:eastAsia="Times New Roman" w:cs="Times New Roman"/>
            <w:sz w:val="21"/>
            <w:szCs w:val="21"/>
            <w:spacing w:val="-2"/>
          </w:rPr>
          <w:t>81395&amp;dopt=Abstract</w:t>
        </w:r>
      </w:hyperlink>
    </w:p>
    <w:p>
      <w:pPr>
        <w:ind w:left="569"/>
        <w:spacing w:before="146" w:line="312" w:lineRule="auto"/>
        <w:jc w:val="both"/>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12.Carlson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KJ</w:t>
        </w:r>
      </w:hyperlink>
      <w:r>
        <w:rPr>
          <w:rFonts w:ascii="Times New Roman" w:hAnsi="Times New Roman" w:eastAsia="Times New Roman" w:cs="Times New Roman"/>
          <w:sz w:val="21"/>
          <w:szCs w:val="21"/>
          <w:spacing w:val="-1"/>
        </w:rPr>
        <w:t>,</w:t>
      </w:r>
      <w:hyperlink w:history="true" r:id="rId56">
        <w:r>
          <w:rPr>
            <w:rFonts w:ascii="Times New Roman" w:hAnsi="Times New Roman" w:eastAsia="Times New Roman" w:cs="Times New Roman"/>
            <w:sz w:val="21"/>
            <w:szCs w:val="21"/>
            <w:spacing w:val="-1"/>
          </w:rPr>
          <w:t>Dretler</w:t>
        </w:r>
      </w:hyperlink>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SP,Roth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RA,Hatziandreu</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E,Gladstone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K,Mulley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AG.Extracorporeal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wavee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nephrostolithotomy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urina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calculi:comparison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immediate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long-term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effects.J  Stone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Dis  1993;5:8-18.</w:t>
      </w:r>
    </w:p>
    <w:p>
      <w:pPr>
        <w:ind w:left="569"/>
        <w:spacing w:before="79"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5"/>
          </w:rPr>
          <w:t>http://www.ncbi.nlm.nih.govlentrez/query.fcgi?cmd=Retrieve&amp;db=PubMed&amp;list_uids=10148257&amp;dopt=A</w:t>
        </w:r>
        <w:r>
          <w:rPr>
            <w:rFonts w:ascii="Times New Roman" w:hAnsi="Times New Roman" w:eastAsia="Times New Roman" w:cs="Times New Roman"/>
            <w:sz w:val="21"/>
            <w:szCs w:val="21"/>
            <w:spacing w:val="-6"/>
          </w:rPr>
          <w:t>bstract</w:t>
        </w:r>
      </w:hyperlink>
    </w:p>
    <w:p>
      <w:pPr>
        <w:ind w:left="569" w:right="16"/>
        <w:spacing w:before="117" w:line="33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13.Sabnis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RB</w:t>
        </w:r>
      </w:hyperlink>
      <w:r>
        <w:rPr>
          <w:rFonts w:ascii="Times New Roman" w:hAnsi="Times New Roman" w:eastAsia="Times New Roman" w:cs="Times New Roman"/>
          <w:sz w:val="21"/>
          <w:szCs w:val="21"/>
          <w:spacing w:val="-1"/>
        </w:rPr>
        <w:t>,</w:t>
      </w:r>
      <w:hyperlink w:history="true" r:id="rId57">
        <w:r>
          <w:rPr>
            <w:rFonts w:ascii="Times New Roman" w:hAnsi="Times New Roman" w:eastAsia="Times New Roman" w:cs="Times New Roman"/>
            <w:sz w:val="21"/>
            <w:szCs w:val="21"/>
            <w:spacing w:val="-1"/>
          </w:rPr>
          <w:t>Naik</w:t>
        </w:r>
      </w:hyperlink>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K,Patel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SH,Desai</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MR,Bapat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SD.Extracorporeal</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lower</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calyceal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stones:can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clearance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be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predicted</w:t>
      </w:r>
      <w:r>
        <w:rPr>
          <w:rFonts w:ascii="Times New Roman" w:hAnsi="Times New Roman" w:eastAsia="Times New Roman" w:cs="Times New Roman"/>
          <w:sz w:val="21"/>
          <w:szCs w:val="21"/>
          <w:spacing w:val="-1"/>
        </w:rPr>
        <w:t>?Br</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Urol  1997;80:853-857.</w:t>
      </w:r>
    </w:p>
    <w:p>
      <w:pPr>
        <w:ind w:left="569"/>
        <w:spacing w:before="32"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http://www.ncbi.nlm.nih.govlentrez/query.fcgi?cmd=Retrieve&amp;db=PubMed&amp;list_uids=94</w:t>
        </w:r>
        <w:r>
          <w:rPr>
            <w:rFonts w:ascii="Times New Roman" w:hAnsi="Times New Roman" w:eastAsia="Times New Roman" w:cs="Times New Roman"/>
            <w:sz w:val="21"/>
            <w:szCs w:val="21"/>
            <w:spacing w:val="-2"/>
          </w:rPr>
          <w:t>39396&amp;dopt=Abstract</w:t>
        </w:r>
      </w:hyperlink>
    </w:p>
    <w:p>
      <w:pPr>
        <w:ind w:left="569" w:right="40"/>
        <w:spacing w:before="116" w:line="33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14.Yu   CC</w:t>
        </w:r>
      </w:hyperlink>
      <w:r>
        <w:rPr>
          <w:rFonts w:ascii="Times New Roman" w:hAnsi="Times New Roman" w:eastAsia="Times New Roman" w:cs="Times New Roman"/>
          <w:sz w:val="21"/>
          <w:szCs w:val="21"/>
        </w:rPr>
        <w:t>,</w:t>
      </w:r>
      <w:hyperlink w:history="true" r:id="rId55">
        <w:r>
          <w:rPr>
            <w:rFonts w:ascii="Times New Roman" w:hAnsi="Times New Roman" w:eastAsia="Times New Roman" w:cs="Times New Roman"/>
            <w:sz w:val="21"/>
            <w:szCs w:val="21"/>
          </w:rPr>
          <w:t>Lee</w:t>
        </w:r>
      </w:hyperlink>
      <w:r>
        <w:rPr>
          <w:rFonts w:ascii="Times New Roman" w:hAnsi="Times New Roman" w:eastAsia="Times New Roman" w:cs="Times New Roman"/>
          <w:sz w:val="21"/>
          <w:szCs w:val="21"/>
        </w:rPr>
        <w:t xml:space="preserve">   YH,Huang   JK,Chen   MT,Chen   KK,Lin   AT,</w:t>
      </w:r>
      <w:r>
        <w:rPr>
          <w:rFonts w:ascii="Times New Roman" w:hAnsi="Times New Roman" w:eastAsia="Times New Roman" w:cs="Times New Roman"/>
          <w:sz w:val="21"/>
          <w:szCs w:val="21"/>
          <w:spacing w:val="-1"/>
        </w:rPr>
        <w:t>Chang</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LS.Long-term</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stone   regrowth</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recurrence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rates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extr</w:t>
      </w:r>
      <w:r>
        <w:rPr>
          <w:rFonts w:ascii="Times New Roman" w:hAnsi="Times New Roman" w:eastAsia="Times New Roman" w:cs="Times New Roman"/>
          <w:sz w:val="21"/>
          <w:szCs w:val="21"/>
          <w:spacing w:val="-1"/>
        </w:rPr>
        <w:t>acorporeal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lithotripsy.Br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1993;72:688-691.</w:t>
      </w:r>
    </w:p>
    <w:p>
      <w:pPr>
        <w:ind w:left="569"/>
        <w:spacing w:before="32"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1"/>
          </w:rPr>
          <w:t>http://www.ncbi.nlm.nih.gov/entrez/query.fcgi?cmd=Retrieve&amp;db=PubMed&amp;list_uids=8281395</w:t>
        </w:r>
      </w:hyperlink>
    </w:p>
    <w:p>
      <w:pPr>
        <w:ind w:left="569" w:right="15"/>
        <w:spacing w:before="137" w:line="33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15.Candau   C</w:t>
        </w:r>
      </w:hyperlink>
      <w:r>
        <w:rPr>
          <w:rFonts w:ascii="Times New Roman" w:hAnsi="Times New Roman" w:eastAsia="Times New Roman" w:cs="Times New Roman"/>
          <w:sz w:val="21"/>
          <w:szCs w:val="21"/>
        </w:rPr>
        <w:t>,</w:t>
      </w:r>
      <w:hyperlink w:history="true" r:id="rId58">
        <w:r>
          <w:rPr>
            <w:rFonts w:ascii="Times New Roman" w:hAnsi="Times New Roman" w:eastAsia="Times New Roman" w:cs="Times New Roman"/>
            <w:sz w:val="21"/>
            <w:szCs w:val="21"/>
          </w:rPr>
          <w:t>Saussine</w:t>
        </w:r>
      </w:hyperlink>
      <w:r>
        <w:rPr>
          <w:rFonts w:ascii="Times New Roman" w:hAnsi="Times New Roman" w:eastAsia="Times New Roman" w:cs="Times New Roman"/>
          <w:sz w:val="21"/>
          <w:szCs w:val="21"/>
        </w:rPr>
        <w:t xml:space="preserve">   C,Lang   </w:t>
      </w:r>
      <w:r>
        <w:rPr>
          <w:rFonts w:ascii="Times New Roman" w:hAnsi="Times New Roman" w:eastAsia="Times New Roman" w:cs="Times New Roman"/>
          <w:sz w:val="21"/>
          <w:szCs w:val="21"/>
          <w:spacing w:val="-1"/>
        </w:rPr>
        <w:t>H,Roy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C,Faure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F,Jacqmin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D.Natural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history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of   residual   renal    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fragments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after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ESWL.Eur</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20</w:t>
      </w:r>
      <w:r>
        <w:rPr>
          <w:rFonts w:ascii="Times New Roman" w:hAnsi="Times New Roman" w:eastAsia="Times New Roman" w:cs="Times New Roman"/>
          <w:sz w:val="21"/>
          <w:szCs w:val="21"/>
          <w:spacing w:val="-1"/>
        </w:rPr>
        <w:t>00;37:18-22.</w:t>
      </w:r>
    </w:p>
    <w:p>
      <w:pPr>
        <w:ind w:left="569"/>
        <w:spacing w:before="42"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spacing w:val="-5"/>
          </w:rPr>
          <w:t>http://www.ncbi.nlm.nih.govlentrez/query.fcgi?cmd=Retrieve&amp;db=pubmed&amp;dopt=Abstract&amp;list_uids=10671779</w:t>
        </w:r>
      </w:hyperlink>
    </w:p>
    <w:p>
      <w:pPr>
        <w:ind w:left="569" w:right="5"/>
        <w:spacing w:before="138" w:line="283"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16.Tiselius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HG.Compreh</w:t>
        </w:r>
        <w:r>
          <w:rPr>
            <w:rFonts w:ascii="Times New Roman" w:hAnsi="Times New Roman" w:eastAsia="Times New Roman" w:cs="Times New Roman"/>
            <w:sz w:val="21"/>
            <w:szCs w:val="21"/>
            <w:spacing w:val="-1"/>
          </w:rPr>
          <w:t>ensive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metabolic</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spacing w:val="-1"/>
          </w:rPr>
          <w:t>evaluation</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stone  formers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cost</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effective.In:Urolithiasis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2000</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Editors:AL  Rodgers,BE  Hibbert,B  Hess,SR  Khan,GM  Preminger.Cape  To</w:t>
      </w:r>
      <w:r>
        <w:rPr>
          <w:rFonts w:ascii="Times New Roman" w:hAnsi="Times New Roman" w:eastAsia="Times New Roman" w:cs="Times New Roman"/>
          <w:sz w:val="21"/>
          <w:szCs w:val="21"/>
          <w:spacing w:val="-1"/>
        </w:rPr>
        <w:t>wn:University  of  Cape  Town;pP</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349-355.</w:t>
      </w:r>
    </w:p>
    <w:p>
      <w:pPr>
        <w:ind w:left="569" w:right="34"/>
        <w:spacing w:before="175"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17.Chen</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RN,Streem</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SB.Extracorporeal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lower</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pole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calculi:long-term</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radiographic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6"/>
          <w:w w:val="101"/>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outcome.J</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Urol  1996;156:1572-1575.</w:t>
      </w:r>
    </w:p>
    <w:p>
      <w:pPr>
        <w:ind w:left="569"/>
        <w:spacing w:before="177" w:line="192"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http://www.ncbi.nlm.nih.</w:t>
        </w:r>
        <w:r>
          <w:rPr>
            <w:rFonts w:ascii="Times New Roman" w:hAnsi="Times New Roman" w:eastAsia="Times New Roman" w:cs="Times New Roman"/>
            <w:sz w:val="21"/>
            <w:szCs w:val="21"/>
            <w:spacing w:val="-1"/>
          </w:rPr>
          <w:t>gov/entrez/query.fcgi?cmd=Retrieve&amp;db=pubmed&amp;dopt=Abstract&amp;list_uids=8863540</w:t>
        </w:r>
      </w:hyperlink>
    </w:p>
    <w:p>
      <w:pPr>
        <w:ind w:left="569" w:right="12"/>
        <w:spacing w:before="86" w:line="275" w:lineRule="auto"/>
        <w:rPr>
          <w:rFonts w:ascii="Times New Roman" w:hAnsi="Times New Roman" w:eastAsia="Times New Roman" w:cs="Times New Roman"/>
          <w:sz w:val="21"/>
          <w:szCs w:val="21"/>
        </w:rPr>
      </w:pPr>
      <w:hyperlink w:history="true" r:id="rId51">
        <w:r>
          <w:rPr>
            <w:rFonts w:ascii="Times New Roman" w:hAnsi="Times New Roman" w:eastAsia="Times New Roman" w:cs="Times New Roman"/>
            <w:sz w:val="21"/>
            <w:szCs w:val="21"/>
          </w:rPr>
          <w:t>18.Lahme  S</w:t>
        </w:r>
      </w:hyperlink>
      <w:r>
        <w:rPr>
          <w:rFonts w:ascii="Times New Roman" w:hAnsi="Times New Roman" w:eastAsia="Times New Roman" w:cs="Times New Roman"/>
          <w:sz w:val="21"/>
          <w:szCs w:val="21"/>
        </w:rPr>
        <w:t>,</w:t>
      </w:r>
      <w:hyperlink w:history="true" r:id="rId59">
        <w:r>
          <w:rPr>
            <w:rFonts w:ascii="Times New Roman" w:hAnsi="Times New Roman" w:eastAsia="Times New Roman" w:cs="Times New Roman"/>
            <w:sz w:val="21"/>
            <w:szCs w:val="21"/>
          </w:rPr>
          <w:t>Wilbert</w:t>
        </w:r>
      </w:hyperlink>
      <w:r>
        <w:rPr>
          <w:rFonts w:ascii="Times New Roman" w:hAnsi="Times New Roman" w:eastAsia="Times New Roman" w:cs="Times New Roman"/>
          <w:sz w:val="21"/>
          <w:szCs w:val="21"/>
        </w:rPr>
        <w:t xml:space="preserve">  DM,Schneider  M,Bichler  KH.Fate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  clinically  insignificant  res</w:t>
      </w:r>
      <w:r>
        <w:rPr>
          <w:rFonts w:ascii="Times New Roman" w:hAnsi="Times New Roman" w:eastAsia="Times New Roman" w:cs="Times New Roman"/>
          <w:sz w:val="21"/>
          <w:szCs w:val="21"/>
          <w:spacing w:val="-1"/>
        </w:rPr>
        <w:t>idual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fragment(CIRF)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after  ESWL.Urolithiasis  2000;748-749.</w:t>
      </w:r>
    </w:p>
    <w:p>
      <w:pPr>
        <w:ind w:left="569" w:right="20"/>
        <w:spacing w:before="16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19.Kamihira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0,Ono</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Y,Katoh  N,Yamada   S,Mizutani</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K,Ohshima</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S.Long-term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stone  recurrence   rate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1996;156:1267-1271.</w:t>
      </w:r>
    </w:p>
    <w:p>
      <w:pPr>
        <w:ind w:left="569"/>
        <w:spacing w:before="157" w:line="192" w:lineRule="auto"/>
        <w:rPr>
          <w:rFonts w:ascii="Times New Roman" w:hAnsi="Times New Roman" w:eastAsia="Times New Roman" w:cs="Times New Roman"/>
          <w:sz w:val="21"/>
          <w:szCs w:val="21"/>
        </w:rPr>
      </w:pPr>
      <w:hyperlink w:history="true" r:id="rId60">
        <w:r>
          <w:rPr>
            <w:rFonts w:ascii="Times New Roman" w:hAnsi="Times New Roman" w:eastAsia="Times New Roman" w:cs="Times New Roman"/>
            <w:sz w:val="21"/>
            <w:szCs w:val="21"/>
            <w:spacing w:val="-5"/>
          </w:rPr>
          <w:t>http://www.ncbi.nlm.nih.gov/entrez/query.fcgi?cmd=Retrieve&amp;db=pubmed&amp;dopt=Abstract&amp;list_uids=88</w:t>
        </w:r>
        <w:r>
          <w:rPr>
            <w:rFonts w:ascii="Times New Roman" w:hAnsi="Times New Roman" w:eastAsia="Times New Roman" w:cs="Times New Roman"/>
            <w:sz w:val="21"/>
            <w:szCs w:val="21"/>
            <w:spacing w:val="-6"/>
          </w:rPr>
          <w:t>08851</w:t>
        </w:r>
      </w:hyperlink>
    </w:p>
    <w:p>
      <w:pPr>
        <w:rPr>
          <w:rFonts w:ascii="Arial"/>
          <w:sz w:val="21"/>
        </w:rPr>
      </w:pPr>
      <w:r/>
    </w:p>
    <w:p>
      <w:pPr>
        <w:ind w:left="504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—236—</w:t>
      </w:r>
    </w:p>
    <w:p>
      <w:pPr>
        <w:spacing w:line="36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50"/>
          <w:pgSz w:w="11850" w:h="16140"/>
          <w:pgMar w:top="1129" w:right="1419" w:bottom="0" w:left="400" w:header="609" w:footer="0" w:gutter="0"/>
        </w:sectPr>
        <w:rPr>
          <w:rFonts w:ascii="Times New Roman" w:hAnsi="Times New Roman" w:eastAsia="Times New Roman" w:cs="Times New Roman"/>
          <w:sz w:val="21"/>
          <w:szCs w:val="21"/>
        </w:rPr>
      </w:pPr>
    </w:p>
    <w:p>
      <w:pPr>
        <w:spacing w:line="367" w:lineRule="auto"/>
        <w:rPr>
          <w:rFonts w:ascii="Arial"/>
          <w:sz w:val="21"/>
        </w:rPr>
      </w:pPr>
      <w:r/>
    </w:p>
    <w:p>
      <w:pPr>
        <w:ind w:firstLine="7623"/>
        <w:spacing w:line="520" w:lineRule="exact"/>
        <w:rPr/>
      </w:pPr>
      <w:r>
        <w:rPr>
          <w:position w:val="-10"/>
        </w:rPr>
        <w:drawing>
          <wp:inline distT="0" distB="0" distL="0" distR="0">
            <wp:extent cx="1739948" cy="330220"/>
            <wp:effectExtent l="0" t="0" r="0" b="0"/>
            <wp:docPr id="24" name="IM 24"/>
            <wp:cNvGraphicFramePr/>
            <a:graphic>
              <a:graphicData uri="http://schemas.openxmlformats.org/drawingml/2006/picture">
                <pic:pic>
                  <pic:nvPicPr>
                    <pic:cNvPr id="24" name="IM 24"/>
                    <pic:cNvPicPr/>
                  </pic:nvPicPr>
                  <pic:blipFill>
                    <a:blip r:embed="rId61"/>
                    <a:stretch>
                      <a:fillRect/>
                    </a:stretch>
                  </pic:blipFill>
                  <pic:spPr>
                    <a:xfrm rot="0">
                      <a:off x="0" y="0"/>
                      <a:ext cx="1739948" cy="330220"/>
                    </a:xfrm>
                    <a:prstGeom prst="rect">
                      <a:avLst/>
                    </a:prstGeom>
                  </pic:spPr>
                </pic:pic>
              </a:graphicData>
            </a:graphic>
          </wp:inline>
        </w:drawing>
      </w:r>
    </w:p>
    <w:p>
      <w:pPr>
        <w:ind w:left="713" w:right="84"/>
        <w:spacing w:before="207" w:line="24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20.Tiselius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HG.Recurrent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formation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treated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extracorporal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Dis   1992;4:152-157.</w:t>
      </w:r>
    </w:p>
    <w:p>
      <w:pPr>
        <w:ind w:left="713"/>
        <w:spacing w:before="1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21.Rose</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MB,Follows  OJ.Partial  nephrectomy  for  stone  dis</w:t>
      </w:r>
      <w:r>
        <w:rPr>
          <w:rFonts w:ascii="Times New Roman" w:hAnsi="Times New Roman" w:eastAsia="Times New Roman" w:cs="Times New Roman"/>
          <w:sz w:val="21"/>
          <w:szCs w:val="21"/>
          <w:spacing w:val="-1"/>
        </w:rPr>
        <w:t>ease.BrJ  Urol  1977;49:605-610.</w:t>
      </w:r>
    </w:p>
    <w:p>
      <w:pPr>
        <w:ind w:left="713" w:right="93"/>
        <w:spacing w:before="157" w:line="282" w:lineRule="auto"/>
        <w:rPr>
          <w:rFonts w:ascii="Times New Roman" w:hAnsi="Times New Roman" w:eastAsia="Times New Roman" w:cs="Times New Roman"/>
          <w:sz w:val="21"/>
          <w:szCs w:val="21"/>
        </w:rPr>
      </w:pPr>
      <w:hyperlink w:history="true" r:id="rId62">
        <w:r>
          <w:rPr>
            <w:rFonts w:ascii="Times New Roman" w:hAnsi="Times New Roman" w:eastAsia="Times New Roman" w:cs="Times New Roman"/>
            <w:sz w:val="21"/>
            <w:szCs w:val="21"/>
          </w:rPr>
          <w:t>http://www.ncbi.nlm.nih.gov/entrez/query.fcgi?cmd=Retrieve&amp;db=PubMed&amp;list_uids=597695&amp;dop</w:t>
        </w:r>
        <w:r>
          <w:rPr>
            <w:rFonts w:ascii="Times New Roman" w:hAnsi="Times New Roman" w:eastAsia="Times New Roman" w:cs="Times New Roman"/>
            <w:sz w:val="21"/>
            <w:szCs w:val="21"/>
            <w:spacing w:val="-1"/>
          </w:rPr>
          <w:t>t=Abstract&amp;</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itool=iconabstr</w:t>
      </w:r>
    </w:p>
    <w:p>
      <w:pPr>
        <w:ind w:left="713" w:right="64"/>
        <w:spacing w:before="72" w:line="2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22.Miller  K,Bachor  R,Hautmann  R.Percutaneous  nephrolithotomy  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wavelithotr</w:t>
      </w:r>
      <w:r>
        <w:rPr>
          <w:rFonts w:ascii="Times New Roman" w:hAnsi="Times New Roman" w:eastAsia="Times New Roman" w:cs="Times New Roman"/>
          <w:sz w:val="21"/>
          <w:szCs w:val="21"/>
          <w:spacing w:val="-1"/>
        </w:rPr>
        <w:t>ipsy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versus  ureteral  stent  and  ESWL  for  the  treatment  of  large  renal  calculi  and</w:t>
      </w:r>
      <w:r>
        <w:rPr>
          <w:rFonts w:ascii="Times New Roman" w:hAnsi="Times New Roman" w:eastAsia="Times New Roman" w:cs="Times New Roman"/>
          <w:sz w:val="21"/>
          <w:szCs w:val="21"/>
          <w:spacing w:val="-1"/>
        </w:rPr>
        <w:t xml:space="preserve">  staghorn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caleuli-a  prospective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randomized  study:preliminary  results.J</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Endourol   19</w:t>
      </w:r>
      <w:r>
        <w:rPr>
          <w:rFonts w:ascii="Times New Roman" w:hAnsi="Times New Roman" w:eastAsia="Times New Roman" w:cs="Times New Roman"/>
          <w:sz w:val="21"/>
          <w:szCs w:val="21"/>
          <w:spacing w:val="-1"/>
        </w:rPr>
        <w:t>88;2:131-135.</w:t>
      </w:r>
    </w:p>
    <w:p>
      <w:pPr>
        <w:ind w:left="713" w:right="63"/>
        <w:spacing w:before="148" w:line="289" w:lineRule="auto"/>
        <w:rPr>
          <w:rFonts w:ascii="Times New Roman" w:hAnsi="Times New Roman" w:eastAsia="Times New Roman" w:cs="Times New Roman"/>
          <w:sz w:val="21"/>
          <w:szCs w:val="21"/>
        </w:rPr>
      </w:pPr>
      <w:r>
        <mc:AlternateContent xmlns:mc="http://schemas.openxmlformats.org/markup-compatibility/2006">
          <mc:Choice Requires="wps">
            <w:drawing>
              <wp:anchor distT="0" distB="0" distL="0" distR="0" simplePos="0" relativeHeight="251674624" behindDoc="0" locked="0" layoutInCell="1" allowOverlap="1">
                <wp:simplePos x="0" y="0"/>
                <wp:positionH relativeFrom="column">
                  <wp:posOffset>-31369</wp:posOffset>
                </wp:positionH>
                <wp:positionV relativeFrom="paragraph">
                  <wp:posOffset>125126</wp:posOffset>
                </wp:positionV>
                <wp:extent cx="67944" cy="90169"/>
                <wp:effectExtent l="0" t="0" r="0" b="0"/>
                <wp:wrapNone/>
                <wp:docPr id="26" name="TextBox 26"/>
                <wp:cNvGraphicFramePr/>
                <a:graphic>
                  <a:graphicData uri="http://schemas.microsoft.com/office/word/2010/wordprocessingShape">
                    <wps:wsp>
                      <wps:cNvPr id="26" name="TextBox 26"/>
                      <wps:cNvSpPr txBox="1"/>
                      <wps:spPr>
                        <a:xfrm rot="16200000">
                          <a:off x="-31369" y="125126"/>
                          <a:ext cx="67944" cy="9016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6" w:line="55" w:lineRule="exact"/>
                              <w:rPr>
                                <w:sz w:val="7"/>
                                <w:szCs w:val="7"/>
                              </w:rPr>
                            </w:pPr>
                            <w:r>
                              <w:rPr>
                                <w:sz w:val="7"/>
                                <w:szCs w:val="7"/>
                                <w:position w:val="-1"/>
                              </w:rPr>
                              <w:t>一</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2.47pt;margin-top:9.85249pt;mso-position-vertical-relative:text;mso-position-horizontal-relative:text;width:5.35pt;height:7.1pt;z-index:251674624;rotation:270;" filled="false" stroked="false" type="#_x0000_t202">
                <v:fill on="false"/>
                <v:stroke on="false"/>
                <v:path/>
                <v:imagedata o:title=""/>
                <o:lock v:ext="edit" aspectratio="false"/>
                <v:textbox inset="0mm,0mm,0mm,0mm">
                  <w:txbxContent>
                    <w:p>
                      <w:pPr>
                        <w:pStyle w:val="BodyText"/>
                        <w:ind w:left="20"/>
                        <w:spacing w:before="66" w:line="55" w:lineRule="exact"/>
                        <w:rPr>
                          <w:sz w:val="7"/>
                          <w:szCs w:val="7"/>
                        </w:rPr>
                      </w:pPr>
                      <w:r>
                        <w:rPr>
                          <w:sz w:val="7"/>
                          <w:szCs w:val="7"/>
                          <w:position w:val="-1"/>
                        </w:rPr>
                        <w:t>一</w:t>
                      </w:r>
                    </w:p>
                  </w:txbxContent>
                </v:textbox>
              </v:shape>
            </w:pict>
          </mc:Fallback>
        </mc:AlternateContent>
      </w:r>
      <w:r>
        <w:rPr>
          <w:rFonts w:ascii="Times New Roman" w:hAnsi="Times New Roman" w:eastAsia="Times New Roman" w:cs="Times New Roman"/>
          <w:sz w:val="21"/>
          <w:szCs w:val="21"/>
        </w:rPr>
        <w:t>23.Recker   F,Konstantinidis   K.Jaeger   P,Kn?nagel   H,Alund   G,Hauri   D.[The   staghorn   calculus:an</w:t>
      </w:r>
      <w:r>
        <w:rPr>
          <w:rFonts w:ascii="Times New Roman" w:hAnsi="Times New Roman" w:eastAsia="Times New Roman" w:cs="Times New Roman"/>
          <w:sz w:val="21"/>
          <w:szCs w:val="21"/>
          <w:spacing w:val="-1"/>
        </w:rPr>
        <w:t>atrophic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nephrolithotomy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litholapxy</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xtracorporeal  shockwave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versus  extracorporeal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shockwave lithotripsy monotherapy.A report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over 6 years’experience]Urolo</w:t>
      </w:r>
      <w:r>
        <w:rPr>
          <w:rFonts w:ascii="Times New Roman" w:hAnsi="Times New Roman" w:eastAsia="Times New Roman" w:cs="Times New Roman"/>
          <w:sz w:val="21"/>
          <w:szCs w:val="21"/>
          <w:spacing w:val="-1"/>
        </w:rPr>
        <w:t>ge 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1989;28:152-157.[German]</w:t>
      </w:r>
    </w:p>
    <w:p>
      <w:pPr>
        <w:ind w:left="713"/>
        <w:spacing w:before="14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http://www.ncbi.nlm.nih.gov/entrez/query.fcgi?cmd=Retrieve&amp;db=PubMed&amp;list_uids=2741262&amp;do</w:t>
        </w:r>
        <w:r>
          <w:rPr>
            <w:rFonts w:ascii="Times New Roman" w:hAnsi="Times New Roman" w:eastAsia="Times New Roman" w:cs="Times New Roman"/>
            <w:sz w:val="21"/>
            <w:szCs w:val="21"/>
            <w:spacing w:val="-1"/>
          </w:rPr>
          <w:t>pt=Abstract</w:t>
        </w:r>
      </w:hyperlink>
    </w:p>
    <w:p>
      <w:pPr>
        <w:ind w:left="713" w:right="209"/>
        <w:spacing w:before="136" w:line="265"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24.Chen  AS</w:t>
        </w:r>
      </w:hyperlink>
      <w:r>
        <w:rPr>
          <w:rFonts w:ascii="Times New Roman" w:hAnsi="Times New Roman" w:eastAsia="Times New Roman" w:cs="Times New Roman"/>
          <w:sz w:val="21"/>
          <w:szCs w:val="21"/>
        </w:rPr>
        <w:t>,</w:t>
      </w:r>
      <w:hyperlink w:history="true" r:id="rId64">
        <w:r>
          <w:rPr>
            <w:rFonts w:ascii="Times New Roman" w:hAnsi="Times New Roman" w:eastAsia="Times New Roman" w:cs="Times New Roman"/>
            <w:sz w:val="21"/>
            <w:szCs w:val="21"/>
          </w:rPr>
          <w:t>Saltzman</w:t>
        </w:r>
      </w:hyperlink>
      <w:r>
        <w:rPr>
          <w:rFonts w:ascii="Times New Roman" w:hAnsi="Times New Roman" w:eastAsia="Times New Roman" w:cs="Times New Roman"/>
          <w:sz w:val="21"/>
          <w:szCs w:val="21"/>
        </w:rPr>
        <w:t xml:space="preserve">  B.Stent  use  with  extracorporeal  shock  wave  lithotripsy.</w:t>
      </w:r>
      <w:r>
        <w:rPr>
          <w:rFonts w:ascii="Times New Roman" w:hAnsi="Times New Roman" w:eastAsia="Times New Roman" w:cs="Times New Roman"/>
          <w:sz w:val="21"/>
          <w:szCs w:val="21"/>
          <w:spacing w:val="-1"/>
        </w:rPr>
        <w:t>JEndourol  1993;7:155-162.</w:t>
      </w:r>
      <w:r>
        <w:rPr>
          <w:rFonts w:ascii="Times New Roman" w:hAnsi="Times New Roman" w:eastAsia="Times New Roman" w:cs="Times New Roman"/>
          <w:sz w:val="21"/>
          <w:szCs w:val="21"/>
        </w:rPr>
        <w:t xml:space="preserve">   </w:t>
      </w:r>
      <w:hyperlink w:history="true" r:id="rId63">
        <w:r>
          <w:rPr>
            <w:rFonts w:ascii="Times New Roman" w:hAnsi="Times New Roman" w:eastAsia="Times New Roman" w:cs="Times New Roman"/>
            <w:sz w:val="21"/>
            <w:szCs w:val="21"/>
          </w:rPr>
          <w:t>http://www.ncbi.nlm.nih.gov/entrez/query.fcgi?cnd=Retrieve&amp;db=PubMed&amp;list_uids=8518830&amp;do</w:t>
        </w:r>
        <w:r>
          <w:rPr>
            <w:rFonts w:ascii="Times New Roman" w:hAnsi="Times New Roman" w:eastAsia="Times New Roman" w:cs="Times New Roman"/>
            <w:sz w:val="21"/>
            <w:szCs w:val="21"/>
            <w:spacing w:val="-1"/>
          </w:rPr>
          <w:t>pt=Abstract</w:t>
        </w:r>
      </w:hyperlink>
    </w:p>
    <w:p>
      <w:pPr>
        <w:ind w:left="713"/>
        <w:spacing w:before="14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25.Marberger</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7">
        <w:r>
          <w:rPr>
            <w:rFonts w:ascii="Times New Roman" w:hAnsi="Times New Roman" w:eastAsia="Times New Roman" w:cs="Times New Roman"/>
            <w:sz w:val="21"/>
            <w:szCs w:val="21"/>
          </w:rPr>
          <w:t>Hofbauer</w:t>
        </w:r>
      </w:hyperlink>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J.Problems  and  complications </w:t>
      </w:r>
      <w:r>
        <w:rPr>
          <w:rFonts w:ascii="Times New Roman" w:hAnsi="Times New Roman" w:eastAsia="Times New Roman" w:cs="Times New Roman"/>
          <w:sz w:val="21"/>
          <w:szCs w:val="21"/>
          <w:spacing w:val="-1"/>
        </w:rPr>
        <w:t xml:space="preserve"> in  stone  disease.Curr  Opin  Urol  1994;4:234-238.</w:t>
      </w:r>
    </w:p>
    <w:p>
      <w:pPr>
        <w:ind w:left="713" w:right="62"/>
        <w:spacing w:before="12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26.Lennon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GM,Thornhill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JA,Grainger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R,McDermo</w:t>
      </w:r>
      <w:r>
        <w:rPr>
          <w:rFonts w:ascii="Times New Roman" w:hAnsi="Times New Roman" w:eastAsia="Times New Roman" w:cs="Times New Roman"/>
          <w:sz w:val="21"/>
          <w:szCs w:val="21"/>
          <w:spacing w:val="-1"/>
        </w:rPr>
        <w:t>tt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TED,Butler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MR.Double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pigtail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ureteric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stent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versus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percutaneous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nephrostomy:effects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transit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ureteric</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motility.Eur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Urol  1997;31:24-29.</w:t>
      </w:r>
    </w:p>
    <w:p>
      <w:pPr>
        <w:ind w:left="713"/>
        <w:spacing w:before="15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http://www.ncbi.nlm.nih.gov/entrez/query.fcgi?cmd=Retrieve&amp;db=PubMed&amp;list_uids=9032530&amp;do</w:t>
        </w:r>
        <w:r>
          <w:rPr>
            <w:rFonts w:ascii="Times New Roman" w:hAnsi="Times New Roman" w:eastAsia="Times New Roman" w:cs="Times New Roman"/>
            <w:sz w:val="21"/>
            <w:szCs w:val="21"/>
            <w:spacing w:val="-1"/>
          </w:rPr>
          <w:t>pt=Abstract</w:t>
        </w:r>
      </w:hyperlink>
    </w:p>
    <w:p>
      <w:pPr>
        <w:ind w:left="713" w:right="68"/>
        <w:spacing w:before="107" w:line="275"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27.Ackermann  D</w:t>
        </w:r>
      </w:hyperlink>
      <w:r>
        <w:rPr>
          <w:rFonts w:ascii="Times New Roman" w:hAnsi="Times New Roman" w:eastAsia="Times New Roman" w:cs="Times New Roman"/>
          <w:sz w:val="21"/>
          <w:szCs w:val="21"/>
        </w:rPr>
        <w:t>,</w:t>
      </w:r>
      <w:hyperlink w:history="true" r:id="rId65">
        <w:r>
          <w:rPr>
            <w:rFonts w:ascii="Times New Roman" w:hAnsi="Times New Roman" w:eastAsia="Times New Roman" w:cs="Times New Roman"/>
            <w:sz w:val="21"/>
            <w:szCs w:val="21"/>
          </w:rPr>
          <w:t>Claus</w:t>
        </w:r>
      </w:hyperlink>
      <w:r>
        <w:rPr>
          <w:rFonts w:ascii="Times New Roman" w:hAnsi="Times New Roman" w:eastAsia="Times New Roman" w:cs="Times New Roman"/>
          <w:sz w:val="21"/>
          <w:szCs w:val="21"/>
        </w:rPr>
        <w:t xml:space="preserve">  R,Zehnter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CH.Schreiber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K.To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what   size  is  </w:t>
      </w:r>
      <w:r>
        <w:rPr>
          <w:rFonts w:ascii="Times New Roman" w:hAnsi="Times New Roman" w:eastAsia="Times New Roman" w:cs="Times New Roman"/>
          <w:sz w:val="21"/>
          <w:szCs w:val="21"/>
          <w:spacing w:val="-1"/>
        </w:rPr>
        <w:t xml:space="preserve"> extracorporeal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shock  wave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alone  feasible?Eur  Uro</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1988;15:5-8.</w:t>
      </w:r>
    </w:p>
    <w:p>
      <w:pPr>
        <w:ind w:left="713"/>
        <w:spacing w:before="176"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http://www.ncbi.nlm.nih.gov/entrez/query.fcgi?cmd=Retrieve&amp;db=PubMed&amp;list_uids=3215235&amp;do</w:t>
        </w:r>
        <w:r>
          <w:rPr>
            <w:rFonts w:ascii="Times New Roman" w:hAnsi="Times New Roman" w:eastAsia="Times New Roman" w:cs="Times New Roman"/>
            <w:sz w:val="21"/>
            <w:szCs w:val="21"/>
            <w:spacing w:val="-1"/>
          </w:rPr>
          <w:t>pt=Abstract</w:t>
        </w:r>
      </w:hyperlink>
    </w:p>
    <w:p>
      <w:pPr>
        <w:ind w:left="713" w:right="68"/>
        <w:spacing w:before="126" w:line="313"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28.Cohen   ES</w:t>
        </w:r>
      </w:hyperlink>
      <w:r>
        <w:rPr>
          <w:rFonts w:ascii="Times New Roman" w:hAnsi="Times New Roman" w:eastAsia="Times New Roman" w:cs="Times New Roman"/>
          <w:sz w:val="21"/>
          <w:szCs w:val="21"/>
        </w:rPr>
        <w:t>,</w:t>
      </w:r>
      <w:hyperlink w:history="true" r:id="rId66">
        <w:r>
          <w:rPr>
            <w:rFonts w:ascii="Times New Roman" w:hAnsi="Times New Roman" w:eastAsia="Times New Roman" w:cs="Times New Roman"/>
            <w:sz w:val="21"/>
            <w:szCs w:val="21"/>
          </w:rPr>
          <w:t>Schmidt</w:t>
        </w:r>
      </w:hyperlink>
      <w:r>
        <w:rPr>
          <w:rFonts w:ascii="Times New Roman" w:hAnsi="Times New Roman" w:eastAsia="Times New Roman" w:cs="Times New Roman"/>
          <w:sz w:val="21"/>
          <w:szCs w:val="21"/>
        </w:rPr>
        <w:t xml:space="preserve">   JD.Extracorporeal   shock   wave   lithotripsy   for </w:t>
      </w:r>
      <w:r>
        <w:rPr>
          <w:rFonts w:ascii="Times New Roman" w:hAnsi="Times New Roman" w:eastAsia="Times New Roman" w:cs="Times New Roman"/>
          <w:sz w:val="21"/>
          <w:szCs w:val="21"/>
          <w:spacing w:val="-1"/>
        </w:rPr>
        <w:t xml:space="preserve">  stones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solitary   kidney.Urology</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1990;36:52-54.</w:t>
      </w:r>
    </w:p>
    <w:p>
      <w:pPr>
        <w:ind w:left="713"/>
        <w:spacing w:before="71"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http://www.nebi.nlm.nih.gov/entrez/query.fcgi?cmd=Retrieve&amp;db=PubMed&amp;list_uids=2368232&amp;do</w:t>
        </w:r>
        <w:r>
          <w:rPr>
            <w:rFonts w:ascii="Times New Roman" w:hAnsi="Times New Roman" w:eastAsia="Times New Roman" w:cs="Times New Roman"/>
            <w:sz w:val="21"/>
            <w:szCs w:val="21"/>
            <w:spacing w:val="-1"/>
          </w:rPr>
          <w:t>pt=Abstract</w:t>
        </w:r>
      </w:hyperlink>
    </w:p>
    <w:p>
      <w:pPr>
        <w:ind w:left="713" w:right="62"/>
        <w:spacing w:before="137" w:line="32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29.Shabsigh  R</w:t>
        </w:r>
      </w:hyperlink>
      <w:r>
        <w:rPr>
          <w:rFonts w:ascii="Times New Roman" w:hAnsi="Times New Roman" w:eastAsia="Times New Roman" w:cs="Times New Roman"/>
          <w:sz w:val="21"/>
          <w:szCs w:val="21"/>
        </w:rPr>
        <w:t>,</w:t>
      </w:r>
      <w:hyperlink w:history="true" r:id="rId67">
        <w:r>
          <w:rPr>
            <w:rFonts w:ascii="Times New Roman" w:hAnsi="Times New Roman" w:eastAsia="Times New Roman" w:cs="Times New Roman"/>
            <w:sz w:val="21"/>
            <w:szCs w:val="21"/>
          </w:rPr>
          <w:t>Gleeson</w:t>
        </w:r>
      </w:hyperlink>
      <w:r>
        <w:rPr>
          <w:rFonts w:ascii="Times New Roman" w:hAnsi="Times New Roman" w:eastAsia="Times New Roman" w:cs="Times New Roman"/>
          <w:sz w:val="21"/>
          <w:szCs w:val="21"/>
        </w:rPr>
        <w:t xml:space="preserve">  MJ,Griffith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DP.The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benefits   of  stenting   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  more-or-less  routine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basis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prior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extracorporeal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lithotripsy.Urol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North</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1988;15:493-497.</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713"/>
            <w:spacing w:before="52"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http://www.ncbi.nlm.nih.gov/entrez/query.fcgi?cmd=Retrieve&amp;db=PubMed&amp;list_uids=3407040&amp;do</w:t>
            </w:r>
            <w:r>
              <w:rPr>
                <w:rFonts w:ascii="Times New Roman" w:hAnsi="Times New Roman" w:eastAsia="Times New Roman" w:cs="Times New Roman"/>
                <w:sz w:val="21"/>
                <w:szCs w:val="21"/>
                <w:spacing w:val="-1"/>
              </w:rPr>
              <w:t>pt=Abstract</w:t>
            </w:r>
          </w:hyperlink>
        </w:p>
        <w:p>
          <w:pPr>
            <w:ind w:left="713"/>
            <w:spacing w:before="12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30.Saltzman B.Ureteral stents.Indications</w:t>
            </w:r>
          </w:hyperlink>
          <w:r>
            <w:rPr>
              <w:rFonts w:ascii="Times New Roman" w:hAnsi="Times New Roman" w:eastAsia="Times New Roman" w:cs="Times New Roman"/>
              <w:sz w:val="21"/>
              <w:szCs w:val="21"/>
            </w:rPr>
            <w:t>,</w:t>
          </w:r>
          <w:hyperlink w:history="true" r:id="rId68">
            <w:r>
              <w:rPr>
                <w:rFonts w:ascii="Times New Roman" w:hAnsi="Times New Roman" w:eastAsia="Times New Roman" w:cs="Times New Roman"/>
                <w:sz w:val="21"/>
                <w:szCs w:val="21"/>
              </w:rPr>
              <w:t>variations</w:t>
            </w:r>
          </w:hyperlink>
          <w:r>
            <w:rPr>
              <w:rFonts w:ascii="Times New Roman" w:hAnsi="Times New Roman" w:eastAsia="Times New Roman" w:cs="Times New Roman"/>
              <w:sz w:val="21"/>
              <w:szCs w:val="21"/>
            </w:rPr>
            <w:t xml:space="preserve"> and complications.Urol C</w:t>
          </w:r>
          <w:r>
            <w:rPr>
              <w:rFonts w:ascii="Times New Roman" w:hAnsi="Times New Roman" w:eastAsia="Times New Roman" w:cs="Times New Roman"/>
              <w:sz w:val="21"/>
              <w:szCs w:val="21"/>
              <w:spacing w:val="-1"/>
            </w:rPr>
            <w:t>lin North Am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1988;15:481-491.</w:t>
          </w:r>
        </w:p>
        <w:p>
          <w:pPr>
            <w:ind w:left="713"/>
            <w:spacing w:before="16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http://www.ncbi.nlm.nih.govlentrez/query.fcgi?cmd=Retrieve&amp;db=PubMed&amp;list_uids=3043868&amp;do</w:t>
            </w:r>
            <w:r>
              <w:rPr>
                <w:rFonts w:ascii="Times New Roman" w:hAnsi="Times New Roman" w:eastAsia="Times New Roman" w:cs="Times New Roman"/>
                <w:sz w:val="21"/>
                <w:szCs w:val="21"/>
                <w:spacing w:val="-1"/>
              </w:rPr>
              <w:t>pt=Abstract</w:t>
            </w:r>
          </w:hyperlink>
        </w:p>
        <w:p>
          <w:pPr>
            <w:ind w:left="713"/>
            <w:spacing w:before="12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31.Constantinides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C</w:t>
            </w:r>
          </w:hyperlink>
          <w:r>
            <w:rPr>
              <w:rFonts w:ascii="Times New Roman" w:hAnsi="Times New Roman" w:eastAsia="Times New Roman" w:cs="Times New Roman"/>
              <w:sz w:val="21"/>
              <w:szCs w:val="21"/>
            </w:rPr>
            <w:t>,</w:t>
          </w:r>
          <w:hyperlink w:history="true" r:id="rId69">
            <w:r>
              <w:rPr>
                <w:rFonts w:ascii="Times New Roman" w:hAnsi="Times New Roman" w:eastAsia="Times New Roman" w:cs="Times New Roman"/>
                <w:sz w:val="21"/>
                <w:szCs w:val="21"/>
              </w:rPr>
              <w:t>Recker</w:t>
            </w:r>
          </w:hyperlink>
          <w:r>
            <w:rPr>
              <w:rFonts w:ascii="Times New Roman" w:hAnsi="Times New Roman" w:eastAsia="Times New Roman" w:cs="Times New Roman"/>
              <w:sz w:val="21"/>
              <w:szCs w:val="21"/>
            </w:rPr>
            <w:t xml:space="preserve">  F,Jaeger  P,Hauri</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D.Extracorporeal   shock</w:t>
          </w:r>
          <w:r>
            <w:rPr>
              <w:rFonts w:ascii="Times New Roman" w:hAnsi="Times New Roman" w:eastAsia="Times New Roman" w:cs="Times New Roman"/>
              <w:sz w:val="21"/>
              <w:szCs w:val="21"/>
              <w:spacing w:val="-1"/>
            </w:rPr>
            <w:t xml:space="preserve">  wave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lithotripsy   as  monotherapy   of</w:t>
          </w:r>
        </w:p>
      </w:sdtContent>
    </w:sdt>
    <w:p>
      <w:pPr>
        <w:ind w:left="713"/>
        <w:spacing w:before="14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staghorn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renal</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calculi.3</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years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experience.J</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Urol  198</w:t>
      </w:r>
      <w:r>
        <w:rPr>
          <w:rFonts w:ascii="Times New Roman" w:hAnsi="Times New Roman" w:eastAsia="Times New Roman" w:cs="Times New Roman"/>
          <w:sz w:val="21"/>
          <w:szCs w:val="21"/>
          <w:spacing w:val="-1"/>
        </w:rPr>
        <w:t>9;142:1415-1418.</w:t>
      </w:r>
    </w:p>
    <w:p>
      <w:pPr>
        <w:ind w:left="713"/>
        <w:spacing w:before="14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http://www.ncbi.nlm.nih.gov/entrez/query.fcgi?cmd=Retrieve&amp;db=PubMed&amp;list_uids=2585613&amp;do</w:t>
        </w:r>
        <w:r>
          <w:rPr>
            <w:rFonts w:ascii="Times New Roman" w:hAnsi="Times New Roman" w:eastAsia="Times New Roman" w:cs="Times New Roman"/>
            <w:sz w:val="21"/>
            <w:szCs w:val="21"/>
            <w:spacing w:val="-1"/>
          </w:rPr>
          <w:t>pt=Abstract</w:t>
        </w:r>
      </w:hyperlink>
    </w:p>
    <w:p>
      <w:pPr>
        <w:ind w:left="713" w:right="65"/>
        <w:spacing w:before="137" w:line="270"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32.Anderson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PAM</w:t>
        </w:r>
      </w:hyperlink>
      <w:r>
        <w:rPr>
          <w:rFonts w:ascii="Times New Roman" w:hAnsi="Times New Roman" w:eastAsia="Times New Roman" w:cs="Times New Roman"/>
          <w:sz w:val="21"/>
          <w:szCs w:val="21"/>
        </w:rPr>
        <w:t>,</w:t>
      </w:r>
      <w:hyperlink w:history="true" r:id="rId70">
        <w:r>
          <w:rPr>
            <w:rFonts w:ascii="Times New Roman" w:hAnsi="Times New Roman" w:eastAsia="Times New Roman" w:cs="Times New Roman"/>
            <w:sz w:val="21"/>
            <w:szCs w:val="21"/>
          </w:rPr>
          <w:t>Norman</w:t>
        </w:r>
      </w:hyperlink>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RW</w:t>
      </w:r>
      <w:r>
        <w:rPr>
          <w:rFonts w:ascii="Times New Roman" w:hAnsi="Times New Roman" w:eastAsia="Times New Roman" w:cs="Times New Roman"/>
          <w:sz w:val="21"/>
          <w:szCs w:val="21"/>
          <w:spacing w:val="-1"/>
        </w:rPr>
        <w:t>,Awad  SA.Extracorporeal  shock</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wave  lithotripsy</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experience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calculi.J</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Endourol   1989;3:31-36.</w:t>
      </w:r>
    </w:p>
    <w:p>
      <w:pPr>
        <w:ind w:left="713" w:right="65"/>
        <w:spacing w:before="126" w:line="2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33.Pode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D,Shapiro  A,Verstandig  A,Pfau</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A.Use   of  internal</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poly</w:t>
      </w:r>
      <w:r>
        <w:rPr>
          <w:rFonts w:ascii="Times New Roman" w:hAnsi="Times New Roman" w:eastAsia="Times New Roman" w:cs="Times New Roman"/>
          <w:sz w:val="21"/>
          <w:szCs w:val="21"/>
          <w:spacing w:val="-1"/>
        </w:rPr>
        <w:t>ethylene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ureteral   stents   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shock</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wave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lithotripsy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stagh</w:t>
      </w:r>
      <w:r>
        <w:rPr>
          <w:rFonts w:ascii="Times New Roman" w:hAnsi="Times New Roman" w:eastAsia="Times New Roman" w:cs="Times New Roman"/>
          <w:sz w:val="21"/>
          <w:szCs w:val="21"/>
          <w:spacing w:val="-1"/>
        </w:rPr>
        <w:t>orn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calculi.Eur</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1987;13:174-175.</w:t>
      </w:r>
    </w:p>
    <w:p>
      <w:pPr>
        <w:ind w:left="713"/>
        <w:spacing w:before="147" w:line="192"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rPr>
          <w:t>http://www.ncbi.nlm.nih.gov/entrez/query.fcgi?cmd=Retrieve&amp;db=PubMed&amp;list_uids=3609094&amp;do</w:t>
        </w:r>
        <w:r>
          <w:rPr>
            <w:rFonts w:ascii="Times New Roman" w:hAnsi="Times New Roman" w:eastAsia="Times New Roman" w:cs="Times New Roman"/>
            <w:sz w:val="21"/>
            <w:szCs w:val="21"/>
            <w:spacing w:val="-1"/>
          </w:rPr>
          <w:t>pt=Abstract</w:t>
        </w:r>
      </w:hyperlink>
    </w:p>
    <w:p>
      <w:pPr>
        <w:ind w:left="713" w:right="70"/>
        <w:spacing w:before="108" w:line="340" w:lineRule="auto"/>
        <w:rPr>
          <w:rFonts w:ascii="Times New Roman" w:hAnsi="Times New Roman" w:eastAsia="Times New Roman" w:cs="Times New Roman"/>
          <w:sz w:val="21"/>
          <w:szCs w:val="21"/>
        </w:rPr>
      </w:pPr>
      <w:hyperlink w:history="true" r:id="rId63">
        <w:r>
          <w:rPr>
            <w:rFonts w:ascii="Times New Roman" w:hAnsi="Times New Roman" w:eastAsia="Times New Roman" w:cs="Times New Roman"/>
            <w:sz w:val="21"/>
            <w:szCs w:val="21"/>
            <w:spacing w:val="1"/>
          </w:rPr>
          <w:t>34.</w:t>
        </w:r>
        <w:r>
          <w:rPr>
            <w:rFonts w:ascii="Times New Roman" w:hAnsi="Times New Roman" w:eastAsia="Times New Roman" w:cs="Times New Roman"/>
            <w:sz w:val="21"/>
            <w:szCs w:val="21"/>
          </w:rPr>
          <w:t>Sulaiman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MN</w:t>
        </w:r>
      </w:hyperlink>
      <w:r>
        <w:rPr>
          <w:rFonts w:ascii="Times New Roman" w:hAnsi="Times New Roman" w:eastAsia="Times New Roman" w:cs="Times New Roman"/>
          <w:sz w:val="21"/>
          <w:szCs w:val="21"/>
          <w:spacing w:val="1"/>
        </w:rPr>
        <w:t>,</w:t>
      </w:r>
      <w:hyperlink w:history="true" r:id="rId71">
        <w:r>
          <w:rPr>
            <w:rFonts w:ascii="Times New Roman" w:hAnsi="Times New Roman" w:eastAsia="Times New Roman" w:cs="Times New Roman"/>
            <w:sz w:val="21"/>
            <w:szCs w:val="21"/>
          </w:rPr>
          <w:t>Buchholz</w:t>
        </w:r>
      </w:hyperlink>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Clark</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PB</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ureteral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stent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placement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prevention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steinstrasse.JEndourol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1999;13:151-155.</w:t>
      </w:r>
    </w:p>
    <w:p>
      <w:pPr>
        <w:ind w:left="713"/>
        <w:spacing w:before="35" w:line="192" w:lineRule="auto"/>
        <w:rPr>
          <w:rFonts w:ascii="Times New Roman" w:hAnsi="Times New Roman" w:eastAsia="Times New Roman" w:cs="Times New Roman"/>
          <w:sz w:val="21"/>
          <w:szCs w:val="21"/>
        </w:rPr>
      </w:pPr>
      <w:hyperlink w:history="true" r:id="rId72">
        <w:r>
          <w:rPr>
            <w:rFonts w:ascii="Times New Roman" w:hAnsi="Times New Roman" w:eastAsia="Times New Roman" w:cs="Times New Roman"/>
            <w:sz w:val="21"/>
            <w:szCs w:val="21"/>
            <w:spacing w:val="-4"/>
          </w:rPr>
          <w:t>http://www.ncbi.nlm.nih.gov/entrez/query.fcgi?cmd=Retrieve&amp;db=PubMed&amp;list</w:t>
        </w:r>
        <w:r>
          <w:rPr>
            <w:rFonts w:ascii="Times New Roman" w:hAnsi="Times New Roman" w:eastAsia="Times New Roman" w:cs="Times New Roman"/>
            <w:sz w:val="21"/>
            <w:szCs w:val="21"/>
            <w:spacing w:val="-5"/>
          </w:rPr>
          <w:t>_uids=10360492&amp;dopt=Abstract</w:t>
        </w:r>
      </w:hyperlink>
    </w:p>
    <w:p>
      <w:pPr>
        <w:spacing w:line="260" w:lineRule="auto"/>
        <w:rPr>
          <w:rFonts w:ascii="Arial"/>
          <w:sz w:val="21"/>
        </w:rPr>
      </w:pPr>
      <w:r/>
    </w:p>
    <w:p>
      <w:pPr>
        <w:ind w:left="5283"/>
        <w:spacing w:before="4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—237—</w:t>
      </w:r>
    </w:p>
    <w:p>
      <w:pPr>
        <w:ind w:left="263"/>
        <w:spacing w:before="245"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4"/>
          <w:pgSz w:w="11850" w:h="16140"/>
          <w:pgMar w:top="400" w:right="1369" w:bottom="0" w:left="116" w:header="0" w:footer="0" w:gutter="0"/>
        </w:sectPr>
        <w:rPr>
          <w:rFonts w:ascii="Times New Roman" w:hAnsi="Times New Roman" w:eastAsia="Times New Roman" w:cs="Times New Roman"/>
          <w:sz w:val="21"/>
          <w:szCs w:val="21"/>
        </w:rPr>
      </w:pPr>
    </w:p>
    <w:p>
      <w:pPr>
        <w:spacing w:line="299" w:lineRule="auto"/>
        <w:rPr>
          <w:rFonts w:ascii="Arial"/>
          <w:sz w:val="21"/>
        </w:rPr>
      </w:pPr>
      <w:r/>
    </w:p>
    <w:p>
      <w:pPr>
        <w:ind w:left="941"/>
        <w:spacing w:before="72" w:line="209" w:lineRule="auto"/>
        <w:rPr>
          <w:rFonts w:ascii="STXingkai" w:hAnsi="STXingkai" w:eastAsia="STXingkai" w:cs="STXingkai"/>
          <w:sz w:val="21"/>
          <w:szCs w:val="21"/>
        </w:rPr>
      </w:pPr>
      <w:r>
        <w:drawing>
          <wp:anchor distT="0" distB="0" distL="0" distR="0" simplePos="0" relativeHeight="251676672" behindDoc="1" locked="0" layoutInCell="1" allowOverlap="1">
            <wp:simplePos x="0" y="0"/>
            <wp:positionH relativeFrom="column">
              <wp:posOffset>285714</wp:posOffset>
            </wp:positionH>
            <wp:positionV relativeFrom="paragraph">
              <wp:posOffset>81907</wp:posOffset>
            </wp:positionV>
            <wp:extent cx="1733552" cy="209487"/>
            <wp:effectExtent l="0" t="0" r="0" b="0"/>
            <wp:wrapNone/>
            <wp:docPr id="28" name="IM 28"/>
            <wp:cNvGraphicFramePr/>
            <a:graphic>
              <a:graphicData uri="http://schemas.openxmlformats.org/drawingml/2006/picture">
                <pic:pic>
                  <pic:nvPicPr>
                    <pic:cNvPr id="28" name="IM 28"/>
                    <pic:cNvPicPr/>
                  </pic:nvPicPr>
                  <pic:blipFill>
                    <a:blip r:embed="rId73"/>
                    <a:stretch>
                      <a:fillRect/>
                    </a:stretch>
                  </pic:blipFill>
                  <pic:spPr>
                    <a:xfrm rot="0">
                      <a:off x="0" y="0"/>
                      <a:ext cx="1733552" cy="209487"/>
                    </a:xfrm>
                    <a:prstGeom prst="rect">
                      <a:avLst/>
                    </a:prstGeom>
                  </pic:spPr>
                </pic:pic>
              </a:graphicData>
            </a:graphic>
          </wp:anchor>
        </w:drawing>
      </w:r>
      <w:r>
        <w:rPr>
          <w:rFonts w:ascii="STXingkai" w:hAnsi="STXingkai" w:eastAsia="STXingkai" w:cs="STXingkai"/>
          <w:sz w:val="21"/>
          <w:szCs w:val="21"/>
          <w:b/>
          <w:bCs/>
          <w:spacing w:val="-38"/>
        </w:rPr>
        <w:t>附</w:t>
      </w:r>
      <w:r>
        <w:rPr>
          <w:rFonts w:ascii="STXingkai" w:hAnsi="STXingkai" w:eastAsia="STXingkai" w:cs="STXingkai"/>
          <w:sz w:val="21"/>
          <w:szCs w:val="21"/>
        </w:rPr>
        <w:t xml:space="preserve">    </w:t>
      </w:r>
      <w:r>
        <w:rPr>
          <w:rFonts w:ascii="STXingkai" w:hAnsi="STXingkai" w:eastAsia="STXingkai" w:cs="STXingkai"/>
          <w:sz w:val="21"/>
          <w:szCs w:val="21"/>
          <w:b/>
          <w:bCs/>
          <w:spacing w:val="-38"/>
        </w:rPr>
        <w:t>灵</w:t>
      </w:r>
      <w:r>
        <w:rPr>
          <w:rFonts w:ascii="STXingkai" w:hAnsi="STXingkai" w:eastAsia="STXingkai" w:cs="STXingkai"/>
          <w:sz w:val="21"/>
          <w:szCs w:val="21"/>
          <w:spacing w:val="2"/>
        </w:rPr>
        <w:t xml:space="preserve">     </w:t>
      </w:r>
      <w:r>
        <w:rPr>
          <w:rFonts w:ascii="STXingkai" w:hAnsi="STXingkai" w:eastAsia="STXingkai" w:cs="STXingkai"/>
          <w:sz w:val="21"/>
          <w:szCs w:val="21"/>
          <w:b/>
          <w:bCs/>
          <w:spacing w:val="-38"/>
        </w:rPr>
        <w:t>·</w:t>
      </w:r>
      <w:r>
        <w:rPr>
          <w:rFonts w:ascii="STXingkai" w:hAnsi="STXingkai" w:eastAsia="STXingkai" w:cs="STXingkai"/>
          <w:sz w:val="21"/>
          <w:szCs w:val="21"/>
          <w:spacing w:val="18"/>
        </w:rPr>
        <w:t xml:space="preserve">   </w:t>
      </w:r>
      <w:r>
        <w:rPr>
          <w:rFonts w:ascii="STXingkai" w:hAnsi="STXingkai" w:eastAsia="STXingkai" w:cs="STXingkai"/>
          <w:sz w:val="21"/>
          <w:szCs w:val="21"/>
          <w:b/>
          <w:bCs/>
          <w:spacing w:val="-38"/>
        </w:rPr>
        <w:t>指</w:t>
      </w:r>
      <w:r>
        <w:rPr>
          <w:rFonts w:ascii="STXingkai" w:hAnsi="STXingkai" w:eastAsia="STXingkai" w:cs="STXingkai"/>
          <w:sz w:val="21"/>
          <w:szCs w:val="21"/>
          <w:spacing w:val="15"/>
        </w:rPr>
        <w:t xml:space="preserve">   </w:t>
      </w:r>
      <w:r>
        <w:rPr>
          <w:rFonts w:ascii="STXingkai" w:hAnsi="STXingkai" w:eastAsia="STXingkai" w:cs="STXingkai"/>
          <w:sz w:val="21"/>
          <w:szCs w:val="21"/>
          <w:b/>
          <w:bCs/>
          <w:spacing w:val="-38"/>
        </w:rPr>
        <w:t>古</w:t>
      </w:r>
    </w:p>
    <w:p>
      <w:pPr>
        <w:spacing w:line="286" w:lineRule="auto"/>
        <w:rPr>
          <w:rFonts w:ascii="Arial"/>
          <w:sz w:val="21"/>
        </w:rPr>
      </w:pPr>
      <w:r/>
    </w:p>
    <w:p>
      <w:pPr>
        <w:pStyle w:val="BodyText"/>
        <w:ind w:left="959"/>
        <w:spacing w:before="68" w:line="219" w:lineRule="auto"/>
        <w:rPr/>
      </w:pPr>
      <w:r>
        <w:rPr/>
        <w:t>13.石街</w:t>
      </w:r>
    </w:p>
    <w:p>
      <w:pPr>
        <w:pStyle w:val="BodyText"/>
        <w:ind w:left="449" w:firstLine="439"/>
        <w:spacing w:before="69" w:line="299" w:lineRule="auto"/>
        <w:rPr/>
      </w:pPr>
      <w:r>
        <w:rPr/>
        <w:t>大量碎石在输尿管内没有及时排出，逐渐堆积形成石街，阻碍尿液排出[1</w:t>
      </w:r>
      <w:r>
        <w:rPr>
          <w:spacing w:val="-1"/>
        </w:rPr>
        <w:t>]。在对较大的肾结石进行</w:t>
      </w:r>
      <w:r>
        <w:rPr/>
        <w:t xml:space="preserve"> </w:t>
      </w:r>
      <w:r>
        <w:rPr>
          <w:rFonts w:ascii="Times New Roman" w:hAnsi="Times New Roman" w:eastAsia="Times New Roman" w:cs="Times New Roman"/>
        </w:rPr>
        <w:t>ESWL</w:t>
      </w:r>
      <w:r>
        <w:rPr>
          <w:spacing w:val="6"/>
        </w:rPr>
        <w:t>之前常规放置双</w:t>
      </w:r>
      <w:r>
        <w:rPr>
          <w:rFonts w:ascii="Times New Roman" w:hAnsi="Times New Roman" w:eastAsia="Times New Roman" w:cs="Times New Roman"/>
          <w:spacing w:val="6"/>
        </w:rPr>
        <w:t>J</w:t>
      </w:r>
      <w:r>
        <w:rPr>
          <w:spacing w:val="6"/>
        </w:rPr>
        <w:t>管后，石街的发生率已大为降低。对于有感染迹象的患者，必需给予抗生素治</w:t>
      </w:r>
      <w:r>
        <w:rPr>
          <w:spacing w:val="1"/>
        </w:rPr>
        <w:t xml:space="preserve"> </w:t>
      </w:r>
      <w:r>
        <w:rPr>
          <w:spacing w:val="4"/>
        </w:rPr>
        <w:t>疗，并尽早予以充分引流。通过经皮穿刺肾造瘘术放置造瘘管</w:t>
      </w:r>
      <w:r>
        <w:rPr>
          <w:spacing w:val="3"/>
        </w:rPr>
        <w:t>通常能使结石碎片排出[2]。对于输尿管</w:t>
      </w:r>
      <w:r>
        <w:rPr/>
        <w:t xml:space="preserve"> </w:t>
      </w:r>
      <w:r>
        <w:rPr>
          <w:spacing w:val="1"/>
        </w:rPr>
        <w:t>远端的石街，可以用输尿管镜碎石法先将其最前端的结石块击碎。</w:t>
      </w:r>
    </w:p>
    <w:p>
      <w:pPr>
        <w:pStyle w:val="BodyText"/>
        <w:ind w:left="949"/>
        <w:spacing w:line="216" w:lineRule="auto"/>
        <w:rPr/>
      </w:pPr>
      <w:r>
        <w:rPr>
          <w:spacing w:val="1"/>
        </w:rPr>
        <w:t>表24为对石街的推荐治疗方案。</w:t>
      </w:r>
    </w:p>
    <w:p>
      <w:pPr>
        <w:ind w:left="2942"/>
        <w:spacing w:line="220" w:lineRule="auto"/>
        <w:rPr>
          <w:rFonts w:ascii="SimHei" w:hAnsi="SimHei" w:eastAsia="SimHei" w:cs="SimHei"/>
          <w:sz w:val="21"/>
          <w:szCs w:val="21"/>
        </w:rPr>
      </w:pPr>
      <w:r>
        <w:rPr>
          <w:rFonts w:ascii="SimHei" w:hAnsi="SimHei" w:eastAsia="SimHei" w:cs="SimHei"/>
          <w:sz w:val="21"/>
          <w:szCs w:val="21"/>
          <w:b/>
          <w:bCs/>
          <w:spacing w:val="-15"/>
          <w:w w:val="95"/>
        </w:rPr>
        <w:t>表24</w:t>
      </w:r>
      <w:r>
        <w:rPr>
          <w:rFonts w:ascii="SimHei" w:hAnsi="SimHei" w:eastAsia="SimHei" w:cs="SimHei"/>
          <w:sz w:val="21"/>
          <w:szCs w:val="21"/>
          <w:spacing w:val="72"/>
        </w:rPr>
        <w:t xml:space="preserve"> </w:t>
      </w:r>
      <w:r>
        <w:rPr>
          <w:rFonts w:ascii="SimHei" w:hAnsi="SimHei" w:eastAsia="SimHei" w:cs="SimHei"/>
          <w:sz w:val="21"/>
          <w:szCs w:val="21"/>
          <w:b/>
          <w:bCs/>
          <w:spacing w:val="-15"/>
          <w:w w:val="95"/>
        </w:rPr>
        <w:t>对石街的推荐治疗方案</w:t>
      </w:r>
    </w:p>
    <w:p>
      <w:pPr>
        <w:spacing w:line="190" w:lineRule="exact"/>
        <w:rPr/>
      </w:pPr>
      <w:r/>
    </w:p>
    <w:tbl>
      <w:tblPr>
        <w:tblStyle w:val="TableNormal"/>
        <w:tblW w:w="6169" w:type="dxa"/>
        <w:tblInd w:w="10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7"/>
        <w:gridCol w:w="998"/>
        <w:gridCol w:w="73"/>
        <w:gridCol w:w="1136"/>
        <w:gridCol w:w="2775"/>
      </w:tblGrid>
      <w:tr>
        <w:trPr>
          <w:trHeight w:val="234" w:hRule="atLeast"/>
        </w:trPr>
        <w:tc>
          <w:tcPr>
            <w:tcW w:w="1187" w:type="dxa"/>
            <w:vAlign w:val="top"/>
            <w:tcBorders>
              <w:bottom w:val="single" w:color="000000" w:sz="4" w:space="0"/>
              <w:top w:val="single" w:color="000000" w:sz="4" w:space="0"/>
            </w:tcBorders>
          </w:tcPr>
          <w:p>
            <w:pPr>
              <w:pStyle w:val="TableText"/>
              <w:ind w:left="59"/>
              <w:spacing w:before="24" w:line="194" w:lineRule="auto"/>
              <w:rPr>
                <w:sz w:val="19"/>
                <w:szCs w:val="19"/>
              </w:rPr>
            </w:pPr>
            <w:r>
              <w:rPr>
                <w:sz w:val="19"/>
                <w:szCs w:val="19"/>
                <w:spacing w:val="-2"/>
              </w:rPr>
              <w:t>结石的位置</w:t>
            </w:r>
          </w:p>
        </w:tc>
        <w:tc>
          <w:tcPr>
            <w:tcW w:w="1071" w:type="dxa"/>
            <w:vAlign w:val="top"/>
            <w:gridSpan w:val="2"/>
            <w:tcBorders>
              <w:bottom w:val="single" w:color="000000" w:sz="4" w:space="0"/>
              <w:top w:val="single" w:color="000000" w:sz="4" w:space="0"/>
            </w:tcBorders>
          </w:tcPr>
          <w:p>
            <w:pPr>
              <w:pStyle w:val="TableText"/>
              <w:ind w:left="135"/>
              <w:spacing w:before="20" w:line="198" w:lineRule="auto"/>
              <w:rPr>
                <w:sz w:val="19"/>
                <w:szCs w:val="19"/>
              </w:rPr>
            </w:pPr>
            <w:r>
              <w:rPr>
                <w:sz w:val="19"/>
                <w:szCs w:val="19"/>
                <w:b/>
                <w:bCs/>
                <w:spacing w:val="7"/>
              </w:rPr>
              <w:t>无授阻</w:t>
            </w:r>
            <w:r>
              <w:rPr>
                <w:sz w:val="19"/>
                <w:szCs w:val="19"/>
                <w:spacing w:val="7"/>
              </w:rPr>
              <w:t xml:space="preserve"> </w:t>
            </w:r>
            <w:r>
              <w:rPr>
                <w:sz w:val="19"/>
                <w:szCs w:val="19"/>
                <w:b/>
                <w:bCs/>
                <w:spacing w:val="7"/>
              </w:rPr>
              <w:t>·</w:t>
            </w:r>
          </w:p>
        </w:tc>
        <w:tc>
          <w:tcPr>
            <w:tcW w:w="1136" w:type="dxa"/>
            <w:vAlign w:val="top"/>
            <w:tcBorders>
              <w:bottom w:val="single" w:color="000000" w:sz="4" w:space="0"/>
              <w:top w:val="single" w:color="000000" w:sz="4" w:space="0"/>
            </w:tcBorders>
          </w:tcPr>
          <w:p>
            <w:pPr>
              <w:pStyle w:val="TableText"/>
              <w:ind w:left="474"/>
              <w:spacing w:before="20" w:line="198" w:lineRule="auto"/>
              <w:rPr>
                <w:sz w:val="19"/>
                <w:szCs w:val="19"/>
              </w:rPr>
            </w:pPr>
            <w:r>
              <w:rPr>
                <w:sz w:val="19"/>
                <w:szCs w:val="19"/>
                <w:b/>
                <w:bCs/>
                <w:spacing w:val="-4"/>
              </w:rPr>
              <w:t>有梗阻</w:t>
            </w:r>
          </w:p>
        </w:tc>
        <w:tc>
          <w:tcPr>
            <w:tcW w:w="2775" w:type="dxa"/>
            <w:vAlign w:val="top"/>
            <w:tcBorders>
              <w:bottom w:val="single" w:color="000000" w:sz="4" w:space="0"/>
              <w:top w:val="single" w:color="000000" w:sz="4" w:space="0"/>
            </w:tcBorders>
          </w:tcPr>
          <w:p>
            <w:pPr>
              <w:pStyle w:val="TableText"/>
              <w:ind w:left="95"/>
              <w:spacing w:before="22" w:line="196" w:lineRule="auto"/>
              <w:rPr>
                <w:sz w:val="19"/>
                <w:szCs w:val="19"/>
              </w:rPr>
            </w:pPr>
            <w:r>
              <w:rPr>
                <w:sz w:val="19"/>
                <w:szCs w:val="19"/>
                <w:spacing w:val="-8"/>
              </w:rPr>
              <w:t>和</w:t>
            </w:r>
            <w:r>
              <w:rPr>
                <w:sz w:val="19"/>
                <w:szCs w:val="19"/>
                <w:spacing w:val="-20"/>
              </w:rPr>
              <w:t xml:space="preserve"> </w:t>
            </w:r>
            <w:r>
              <w:rPr>
                <w:sz w:val="19"/>
                <w:szCs w:val="19"/>
                <w:spacing w:val="-8"/>
              </w:rPr>
              <w:t>或 、有症状</w:t>
            </w:r>
          </w:p>
        </w:tc>
      </w:tr>
      <w:tr>
        <w:trPr>
          <w:trHeight w:val="658" w:hRule="atLeast"/>
        </w:trPr>
        <w:tc>
          <w:tcPr>
            <w:tcW w:w="1187" w:type="dxa"/>
            <w:vAlign w:val="top"/>
            <w:tcBorders>
              <w:bottom w:val="single" w:color="000000" w:sz="4" w:space="0"/>
              <w:top w:val="single" w:color="000000" w:sz="4" w:space="0"/>
            </w:tcBorders>
          </w:tcPr>
          <w:p>
            <w:pPr>
              <w:pStyle w:val="TableText"/>
              <w:ind w:left="62"/>
              <w:spacing w:before="236" w:line="219" w:lineRule="auto"/>
              <w:rPr>
                <w:sz w:val="19"/>
                <w:szCs w:val="19"/>
              </w:rPr>
            </w:pPr>
            <w:r>
              <w:rPr>
                <w:sz w:val="19"/>
                <w:szCs w:val="19"/>
                <w:b/>
                <w:bCs/>
                <w:spacing w:val="-4"/>
              </w:rPr>
              <w:t>近端输尿管</w:t>
            </w:r>
          </w:p>
        </w:tc>
        <w:tc>
          <w:tcPr>
            <w:tcW w:w="1071" w:type="dxa"/>
            <w:vAlign w:val="top"/>
            <w:gridSpan w:val="2"/>
            <w:tcBorders>
              <w:bottom w:val="single" w:color="000000" w:sz="4" w:space="0"/>
              <w:top w:val="single" w:color="000000" w:sz="4" w:space="0"/>
            </w:tcBorders>
          </w:tcPr>
          <w:p>
            <w:pPr>
              <w:pStyle w:val="TableText"/>
              <w:ind w:left="132"/>
              <w:spacing w:before="247" w:line="239" w:lineRule="auto"/>
              <w:rPr>
                <w:sz w:val="19"/>
                <w:szCs w:val="19"/>
              </w:rPr>
            </w:pPr>
            <w:r>
              <w:rPr>
                <w:sz w:val="19"/>
                <w:szCs w:val="19"/>
                <w:spacing w:val="-4"/>
              </w:rPr>
              <w:t>1  ESWL.</w:t>
            </w:r>
          </w:p>
        </w:tc>
        <w:tc>
          <w:tcPr>
            <w:tcW w:w="1136" w:type="dxa"/>
            <w:vAlign w:val="top"/>
            <w:tcBorders>
              <w:bottom w:val="single" w:color="000000" w:sz="4" w:space="0"/>
              <w:top w:val="single" w:color="000000" w:sz="4" w:space="0"/>
            </w:tcBorders>
          </w:tcPr>
          <w:p>
            <w:pPr>
              <w:pStyle w:val="TableText"/>
              <w:ind w:left="371" w:right="83" w:firstLine="189"/>
              <w:spacing w:before="38" w:line="202" w:lineRule="auto"/>
              <w:rPr>
                <w:sz w:val="19"/>
                <w:szCs w:val="19"/>
              </w:rPr>
            </w:pPr>
            <w:r>
              <w:rPr>
                <w:sz w:val="19"/>
                <w:szCs w:val="19"/>
                <w:spacing w:val="-5"/>
              </w:rPr>
              <w:t>1.PN.</w:t>
            </w:r>
            <w:r>
              <w:rPr>
                <w:sz w:val="19"/>
                <w:szCs w:val="19"/>
                <w:spacing w:val="2"/>
              </w:rPr>
              <w:t xml:space="preserve"> </w:t>
            </w:r>
            <w:r>
              <w:rPr>
                <w:sz w:val="19"/>
                <w:szCs w:val="19"/>
                <w:spacing w:val="3"/>
              </w:rPr>
              <w:t>3支架管</w:t>
            </w:r>
          </w:p>
          <w:p>
            <w:pPr>
              <w:pStyle w:val="TableText"/>
              <w:ind w:left="472"/>
              <w:spacing w:before="13" w:line="175" w:lineRule="auto"/>
              <w:rPr>
                <w:sz w:val="19"/>
                <w:szCs w:val="19"/>
              </w:rPr>
            </w:pPr>
            <w:r>
              <w:rPr>
                <w:sz w:val="19"/>
                <w:szCs w:val="19"/>
                <w:spacing w:val="-3"/>
              </w:rPr>
              <w:t>4</w:t>
            </w:r>
            <w:r>
              <w:rPr>
                <w:sz w:val="19"/>
                <w:szCs w:val="19"/>
                <w:spacing w:val="7"/>
              </w:rPr>
              <w:t xml:space="preserve"> </w:t>
            </w:r>
            <w:r>
              <w:rPr>
                <w:sz w:val="19"/>
                <w:szCs w:val="19"/>
                <w:spacing w:val="-3"/>
              </w:rPr>
              <w:t>ESWL</w:t>
            </w:r>
          </w:p>
        </w:tc>
        <w:tc>
          <w:tcPr>
            <w:tcW w:w="2775" w:type="dxa"/>
            <w:vAlign w:val="top"/>
            <w:tcBorders>
              <w:bottom w:val="single" w:color="000000" w:sz="4" w:space="0"/>
              <w:top w:val="single" w:color="000000" w:sz="4" w:space="0"/>
            </w:tcBorders>
          </w:tcPr>
          <w:p>
            <w:pPr>
              <w:pStyle w:val="TableText"/>
              <w:ind w:left="785"/>
              <w:spacing w:before="68" w:line="182" w:lineRule="auto"/>
              <w:rPr>
                <w:sz w:val="19"/>
                <w:szCs w:val="19"/>
              </w:rPr>
            </w:pPr>
            <w:r>
              <w:rPr>
                <w:sz w:val="19"/>
                <w:szCs w:val="19"/>
                <w:spacing w:val="-2"/>
              </w:rPr>
              <w:t>PN.</w:t>
            </w:r>
          </w:p>
          <w:p>
            <w:pPr>
              <w:pStyle w:val="TableText"/>
              <w:ind w:left="1205"/>
              <w:spacing w:before="241" w:line="150" w:lineRule="exact"/>
              <w:rPr>
                <w:sz w:val="19"/>
                <w:szCs w:val="19"/>
              </w:rPr>
            </w:pPr>
            <w:r>
              <w:rPr>
                <w:sz w:val="19"/>
                <w:szCs w:val="19"/>
                <w:spacing w:val="-2"/>
                <w:position w:val="-2"/>
              </w:rPr>
              <w:t>ESWL</w:t>
            </w:r>
          </w:p>
        </w:tc>
      </w:tr>
      <w:tr>
        <w:trPr>
          <w:trHeight w:val="668" w:hRule="atLeast"/>
        </w:trPr>
        <w:tc>
          <w:tcPr>
            <w:tcW w:w="1187" w:type="dxa"/>
            <w:vAlign w:val="top"/>
            <w:tcBorders>
              <w:bottom w:val="single" w:color="000000" w:sz="4" w:space="0"/>
              <w:top w:val="single" w:color="000000" w:sz="4" w:space="0"/>
            </w:tcBorders>
          </w:tcPr>
          <w:p>
            <w:pPr>
              <w:pStyle w:val="TableText"/>
              <w:ind w:left="59"/>
              <w:spacing w:before="241" w:line="219" w:lineRule="auto"/>
              <w:rPr>
                <w:sz w:val="19"/>
                <w:szCs w:val="19"/>
              </w:rPr>
            </w:pPr>
            <w:r>
              <w:rPr>
                <w:sz w:val="19"/>
                <w:szCs w:val="19"/>
                <w:spacing w:val="2"/>
              </w:rPr>
              <w:t>中段输尿管</w:t>
            </w:r>
          </w:p>
        </w:tc>
        <w:tc>
          <w:tcPr>
            <w:tcW w:w="1071" w:type="dxa"/>
            <w:vAlign w:val="top"/>
            <w:gridSpan w:val="2"/>
            <w:tcBorders>
              <w:bottom w:val="single" w:color="000000" w:sz="4" w:space="0"/>
              <w:top w:val="single" w:color="000000" w:sz="4" w:space="0"/>
            </w:tcBorders>
          </w:tcPr>
          <w:p>
            <w:pPr>
              <w:pStyle w:val="TableText"/>
              <w:ind w:left="132"/>
              <w:spacing w:before="259" w:line="239" w:lineRule="auto"/>
              <w:rPr>
                <w:sz w:val="19"/>
                <w:szCs w:val="19"/>
              </w:rPr>
            </w:pPr>
            <w:r>
              <w:rPr>
                <w:sz w:val="19"/>
                <w:szCs w:val="19"/>
                <w:spacing w:val="-4"/>
              </w:rPr>
              <w:t>1.ESWL</w:t>
            </w:r>
          </w:p>
        </w:tc>
        <w:tc>
          <w:tcPr>
            <w:tcW w:w="1136" w:type="dxa"/>
            <w:vAlign w:val="top"/>
            <w:tcBorders>
              <w:bottom w:val="single" w:color="000000" w:sz="4" w:space="0"/>
              <w:top w:val="single" w:color="000000" w:sz="4" w:space="0"/>
            </w:tcBorders>
          </w:tcPr>
          <w:p>
            <w:pPr>
              <w:pStyle w:val="TableText"/>
              <w:ind w:left="181" w:right="21" w:firstLine="480"/>
              <w:spacing w:before="19" w:line="217" w:lineRule="auto"/>
              <w:rPr>
                <w:sz w:val="19"/>
                <w:szCs w:val="19"/>
              </w:rPr>
            </w:pPr>
            <w:r>
              <w:rPr>
                <w:sz w:val="19"/>
                <w:szCs w:val="19"/>
                <w:spacing w:val="-9"/>
              </w:rPr>
              <w:t>1</w:t>
            </w:r>
            <w:r>
              <w:rPr>
                <w:sz w:val="19"/>
                <w:szCs w:val="19"/>
                <w:spacing w:val="27"/>
              </w:rPr>
              <w:t xml:space="preserve"> </w:t>
            </w:r>
            <w:r>
              <w:rPr>
                <w:sz w:val="19"/>
                <w:szCs w:val="19"/>
                <w:spacing w:val="-9"/>
              </w:rPr>
              <w:t>PN</w:t>
            </w:r>
            <w:r>
              <w:rPr>
                <w:sz w:val="19"/>
                <w:szCs w:val="19"/>
              </w:rPr>
              <w:t xml:space="preserve"> </w:t>
            </w:r>
            <w:r>
              <w:rPr>
                <w:sz w:val="19"/>
                <w:szCs w:val="19"/>
                <w:spacing w:val="-3"/>
              </w:rPr>
              <w:t>2支架管 ·</w:t>
            </w:r>
          </w:p>
          <w:p>
            <w:pPr>
              <w:pStyle w:val="TableText"/>
              <w:ind w:left="371"/>
              <w:spacing w:before="13" w:line="173" w:lineRule="auto"/>
              <w:rPr>
                <w:sz w:val="19"/>
                <w:szCs w:val="19"/>
              </w:rPr>
            </w:pPr>
            <w:r>
              <w:rPr>
                <w:sz w:val="19"/>
                <w:szCs w:val="19"/>
                <w:spacing w:val="-3"/>
              </w:rPr>
              <w:t>3</w:t>
            </w:r>
            <w:r>
              <w:rPr>
                <w:sz w:val="19"/>
                <w:szCs w:val="19"/>
                <w:spacing w:val="82"/>
              </w:rPr>
              <w:t xml:space="preserve"> </w:t>
            </w:r>
            <w:r>
              <w:rPr>
                <w:sz w:val="19"/>
                <w:szCs w:val="19"/>
                <w:spacing w:val="-3"/>
              </w:rPr>
              <w:t>ESWL.</w:t>
            </w:r>
          </w:p>
        </w:tc>
        <w:tc>
          <w:tcPr>
            <w:tcW w:w="2775" w:type="dxa"/>
            <w:vAlign w:val="top"/>
            <w:tcBorders>
              <w:bottom w:val="single" w:color="000000" w:sz="4" w:space="0"/>
              <w:top w:val="single" w:color="000000" w:sz="4" w:space="0"/>
            </w:tcBorders>
          </w:tcPr>
          <w:p>
            <w:pPr>
              <w:pStyle w:val="TableText"/>
              <w:ind w:left="785"/>
              <w:spacing w:before="50" w:line="182" w:lineRule="auto"/>
              <w:rPr>
                <w:sz w:val="19"/>
                <w:szCs w:val="19"/>
              </w:rPr>
            </w:pPr>
            <w:r>
              <w:rPr>
                <w:sz w:val="19"/>
                <w:szCs w:val="19"/>
                <w:spacing w:val="-2"/>
              </w:rPr>
              <w:t>PN.</w:t>
            </w:r>
          </w:p>
          <w:p>
            <w:pPr>
              <w:pStyle w:val="TableText"/>
              <w:ind w:left="1205"/>
              <w:spacing w:before="271" w:line="148" w:lineRule="exact"/>
              <w:rPr>
                <w:sz w:val="19"/>
                <w:szCs w:val="19"/>
              </w:rPr>
            </w:pPr>
            <w:r>
              <w:rPr>
                <w:sz w:val="19"/>
                <w:szCs w:val="19"/>
                <w:spacing w:val="-2"/>
                <w:position w:val="-2"/>
              </w:rPr>
              <w:t>ESWL</w:t>
            </w:r>
          </w:p>
        </w:tc>
      </w:tr>
      <w:tr>
        <w:trPr>
          <w:trHeight w:val="677" w:hRule="atLeast"/>
        </w:trPr>
        <w:tc>
          <w:tcPr>
            <w:tcW w:w="1187" w:type="dxa"/>
            <w:vAlign w:val="top"/>
            <w:tcBorders>
              <w:bottom w:val="single" w:color="000000" w:sz="4" w:space="0"/>
              <w:top w:val="single" w:color="000000" w:sz="4" w:space="0"/>
            </w:tcBorders>
          </w:tcPr>
          <w:p>
            <w:pPr>
              <w:pStyle w:val="TableText"/>
              <w:spacing w:before="250" w:line="219" w:lineRule="auto"/>
              <w:jc w:val="right"/>
              <w:rPr>
                <w:sz w:val="19"/>
                <w:szCs w:val="19"/>
              </w:rPr>
            </w:pPr>
            <w:r>
              <w:rPr>
                <w:sz w:val="19"/>
                <w:szCs w:val="19"/>
                <w:b/>
                <w:bCs/>
                <w:spacing w:val="-15"/>
              </w:rPr>
              <w:t>远端输尿管</w:t>
            </w:r>
            <w:r>
              <w:rPr>
                <w:sz w:val="19"/>
                <w:szCs w:val="19"/>
                <w:spacing w:val="-15"/>
              </w:rPr>
              <w:t>·</w:t>
            </w:r>
          </w:p>
        </w:tc>
        <w:tc>
          <w:tcPr>
            <w:tcW w:w="1071" w:type="dxa"/>
            <w:vAlign w:val="top"/>
            <w:gridSpan w:val="2"/>
            <w:tcBorders>
              <w:bottom w:val="single" w:color="000000" w:sz="4" w:space="0"/>
              <w:top w:val="single" w:color="000000" w:sz="4" w:space="0"/>
            </w:tcBorders>
          </w:tcPr>
          <w:p>
            <w:pPr>
              <w:pStyle w:val="TableText"/>
              <w:ind w:left="132" w:right="282"/>
              <w:spacing w:before="22" w:line="245" w:lineRule="auto"/>
              <w:rPr>
                <w:sz w:val="19"/>
                <w:szCs w:val="19"/>
              </w:rPr>
            </w:pPr>
            <w:r>
              <w:rPr>
                <w:sz w:val="19"/>
                <w:szCs w:val="19"/>
                <w:spacing w:val="-4"/>
              </w:rPr>
              <w:t>1.ESWL</w:t>
            </w:r>
            <w:r>
              <w:rPr>
                <w:sz w:val="19"/>
                <w:szCs w:val="19"/>
              </w:rPr>
              <w:t xml:space="preserve">  </w:t>
            </w:r>
            <w:r>
              <w:rPr>
                <w:sz w:val="19"/>
                <w:szCs w:val="19"/>
                <w:spacing w:val="-14"/>
              </w:rPr>
              <w:t>2UTRS</w:t>
            </w:r>
            <w:r>
              <w:rPr>
                <w:sz w:val="19"/>
                <w:szCs w:val="19"/>
                <w:spacing w:val="-22"/>
              </w:rPr>
              <w:t xml:space="preserve"> </w:t>
            </w:r>
            <w:r>
              <w:rPr>
                <w:sz w:val="19"/>
                <w:szCs w:val="19"/>
                <w:spacing w:val="-14"/>
              </w:rPr>
              <w:t>·</w:t>
            </w:r>
          </w:p>
        </w:tc>
        <w:tc>
          <w:tcPr>
            <w:tcW w:w="1136" w:type="dxa"/>
            <w:vAlign w:val="top"/>
            <w:tcBorders>
              <w:bottom w:val="single" w:color="000000" w:sz="4" w:space="0"/>
              <w:top w:val="single" w:color="000000" w:sz="4" w:space="0"/>
            </w:tcBorders>
          </w:tcPr>
          <w:p>
            <w:pPr>
              <w:pStyle w:val="TableText"/>
              <w:ind w:left="661"/>
              <w:spacing w:before="22" w:line="233" w:lineRule="auto"/>
              <w:rPr>
                <w:sz w:val="19"/>
                <w:szCs w:val="19"/>
              </w:rPr>
            </w:pPr>
            <w:r>
              <w:rPr>
                <w:sz w:val="19"/>
                <w:szCs w:val="19"/>
                <w:spacing w:val="-6"/>
              </w:rPr>
              <w:t>1.PN</w:t>
            </w:r>
          </w:p>
          <w:p>
            <w:pPr>
              <w:pStyle w:val="TableText"/>
              <w:ind w:right="33"/>
              <w:spacing w:line="233" w:lineRule="auto"/>
              <w:jc w:val="right"/>
              <w:rPr>
                <w:sz w:val="19"/>
                <w:szCs w:val="19"/>
              </w:rPr>
            </w:pPr>
            <w:r>
              <w:rPr>
                <w:sz w:val="19"/>
                <w:szCs w:val="19"/>
                <w:spacing w:val="-3"/>
              </w:rPr>
              <w:t>2</w:t>
            </w:r>
            <w:r>
              <w:rPr>
                <w:sz w:val="19"/>
                <w:szCs w:val="19"/>
                <w:spacing w:val="82"/>
              </w:rPr>
              <w:t xml:space="preserve"> </w:t>
            </w:r>
            <w:r>
              <w:rPr>
                <w:sz w:val="19"/>
                <w:szCs w:val="19"/>
                <w:spacing w:val="-3"/>
              </w:rPr>
              <w:t>ESWL.</w:t>
            </w:r>
          </w:p>
          <w:p>
            <w:pPr>
              <w:pStyle w:val="TableText"/>
              <w:ind w:left="561"/>
              <w:spacing w:line="160" w:lineRule="auto"/>
              <w:rPr>
                <w:sz w:val="19"/>
                <w:szCs w:val="19"/>
              </w:rPr>
            </w:pPr>
            <w:r>
              <w:rPr>
                <w:sz w:val="19"/>
                <w:szCs w:val="19"/>
                <w:spacing w:val="-4"/>
              </w:rPr>
              <w:t>3</w:t>
            </w:r>
            <w:r>
              <w:rPr>
                <w:sz w:val="19"/>
                <w:szCs w:val="19"/>
                <w:spacing w:val="32"/>
              </w:rPr>
              <w:t xml:space="preserve"> </w:t>
            </w:r>
            <w:r>
              <w:rPr>
                <w:sz w:val="19"/>
                <w:szCs w:val="19"/>
                <w:spacing w:val="-4"/>
              </w:rPr>
              <w:t>URS</w:t>
            </w:r>
          </w:p>
        </w:tc>
        <w:tc>
          <w:tcPr>
            <w:tcW w:w="2775" w:type="dxa"/>
            <w:vAlign w:val="top"/>
            <w:tcBorders>
              <w:bottom w:val="single" w:color="000000" w:sz="4" w:space="0"/>
              <w:top w:val="single" w:color="000000" w:sz="4" w:space="0"/>
            </w:tcBorders>
          </w:tcPr>
          <w:p>
            <w:pPr>
              <w:pStyle w:val="TableText"/>
              <w:ind w:left="1205"/>
              <w:spacing w:before="34" w:line="182" w:lineRule="auto"/>
              <w:rPr>
                <w:rFonts w:ascii="Calibri" w:hAnsi="Calibri" w:eastAsia="Calibri" w:cs="Calibri"/>
                <w:sz w:val="19"/>
                <w:szCs w:val="19"/>
              </w:rPr>
            </w:pPr>
            <w:r>
              <w:rPr>
                <w:sz w:val="19"/>
                <w:szCs w:val="19"/>
                <w:spacing w:val="-2"/>
              </w:rPr>
              <w:t>PN</w:t>
            </w:r>
            <w:r>
              <w:rPr>
                <w:rFonts w:ascii="Calibri" w:hAnsi="Calibri" w:eastAsia="Calibri" w:cs="Calibri"/>
                <w:sz w:val="19"/>
                <w:szCs w:val="19"/>
                <w:spacing w:val="-2"/>
              </w:rPr>
              <w:t>₂</w:t>
            </w:r>
          </w:p>
        </w:tc>
      </w:tr>
      <w:tr>
        <w:trPr>
          <w:trHeight w:val="473" w:hRule="atLeast"/>
        </w:trPr>
        <w:tc>
          <w:tcPr>
            <w:tcW w:w="2185" w:type="dxa"/>
            <w:vAlign w:val="top"/>
            <w:gridSpan w:val="2"/>
            <w:tcBorders>
              <w:bottom w:val="single" w:color="000000" w:sz="4" w:space="0"/>
              <w:top w:val="single" w:color="000000" w:sz="4" w:space="0"/>
            </w:tcBorders>
          </w:tcPr>
          <w:p>
            <w:pPr>
              <w:pStyle w:val="TableText"/>
              <w:ind w:left="50"/>
              <w:spacing w:before="16" w:line="217" w:lineRule="auto"/>
              <w:rPr>
                <w:sz w:val="19"/>
                <w:szCs w:val="19"/>
              </w:rPr>
            </w:pPr>
            <w:r>
              <w:rPr>
                <w:sz w:val="19"/>
                <w:szCs w:val="19"/>
                <w:spacing w:val="-4"/>
              </w:rPr>
              <w:t>ESWL=体外冲击波碎石术，</w:t>
            </w:r>
            <w:r>
              <w:rPr>
                <w:sz w:val="19"/>
                <w:szCs w:val="19"/>
                <w:spacing w:val="4"/>
              </w:rPr>
              <w:t xml:space="preserve"> </w:t>
            </w:r>
            <w:r>
              <w:rPr>
                <w:sz w:val="19"/>
                <w:szCs w:val="19"/>
                <w:spacing w:val="-8"/>
              </w:rPr>
              <w:t>首</w:t>
            </w:r>
            <w:r>
              <w:rPr>
                <w:sz w:val="19"/>
                <w:szCs w:val="19"/>
                <w:spacing w:val="-10"/>
              </w:rPr>
              <w:t xml:space="preserve"> </w:t>
            </w:r>
            <w:r>
              <w:rPr>
                <w:sz w:val="19"/>
                <w:szCs w:val="19"/>
                <w:spacing w:val="-8"/>
              </w:rPr>
              <w:t>镜</w:t>
            </w:r>
          </w:p>
        </w:tc>
        <w:tc>
          <w:tcPr>
            <w:tcW w:w="3984" w:type="dxa"/>
            <w:vAlign w:val="top"/>
            <w:gridSpan w:val="3"/>
            <w:tcBorders>
              <w:bottom w:val="single" w:color="000000" w:sz="4" w:space="0"/>
              <w:top w:val="single" w:color="000000" w:sz="4" w:space="0"/>
            </w:tcBorders>
          </w:tcPr>
          <w:p>
            <w:pPr>
              <w:pStyle w:val="TableText"/>
              <w:ind w:left="34"/>
              <w:spacing w:before="145" w:line="219" w:lineRule="auto"/>
              <w:rPr>
                <w:sz w:val="19"/>
                <w:szCs w:val="19"/>
              </w:rPr>
            </w:pPr>
            <w:r>
              <w:rPr>
                <w:sz w:val="19"/>
                <w:szCs w:val="19"/>
                <w:spacing w:val="-3"/>
              </w:rPr>
              <w:t>包括压电碎石：PN=经皮肾镜碎石术，URS=翰尿</w:t>
            </w:r>
          </w:p>
        </w:tc>
      </w:tr>
    </w:tbl>
    <w:p>
      <w:pPr>
        <w:pStyle w:val="BodyText"/>
        <w:ind w:left="449" w:right="56" w:firstLine="439"/>
        <w:spacing w:before="239" w:line="252" w:lineRule="auto"/>
        <w:rPr/>
      </w:pPr>
      <w:r>
        <w:rPr>
          <w:spacing w:val="10"/>
        </w:rPr>
        <w:t>*根据已经达成的一致意见，将不同的治疗方式分别编号为(1,2,3,4)。如果认为两种</w:t>
      </w:r>
      <w:r>
        <w:rPr>
          <w:spacing w:val="9"/>
        </w:rPr>
        <w:t>治疗方式</w:t>
      </w:r>
      <w:r>
        <w:rPr/>
        <w:t xml:space="preserve"> </w:t>
      </w:r>
      <w:r>
        <w:rPr/>
        <w:t>的疗效相同，则给予它们相同的编号。首选的治疗方法编号为1。</w:t>
      </w:r>
    </w:p>
    <w:p>
      <w:pPr>
        <w:pStyle w:val="BodyText"/>
        <w:ind w:left="889"/>
        <w:spacing w:before="101" w:line="219" w:lineRule="auto"/>
        <w:rPr/>
      </w:pPr>
      <w:r>
        <w:rPr>
          <w:spacing w:val="1"/>
        </w:rPr>
        <w:t>13.1参考文献</w:t>
      </w:r>
    </w:p>
    <w:p>
      <w:pPr>
        <w:ind w:left="449"/>
        <w:spacing w:before="1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1.Tolley</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DA.Consensus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of lithotriptor</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termi</w:t>
      </w:r>
      <w:r>
        <w:rPr>
          <w:rFonts w:ascii="Times New Roman" w:hAnsi="Times New Roman" w:eastAsia="Times New Roman" w:cs="Times New Roman"/>
          <w:sz w:val="21"/>
          <w:szCs w:val="21"/>
          <w:spacing w:val="-1"/>
        </w:rPr>
        <w:t>nology.World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Urol  1993;11:37-42.</w:t>
      </w:r>
    </w:p>
    <w:p>
      <w:pPr>
        <w:ind w:left="449"/>
        <w:spacing w:before="157" w:line="192" w:lineRule="auto"/>
        <w:rPr>
          <w:rFonts w:ascii="Times New Roman" w:hAnsi="Times New Roman" w:eastAsia="Times New Roman" w:cs="Times New Roman"/>
          <w:sz w:val="21"/>
          <w:szCs w:val="21"/>
        </w:rPr>
      </w:pPr>
      <w:hyperlink w:history="true" r:id="rId74">
        <w:r>
          <w:rPr>
            <w:rFonts w:ascii="Times New Roman" w:hAnsi="Times New Roman" w:eastAsia="Times New Roman" w:cs="Times New Roman"/>
            <w:sz w:val="21"/>
            <w:szCs w:val="21"/>
          </w:rPr>
          <w:t>http://www.ncbi.nlm.nih.gov/ent</w:t>
        </w:r>
        <w:r>
          <w:rPr>
            <w:rFonts w:ascii="Times New Roman" w:hAnsi="Times New Roman" w:eastAsia="Times New Roman" w:cs="Times New Roman"/>
            <w:sz w:val="21"/>
            <w:szCs w:val="21"/>
            <w:spacing w:val="-1"/>
          </w:rPr>
          <w:t>rez/query.fcgi?cmd=Retrieve&amp;db=PubMed&amp;list_uids=8490666&amp;dopt=Abstract</w:t>
        </w:r>
      </w:hyperlink>
    </w:p>
    <w:p>
      <w:pPr>
        <w:ind w:left="449" w:right="33"/>
        <w:spacing w:before="147" w:line="250" w:lineRule="auto"/>
        <w:rPr>
          <w:rFonts w:ascii="Times New Roman" w:hAnsi="Times New Roman" w:eastAsia="Times New Roman" w:cs="Times New Roman"/>
          <w:sz w:val="21"/>
          <w:szCs w:val="21"/>
        </w:rPr>
      </w:pPr>
      <w:hyperlink w:history="true" r:id="rId74">
        <w:r>
          <w:rPr>
            <w:rFonts w:ascii="Times New Roman" w:hAnsi="Times New Roman" w:eastAsia="Times New Roman" w:cs="Times New Roman"/>
            <w:sz w:val="21"/>
            <w:szCs w:val="21"/>
          </w:rPr>
          <w:t>2.Grffith   DP.Ureteral   calculi.In:State   of   the   Art   Extracorporeal    Shock   Wave   Lithotripsy.Kandel   LB</w:t>
        </w:r>
      </w:hyperlink>
      <w:r>
        <w:rPr>
          <w:rFonts w:ascii="Times New Roman" w:hAnsi="Times New Roman" w:eastAsia="Times New Roman" w:cs="Times New Roman"/>
          <w:sz w:val="21"/>
          <w:szCs w:val="21"/>
        </w:rPr>
        <w:t>, </w:t>
      </w:r>
      <w:r>
        <w:rPr>
          <w:rFonts w:ascii="Times New Roman" w:hAnsi="Times New Roman" w:eastAsia="Times New Roman" w:cs="Times New Roman"/>
          <w:sz w:val="21"/>
          <w:szCs w:val="21"/>
        </w:rPr>
        <w:t>Harrison  LH,MeCullough  DL(eds).Futura  Publishing  Co,Mt  Kisco,New  York</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1987,p</w:t>
      </w:r>
      <w:r>
        <w:rPr>
          <w:rFonts w:ascii="Times New Roman" w:hAnsi="Times New Roman" w:eastAsia="Times New Roman" w:cs="Times New Roman"/>
          <w:sz w:val="21"/>
          <w:szCs w:val="21"/>
          <w:spacing w:val="-1"/>
        </w:rPr>
        <w:t>p.281-310.</w:t>
      </w:r>
    </w:p>
    <w:p>
      <w:pPr>
        <w:pStyle w:val="BodyText"/>
        <w:ind w:left="889"/>
        <w:spacing w:before="109" w:line="220" w:lineRule="auto"/>
        <w:rPr/>
      </w:pPr>
      <w:r>
        <w:rPr>
          <w:spacing w:val="-3"/>
        </w:rPr>
        <w:t>14.钙结石的预防措施</w:t>
      </w:r>
    </w:p>
    <w:p>
      <w:pPr>
        <w:pStyle w:val="BodyText"/>
        <w:ind w:left="889"/>
        <w:spacing w:before="98" w:line="219" w:lineRule="auto"/>
        <w:rPr/>
      </w:pPr>
      <w:r>
        <w:rPr>
          <w:spacing w:val="-5"/>
        </w:rPr>
        <w:t>14.1常规推荐</w:t>
      </w:r>
    </w:p>
    <w:p>
      <w:pPr>
        <w:pStyle w:val="BodyText"/>
        <w:ind w:left="449" w:right="19" w:firstLine="439"/>
        <w:spacing w:before="92" w:line="300" w:lineRule="auto"/>
        <w:rPr/>
      </w:pPr>
      <w:r>
        <w:rPr>
          <w:spacing w:val="2"/>
        </w:rPr>
        <w:t>钙结石患者的预防应该从保守治疗开始。只有在保守性的膳食疗法无</w:t>
      </w:r>
      <w:r>
        <w:rPr>
          <w:spacing w:val="1"/>
        </w:rPr>
        <w:t>效时才应考虑进行药物治疗。</w:t>
      </w:r>
      <w:r>
        <w:rPr/>
        <w:t xml:space="preserve"> </w:t>
      </w:r>
      <w:r>
        <w:rPr>
          <w:spacing w:val="6"/>
        </w:rPr>
        <w:t>应该鼓励患者多饮水[1],不论结石成份如何，该措施都是很有效的</w:t>
      </w:r>
      <w:r>
        <w:rPr>
          <w:spacing w:val="5"/>
        </w:rPr>
        <w:t>。对于一个正常成年人，应使其24</w:t>
      </w:r>
      <w:r>
        <w:rPr/>
        <w:t xml:space="preserve"> </w:t>
      </w:r>
      <w:r>
        <w:rPr>
          <w:spacing w:val="6"/>
        </w:rPr>
        <w:t>小时尿量超过2000</w:t>
      </w:r>
      <w:r>
        <w:rPr/>
        <w:t>ml</w:t>
      </w:r>
      <w:r>
        <w:rPr>
          <w:spacing w:val="6"/>
        </w:rPr>
        <w:t>, 最好以尿液的过饱和程度为指导，来调节尿液</w:t>
      </w:r>
      <w:r>
        <w:rPr>
          <w:spacing w:val="5"/>
        </w:rPr>
        <w:t>的稀释程度。应使24小时内的饮</w:t>
      </w:r>
      <w:r>
        <w:rPr/>
        <w:t xml:space="preserve"> </w:t>
      </w:r>
      <w:r>
        <w:rPr>
          <w:spacing w:val="1"/>
        </w:rPr>
        <w:t>水量均衡分配，而且还要特别注意额外的体液丢失等情况的发生。</w:t>
      </w:r>
    </w:p>
    <w:p>
      <w:pPr>
        <w:pStyle w:val="BodyText"/>
        <w:ind w:left="449" w:right="47" w:firstLine="439"/>
        <w:spacing w:before="5" w:line="287" w:lineRule="auto"/>
        <w:jc w:val="both"/>
        <w:rPr/>
      </w:pPr>
      <w:r>
        <w:rPr>
          <w:spacing w:val="-1"/>
        </w:rPr>
        <w:t>日常膳食应该是包括各类食物的均衡饮食，切忌偏食</w:t>
      </w:r>
      <w:r>
        <w:rPr>
          <w:spacing w:val="-2"/>
        </w:rPr>
        <w:t>，而且任何种类又都不能过量[2]。应鼓励患者</w:t>
      </w:r>
      <w:r>
        <w:rPr/>
        <w:t xml:space="preserve"> </w:t>
      </w:r>
      <w:r>
        <w:rPr>
          <w:spacing w:val="4"/>
        </w:rPr>
        <w:t>食用蔬菜和水果，其富含的纤维具有有益的作用[3]。但必须注意避免</w:t>
      </w:r>
      <w:r>
        <w:rPr>
          <w:spacing w:val="3"/>
        </w:rPr>
        <w:t>食用富含草酸的蔬菜和水果，例</w:t>
      </w:r>
      <w:r>
        <w:rPr/>
        <w:t xml:space="preserve"> </w:t>
      </w:r>
      <w:r>
        <w:rPr>
          <w:spacing w:val="6"/>
        </w:rPr>
        <w:t>如麸皮就富含草酸盐。所以为了避免发生草酸负荷过量，应该限</w:t>
      </w:r>
      <w:r>
        <w:rPr>
          <w:spacing w:val="5"/>
        </w:rPr>
        <w:t>制或避免食用富含草酸的食物，这对</w:t>
      </w:r>
      <w:r>
        <w:rPr/>
        <w:t xml:space="preserve"> </w:t>
      </w:r>
      <w:r>
        <w:rPr>
          <w:spacing w:val="-2"/>
        </w:rPr>
        <w:t>那些已经证实有高草酸排泄的患者尤为重要。以下食物富含草酸盐[4]。</w:t>
      </w:r>
    </w:p>
    <w:p>
      <w:pPr>
        <w:pStyle w:val="BodyText"/>
        <w:ind w:left="892"/>
        <w:spacing w:line="212" w:lineRule="auto"/>
        <w:rPr/>
      </w:pPr>
      <w:r>
        <w:rPr>
          <w:b/>
          <w:bCs/>
          <w:spacing w:val="-4"/>
        </w:rPr>
        <w:t>大黄</w:t>
      </w:r>
      <w:r>
        <w:rPr>
          <w:spacing w:val="8"/>
        </w:rPr>
        <w:t xml:space="preserve">    </w:t>
      </w:r>
      <w:r>
        <w:rPr>
          <w:rFonts w:ascii="Times New Roman" w:hAnsi="Times New Roman" w:eastAsia="Times New Roman" w:cs="Times New Roman"/>
          <w:b/>
          <w:bCs/>
          <w:spacing w:val="-4"/>
        </w:rPr>
        <w:t>530mg</w:t>
      </w:r>
      <w:r>
        <w:rPr>
          <w:rFonts w:ascii="Times New Roman" w:hAnsi="Times New Roman" w:eastAsia="Times New Roman" w:cs="Times New Roman"/>
          <w:b/>
          <w:bCs/>
          <w:spacing w:val="-21"/>
        </w:rPr>
        <w:t xml:space="preserve"> </w:t>
      </w:r>
      <w:r>
        <w:rPr>
          <w:b/>
          <w:bCs/>
          <w:spacing w:val="-4"/>
        </w:rPr>
        <w:t>草酸/100</w:t>
      </w:r>
      <w:r>
        <w:rPr>
          <w:rFonts w:ascii="Times New Roman" w:hAnsi="Times New Roman" w:eastAsia="Times New Roman" w:cs="Times New Roman"/>
          <w:b/>
          <w:bCs/>
          <w:spacing w:val="-4"/>
        </w:rPr>
        <w:t>g </w:t>
      </w:r>
      <w:r>
        <w:rPr>
          <w:spacing w:val="-4"/>
        </w:rPr>
        <w:t>.</w:t>
      </w:r>
    </w:p>
    <w:p>
      <w:pPr>
        <w:pStyle w:val="BodyText"/>
        <w:ind w:left="892"/>
        <w:spacing w:before="109" w:line="212" w:lineRule="auto"/>
        <w:rPr>
          <w:rFonts w:ascii="Times New Roman" w:hAnsi="Times New Roman" w:eastAsia="Times New Roman" w:cs="Times New Roman"/>
        </w:rPr>
      </w:pPr>
      <w:r>
        <w:rPr>
          <w:b/>
          <w:bCs/>
          <w:spacing w:val="-3"/>
        </w:rPr>
        <w:t>菠菜</w:t>
      </w:r>
      <w:r>
        <w:rPr>
          <w:spacing w:val="7"/>
        </w:rPr>
        <w:t xml:space="preserve">    </w:t>
      </w:r>
      <w:r>
        <w:rPr>
          <w:rFonts w:ascii="Times New Roman" w:hAnsi="Times New Roman" w:eastAsia="Times New Roman" w:cs="Times New Roman"/>
          <w:b/>
          <w:bCs/>
          <w:spacing w:val="-3"/>
        </w:rPr>
        <w:t>570mg</w:t>
      </w:r>
      <w:r>
        <w:rPr>
          <w:b/>
          <w:bCs/>
          <w:spacing w:val="-3"/>
        </w:rPr>
        <w:t>草酸/100</w:t>
      </w:r>
      <w:r>
        <w:rPr>
          <w:rFonts w:ascii="Times New Roman" w:hAnsi="Times New Roman" w:eastAsia="Times New Roman" w:cs="Times New Roman"/>
          <w:b/>
          <w:bCs/>
          <w:spacing w:val="-3"/>
        </w:rPr>
        <w:t>g.</w:t>
      </w:r>
    </w:p>
    <w:p>
      <w:pPr>
        <w:pStyle w:val="BodyText"/>
        <w:ind w:left="892"/>
        <w:spacing w:before="109" w:line="212" w:lineRule="auto"/>
        <w:rPr>
          <w:rFonts w:ascii="Times New Roman" w:hAnsi="Times New Roman" w:eastAsia="Times New Roman" w:cs="Times New Roman"/>
        </w:rPr>
      </w:pPr>
      <w:r>
        <w:rPr>
          <w:b/>
          <w:bCs/>
          <w:spacing w:val="-5"/>
        </w:rPr>
        <w:t>可可</w:t>
      </w:r>
      <w:r>
        <w:rPr>
          <w:spacing w:val="7"/>
        </w:rPr>
        <w:t xml:space="preserve">    </w:t>
      </w:r>
      <w:r>
        <w:rPr>
          <w:rFonts w:ascii="Times New Roman" w:hAnsi="Times New Roman" w:eastAsia="Times New Roman" w:cs="Times New Roman"/>
          <w:b/>
          <w:bCs/>
          <w:spacing w:val="-5"/>
        </w:rPr>
        <w:t>625mg</w:t>
      </w:r>
      <w:r>
        <w:rPr>
          <w:rFonts w:ascii="Times New Roman" w:hAnsi="Times New Roman" w:eastAsia="Times New Roman" w:cs="Times New Roman"/>
          <w:b/>
          <w:bCs/>
          <w:spacing w:val="-21"/>
        </w:rPr>
        <w:t xml:space="preserve"> </w:t>
      </w:r>
      <w:r>
        <w:rPr>
          <w:b/>
          <w:bCs/>
          <w:spacing w:val="-5"/>
        </w:rPr>
        <w:t>草酸/100</w:t>
      </w:r>
      <w:r>
        <w:rPr>
          <w:rFonts w:ascii="Times New Roman" w:hAnsi="Times New Roman" w:eastAsia="Times New Roman" w:cs="Times New Roman"/>
          <w:b/>
          <w:bCs/>
          <w:spacing w:val="-5"/>
        </w:rPr>
        <w:t>g.</w:t>
      </w:r>
    </w:p>
    <w:p>
      <w:pPr>
        <w:pStyle w:val="BodyText"/>
        <w:ind w:left="892"/>
        <w:spacing w:before="123" w:line="214" w:lineRule="auto"/>
        <w:rPr/>
      </w:pPr>
      <w:r>
        <w:rPr>
          <w:b/>
          <w:bCs/>
          <w:spacing w:val="5"/>
        </w:rPr>
        <w:t>茶叶375-1450</w:t>
      </w:r>
      <w:r>
        <w:rPr>
          <w:b/>
          <w:bCs/>
        </w:rPr>
        <w:t>mg</w:t>
      </w:r>
      <w:r>
        <w:rPr>
          <w:spacing w:val="5"/>
        </w:rPr>
        <w:t xml:space="preserve"> </w:t>
      </w:r>
      <w:r>
        <w:rPr>
          <w:b/>
          <w:bCs/>
          <w:spacing w:val="5"/>
        </w:rPr>
        <w:t>草酸/100g.</w:t>
      </w:r>
    </w:p>
    <w:p>
      <w:pPr>
        <w:pStyle w:val="BodyText"/>
        <w:ind w:left="889"/>
        <w:spacing w:before="92" w:line="212" w:lineRule="auto"/>
        <w:rPr>
          <w:rFonts w:ascii="Times New Roman" w:hAnsi="Times New Roman" w:eastAsia="Times New Roman" w:cs="Times New Roman"/>
        </w:rPr>
      </w:pPr>
      <w:r>
        <w:rPr>
          <w:spacing w:val="11"/>
        </w:rPr>
        <w:t>坚果200-</w:t>
      </w:r>
      <w:r>
        <w:rPr>
          <w:spacing w:val="-53"/>
        </w:rPr>
        <w:t xml:space="preserve"> </w:t>
      </w:r>
      <w:r>
        <w:rPr>
          <w:spacing w:val="11"/>
        </w:rPr>
        <w:t>600</w:t>
      </w:r>
      <w:r>
        <w:rPr>
          <w:rFonts w:ascii="Times New Roman" w:hAnsi="Times New Roman" w:eastAsia="Times New Roman" w:cs="Times New Roman"/>
        </w:rPr>
        <w:t>mg</w:t>
      </w:r>
      <w:r>
        <w:rPr>
          <w:spacing w:val="11"/>
        </w:rPr>
        <w:t>草酸/100</w:t>
      </w:r>
      <w:r>
        <w:rPr>
          <w:rFonts w:ascii="Times New Roman" w:hAnsi="Times New Roman" w:eastAsia="Times New Roman" w:cs="Times New Roman"/>
          <w:spacing w:val="11"/>
        </w:rPr>
        <w:t>g.</w:t>
      </w:r>
    </w:p>
    <w:p>
      <w:pPr>
        <w:pStyle w:val="BodyText"/>
        <w:ind w:left="449" w:right="37" w:firstLine="419"/>
        <w:spacing w:before="142" w:line="259" w:lineRule="auto"/>
        <w:rPr/>
      </w:pPr>
      <w:r>
        <w:rPr>
          <w:spacing w:val="-1"/>
        </w:rPr>
        <w:t>每日维生素</w:t>
      </w:r>
      <w:r>
        <w:rPr>
          <w:rFonts w:ascii="Times New Roman" w:hAnsi="Times New Roman" w:eastAsia="Times New Roman" w:cs="Times New Roman"/>
          <w:spacing w:val="-1"/>
        </w:rPr>
        <w:t>C</w:t>
      </w:r>
      <w:r>
        <w:rPr>
          <w:spacing w:val="-1"/>
        </w:rPr>
        <w:t>的摄取量只要不超过4克，就不会增加形成结石的危</w:t>
      </w:r>
      <w:r>
        <w:rPr>
          <w:spacing w:val="-2"/>
        </w:rPr>
        <w:t>险[5-7]。不宜摄入过量的动物蛋白</w:t>
      </w:r>
      <w:r>
        <w:rPr/>
        <w:t xml:space="preserve"> </w:t>
      </w:r>
      <w:r>
        <w:rPr>
          <w:spacing w:val="3"/>
        </w:rPr>
        <w:t>[8-14],推荐动物蛋白的摄入量不宜超过约150</w:t>
      </w:r>
      <w:r>
        <w:rPr>
          <w:rFonts w:ascii="Times New Roman" w:hAnsi="Times New Roman" w:eastAsia="Times New Roman" w:cs="Times New Roman"/>
          <w:spacing w:val="3"/>
        </w:rPr>
        <w:t>g/d</w:t>
      </w:r>
      <w:r>
        <w:rPr>
          <w:rFonts w:ascii="Times New Roman" w:hAnsi="Times New Roman" w:eastAsia="Times New Roman" w:cs="Times New Roman"/>
          <w:spacing w:val="-24"/>
        </w:rPr>
        <w:t xml:space="preserve"> </w:t>
      </w:r>
      <w:r>
        <w:rPr>
          <w:spacing w:val="3"/>
        </w:rPr>
        <w:t>。除非有</w:t>
      </w:r>
      <w:r>
        <w:rPr>
          <w:spacing w:val="2"/>
        </w:rPr>
        <w:t>特殊情况，</w:t>
      </w:r>
      <w:r>
        <w:rPr>
          <w:spacing w:val="-62"/>
        </w:rPr>
        <w:t xml:space="preserve"> </w:t>
      </w:r>
      <w:r>
        <w:rPr>
          <w:spacing w:val="2"/>
        </w:rPr>
        <w:t>一般来说不应限制钙的摄入量。</w:t>
      </w:r>
    </w:p>
    <w:p>
      <w:pPr>
        <w:ind w:left="4939"/>
        <w:spacing w:before="2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—238—</w:t>
      </w:r>
    </w:p>
    <w:p>
      <w:pPr>
        <w:spacing w:line="33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435" w:bottom="0" w:left="400" w:header="0" w:footer="0" w:gutter="0"/>
        </w:sectPr>
        <w:rPr>
          <w:rFonts w:ascii="Times New Roman" w:hAnsi="Times New Roman" w:eastAsia="Times New Roman" w:cs="Times New Roman"/>
          <w:sz w:val="21"/>
          <w:szCs w:val="21"/>
        </w:rPr>
      </w:pPr>
    </w:p>
    <w:p>
      <w:pPr>
        <w:pStyle w:val="BodyText"/>
        <w:ind w:left="549" w:right="33"/>
        <w:spacing w:before="154" w:line="314" w:lineRule="auto"/>
        <w:rPr/>
      </w:pPr>
      <w:r>
        <w:rPr>
          <w:spacing w:val="4"/>
        </w:rPr>
        <w:t>每日钙的最低需要量为800</w:t>
      </w:r>
      <w:r>
        <w:rPr>
          <w:rFonts w:ascii="Times New Roman" w:hAnsi="Times New Roman" w:eastAsia="Times New Roman" w:cs="Times New Roman"/>
        </w:rPr>
        <w:t>mg</w:t>
      </w:r>
      <w:r>
        <w:rPr>
          <w:rFonts w:ascii="Times New Roman" w:hAnsi="Times New Roman" w:eastAsia="Times New Roman" w:cs="Times New Roman"/>
          <w:spacing w:val="4"/>
        </w:rPr>
        <w:t>,  </w:t>
      </w:r>
      <w:r>
        <w:rPr>
          <w:spacing w:val="4"/>
        </w:rPr>
        <w:t>一般推荐为1000</w:t>
      </w:r>
      <w:r>
        <w:rPr>
          <w:rFonts w:ascii="Times New Roman" w:hAnsi="Times New Roman" w:eastAsia="Times New Roman" w:cs="Times New Roman"/>
        </w:rPr>
        <w:t>mg</w:t>
      </w:r>
      <w:r>
        <w:rPr>
          <w:rFonts w:ascii="Times New Roman" w:hAnsi="Times New Roman" w:eastAsia="Times New Roman" w:cs="Times New Roman"/>
          <w:spacing w:val="4"/>
        </w:rPr>
        <w:t>/d</w:t>
      </w:r>
      <w:r>
        <w:rPr>
          <w:spacing w:val="4"/>
        </w:rPr>
        <w:t>。除了肠源性高草酸尿的患者需要每餐补充额外的</w:t>
      </w:r>
      <w:r>
        <w:rPr>
          <w:spacing w:val="6"/>
        </w:rPr>
        <w:t xml:space="preserve"> </w:t>
      </w:r>
      <w:r>
        <w:rPr>
          <w:spacing w:val="1"/>
        </w:rPr>
        <w:t>钙以外，一般不主张补充钙的摄入。</w:t>
      </w:r>
    </w:p>
    <w:p>
      <w:pPr>
        <w:pStyle w:val="BodyText"/>
        <w:ind w:left="549" w:right="41" w:firstLine="369"/>
        <w:spacing w:before="19" w:line="267" w:lineRule="auto"/>
        <w:rPr/>
      </w:pPr>
      <w:r>
        <w:rPr>
          <w:spacing w:val="1"/>
        </w:rPr>
        <w:t>与尿酸结石患者一样，伴有高尿酸尿的草酸钙结石患者也应该限制摄入富含尿酸的食物[15-20]。每</w:t>
      </w:r>
      <w:r>
        <w:rPr>
          <w:spacing w:val="5"/>
        </w:rPr>
        <w:t xml:space="preserve"> </w:t>
      </w:r>
      <w:r>
        <w:rPr>
          <w:spacing w:val="-1"/>
        </w:rPr>
        <w:t>日尿酸的摄入量不宜超过500</w:t>
      </w:r>
      <w:r>
        <w:rPr>
          <w:rFonts w:ascii="Times New Roman" w:hAnsi="Times New Roman" w:eastAsia="Times New Roman" w:cs="Times New Roman"/>
          <w:spacing w:val="-1"/>
        </w:rPr>
        <w:t>mg</w:t>
      </w:r>
      <w:r>
        <w:rPr>
          <w:spacing w:val="-1"/>
        </w:rPr>
        <w:t>。以下列</w:t>
      </w:r>
      <w:r>
        <w:rPr>
          <w:spacing w:val="-2"/>
        </w:rPr>
        <w:t>举的食物富含尿酸[21]:</w:t>
      </w:r>
    </w:p>
    <w:p>
      <w:pPr>
        <w:pStyle w:val="BodyText"/>
        <w:ind w:left="979"/>
        <w:spacing w:before="23" w:line="216" w:lineRule="auto"/>
        <w:rPr>
          <w:rFonts w:ascii="Times New Roman" w:hAnsi="Times New Roman" w:eastAsia="Times New Roman" w:cs="Times New Roman"/>
        </w:rPr>
      </w:pPr>
      <w:r>
        <w:rPr>
          <w:spacing w:val="-3"/>
          <w:position w:val="1"/>
        </w:rPr>
        <w:t>小牛胸腺</w:t>
      </w:r>
      <w:r>
        <w:rPr>
          <w:spacing w:val="3"/>
          <w:position w:val="1"/>
        </w:rPr>
        <w:t xml:space="preserve">                 </w:t>
      </w:r>
      <w:r>
        <w:rPr>
          <w:rFonts w:ascii="Times New Roman" w:hAnsi="Times New Roman" w:eastAsia="Times New Roman" w:cs="Times New Roman"/>
          <w:spacing w:val="-3"/>
        </w:rPr>
        <w:t>900mg</w:t>
      </w:r>
      <w:r>
        <w:rPr>
          <w:rFonts w:ascii="Times New Roman" w:hAnsi="Times New Roman" w:eastAsia="Times New Roman" w:cs="Times New Roman"/>
          <w:spacing w:val="21"/>
          <w:w w:val="101"/>
        </w:rPr>
        <w:t xml:space="preserve"> </w:t>
      </w:r>
      <w:r>
        <w:rPr>
          <w:spacing w:val="-3"/>
        </w:rPr>
        <w:t>尿酸/100</w:t>
      </w:r>
      <w:r>
        <w:rPr>
          <w:rFonts w:ascii="Times New Roman" w:hAnsi="Times New Roman" w:eastAsia="Times New Roman" w:cs="Times New Roman"/>
          <w:spacing w:val="-3"/>
        </w:rPr>
        <w:t>g.</w:t>
      </w:r>
    </w:p>
    <w:p>
      <w:pPr>
        <w:pStyle w:val="BodyText"/>
        <w:ind w:left="979"/>
        <w:spacing w:before="73" w:line="217" w:lineRule="auto"/>
        <w:rPr>
          <w:rFonts w:ascii="Times New Roman" w:hAnsi="Times New Roman" w:eastAsia="Times New Roman" w:cs="Times New Roman"/>
        </w:rPr>
      </w:pPr>
      <w:r>
        <w:rPr>
          <w:spacing w:val="-2"/>
          <w:position w:val="1"/>
        </w:rPr>
        <w:t>肝脏</w:t>
      </w:r>
      <w:r>
        <w:rPr>
          <w:position w:val="1"/>
        </w:rPr>
        <w:t xml:space="preserve">                  </w:t>
      </w:r>
      <w:r>
        <w:rPr>
          <w:rFonts w:ascii="Times New Roman" w:hAnsi="Times New Roman" w:eastAsia="Times New Roman" w:cs="Times New Roman"/>
          <w:spacing w:val="-2"/>
        </w:rPr>
        <w:t>260-360mg  </w:t>
      </w:r>
      <w:r>
        <w:rPr>
          <w:spacing w:val="-2"/>
        </w:rPr>
        <w:t>尿酸/100</w:t>
      </w:r>
      <w:r>
        <w:rPr>
          <w:rFonts w:ascii="Times New Roman" w:hAnsi="Times New Roman" w:eastAsia="Times New Roman" w:cs="Times New Roman"/>
          <w:spacing w:val="-2"/>
        </w:rPr>
        <w:t>g.</w:t>
      </w:r>
    </w:p>
    <w:p>
      <w:pPr>
        <w:pStyle w:val="BodyText"/>
        <w:ind w:left="979"/>
        <w:spacing w:before="73" w:line="217" w:lineRule="auto"/>
        <w:rPr>
          <w:rFonts w:ascii="Times New Roman" w:hAnsi="Times New Roman" w:eastAsia="Times New Roman" w:cs="Times New Roman"/>
        </w:rPr>
      </w:pPr>
      <w:r>
        <w:rPr>
          <w:spacing w:val="-1"/>
          <w:position w:val="1"/>
        </w:rPr>
        <w:t>肾脏                  </w:t>
      </w:r>
      <w:r>
        <w:rPr>
          <w:rFonts w:ascii="Times New Roman" w:hAnsi="Times New Roman" w:eastAsia="Times New Roman" w:cs="Times New Roman"/>
          <w:spacing w:val="-1"/>
        </w:rPr>
        <w:t>210-255mg  </w:t>
      </w:r>
      <w:r>
        <w:rPr>
          <w:spacing w:val="-1"/>
        </w:rPr>
        <w:t>尿酸/100</w:t>
      </w:r>
      <w:r>
        <w:rPr>
          <w:rFonts w:ascii="Times New Roman" w:hAnsi="Times New Roman" w:eastAsia="Times New Roman" w:cs="Times New Roman"/>
          <w:spacing w:val="-1"/>
        </w:rPr>
        <w:t>g.</w:t>
      </w:r>
    </w:p>
    <w:p>
      <w:pPr>
        <w:pStyle w:val="BodyText"/>
        <w:ind w:left="979"/>
        <w:spacing w:before="89" w:line="212" w:lineRule="auto"/>
        <w:rPr>
          <w:rFonts w:ascii="Times New Roman" w:hAnsi="Times New Roman" w:eastAsia="Times New Roman" w:cs="Times New Roman"/>
        </w:rPr>
      </w:pPr>
      <w:r>
        <w:rPr>
          <w:spacing w:val="-3"/>
        </w:rPr>
        <w:t>家禽的皮</w:t>
      </w:r>
      <w:r>
        <w:rPr>
          <w:spacing w:val="1"/>
        </w:rPr>
        <w:t xml:space="preserve">                  </w:t>
      </w:r>
      <w:r>
        <w:rPr>
          <w:rFonts w:ascii="Times New Roman" w:hAnsi="Times New Roman" w:eastAsia="Times New Roman" w:cs="Times New Roman"/>
          <w:spacing w:val="-3"/>
        </w:rPr>
        <w:t>300mg </w:t>
      </w:r>
      <w:r>
        <w:rPr>
          <w:spacing w:val="-3"/>
        </w:rPr>
        <w:t>尿酸/100</w:t>
      </w:r>
      <w:r>
        <w:rPr>
          <w:rFonts w:ascii="Times New Roman" w:hAnsi="Times New Roman" w:eastAsia="Times New Roman" w:cs="Times New Roman"/>
          <w:spacing w:val="-3"/>
        </w:rPr>
        <w:t>g.</w:t>
      </w:r>
    </w:p>
    <w:p>
      <w:pPr>
        <w:pStyle w:val="BodyText"/>
        <w:ind w:left="950"/>
        <w:spacing w:before="89" w:line="212" w:lineRule="auto"/>
        <w:rPr>
          <w:rFonts w:ascii="Times New Roman" w:hAnsi="Times New Roman" w:eastAsia="Times New Roman" w:cs="Times New Roman"/>
        </w:rPr>
      </w:pPr>
      <w:r>
        <w:rPr/>
        <w:t>带皮的鲱鱼、沙丁鱼、  鱼、西鲱鱼</w:t>
      </w:r>
      <w:r>
        <w:rPr>
          <w:spacing w:val="15"/>
        </w:rPr>
        <w:t xml:space="preserve">   </w:t>
      </w:r>
      <w:r>
        <w:rPr>
          <w:rFonts w:ascii="Times New Roman" w:hAnsi="Times New Roman" w:eastAsia="Times New Roman" w:cs="Times New Roman"/>
        </w:rPr>
        <w:t>260-500</w:t>
      </w:r>
      <w:r>
        <w:rPr>
          <w:rFonts w:ascii="Times New Roman" w:hAnsi="Times New Roman" w:eastAsia="Times New Roman" w:cs="Times New Roman"/>
          <w:spacing w:val="23"/>
          <w:w w:val="101"/>
        </w:rPr>
        <w:t xml:space="preserve"> </w:t>
      </w:r>
      <w:r>
        <w:rPr>
          <w:rFonts w:ascii="Times New Roman" w:hAnsi="Times New Roman" w:eastAsia="Times New Roman" w:cs="Times New Roman"/>
        </w:rPr>
        <w:t>mg</w:t>
      </w:r>
      <w:r>
        <w:rPr/>
        <w:t>尿酸/100</w:t>
      </w:r>
      <w:r>
        <w:rPr>
          <w:rFonts w:ascii="Times New Roman" w:hAnsi="Times New Roman" w:eastAsia="Times New Roman" w:cs="Times New Roman"/>
          <w:spacing w:val="-1"/>
        </w:rPr>
        <w:t>g.</w:t>
      </w:r>
    </w:p>
    <w:p>
      <w:pPr>
        <w:pStyle w:val="BodyText"/>
        <w:ind w:left="950"/>
        <w:spacing w:before="83" w:line="219" w:lineRule="auto"/>
        <w:rPr/>
      </w:pPr>
      <w:r>
        <w:rPr>
          <w:spacing w:val="-8"/>
        </w:rPr>
        <w:t>14.1.1 参考文献</w:t>
      </w:r>
    </w:p>
    <w:p>
      <w:pPr>
        <w:ind w:left="549" w:right="50"/>
        <w:spacing w:before="139"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1.BorghiL,Meschi  T,Schianchi  T,Briganti  A,Guerra  A,Allegri  F,Novarini</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A.Urine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volume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factor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and  preventive  measure.Nephron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1999;8</w:t>
      </w:r>
      <w:r>
        <w:rPr>
          <w:rFonts w:ascii="Times New Roman" w:hAnsi="Times New Roman" w:eastAsia="Times New Roman" w:cs="Times New Roman"/>
          <w:sz w:val="21"/>
          <w:szCs w:val="21"/>
          <w:spacing w:val="-1"/>
        </w:rPr>
        <w:t>1(suppl):31-37.</w:t>
      </w:r>
    </w:p>
    <w:p>
      <w:pPr>
        <w:ind w:left="549"/>
        <w:spacing w:before="22"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http://www.ncbi.nlm.nih.gov/entrez/query.fcgi?cmd=Retrieve&amp;db=PubMed&amp;list_uids=9873212&amp;do</w:t>
        </w:r>
        <w:r>
          <w:rPr>
            <w:rFonts w:ascii="Times New Roman" w:hAnsi="Times New Roman" w:eastAsia="Times New Roman" w:cs="Times New Roman"/>
            <w:sz w:val="21"/>
            <w:szCs w:val="21"/>
            <w:spacing w:val="-1"/>
          </w:rPr>
          <w:t>pt=Abstract</w:t>
        </w:r>
      </w:hyperlink>
    </w:p>
    <w:p>
      <w:pPr>
        <w:ind w:left="549" w:right="29"/>
        <w:spacing w:before="137" w:line="265"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2.Hess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77">
        <w:r>
          <w:rPr>
            <w:rFonts w:ascii="Times New Roman" w:hAnsi="Times New Roman" w:eastAsia="Times New Roman" w:cs="Times New Roman"/>
            <w:sz w:val="21"/>
            <w:szCs w:val="21"/>
          </w:rPr>
          <w:t>Mauron</w:t>
        </w:r>
      </w:hyperlink>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H,Ackermann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D,Jaeger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PH.Effect</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a   'common   sense   diet’on   urinary</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composition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supersaturation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idiopathic</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
        </w:rPr>
        <w:t>alcium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urolithiasis.Eur</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Urol  1999;36:136-143.</w:t>
      </w:r>
    </w:p>
    <w:p>
      <w:pPr>
        <w:ind w:left="549"/>
        <w:spacing w:before="156"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spacing w:val="-4"/>
          </w:rPr>
          <w:t>http://www.ncbi.nlm.nih.gov/entrez/query.fcgi?cmd=Retrieve&amp;dh=PubMed&amp;list_uids=10420035&amp;dopt=</w:t>
        </w:r>
        <w:r>
          <w:rPr>
            <w:rFonts w:ascii="Times New Roman" w:hAnsi="Times New Roman" w:eastAsia="Times New Roman" w:cs="Times New Roman"/>
            <w:sz w:val="21"/>
            <w:szCs w:val="21"/>
            <w:spacing w:val="-5"/>
          </w:rPr>
          <w:t>Abstract</w:t>
        </w:r>
      </w:hyperlink>
    </w:p>
    <w:p>
      <w:pPr>
        <w:ind w:left="549" w:right="44"/>
        <w:spacing w:before="137" w:line="255"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3.Ebusino   S</w:t>
        </w:r>
      </w:hyperlink>
      <w:r>
        <w:rPr>
          <w:rFonts w:ascii="Times New Roman" w:hAnsi="Times New Roman" w:eastAsia="Times New Roman" w:cs="Times New Roman"/>
          <w:sz w:val="21"/>
          <w:szCs w:val="21"/>
        </w:rPr>
        <w:t>,</w:t>
      </w:r>
      <w:hyperlink w:history="true" r:id="rId78">
        <w:r>
          <w:rPr>
            <w:rFonts w:ascii="Times New Roman" w:hAnsi="Times New Roman" w:eastAsia="Times New Roman" w:cs="Times New Roman"/>
            <w:sz w:val="21"/>
            <w:szCs w:val="21"/>
          </w:rPr>
          <w:t>Morimoto</w:t>
        </w:r>
      </w:hyperlink>
      <w:r>
        <w:rPr>
          <w:rFonts w:ascii="Times New Roman" w:hAnsi="Times New Roman" w:eastAsia="Times New Roman" w:cs="Times New Roman"/>
          <w:sz w:val="21"/>
          <w:szCs w:val="21"/>
        </w:rPr>
        <w:t xml:space="preserve">   S,Yasukawa    S,Ohkawa   T.Results    of</w:t>
      </w:r>
      <w:r>
        <w:rPr>
          <w:rFonts w:ascii="Times New Roman" w:hAnsi="Times New Roman" w:eastAsia="Times New Roman" w:cs="Times New Roman"/>
          <w:sz w:val="21"/>
          <w:szCs w:val="21"/>
          <w:spacing w:val="-1"/>
        </w:rPr>
        <w:t xml:space="preserve">   long-term   rice   bran   treatment    on   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recurrence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hypercalciuric</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patients.Br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Urol </w:t>
      </w:r>
      <w:r>
        <w:rPr>
          <w:rFonts w:ascii="Times New Roman" w:hAnsi="Times New Roman" w:eastAsia="Times New Roman" w:cs="Times New Roman"/>
          <w:sz w:val="21"/>
          <w:szCs w:val="21"/>
          <w:spacing w:val="-1"/>
        </w:rPr>
        <w:t xml:space="preserve"> 1991;67:237-40.</w:t>
      </w:r>
    </w:p>
    <w:p>
      <w:pPr>
        <w:ind w:left="549"/>
        <w:spacing w:before="15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http://www.ncbi.nlm.nih.gov/entrez/query.fcgi?cmd=Retrieve&amp;db=PubMed&amp;list_uids=1902388&amp;do</w:t>
        </w:r>
        <w:r>
          <w:rPr>
            <w:rFonts w:ascii="Times New Roman" w:hAnsi="Times New Roman" w:eastAsia="Times New Roman" w:cs="Times New Roman"/>
            <w:sz w:val="21"/>
            <w:szCs w:val="21"/>
            <w:spacing w:val="-1"/>
          </w:rPr>
          <w:t>pt=Abstract</w:t>
        </w:r>
      </w:hyperlink>
    </w:p>
    <w:p>
      <w:pPr>
        <w:ind w:left="549" w:right="35"/>
        <w:spacing w:before="147" w:line="255"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4.Hesse   A</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Tiselius</w:t>
        </w:r>
      </w:hyperlink>
      <w:r>
        <w:rPr>
          <w:rFonts w:ascii="Times New Roman" w:hAnsi="Times New Roman" w:eastAsia="Times New Roman" w:cs="Times New Roman"/>
          <w:sz w:val="21"/>
          <w:szCs w:val="21"/>
        </w:rPr>
        <w:t xml:space="preserve">   HG,Jahnen    A.In:Urinary   stones-Diagnosis,treatment    and   prevention    of   recu</w:t>
      </w:r>
      <w:r>
        <w:rPr>
          <w:rFonts w:ascii="Times New Roman" w:hAnsi="Times New Roman" w:eastAsia="Times New Roman" w:cs="Times New Roman"/>
          <w:sz w:val="21"/>
          <w:szCs w:val="21"/>
          <w:spacing w:val="-1"/>
        </w:rPr>
        <w:t>rrence.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Karger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York</w:t>
      </w:r>
      <w:r>
        <w:rPr>
          <w:rFonts w:ascii="Times New Roman" w:hAnsi="Times New Roman" w:eastAsia="Times New Roman" w:cs="Times New Roman"/>
          <w:sz w:val="21"/>
          <w:szCs w:val="21"/>
          <w:spacing w:val="1"/>
        </w:rPr>
        <w:t>,1996,</w:t>
      </w:r>
      <w:r>
        <w:rPr>
          <w:rFonts w:ascii="Times New Roman" w:hAnsi="Times New Roman" w:eastAsia="Times New Roman" w:cs="Times New Roman"/>
          <w:sz w:val="21"/>
          <w:szCs w:val="21"/>
        </w:rPr>
        <w:t>pp</w:t>
      </w:r>
      <w:r>
        <w:rPr>
          <w:rFonts w:ascii="Times New Roman" w:hAnsi="Times New Roman" w:eastAsia="Times New Roman" w:cs="Times New Roman"/>
          <w:sz w:val="21"/>
          <w:szCs w:val="21"/>
          <w:spacing w:val="1"/>
        </w:rPr>
        <w:t>.62.</w:t>
      </w:r>
    </w:p>
    <w:p>
      <w:pPr>
        <w:ind w:left="549" w:right="44"/>
        <w:spacing w:before="147"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5.Wandzilak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TR,D'Andre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SD,Davis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PA</w:t>
      </w:r>
      <w:r>
        <w:rPr>
          <w:rFonts w:ascii="Times New Roman" w:hAnsi="Times New Roman" w:eastAsia="Times New Roman" w:cs="Times New Roman"/>
          <w:sz w:val="21"/>
          <w:szCs w:val="21"/>
          <w:spacing w:val="-1"/>
        </w:rPr>
        <w:t>,Williams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HE.Effect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  high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dose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vitamin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levels.J  Urol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1994;151:834~837.</w:t>
      </w:r>
    </w:p>
    <w:p>
      <w:pPr>
        <w:ind w:left="549"/>
        <w:spacing w:before="156"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http://www.ncbi.nlm.nih.gov/entrez/query.fcgi?cmd=Retrieve&amp;db=PubMed&amp;list_uids=8126804&amp;do</w:t>
        </w:r>
        <w:r>
          <w:rPr>
            <w:rFonts w:ascii="Times New Roman" w:hAnsi="Times New Roman" w:eastAsia="Times New Roman" w:cs="Times New Roman"/>
            <w:sz w:val="21"/>
            <w:szCs w:val="21"/>
            <w:spacing w:val="-1"/>
          </w:rPr>
          <w:t>pt=Abstract</w:t>
        </w:r>
      </w:hyperlink>
    </w:p>
    <w:p>
      <w:pPr>
        <w:ind w:left="549"/>
        <w:spacing w:before="15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6.Sutton</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RAL</w:t>
        </w:r>
      </w:hyperlink>
      <w:r>
        <w:rPr>
          <w:rFonts w:ascii="Times New Roman" w:hAnsi="Times New Roman" w:eastAsia="Times New Roman" w:cs="Times New Roman"/>
          <w:sz w:val="21"/>
          <w:szCs w:val="21"/>
        </w:rPr>
        <w:t>,</w:t>
      </w:r>
      <w:hyperlink w:history="true" r:id="rId80">
        <w:r>
          <w:rPr>
            <w:rFonts w:ascii="Times New Roman" w:hAnsi="Times New Roman" w:eastAsia="Times New Roman" w:cs="Times New Roman"/>
            <w:sz w:val="21"/>
            <w:szCs w:val="21"/>
          </w:rPr>
          <w:t>Walker</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VR.Enteric</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mild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hyperoxaluria.Miner</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El</w:t>
      </w:r>
      <w:r>
        <w:rPr>
          <w:rFonts w:ascii="Times New Roman" w:hAnsi="Times New Roman" w:eastAsia="Times New Roman" w:cs="Times New Roman"/>
          <w:sz w:val="21"/>
          <w:szCs w:val="21"/>
          <w:spacing w:val="-1"/>
        </w:rPr>
        <w:t>ectrolyte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Metab  1994;20:352-360.</w:t>
      </w:r>
    </w:p>
    <w:p>
      <w:pPr>
        <w:ind w:left="549"/>
        <w:spacing w:before="12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http://www.ncbi.nlm.nih.gov/entrez/query.fcgi?cmd=Retrieve&amp;db=PubMed&amp;list_uids=7783697&amp;do</w:t>
        </w:r>
        <w:r>
          <w:rPr>
            <w:rFonts w:ascii="Times New Roman" w:hAnsi="Times New Roman" w:eastAsia="Times New Roman" w:cs="Times New Roman"/>
            <w:sz w:val="21"/>
            <w:szCs w:val="21"/>
            <w:spacing w:val="-1"/>
          </w:rPr>
          <w:t>pt=Abstract</w:t>
        </w:r>
      </w:hyperlink>
    </w:p>
    <w:p>
      <w:pPr>
        <w:ind w:left="549" w:right="45"/>
        <w:spacing w:before="157" w:line="260"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7.Auer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BL</w:t>
        </w:r>
      </w:hyperlink>
      <w:r>
        <w:rPr>
          <w:rFonts w:ascii="Times New Roman" w:hAnsi="Times New Roman" w:eastAsia="Times New Roman" w:cs="Times New Roman"/>
          <w:sz w:val="21"/>
          <w:szCs w:val="21"/>
        </w:rPr>
        <w:t>,</w:t>
      </w:r>
      <w:hyperlink w:history="true" r:id="rId81">
        <w:r>
          <w:rPr>
            <w:rFonts w:ascii="Times New Roman" w:hAnsi="Times New Roman" w:eastAsia="Times New Roman" w:cs="Times New Roman"/>
            <w:sz w:val="21"/>
            <w:szCs w:val="21"/>
          </w:rPr>
          <w:t>Auer</w:t>
        </w:r>
      </w:hyperlink>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D,Rodger</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AL.The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effects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of ascorbic</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acid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gestion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biochemical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physicochemical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risk</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factors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associated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kidney</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formation.Clin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Chem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Lab</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1998;36:143-148.</w:t>
      </w:r>
    </w:p>
    <w:p>
      <w:pPr>
        <w:ind w:left="549"/>
        <w:spacing w:before="13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http://www.ncbi.nlm.nih.gov/entrez/query.fcgi?cmd=Retrieve&amp;db=PubMed&amp;list_uids=9589801&amp;do</w:t>
        </w:r>
        <w:r>
          <w:rPr>
            <w:rFonts w:ascii="Times New Roman" w:hAnsi="Times New Roman" w:eastAsia="Times New Roman" w:cs="Times New Roman"/>
            <w:sz w:val="21"/>
            <w:szCs w:val="21"/>
            <w:spacing w:val="-1"/>
          </w:rPr>
          <w:t>pt=Abstract</w:t>
        </w:r>
      </w:hyperlink>
    </w:p>
    <w:p>
      <w:pPr>
        <w:ind w:left="549"/>
        <w:spacing w:before="156"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spacing w:val="-1"/>
          </w:rPr>
          <w:t>8.Robertson</w:t>
        </w:r>
        <w:r>
          <w:rPr>
            <w:rFonts w:ascii="Times New Roman" w:hAnsi="Times New Roman" w:eastAsia="Times New Roman" w:cs="Times New Roman"/>
            <w:sz w:val="21"/>
            <w:szCs w:val="21"/>
            <w:spacing w:val="55"/>
            <w:w w:val="101"/>
          </w:rPr>
          <w:t xml:space="preserve"> </w:t>
        </w:r>
        <w:r>
          <w:rPr>
            <w:rFonts w:ascii="Times New Roman" w:hAnsi="Times New Roman" w:eastAsia="Times New Roman" w:cs="Times New Roman"/>
            <w:sz w:val="21"/>
            <w:szCs w:val="21"/>
            <w:spacing w:val="-1"/>
          </w:rPr>
          <w:t>WG.Diet  and  calcium  stones.Miner  Electrolyte  Metab  1987</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82">
        <w:r>
          <w:rPr>
            <w:rFonts w:ascii="Times New Roman" w:hAnsi="Times New Roman" w:eastAsia="Times New Roman" w:cs="Times New Roman"/>
            <w:sz w:val="21"/>
            <w:szCs w:val="21"/>
            <w:spacing w:val="-1"/>
          </w:rPr>
          <w:t>13:228-234</w:t>
        </w:r>
      </w:hyperlink>
      <w:r>
        <w:rPr>
          <w:rFonts w:ascii="Times New Roman" w:hAnsi="Times New Roman" w:eastAsia="Times New Roman" w:cs="Times New Roman"/>
          <w:sz w:val="21"/>
          <w:szCs w:val="21"/>
          <w:spacing w:val="-1"/>
        </w:rPr>
        <w:t>.</w:t>
      </w:r>
    </w:p>
    <w:p>
      <w:pPr>
        <w:ind w:left="549"/>
        <w:spacing w:before="15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http://www.ncbi.nlm.nih.govlentrez/query.fcgi?cmd=Retrieve&amp;db=PubMed&amp;list_uids=3306314&amp;do</w:t>
        </w:r>
        <w:r>
          <w:rPr>
            <w:rFonts w:ascii="Times New Roman" w:hAnsi="Times New Roman" w:eastAsia="Times New Roman" w:cs="Times New Roman"/>
            <w:sz w:val="21"/>
            <w:szCs w:val="21"/>
            <w:spacing w:val="-1"/>
          </w:rPr>
          <w:t>pt=Abstract</w:t>
        </w:r>
      </w:hyperlink>
    </w:p>
    <w:p>
      <w:pPr>
        <w:ind w:left="549"/>
        <w:spacing w:before="14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9.Yendt  ER.Commentary:Renal  calculi-twenty</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years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la</w:t>
        </w:r>
        <w:r>
          <w:rPr>
            <w:rFonts w:ascii="Times New Roman" w:hAnsi="Times New Roman" w:eastAsia="Times New Roman" w:cs="Times New Roman"/>
            <w:sz w:val="21"/>
            <w:szCs w:val="21"/>
            <w:spacing w:val="-1"/>
          </w:rPr>
          <w:t>ter.J</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Lithotripsy   Stone  Dis   1990</w:t>
        </w:r>
      </w:hyperlink>
      <w:r>
        <w:rPr>
          <w:rFonts w:ascii="Times New Roman" w:hAnsi="Times New Roman" w:eastAsia="Times New Roman" w:cs="Times New Roman"/>
          <w:sz w:val="21"/>
          <w:szCs w:val="21"/>
          <w:spacing w:val="-1"/>
        </w:rPr>
        <w:t>;</w:t>
      </w:r>
      <w:hyperlink w:history="true" r:id="rId83">
        <w:r>
          <w:rPr>
            <w:rFonts w:ascii="Times New Roman" w:hAnsi="Times New Roman" w:eastAsia="Times New Roman" w:cs="Times New Roman"/>
            <w:sz w:val="21"/>
            <w:szCs w:val="21"/>
            <w:spacing w:val="-1"/>
          </w:rPr>
          <w:t>2:164-172</w:t>
        </w:r>
      </w:hyperlink>
      <w:r>
        <w:rPr>
          <w:rFonts w:ascii="Times New Roman" w:hAnsi="Times New Roman" w:eastAsia="Times New Roman" w:cs="Times New Roman"/>
          <w:sz w:val="21"/>
          <w:szCs w:val="21"/>
          <w:spacing w:val="-1"/>
        </w:rPr>
        <w:t>.</w:t>
      </w:r>
    </w:p>
    <w:p>
      <w:pPr>
        <w:ind w:left="549" w:right="35"/>
        <w:spacing w:before="128" w:line="2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10.Iguchi</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M,Umekawa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T,Ishikawa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Y,Katayama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Y,Kodama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M,Takada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M,Katoh</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Y,Kataoka</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K,Kohri</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K,Kurita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Dietary     intake     and    habits     of     Japanese     renal     stone     patients.J</w:t>
      </w:r>
      <w:r>
        <w:rPr>
          <w:rFonts w:ascii="Times New Roman" w:hAnsi="Times New Roman" w:eastAsia="Times New Roman" w:cs="Times New Roman"/>
          <w:sz w:val="21"/>
          <w:szCs w:val="21"/>
          <w:spacing w:val="-1"/>
        </w:rPr>
        <w:t xml:space="preserve">     Urol     1990;143:1093-1095.&lt;br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4"/>
        </w:rPr>
        <w:t>I&gt;</w:t>
      </w:r>
      <w:hyperlink w:history="true" r:id="rId76">
        <w:r>
          <w:rPr>
            <w:rFonts w:ascii="Times New Roman" w:hAnsi="Times New Roman" w:eastAsia="Times New Roman" w:cs="Times New Roman"/>
            <w:sz w:val="21"/>
            <w:szCs w:val="21"/>
            <w:spacing w:val="-4"/>
          </w:rPr>
          <w:t>http://www.ncbi.nlm.nih.govlentrez/query.fcgi?cmd=Retrieve&amp;db=PubMed&amp;list_uids=2342</w:t>
        </w:r>
        <w:r>
          <w:rPr>
            <w:rFonts w:ascii="Times New Roman" w:hAnsi="Times New Roman" w:eastAsia="Times New Roman" w:cs="Times New Roman"/>
            <w:sz w:val="21"/>
            <w:szCs w:val="21"/>
            <w:spacing w:val="-5"/>
          </w:rPr>
          <w:t>165&amp;dopt=Abstract</w:t>
        </w:r>
      </w:hyperlink>
    </w:p>
    <w:p>
      <w:pPr>
        <w:ind w:left="549" w:right="48"/>
        <w:spacing w:before="137" w:line="286"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11.Kok  DJ</w:t>
        </w:r>
      </w:hyperlink>
      <w:r>
        <w:rPr>
          <w:rFonts w:ascii="Times New Roman" w:hAnsi="Times New Roman" w:eastAsia="Times New Roman" w:cs="Times New Roman"/>
          <w:sz w:val="21"/>
          <w:szCs w:val="21"/>
        </w:rPr>
        <w:t>,</w:t>
      </w:r>
      <w:hyperlink w:history="true" r:id="rId84">
        <w:r>
          <w:rPr>
            <w:rFonts w:ascii="Times New Roman" w:hAnsi="Times New Roman" w:eastAsia="Times New Roman" w:cs="Times New Roman"/>
            <w:sz w:val="21"/>
            <w:szCs w:val="21"/>
          </w:rPr>
          <w:t>Iestra</w:t>
        </w:r>
      </w:hyperlink>
      <w:r>
        <w:rPr>
          <w:rFonts w:ascii="Times New Roman" w:hAnsi="Times New Roman" w:eastAsia="Times New Roman" w:cs="Times New Roman"/>
          <w:sz w:val="21"/>
          <w:szCs w:val="21"/>
        </w:rPr>
        <w:t xml:space="preserve">  JA,Doorenbos  CM,Papapoulos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SE.The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eff</w:t>
      </w:r>
      <w:r>
        <w:rPr>
          <w:rFonts w:ascii="Times New Roman" w:hAnsi="Times New Roman" w:eastAsia="Times New Roman" w:cs="Times New Roman"/>
          <w:sz w:val="21"/>
          <w:szCs w:val="21"/>
          <w:spacing w:val="-1"/>
        </w:rPr>
        <w:t>ects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of  dietary  excesses</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animal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protein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sodium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composition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crystallization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k</w:t>
      </w:r>
      <w:r>
        <w:rPr>
          <w:rFonts w:ascii="Times New Roman" w:hAnsi="Times New Roman" w:eastAsia="Times New Roman" w:cs="Times New Roman"/>
          <w:sz w:val="21"/>
          <w:szCs w:val="21"/>
          <w:spacing w:val="-1"/>
        </w:rPr>
        <w:t>inetics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of calcium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monohydrate</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urines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of healthy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men.J</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Clin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Endocrinol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Metab  </w:t>
      </w:r>
      <w:r>
        <w:rPr>
          <w:rFonts w:ascii="Times New Roman" w:hAnsi="Times New Roman" w:eastAsia="Times New Roman" w:cs="Times New Roman"/>
          <w:sz w:val="21"/>
          <w:szCs w:val="21"/>
          <w:spacing w:val="-1"/>
        </w:rPr>
        <w:t>1990;71:861-867.</w:t>
      </w:r>
    </w:p>
    <w:p>
      <w:pPr>
        <w:ind w:left="549"/>
        <w:spacing w:before="156"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http://www.ncbi.nlm.nih.gov/entrez/query.fcgi?cmd=Retrieve&amp;db=PubMed&amp;list_uids=2401715&amp;do</w:t>
        </w:r>
        <w:r>
          <w:rPr>
            <w:rFonts w:ascii="Times New Roman" w:hAnsi="Times New Roman" w:eastAsia="Times New Roman" w:cs="Times New Roman"/>
            <w:sz w:val="21"/>
            <w:szCs w:val="21"/>
            <w:spacing w:val="-1"/>
          </w:rPr>
          <w:t>pt=Abstract</w:t>
        </w:r>
      </w:hyperlink>
    </w:p>
    <w:p>
      <w:pPr>
        <w:ind w:left="549"/>
        <w:spacing w:before="147" w:line="192" w:lineRule="auto"/>
        <w:rPr>
          <w:rFonts w:ascii="Times New Roman" w:hAnsi="Times New Roman" w:eastAsia="Times New Roman" w:cs="Times New Roman"/>
          <w:sz w:val="21"/>
          <w:szCs w:val="21"/>
        </w:rPr>
      </w:pPr>
      <w:hyperlink w:history="true" r:id="rId76">
        <w:r>
          <w:rPr>
            <w:rFonts w:ascii="Times New Roman" w:hAnsi="Times New Roman" w:eastAsia="Times New Roman" w:cs="Times New Roman"/>
            <w:sz w:val="21"/>
            <w:szCs w:val="21"/>
          </w:rPr>
          <w:t>12.Goldfarb</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S.The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diet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pathogenesis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thera</w:t>
        </w:r>
        <w:r>
          <w:rPr>
            <w:rFonts w:ascii="Times New Roman" w:hAnsi="Times New Roman" w:eastAsia="Times New Roman" w:cs="Times New Roman"/>
            <w:sz w:val="21"/>
            <w:szCs w:val="21"/>
            <w:spacing w:val="-1"/>
          </w:rPr>
          <w:t>py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of nephrolithiasis.Endocrinol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Metab</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North</w:t>
        </w:r>
      </w:hyperlink>
    </w:p>
    <w:p>
      <w:pPr>
        <w:rPr>
          <w:rFonts w:ascii="Arial"/>
          <w:sz w:val="21"/>
        </w:rPr>
      </w:pPr>
      <w:r/>
    </w:p>
    <w:p>
      <w:pPr>
        <w:ind w:left="4940"/>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97"/>
        </w:rPr>
        <w:t>—239—</w:t>
      </w:r>
    </w:p>
    <w:p>
      <w:pPr>
        <w:spacing w:line="26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75"/>
          <w:pgSz w:w="11850" w:h="16140"/>
          <w:pgMar w:top="1270" w:right="1319" w:bottom="0" w:left="380" w:header="760" w:footer="0" w:gutter="0"/>
        </w:sectPr>
        <w:rPr>
          <w:rFonts w:ascii="Times New Roman" w:hAnsi="Times New Roman" w:eastAsia="Times New Roman" w:cs="Times New Roman"/>
          <w:sz w:val="21"/>
          <w:szCs w:val="21"/>
        </w:rPr>
      </w:pPr>
    </w:p>
    <w:p>
      <w:pPr>
        <w:ind w:firstLine="499"/>
        <w:spacing w:before="209" w:line="510" w:lineRule="exact"/>
        <w:rPr/>
      </w:pPr>
      <w:r>
        <w:rPr>
          <w:position w:val="-10"/>
        </w:rPr>
        <w:drawing>
          <wp:inline distT="0" distB="0" distL="0" distR="0">
            <wp:extent cx="1720835" cy="323865"/>
            <wp:effectExtent l="0" t="0" r="0" b="0"/>
            <wp:docPr id="32" name="IM 32"/>
            <wp:cNvGraphicFramePr/>
            <a:graphic>
              <a:graphicData uri="http://schemas.openxmlformats.org/drawingml/2006/picture">
                <pic:pic>
                  <pic:nvPicPr>
                    <pic:cNvPr id="32" name="IM 32"/>
                    <pic:cNvPicPr/>
                  </pic:nvPicPr>
                  <pic:blipFill>
                    <a:blip r:embed="rId85"/>
                    <a:stretch>
                      <a:fillRect/>
                    </a:stretch>
                  </pic:blipFill>
                  <pic:spPr>
                    <a:xfrm rot="0">
                      <a:off x="0" y="0"/>
                      <a:ext cx="1720835" cy="323865"/>
                    </a:xfrm>
                    <a:prstGeom prst="rect">
                      <a:avLst/>
                    </a:prstGeom>
                  </pic:spPr>
                </pic:pic>
              </a:graphicData>
            </a:graphic>
          </wp:inline>
        </w:drawing>
      </w:r>
    </w:p>
    <w:p>
      <w:pPr>
        <w:ind w:left="459"/>
        <w:spacing w:before="24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1990;19:805-820.</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59"/>
            <w:spacing w:before="156"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http://www.ncbi.nlm.nih.govlentrez/query.fcgi?cmd=R</w:t>
            </w:r>
            <w:r>
              <w:rPr>
                <w:rFonts w:ascii="Times New Roman" w:hAnsi="Times New Roman" w:eastAsia="Times New Roman" w:cs="Times New Roman"/>
                <w:sz w:val="21"/>
                <w:szCs w:val="21"/>
                <w:spacing w:val="-1"/>
              </w:rPr>
              <w:t>etrieve&amp;db=PubMed&amp;list_uids=2081512&amp;dopt=Abstract</w:t>
            </w:r>
          </w:hyperlink>
        </w:p>
        <w:p>
          <w:pPr>
            <w:ind w:left="459"/>
            <w:spacing w:before="136"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13.Hughes  J</w:t>
            </w:r>
          </w:hyperlink>
          <w:r>
            <w:rPr>
              <w:rFonts w:ascii="Times New Roman" w:hAnsi="Times New Roman" w:eastAsia="Times New Roman" w:cs="Times New Roman"/>
              <w:sz w:val="21"/>
              <w:szCs w:val="21"/>
            </w:rPr>
            <w:t>,</w:t>
          </w:r>
          <w:hyperlink w:history="true" r:id="rId70">
            <w:r>
              <w:rPr>
                <w:rFonts w:ascii="Times New Roman" w:hAnsi="Times New Roman" w:eastAsia="Times New Roman" w:cs="Times New Roman"/>
                <w:sz w:val="21"/>
                <w:szCs w:val="21"/>
              </w:rPr>
              <w:t>Norman</w:t>
            </w:r>
          </w:hyperlink>
          <w:r>
            <w:rPr>
              <w:rFonts w:ascii="Times New Roman" w:hAnsi="Times New Roman" w:eastAsia="Times New Roman" w:cs="Times New Roman"/>
              <w:sz w:val="21"/>
              <w:szCs w:val="21"/>
            </w:rPr>
            <w:t xml:space="preserve">  RW.Diet  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stones.Can  Med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AssocJ1992;146:137-</w:t>
          </w:r>
          <w:r>
            <w:rPr>
              <w:rFonts w:ascii="Times New Roman" w:hAnsi="Times New Roman" w:eastAsia="Times New Roman" w:cs="Times New Roman"/>
              <w:sz w:val="21"/>
              <w:szCs w:val="21"/>
              <w:spacing w:val="-1"/>
            </w:rPr>
            <w:t>143.</w:t>
          </w:r>
        </w:p>
        <w:p>
          <w:pPr>
            <w:ind w:left="459"/>
            <w:spacing w:before="14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http://www.ncbi.nlm.nih.gov/entrez/query.fcgi?cmd=R</w:t>
            </w:r>
            <w:r>
              <w:rPr>
                <w:rFonts w:ascii="Times New Roman" w:hAnsi="Times New Roman" w:eastAsia="Times New Roman" w:cs="Times New Roman"/>
                <w:sz w:val="21"/>
                <w:szCs w:val="21"/>
                <w:spacing w:val="-1"/>
              </w:rPr>
              <w:t>etrieve&amp;db=PubMed&amp;list_uids=1310430&amp;dopt=Abstract</w:t>
            </w:r>
          </w:hyperlink>
        </w:p>
        <w:p>
          <w:pPr>
            <w:ind w:right="28"/>
            <w:spacing w:before="127" w:line="192" w:lineRule="auto"/>
            <w:jc w:val="right"/>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14.Holmes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RP</w:t>
            </w:r>
          </w:hyperlink>
          <w:r>
            <w:rPr>
              <w:rFonts w:ascii="Times New Roman" w:hAnsi="Times New Roman" w:eastAsia="Times New Roman" w:cs="Times New Roman"/>
              <w:sz w:val="21"/>
              <w:szCs w:val="21"/>
            </w:rPr>
            <w:t>,</w:t>
          </w:r>
          <w:hyperlink w:history="true" r:id="rId87">
            <w:r>
              <w:rPr>
                <w:rFonts w:ascii="Times New Roman" w:hAnsi="Times New Roman" w:eastAsia="Times New Roman" w:cs="Times New Roman"/>
                <w:sz w:val="21"/>
                <w:szCs w:val="21"/>
              </w:rPr>
              <w:t>Goodman</w:t>
            </w:r>
          </w:hyperlink>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HO,Hart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IJ,Assimos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DG</w:t>
          </w:r>
          <w:r>
            <w:rPr>
              <w:rFonts w:ascii="Times New Roman" w:hAnsi="Times New Roman" w:eastAsia="Times New Roman" w:cs="Times New Roman"/>
              <w:sz w:val="21"/>
              <w:szCs w:val="21"/>
              <w:spacing w:val="-1"/>
            </w:rPr>
            <w:t>.Relationship</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of  protein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intake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and</w:t>
          </w:r>
        </w:p>
      </w:sdtContent>
    </w:sdt>
    <w:p>
      <w:pPr>
        <w:ind w:left="459"/>
        <w:spacing w:before="1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glycolate.Kidney  Int  </w:t>
      </w:r>
      <w:r>
        <w:rPr>
          <w:rFonts w:ascii="Times New Roman" w:hAnsi="Times New Roman" w:eastAsia="Times New Roman" w:cs="Times New Roman"/>
          <w:sz w:val="21"/>
          <w:szCs w:val="21"/>
          <w:spacing w:val="-1"/>
        </w:rPr>
        <w:t xml:space="preserve"> 1993;44:366-372.</w:t>
      </w:r>
    </w:p>
    <w:p>
      <w:pPr>
        <w:ind w:left="459"/>
        <w:spacing w:before="13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http://www.ncbi.nlm.nih.gov/entrez/query.fcgi?cmd=R</w:t>
        </w:r>
        <w:r>
          <w:rPr>
            <w:rFonts w:ascii="Times New Roman" w:hAnsi="Times New Roman" w:eastAsia="Times New Roman" w:cs="Times New Roman"/>
            <w:sz w:val="21"/>
            <w:szCs w:val="21"/>
            <w:spacing w:val="-1"/>
          </w:rPr>
          <w:t>etrieve&amp;db=PubMed&amp;list_uids=8377380&amp;dopt=Abstract</w:t>
        </w:r>
      </w:hyperlink>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459"/>
            <w:spacing w:before="13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15.Coe  FL.Hyperuricosuric  calcium  oxalate  nephrolithiasis.Kidn</w:t>
            </w:r>
            <w:r>
              <w:rPr>
                <w:rFonts w:ascii="Times New Roman" w:hAnsi="Times New Roman" w:eastAsia="Times New Roman" w:cs="Times New Roman"/>
                <w:sz w:val="21"/>
                <w:szCs w:val="21"/>
                <w:spacing w:val="-1"/>
              </w:rPr>
              <w:t>ey  Int  1983</w:t>
            </w:r>
          </w:hyperlink>
          <w:r>
            <w:rPr>
              <w:rFonts w:ascii="Times New Roman" w:hAnsi="Times New Roman" w:eastAsia="Times New Roman" w:cs="Times New Roman"/>
              <w:sz w:val="21"/>
              <w:szCs w:val="21"/>
              <w:spacing w:val="-1"/>
            </w:rPr>
            <w:t>;</w:t>
          </w:r>
          <w:hyperlink w:history="true" r:id="rId88">
            <w:r>
              <w:rPr>
                <w:rFonts w:ascii="Times New Roman" w:hAnsi="Times New Roman" w:eastAsia="Times New Roman" w:cs="Times New Roman"/>
                <w:sz w:val="21"/>
                <w:szCs w:val="21"/>
                <w:spacing w:val="-1"/>
              </w:rPr>
              <w:t>24:392-403</w:t>
            </w:r>
          </w:hyperlink>
          <w:r>
            <w:rPr>
              <w:rFonts w:ascii="Times New Roman" w:hAnsi="Times New Roman" w:eastAsia="Times New Roman" w:cs="Times New Roman"/>
              <w:sz w:val="21"/>
              <w:szCs w:val="21"/>
              <w:spacing w:val="-1"/>
            </w:rPr>
            <w:t>.</w:t>
          </w:r>
        </w:p>
        <w:p>
          <w:pPr>
            <w:ind w:left="459"/>
            <w:spacing w:before="15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http://www.ncbi.nlm.nih.gov/entrezlquery.fcgi?cmd=R</w:t>
            </w:r>
            <w:r>
              <w:rPr>
                <w:rFonts w:ascii="Times New Roman" w:hAnsi="Times New Roman" w:eastAsia="Times New Roman" w:cs="Times New Roman"/>
                <w:sz w:val="21"/>
                <w:szCs w:val="21"/>
                <w:spacing w:val="-1"/>
              </w:rPr>
              <w:t>etrieve&amp;db=PubMed&amp;list_uids=7424690&amp;dopt=Abstract</w:t>
            </w:r>
          </w:hyperlink>
        </w:p>
        <w:p>
          <w:pPr>
            <w:ind w:right="23"/>
            <w:spacing w:before="127" w:line="192" w:lineRule="auto"/>
            <w:jc w:val="right"/>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16.Pak</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CYC</w:t>
            </w:r>
          </w:hyperlink>
          <w:r>
            <w:rPr>
              <w:rFonts w:ascii="Times New Roman" w:hAnsi="Times New Roman" w:eastAsia="Times New Roman" w:cs="Times New Roman"/>
              <w:sz w:val="21"/>
              <w:szCs w:val="21"/>
            </w:rPr>
            <w:t>,</w:t>
          </w:r>
          <w:hyperlink w:history="true" r:id="rId89">
            <w:r>
              <w:rPr>
                <w:rFonts w:ascii="Times New Roman" w:hAnsi="Times New Roman" w:eastAsia="Times New Roman" w:cs="Times New Roman"/>
                <w:sz w:val="21"/>
                <w:szCs w:val="21"/>
              </w:rPr>
              <w:t>Holt</w:t>
            </w:r>
          </w:hyperlink>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K,Britton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F,Peterson</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R,Crowther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C,Ward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D.Assessment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of  pathog</w:t>
          </w:r>
          <w:r>
            <w:rPr>
              <w:rFonts w:ascii="Times New Roman" w:hAnsi="Times New Roman" w:eastAsia="Times New Roman" w:cs="Times New Roman"/>
              <w:sz w:val="21"/>
              <w:szCs w:val="21"/>
              <w:spacing w:val="-1"/>
            </w:rPr>
            <w:t>enetic  roles   of  uric</w:t>
          </w:r>
        </w:p>
      </w:sdtContent>
    </w:sdt>
    <w:p>
      <w:pPr>
        <w:ind w:left="459" w:right="5"/>
        <w:spacing w:before="147"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acid,monopotassium</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urate,monoammonium</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urate  and  monosodium</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ura</w:t>
      </w:r>
      <w:r>
        <w:rPr>
          <w:rFonts w:ascii="Times New Roman" w:hAnsi="Times New Roman" w:eastAsia="Times New Roman" w:cs="Times New Roman"/>
          <w:sz w:val="21"/>
          <w:szCs w:val="21"/>
          <w:spacing w:val="-1"/>
        </w:rPr>
        <w:t>te  in  hyperuricosuric  calcium  oxalate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nephrolithiasis.Miner  Electrolyte  Metab  1980;4:130-136.</w:t>
      </w:r>
    </w:p>
    <w:p>
      <w:pPr>
        <w:ind w:left="459" w:right="29"/>
        <w:spacing w:before="22" w:line="2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17.Hofbauer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J,Zechner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0.Impact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of  allopurinol   treatment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preven</w:t>
      </w:r>
      <w:r>
        <w:rPr>
          <w:rFonts w:ascii="Times New Roman" w:hAnsi="Times New Roman" w:eastAsia="Times New Roman" w:cs="Times New Roman"/>
          <w:sz w:val="21"/>
          <w:szCs w:val="21"/>
          <w:spacing w:val="-1"/>
        </w:rPr>
        <w:t>tion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of  hyperuricosuric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oxalate  lithiasis.Eur  Urol   1988;15:227-229.</w:t>
      </w:r>
    </w:p>
    <w:p>
      <w:pPr>
        <w:ind w:left="459"/>
        <w:spacing w:before="72"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http://www.ncbi.nlm.nih.gov/entrez/query.fcgi?cmd=R</w:t>
        </w:r>
        <w:r>
          <w:rPr>
            <w:rFonts w:ascii="Times New Roman" w:hAnsi="Times New Roman" w:eastAsia="Times New Roman" w:cs="Times New Roman"/>
            <w:sz w:val="21"/>
            <w:szCs w:val="21"/>
            <w:spacing w:val="-1"/>
          </w:rPr>
          <w:t>etrieve&amp;db=PubMed&amp;list_uids=3215256&amp;dopt=Abstract</w:t>
        </w:r>
      </w:hyperlink>
    </w:p>
    <w:p>
      <w:pPr>
        <w:ind w:left="459"/>
        <w:spacing w:before="14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spacing w:val="-1"/>
          </w:rPr>
          <w:t>18.Sarig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S.The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hyperuricosuric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former.Miner</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Elect</w:t>
        </w:r>
        <w:r>
          <w:rPr>
            <w:rFonts w:ascii="Times New Roman" w:hAnsi="Times New Roman" w:eastAsia="Times New Roman" w:cs="Times New Roman"/>
            <w:sz w:val="21"/>
            <w:szCs w:val="21"/>
            <w:spacing w:val="-2"/>
          </w:rPr>
          <w:t>rolyte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2"/>
          </w:rPr>
          <w:t>Metab  1987</w:t>
        </w:r>
      </w:hyperlink>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8"/>
        </w:rPr>
        <w:t xml:space="preserve"> </w:t>
      </w:r>
      <w:hyperlink w:history="true" r:id="rId90">
        <w:r>
          <w:rPr>
            <w:rFonts w:ascii="Times New Roman" w:hAnsi="Times New Roman" w:eastAsia="Times New Roman" w:cs="Times New Roman"/>
            <w:sz w:val="21"/>
            <w:szCs w:val="21"/>
            <w:spacing w:val="-2"/>
          </w:rPr>
          <w:t>13:251-256</w:t>
        </w:r>
      </w:hyperlink>
      <w:r>
        <w:rPr>
          <w:rFonts w:ascii="Times New Roman" w:hAnsi="Times New Roman" w:eastAsia="Times New Roman" w:cs="Times New Roman"/>
          <w:sz w:val="21"/>
          <w:szCs w:val="21"/>
          <w:spacing w:val="-2"/>
        </w:rPr>
        <w:t>.</w:t>
      </w:r>
    </w:p>
    <w:p>
      <w:pPr>
        <w:ind w:left="459"/>
        <w:spacing w:before="147" w:line="192"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rPr>
          <w:t>http://www.ncbi.nlm.nih.govlentrez/query.fcgi?cmd=R</w:t>
        </w:r>
        <w:r>
          <w:rPr>
            <w:rFonts w:ascii="Times New Roman" w:hAnsi="Times New Roman" w:eastAsia="Times New Roman" w:cs="Times New Roman"/>
            <w:sz w:val="21"/>
            <w:szCs w:val="21"/>
            <w:spacing w:val="-1"/>
          </w:rPr>
          <w:t>etrieve&amp;db=PubMed&amp;list_uids=3306317&amp;dopt=Abstract</w:t>
        </w:r>
      </w:hyperlink>
    </w:p>
    <w:p>
      <w:pPr>
        <w:ind w:left="459" w:right="15"/>
        <w:spacing w:before="156" w:line="265" w:lineRule="auto"/>
        <w:rPr>
          <w:rFonts w:ascii="Times New Roman" w:hAnsi="Times New Roman" w:eastAsia="Times New Roman" w:cs="Times New Roman"/>
          <w:sz w:val="21"/>
          <w:szCs w:val="21"/>
        </w:rPr>
      </w:pPr>
      <w:hyperlink w:history="true" r:id="rId86">
        <w:r>
          <w:rPr>
            <w:rFonts w:ascii="Times New Roman" w:hAnsi="Times New Roman" w:eastAsia="Times New Roman" w:cs="Times New Roman"/>
            <w:sz w:val="21"/>
            <w:szCs w:val="21"/>
            <w:spacing w:val="-1"/>
          </w:rPr>
          <w:t>19.Zechner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0.Hyperuricosuric</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lithiasis.In:Renal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tract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stone.Wickham</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JEA</w:t>
        </w:r>
      </w:hyperlink>
      <w:r>
        <w:rPr>
          <w:rFonts w:ascii="Times New Roman" w:hAnsi="Times New Roman" w:eastAsia="Times New Roman" w:cs="Times New Roman"/>
          <w:sz w:val="21"/>
          <w:szCs w:val="21"/>
          <w:spacing w:val="-1"/>
        </w:rPr>
        <w:t>,</w:t>
      </w:r>
      <w:hyperlink w:history="true" r:id="rId91">
        <w:r>
          <w:rPr>
            <w:rFonts w:ascii="Times New Roman" w:hAnsi="Times New Roman" w:eastAsia="Times New Roman" w:cs="Times New Roman"/>
            <w:sz w:val="21"/>
            <w:szCs w:val="21"/>
            <w:spacing w:val="-1"/>
          </w:rPr>
          <w:t>Buck</w:t>
        </w:r>
      </w:hyperlink>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AC(eds).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Churchill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Livingstone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Edinburgh</w:t>
      </w:r>
      <w:r>
        <w:rPr>
          <w:rFonts w:ascii="Times New Roman" w:hAnsi="Times New Roman" w:eastAsia="Times New Roman" w:cs="Times New Roman"/>
          <w:sz w:val="21"/>
          <w:szCs w:val="21"/>
          <w:spacing w:val="1"/>
        </w:rPr>
        <w:t>,1990,</w:t>
      </w:r>
      <w:r>
        <w:rPr>
          <w:rFonts w:ascii="Times New Roman" w:hAnsi="Times New Roman" w:eastAsia="Times New Roman" w:cs="Times New Roman"/>
          <w:sz w:val="21"/>
          <w:szCs w:val="21"/>
        </w:rPr>
        <w:t>pp</w:t>
      </w:r>
      <w:r>
        <w:rPr>
          <w:rFonts w:ascii="Times New Roman" w:hAnsi="Times New Roman" w:eastAsia="Times New Roman" w:cs="Times New Roman"/>
          <w:sz w:val="21"/>
          <w:szCs w:val="21"/>
          <w:spacing w:val="1"/>
        </w:rPr>
        <w:t>.285-2</w:t>
      </w:r>
      <w:r>
        <w:rPr>
          <w:rFonts w:ascii="Times New Roman" w:hAnsi="Times New Roman" w:eastAsia="Times New Roman" w:cs="Times New Roman"/>
          <w:sz w:val="21"/>
          <w:szCs w:val="21"/>
        </w:rPr>
        <w:t>93.</w:t>
      </w:r>
    </w:p>
    <w:p>
      <w:pPr>
        <w:ind w:left="459"/>
        <w:spacing w:before="147" w:line="2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20.Ettinger</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B.Hyperuric</w:t>
      </w:r>
      <w:r>
        <w:rPr>
          <w:rFonts w:ascii="Times New Roman" w:hAnsi="Times New Roman" w:eastAsia="Times New Roman" w:cs="Times New Roman"/>
          <w:sz w:val="21"/>
          <w:szCs w:val="21"/>
          <w:spacing w:val="-1"/>
        </w:rPr>
        <w:t>osuric</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disease.In:Kidney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stones:medical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surgical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FL,Favus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MJ,Pak</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CYC,Parks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JH,Preminger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GM(eds).Li</w:t>
      </w:r>
      <w:r>
        <w:rPr>
          <w:rFonts w:ascii="Times New Roman" w:hAnsi="Times New Roman" w:eastAsia="Times New Roman" w:cs="Times New Roman"/>
          <w:sz w:val="21"/>
          <w:szCs w:val="21"/>
          <w:spacing w:val="-1"/>
        </w:rPr>
        <w:t>ppincott-Raven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Publishers:Philadelphia,1996,</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pp</w:t>
      </w:r>
      <w:r>
        <w:rPr>
          <w:rFonts w:ascii="Times New Roman" w:hAnsi="Times New Roman" w:eastAsia="Times New Roman" w:cs="Times New Roman"/>
          <w:sz w:val="21"/>
          <w:szCs w:val="21"/>
          <w:spacing w:val="1"/>
        </w:rPr>
        <w:t>.851-858.</w:t>
      </w:r>
    </w:p>
    <w:p>
      <w:pPr>
        <w:ind w:left="459" w:right="10"/>
        <w:spacing w:before="156" w:line="25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21.Hesse   </w:t>
      </w:r>
      <w:r>
        <w:rPr>
          <w:rFonts w:ascii="Times New Roman" w:hAnsi="Times New Roman" w:eastAsia="Times New Roman" w:cs="Times New Roman"/>
          <w:sz w:val="21"/>
          <w:szCs w:val="21"/>
        </w:rPr>
        <w:t xml:space="preserve"> A,Tiselius    HG,Jahnen     A(eds).In:Urinary    stones     -diagnosis,treatment    and     preve</w:t>
      </w:r>
      <w:r>
        <w:rPr>
          <w:rFonts w:ascii="Times New Roman" w:hAnsi="Times New Roman" w:eastAsia="Times New Roman" w:cs="Times New Roman"/>
          <w:sz w:val="21"/>
          <w:szCs w:val="21"/>
          <w:spacing w:val="-1"/>
        </w:rPr>
        <w:t>ntion    o</w:t>
      </w:r>
      <w:r>
        <w:rPr>
          <w:rFonts w:ascii="Times New Roman" w:hAnsi="Times New Roman" w:eastAsia="Times New Roman" w:cs="Times New Roman"/>
          <w:sz w:val="21"/>
          <w:szCs w:val="21"/>
          <w:spacing w:val="10"/>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recurrence.Karger:New</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York,1996;pp.88.</w:t>
      </w:r>
    </w:p>
    <w:p>
      <w:pPr>
        <w:pStyle w:val="BodyText"/>
        <w:ind w:left="869"/>
        <w:spacing w:before="129" w:line="220" w:lineRule="auto"/>
        <w:rPr/>
      </w:pPr>
      <w:r>
        <w:rPr>
          <w:spacing w:val="5"/>
        </w:rPr>
        <w:t>14.2预防钙结石复发的药物</w:t>
      </w:r>
    </w:p>
    <w:p>
      <w:pPr>
        <w:pStyle w:val="BodyText"/>
        <w:ind w:left="459" w:right="21" w:firstLine="410"/>
        <w:spacing w:before="90" w:line="291" w:lineRule="auto"/>
        <w:rPr/>
      </w:pPr>
      <w:r>
        <w:rPr>
          <w:spacing w:val="2"/>
        </w:rPr>
        <w:t>一般认为：应通过改变饮食习惯来纠正尿液成份</w:t>
      </w:r>
      <w:r>
        <w:rPr>
          <w:spacing w:val="1"/>
        </w:rPr>
        <w:t>的异常，并去除产生病理性结晶作用的危险因素，</w:t>
      </w:r>
      <w:r>
        <w:rPr/>
        <w:t xml:space="preserve"> </w:t>
      </w:r>
      <w:r>
        <w:rPr>
          <w:spacing w:val="-3"/>
        </w:rPr>
        <w:t>只有当这些措施无效时才考虑在饮食调节之外进行药物治疗。此时，选</w:t>
      </w:r>
      <w:r>
        <w:rPr>
          <w:spacing w:val="-4"/>
        </w:rPr>
        <w:t>择最佳的治疗方案显得十分必要。</w:t>
      </w:r>
      <w:r>
        <w:rPr/>
        <w:t xml:space="preserve"> </w:t>
      </w:r>
      <w:r>
        <w:rPr>
          <w:spacing w:val="6"/>
        </w:rPr>
        <w:t>理想的药物应该是既可阻止钙结石的形成，又无副作用，且易于给药。要让患者有良好的依从性，这</w:t>
      </w:r>
      <w:r>
        <w:rPr>
          <w:spacing w:val="3"/>
        </w:rPr>
        <w:t xml:space="preserve"> </w:t>
      </w:r>
      <w:r>
        <w:rPr>
          <w:spacing w:val="-1"/>
        </w:rPr>
        <w:t>些方面都是至关重要的。</w:t>
      </w:r>
    </w:p>
    <w:p>
      <w:pPr>
        <w:pStyle w:val="BodyText"/>
        <w:ind w:left="459" w:firstLine="410"/>
        <w:spacing w:before="26" w:line="291" w:lineRule="auto"/>
        <w:jc w:val="both"/>
        <w:rPr/>
      </w:pPr>
      <w:r>
        <w:rPr>
          <w:spacing w:val="2"/>
        </w:rPr>
        <w:t>本指南中所推荐的药物疗法，均以该领域中所出版的文献为参考。1996年，欧洲尿石症研究组在德</w:t>
      </w:r>
      <w:r>
        <w:rPr/>
        <w:t xml:space="preserve"> </w:t>
      </w:r>
      <w:r>
        <w:rPr>
          <w:spacing w:val="4"/>
        </w:rPr>
        <w:t>国曼海姆召开的讨论会中，对文献资料进行了广泛地讨论</w:t>
      </w:r>
      <w:r>
        <w:rPr>
          <w:spacing w:val="3"/>
        </w:rPr>
        <w:t>和分析，形成了上述推荐的基础[1]。会议形</w:t>
      </w:r>
      <w:r>
        <w:rPr/>
        <w:t xml:space="preserve"> </w:t>
      </w:r>
      <w:r>
        <w:rPr>
          <w:spacing w:val="-1"/>
        </w:rPr>
        <w:t>成的结论已被单独出版[2,3,4]。在最新的尿石症治疗指南中，加入了近年来特别强调的有关随机性研究</w:t>
      </w:r>
      <w:r>
        <w:rPr>
          <w:spacing w:val="4"/>
        </w:rPr>
        <w:t xml:space="preserve"> </w:t>
      </w:r>
      <w:r>
        <w:rPr>
          <w:spacing w:val="-1"/>
        </w:rPr>
        <w:t>资料的信息。</w:t>
      </w:r>
    </w:p>
    <w:p>
      <w:pPr>
        <w:pStyle w:val="BodyText"/>
        <w:ind w:left="459" w:right="17" w:firstLine="410"/>
        <w:spacing w:before="44" w:line="293" w:lineRule="auto"/>
        <w:jc w:val="both"/>
        <w:rPr/>
      </w:pPr>
      <w:r>
        <w:rPr>
          <w:spacing w:val="6"/>
        </w:rPr>
        <w:t>我们已经提出了各类药物的推荐使用方法，包括非选择性的方案(见表25)以及针对有特殊尿液异</w:t>
      </w:r>
      <w:r>
        <w:rPr>
          <w:spacing w:val="18"/>
        </w:rPr>
        <w:t xml:space="preserve"> </w:t>
      </w:r>
      <w:r>
        <w:rPr>
          <w:spacing w:val="11"/>
        </w:rPr>
        <w:t>常情况的方案(见表26)。我们认为在理论上后者更具吸</w:t>
      </w:r>
      <w:r>
        <w:rPr>
          <w:spacing w:val="10"/>
        </w:rPr>
        <w:t>引力，但必须强调的是，对于此观点尚未达</w:t>
      </w:r>
      <w:r>
        <w:rPr/>
        <w:t xml:space="preserve"> </w:t>
      </w:r>
      <w:r>
        <w:rPr>
          <w:spacing w:val="-12"/>
        </w:rPr>
        <w:t>成广泛一致[5,6]。</w:t>
      </w:r>
    </w:p>
    <w:p>
      <w:pPr>
        <w:pStyle w:val="BodyText"/>
        <w:ind w:left="459" w:right="22" w:firstLine="410"/>
        <w:spacing w:before="1" w:line="299" w:lineRule="auto"/>
        <w:rPr/>
      </w:pPr>
      <w:r>
        <w:rPr>
          <w:spacing w:val="2"/>
        </w:rPr>
        <w:t>最常用的治疗复发性钙结石的药物包括：噻嗪</w:t>
      </w:r>
      <w:r>
        <w:rPr>
          <w:spacing w:val="1"/>
        </w:rPr>
        <w:t>类、正磷酸盐、镁剂、磷酸纤维素、磷酸纤维素钠、</w:t>
      </w:r>
      <w:r>
        <w:rPr/>
        <w:t xml:space="preserve"> </w:t>
      </w:r>
      <w:r>
        <w:rPr>
          <w:spacing w:val="1"/>
        </w:rPr>
        <w:t>别嘌呤醇，在某些情况下也可使用维生素</w:t>
      </w:r>
      <w:r>
        <w:rPr>
          <w:rFonts w:ascii="Times New Roman" w:hAnsi="Times New Roman" w:eastAsia="Times New Roman" w:cs="Times New Roman"/>
          <w:spacing w:val="1"/>
        </w:rPr>
        <w:t>B6</w:t>
      </w:r>
      <w:r>
        <w:rPr>
          <w:spacing w:val="1"/>
        </w:rPr>
        <w:t>和</w:t>
      </w:r>
      <w:r>
        <w:rPr>
          <w:rFonts w:ascii="Times New Roman" w:hAnsi="Times New Roman" w:eastAsia="Times New Roman" w:cs="Times New Roman"/>
        </w:rPr>
        <w:t>Oxabsorb</w:t>
      </w:r>
      <w:r>
        <w:rPr>
          <w:spacing w:val="1"/>
        </w:rPr>
        <w:t>。这些治疗方案的科学依据将在下文作简要的概</w:t>
      </w:r>
      <w:r>
        <w:rPr>
          <w:spacing w:val="3"/>
        </w:rPr>
        <w:t xml:space="preserve"> </w:t>
      </w:r>
      <w:r>
        <w:rPr>
          <w:spacing w:val="-2"/>
        </w:rPr>
        <w:t>述。</w:t>
      </w:r>
    </w:p>
    <w:p>
      <w:pPr>
        <w:pStyle w:val="BodyText"/>
        <w:ind w:left="869"/>
        <w:spacing w:line="219" w:lineRule="auto"/>
        <w:rPr/>
      </w:pPr>
      <w:r>
        <w:rPr>
          <w:spacing w:val="-9"/>
        </w:rPr>
        <w:t>14.2.1噻嗪类药物</w:t>
      </w:r>
    </w:p>
    <w:p>
      <w:pPr>
        <w:ind w:left="4969"/>
        <w:spacing w:before="28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—240—</w:t>
      </w:r>
    </w:p>
    <w:p>
      <w:pPr>
        <w:spacing w:line="37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4"/>
          <w:pgSz w:w="11850" w:h="16140"/>
          <w:pgMar w:top="400" w:right="1459" w:bottom="0" w:left="400" w:header="0" w:footer="0" w:gutter="0"/>
        </w:sectPr>
        <w:rPr>
          <w:rFonts w:ascii="Times New Roman" w:hAnsi="Times New Roman" w:eastAsia="Times New Roman" w:cs="Times New Roman"/>
          <w:sz w:val="21"/>
          <w:szCs w:val="21"/>
        </w:rPr>
      </w:pPr>
    </w:p>
    <w:p>
      <w:pPr>
        <w:spacing w:line="270" w:lineRule="auto"/>
        <w:rPr>
          <w:rFonts w:ascii="Arial"/>
          <w:sz w:val="21"/>
        </w:rPr>
      </w:pPr>
      <w:r/>
    </w:p>
    <w:p>
      <w:pPr>
        <w:ind w:left="7802"/>
        <w:spacing w:before="89" w:line="362" w:lineRule="exact"/>
        <w:rPr>
          <w:rFonts w:ascii="STXingkai" w:hAnsi="STXingkai" w:eastAsia="STXingkai" w:cs="STXingkai"/>
          <w:sz w:val="26"/>
          <w:szCs w:val="26"/>
        </w:rPr>
      </w:pPr>
      <w:r>
        <w:drawing>
          <wp:anchor distT="0" distB="0" distL="0" distR="0" simplePos="0" relativeHeight="251683840" behindDoc="0" locked="0" layoutInCell="1" allowOverlap="1">
            <wp:simplePos x="0" y="0"/>
            <wp:positionH relativeFrom="column">
              <wp:posOffset>4800564</wp:posOffset>
            </wp:positionH>
            <wp:positionV relativeFrom="paragraph">
              <wp:posOffset>228521</wp:posOffset>
            </wp:positionV>
            <wp:extent cx="1562138" cy="8255"/>
            <wp:effectExtent l="0" t="0" r="0" b="0"/>
            <wp:wrapNone/>
            <wp:docPr id="34" name="IM 34"/>
            <wp:cNvGraphicFramePr/>
            <a:graphic>
              <a:graphicData uri="http://schemas.openxmlformats.org/drawingml/2006/picture">
                <pic:pic>
                  <pic:nvPicPr>
                    <pic:cNvPr id="34" name="IM 34"/>
                    <pic:cNvPicPr/>
                  </pic:nvPicPr>
                  <pic:blipFill>
                    <a:blip r:embed="rId92"/>
                    <a:stretch>
                      <a:fillRect/>
                    </a:stretch>
                  </pic:blipFill>
                  <pic:spPr>
                    <a:xfrm rot="0">
                      <a:off x="0" y="0"/>
                      <a:ext cx="1562138" cy="8255"/>
                    </a:xfrm>
                    <a:prstGeom prst="rect">
                      <a:avLst/>
                    </a:prstGeom>
                  </pic:spPr>
                </pic:pic>
              </a:graphicData>
            </a:graphic>
          </wp:anchor>
        </w:drawing>
      </w:r>
      <w:r>
        <w:drawing>
          <wp:anchor distT="0" distB="0" distL="0" distR="0" simplePos="0" relativeHeight="251684864" behindDoc="0" locked="0" layoutInCell="1" allowOverlap="1">
            <wp:simplePos x="0" y="0"/>
            <wp:positionH relativeFrom="column">
              <wp:posOffset>4667226</wp:posOffset>
            </wp:positionH>
            <wp:positionV relativeFrom="paragraph">
              <wp:posOffset>144971</wp:posOffset>
            </wp:positionV>
            <wp:extent cx="209564" cy="209590"/>
            <wp:effectExtent l="0" t="0" r="0" b="0"/>
            <wp:wrapNone/>
            <wp:docPr id="36" name="IM 36"/>
            <wp:cNvGraphicFramePr/>
            <a:graphic>
              <a:graphicData uri="http://schemas.openxmlformats.org/drawingml/2006/picture">
                <pic:pic>
                  <pic:nvPicPr>
                    <pic:cNvPr id="36" name="IM 36"/>
                    <pic:cNvPicPr/>
                  </pic:nvPicPr>
                  <pic:blipFill>
                    <a:blip r:embed="rId93"/>
                    <a:stretch>
                      <a:fillRect/>
                    </a:stretch>
                  </pic:blipFill>
                  <pic:spPr>
                    <a:xfrm rot="0">
                      <a:off x="0" y="0"/>
                      <a:ext cx="209564" cy="209590"/>
                    </a:xfrm>
                    <a:prstGeom prst="rect">
                      <a:avLst/>
                    </a:prstGeom>
                  </pic:spPr>
                </pic:pic>
              </a:graphicData>
            </a:graphic>
          </wp:anchor>
        </w:drawing>
      </w:r>
      <w:r>
        <w:rPr>
          <w:rFonts w:ascii="STXingkai" w:hAnsi="STXingkai" w:eastAsia="STXingkai" w:cs="STXingkai"/>
          <w:sz w:val="26"/>
          <w:szCs w:val="26"/>
          <w:b/>
          <w:bCs/>
          <w:spacing w:val="-48"/>
          <w:position w:val="3"/>
        </w:rPr>
        <w:t>附</w:t>
      </w:r>
      <w:r>
        <w:rPr>
          <w:rFonts w:ascii="STXingkai" w:hAnsi="STXingkai" w:eastAsia="STXingkai" w:cs="STXingkai"/>
          <w:sz w:val="26"/>
          <w:szCs w:val="26"/>
          <w:spacing w:val="26"/>
          <w:position w:val="3"/>
        </w:rPr>
        <w:t xml:space="preserve">  </w:t>
      </w:r>
      <w:r>
        <w:rPr>
          <w:rFonts w:ascii="STXingkai" w:hAnsi="STXingkai" w:eastAsia="STXingkai" w:cs="STXingkai"/>
          <w:sz w:val="26"/>
          <w:szCs w:val="26"/>
          <w:b/>
          <w:bCs/>
          <w:spacing w:val="-48"/>
          <w:position w:val="3"/>
        </w:rPr>
        <w:t>录</w:t>
      </w:r>
      <w:r>
        <w:rPr>
          <w:rFonts w:ascii="STXingkai" w:hAnsi="STXingkai" w:eastAsia="STXingkai" w:cs="STXingkai"/>
          <w:sz w:val="26"/>
          <w:szCs w:val="26"/>
          <w:spacing w:val="19"/>
          <w:w w:val="101"/>
          <w:position w:val="3"/>
        </w:rPr>
        <w:t xml:space="preserve">   </w:t>
      </w:r>
      <w:r>
        <w:rPr>
          <w:rFonts w:ascii="STXingkai" w:hAnsi="STXingkai" w:eastAsia="STXingkai" w:cs="STXingkai"/>
          <w:sz w:val="26"/>
          <w:szCs w:val="26"/>
          <w:b/>
          <w:bCs/>
          <w:spacing w:val="-48"/>
          <w:position w:val="3"/>
        </w:rPr>
        <w:t>·</w:t>
      </w:r>
      <w:r>
        <w:rPr>
          <w:rFonts w:ascii="STXingkai" w:hAnsi="STXingkai" w:eastAsia="STXingkai" w:cs="STXingkai"/>
          <w:sz w:val="26"/>
          <w:szCs w:val="26"/>
          <w:spacing w:val="22"/>
          <w:w w:val="101"/>
          <w:position w:val="3"/>
        </w:rPr>
        <w:t xml:space="preserve">  </w:t>
      </w:r>
      <w:r>
        <w:rPr>
          <w:rFonts w:ascii="STXingkai" w:hAnsi="STXingkai" w:eastAsia="STXingkai" w:cs="STXingkai"/>
          <w:sz w:val="26"/>
          <w:szCs w:val="26"/>
          <w:b/>
          <w:bCs/>
          <w:spacing w:val="-48"/>
          <w:position w:val="3"/>
        </w:rPr>
        <w:t>指</w:t>
      </w:r>
      <w:r>
        <w:rPr>
          <w:rFonts w:ascii="STXingkai" w:hAnsi="STXingkai" w:eastAsia="STXingkai" w:cs="STXingkai"/>
          <w:sz w:val="26"/>
          <w:szCs w:val="26"/>
          <w:spacing w:val="22"/>
          <w:w w:val="101"/>
          <w:position w:val="3"/>
        </w:rPr>
        <w:t xml:space="preserve">  </w:t>
      </w:r>
      <w:r>
        <w:rPr>
          <w:rFonts w:ascii="STXingkai" w:hAnsi="STXingkai" w:eastAsia="STXingkai" w:cs="STXingkai"/>
          <w:sz w:val="26"/>
          <w:szCs w:val="26"/>
          <w:b/>
          <w:bCs/>
          <w:spacing w:val="-48"/>
          <w:position w:val="3"/>
        </w:rPr>
        <w:t>あ</w:t>
      </w:r>
    </w:p>
    <w:p>
      <w:pPr>
        <w:pStyle w:val="BodyText"/>
        <w:ind w:left="429" w:right="80" w:firstLine="410"/>
        <w:spacing w:before="303" w:line="291" w:lineRule="auto"/>
        <w:jc w:val="both"/>
        <w:rPr/>
      </w:pPr>
      <w:r>
        <w:rPr>
          <w:spacing w:val="3"/>
        </w:rPr>
        <w:t>氢氯噻嗪、苄氟噻嗪、三氯噻嗪和吲达帕胺等已用于预防钙结石患者的复发。用噻嗪类药物治疗的</w:t>
      </w:r>
      <w:r>
        <w:rPr>
          <w:spacing w:val="16"/>
        </w:rPr>
        <w:t xml:space="preserve"> </w:t>
      </w:r>
      <w:r>
        <w:rPr>
          <w:spacing w:val="8"/>
        </w:rPr>
        <w:t>目的是降低高钙尿患者的钙排泄量，但是人们发现，它们也可使尿钙水平正常</w:t>
      </w:r>
      <w:r>
        <w:rPr>
          <w:spacing w:val="7"/>
        </w:rPr>
        <w:t>的患者的钙排泄量降低</w:t>
      </w:r>
      <w:r>
        <w:rPr/>
        <w:t xml:space="preserve"> </w:t>
      </w:r>
      <w:r>
        <w:rPr>
          <w:spacing w:val="-1"/>
        </w:rPr>
        <w:t>[7]。噻嗪类药物降低尿钙的作用机制是调节近端和远端肾小管对钙的重吸收[7,8]。另外，还发现噻嗪类</w:t>
      </w:r>
      <w:r>
        <w:rPr>
          <w:spacing w:val="8"/>
        </w:rPr>
        <w:t xml:space="preserve"> </w:t>
      </w:r>
      <w:r>
        <w:rPr>
          <w:spacing w:val="3"/>
        </w:rPr>
        <w:t>药物也可以减少草酸盐的排泄，这可能是由于其减少了肠道内钙的重吸收</w:t>
      </w:r>
      <w:r>
        <w:rPr>
          <w:spacing w:val="2"/>
        </w:rPr>
        <w:t>所致[9-11]。然而，在临床研</w:t>
      </w:r>
      <w:r>
        <w:rPr/>
        <w:t xml:space="preserve"> </w:t>
      </w:r>
      <w:r>
        <w:rPr>
          <w:spacing w:val="3"/>
        </w:rPr>
        <w:t>究中关于噻嗪类药物减少尿中草酸盐排泄的观察结果并不一致。</w:t>
      </w:r>
    </w:p>
    <w:p>
      <w:pPr>
        <w:pStyle w:val="BodyText"/>
        <w:ind w:left="429" w:right="127" w:firstLine="410"/>
        <w:spacing w:before="15" w:line="303" w:lineRule="auto"/>
        <w:rPr/>
      </w:pPr>
      <w:r>
        <w:rPr>
          <w:spacing w:val="-4"/>
        </w:rPr>
        <w:t>使用噻嗪类药物防治结石已有三十多年的临床经验。自1970年</w:t>
      </w:r>
      <w:r>
        <w:rPr>
          <w:rFonts w:ascii="Times New Roman" w:hAnsi="Times New Roman" w:eastAsia="Times New Roman" w:cs="Times New Roman"/>
          <w:spacing w:val="-4"/>
        </w:rPr>
        <w:t>Yedt[12]</w:t>
      </w:r>
      <w:r>
        <w:rPr>
          <w:spacing w:val="-4"/>
        </w:rPr>
        <w:t>关于使用噻嗪类药物的</w:t>
      </w:r>
      <w:r>
        <w:rPr>
          <w:spacing w:val="-5"/>
        </w:rPr>
        <w:t>报道后，</w:t>
      </w:r>
      <w:r>
        <w:rPr/>
        <w:t xml:space="preserve"> </w:t>
      </w:r>
      <w:r>
        <w:rPr>
          <w:spacing w:val="-1"/>
        </w:rPr>
        <w:t>已有大量文章的发表，大部分研究都认为此药物对于预防结石复发有肯定的疗效。</w:t>
      </w:r>
    </w:p>
    <w:p>
      <w:pPr>
        <w:pStyle w:val="BodyText"/>
        <w:ind w:left="429" w:right="94" w:firstLine="410"/>
        <w:spacing w:before="12" w:line="291" w:lineRule="auto"/>
        <w:jc w:val="both"/>
        <w:rPr/>
      </w:pPr>
      <w:r>
        <w:rPr>
          <w:spacing w:val="4"/>
        </w:rPr>
        <w:t>有十项随机性研究对噻嗪类药物的临床疗效进行了评估，其中四项</w:t>
      </w:r>
      <w:r>
        <w:rPr>
          <w:spacing w:val="3"/>
        </w:rPr>
        <w:t>包括有安慰剂对照组。虽然有两</w:t>
      </w:r>
      <w:r>
        <w:rPr/>
        <w:t xml:space="preserve"> </w:t>
      </w:r>
      <w:r>
        <w:rPr>
          <w:spacing w:val="9"/>
        </w:rPr>
        <w:t>项短期的安慰剂对照研究[13,14]没能肯定噻嗪类有积极的疗效，但在另</w:t>
      </w:r>
      <w:r>
        <w:rPr>
          <w:spacing w:val="8"/>
        </w:rPr>
        <w:t>三项研究中(有三年随访期)</w:t>
      </w:r>
      <w:r>
        <w:rPr/>
        <w:t xml:space="preserve"> </w:t>
      </w:r>
      <w:r>
        <w:rPr>
          <w:spacing w:val="1"/>
        </w:rPr>
        <w:t>[15-18]显示：噻嗪类治疗组的复发率有显著降低。在使用噻嗪类药物治疗2.3年和4</w:t>
      </w:r>
      <w:r>
        <w:rPr/>
        <w:t>.3年后，与保守治疗 </w:t>
      </w:r>
      <w:r>
        <w:rPr>
          <w:spacing w:val="5"/>
        </w:rPr>
        <w:t>的患者对比，得到了类似的结果[19-21]。对结石复发的患者间歇性地给予噻嗪类治疗同样能显著降低</w:t>
      </w:r>
      <w:r>
        <w:rPr>
          <w:spacing w:val="18"/>
        </w:rPr>
        <w:t xml:space="preserve"> </w:t>
      </w:r>
      <w:r>
        <w:rPr>
          <w:spacing w:val="-7"/>
        </w:rPr>
        <w:t>结石的形成率[22]。</w:t>
      </w:r>
    </w:p>
    <w:p>
      <w:pPr>
        <w:pStyle w:val="BodyText"/>
        <w:ind w:left="429" w:right="74" w:firstLine="410"/>
        <w:spacing w:before="4" w:line="302" w:lineRule="auto"/>
        <w:rPr/>
      </w:pPr>
      <w:r>
        <w:rPr>
          <w:spacing w:val="4"/>
        </w:rPr>
        <w:t>在其它一些研究中，噻嗪类药物治疗的患者与未用过任何药物治疗的患者相比较，同样可以观察到</w:t>
      </w:r>
      <w:r>
        <w:rPr>
          <w:spacing w:val="12"/>
        </w:rPr>
        <w:t xml:space="preserve"> </w:t>
      </w:r>
      <w:r>
        <w:rPr>
          <w:spacing w:val="-4"/>
        </w:rPr>
        <w:t>复发率的降低[23-26]。但另一些研究结果却没有说服力[27,28]。</w:t>
      </w:r>
    </w:p>
    <w:p>
      <w:pPr>
        <w:pStyle w:val="BodyText"/>
        <w:ind w:left="842"/>
        <w:spacing w:line="218" w:lineRule="auto"/>
        <w:rPr/>
      </w:pPr>
      <w:r>
        <w:rPr>
          <w:b/>
          <w:bCs/>
          <w:spacing w:val="2"/>
        </w:rPr>
        <w:t>另外，对随机性研究的荟萃分析也进一步支持噻</w:t>
      </w:r>
      <w:r>
        <w:rPr>
          <w:b/>
          <w:bCs/>
          <w:spacing w:val="1"/>
        </w:rPr>
        <w:t>嗪类药物具有较好的疗效：即进行积极药物治疗的</w:t>
      </w:r>
    </w:p>
    <w:p>
      <w:pPr>
        <w:pStyle w:val="BodyText"/>
        <w:ind w:left="429"/>
        <w:spacing w:before="81" w:line="212" w:lineRule="auto"/>
        <w:rPr/>
      </w:pPr>
      <w:r>
        <w:rPr>
          <w:spacing w:val="2"/>
        </w:rPr>
        <w:t>效果要明显优于只用安慰剂的或未进行治疗的效果</w:t>
      </w:r>
      <w:r>
        <w:rPr>
          <w:rFonts w:ascii="Times New Roman" w:hAnsi="Times New Roman" w:eastAsia="Times New Roman" w:cs="Times New Roman"/>
          <w:spacing w:val="2"/>
        </w:rPr>
        <w:t>(p&lt;0.02)[29]</w:t>
      </w:r>
      <w:r>
        <w:rPr>
          <w:spacing w:val="2"/>
        </w:rPr>
        <w:t>。</w:t>
      </w:r>
    </w:p>
    <w:p>
      <w:pPr>
        <w:pStyle w:val="BodyText"/>
        <w:ind w:left="429" w:right="78" w:firstLine="410"/>
        <w:spacing w:before="69" w:line="300" w:lineRule="auto"/>
        <w:jc w:val="both"/>
        <w:rPr/>
      </w:pPr>
      <w:r>
        <w:rPr>
          <w:spacing w:val="5"/>
        </w:rPr>
        <w:t>噻嗪类药物的主要缺点是其副作用，如发生血钙正常的甲状旁腺机能亢进</w:t>
      </w:r>
      <w:r>
        <w:rPr>
          <w:rFonts w:ascii="Times New Roman" w:hAnsi="Times New Roman" w:eastAsia="Times New Roman" w:cs="Times New Roman"/>
          <w:spacing w:val="5"/>
        </w:rPr>
        <w:t>(</w:t>
      </w:r>
      <w:r>
        <w:rPr>
          <w:rFonts w:ascii="Times New Roman" w:hAnsi="Times New Roman" w:eastAsia="Times New Roman" w:cs="Times New Roman"/>
        </w:rPr>
        <w:t>HPT</w:t>
      </w:r>
      <w:r>
        <w:rPr>
          <w:rFonts w:ascii="Times New Roman" w:hAnsi="Times New Roman" w:eastAsia="Times New Roman" w:cs="Times New Roman"/>
          <w:spacing w:val="5"/>
        </w:rPr>
        <w:t>)</w:t>
      </w:r>
      <w:r>
        <w:rPr>
          <w:rFonts w:ascii="Times New Roman" w:hAnsi="Times New Roman" w:eastAsia="Times New Roman" w:cs="Times New Roman"/>
          <w:spacing w:val="-30"/>
        </w:rPr>
        <w:t xml:space="preserve"> </w:t>
      </w:r>
      <w:r>
        <w:rPr>
          <w:spacing w:val="5"/>
        </w:rPr>
        <w:t>、  </w:t>
      </w:r>
      <w:r>
        <w:rPr>
          <w:spacing w:val="4"/>
        </w:rPr>
        <w:t>糖尿病、痛风</w:t>
      </w:r>
      <w:r>
        <w:rPr/>
        <w:t xml:space="preserve"> </w:t>
      </w:r>
      <w:r>
        <w:rPr>
          <w:spacing w:val="9"/>
        </w:rPr>
        <w:t>以及勃起功能障碍等，可导致患者对药物耐受性的下降和较高</w:t>
      </w:r>
      <w:r>
        <w:rPr>
          <w:spacing w:val="8"/>
        </w:rPr>
        <w:t>的停药率。患者对药物的依从性通常只</w:t>
      </w:r>
      <w:r>
        <w:rPr/>
        <w:t xml:space="preserve"> </w:t>
      </w:r>
      <w:r>
        <w:rPr>
          <w:spacing w:val="16"/>
        </w:rPr>
        <w:t>有50%～70%。</w:t>
      </w:r>
    </w:p>
    <w:p>
      <w:pPr>
        <w:pStyle w:val="BodyText"/>
        <w:ind w:left="432" w:right="95" w:firstLine="410"/>
        <w:spacing w:before="27" w:line="294" w:lineRule="auto"/>
        <w:rPr/>
      </w:pPr>
      <w:r>
        <w:rPr>
          <w:b/>
          <w:bCs/>
          <w:spacing w:val="2"/>
        </w:rPr>
        <w:t>噻嗪类药物的使用是否仅针对有高尿钙的患者，或</w:t>
      </w:r>
      <w:r>
        <w:rPr>
          <w:b/>
          <w:bCs/>
          <w:spacing w:val="1"/>
        </w:rPr>
        <w:t>没有高尿钙的患者也能应用，目前还没有确定的</w:t>
      </w:r>
      <w:r>
        <w:rPr/>
        <w:t xml:space="preserve"> </w:t>
      </w:r>
      <w:r>
        <w:rPr>
          <w:b/>
          <w:bCs/>
          <w:spacing w:val="-4"/>
        </w:rPr>
        <w:t>结论。在三项选择高钙尿患者进行的随机性研究[</w:t>
      </w:r>
      <w:r>
        <w:rPr>
          <w:b/>
          <w:bCs/>
          <w:spacing w:val="-5"/>
        </w:rPr>
        <w:t>19-21]中，结果均显示噻嗪类药物有积极的治疗作用。</w:t>
      </w:r>
    </w:p>
    <w:p>
      <w:pPr>
        <w:pStyle w:val="BodyText"/>
        <w:ind w:left="432" w:right="92" w:firstLine="410"/>
        <w:spacing w:before="5" w:line="290" w:lineRule="auto"/>
        <w:jc w:val="both"/>
        <w:rPr/>
      </w:pPr>
      <w:r>
        <w:rPr>
          <w:b/>
          <w:bCs/>
          <w:spacing w:val="2"/>
        </w:rPr>
        <w:t>在另外七项未做任何选择的随机性研究中，有五</w:t>
      </w:r>
      <w:r>
        <w:rPr>
          <w:b/>
          <w:bCs/>
          <w:spacing w:val="1"/>
        </w:rPr>
        <w:t>项报道噻嗪类药物有显著疗效。由于在未做选择的</w:t>
      </w:r>
      <w:r>
        <w:rPr/>
        <w:t xml:space="preserve"> </w:t>
      </w:r>
      <w:r>
        <w:rPr>
          <w:b/>
          <w:bCs/>
          <w:spacing w:val="6"/>
        </w:rPr>
        <w:t>结石患者中也经常会有高钙尿的病例，所以此结果并没有说服力。选择噻嗪类药物</w:t>
      </w:r>
      <w:r>
        <w:rPr>
          <w:b/>
          <w:bCs/>
          <w:spacing w:val="5"/>
        </w:rPr>
        <w:t>的主要适应症应该</w:t>
      </w:r>
      <w:r>
        <w:rPr/>
        <w:t xml:space="preserve">  </w:t>
      </w:r>
      <w:r>
        <w:rPr>
          <w:b/>
          <w:bCs/>
          <w:spacing w:val="6"/>
        </w:rPr>
        <w:t>是患者有高钙尿。在无高尿钙排泄时，其它的治疗方式可能是更合适的选择。无论在何种情况下，当</w:t>
      </w:r>
      <w:r>
        <w:rPr>
          <w:spacing w:val="1"/>
        </w:rPr>
        <w:t xml:space="preserve"> </w:t>
      </w:r>
      <w:r>
        <w:rPr>
          <w:b/>
          <w:bCs/>
          <w:spacing w:val="1"/>
        </w:rPr>
        <w:t>考虑使用药物治疗时，我们都必须权衡该项治疗的积极作用以及它的副作用</w:t>
      </w:r>
      <w:r>
        <w:rPr>
          <w:spacing w:val="1"/>
        </w:rPr>
        <w:t>。</w:t>
      </w:r>
    </w:p>
    <w:p>
      <w:pPr>
        <w:pStyle w:val="BodyText"/>
        <w:ind w:left="942"/>
        <w:spacing w:before="27" w:line="220" w:lineRule="auto"/>
        <w:rPr/>
      </w:pPr>
      <w:r>
        <w:rPr>
          <w:b/>
          <w:bCs/>
          <w:spacing w:val="-5"/>
        </w:rPr>
        <w:t>14.2.2碱性枸橼酸盐</w:t>
      </w:r>
    </w:p>
    <w:p>
      <w:pPr>
        <w:pStyle w:val="BodyText"/>
        <w:ind w:left="432" w:right="83" w:firstLine="410"/>
        <w:spacing w:before="79" w:line="300" w:lineRule="auto"/>
        <w:jc w:val="both"/>
        <w:rPr/>
      </w:pPr>
      <w:r>
        <w:rPr>
          <w:b/>
          <w:bCs/>
          <w:spacing w:val="2"/>
        </w:rPr>
        <w:t>碱性枸橼酸盐通常应用于低枸橼酸尿的患者，以增加尿中的枸橼酸。在有钙结</w:t>
      </w:r>
      <w:r>
        <w:rPr>
          <w:b/>
          <w:bCs/>
          <w:spacing w:val="1"/>
        </w:rPr>
        <w:t>石的患者中，经常发</w:t>
      </w:r>
      <w:r>
        <w:rPr/>
        <w:t xml:space="preserve"> </w:t>
      </w:r>
      <w:r>
        <w:rPr>
          <w:b/>
          <w:bCs/>
          <w:spacing w:val="6"/>
        </w:rPr>
        <w:t>现其枸橼酸的排泄量降低。枸橼酸可以鳌合钙离子从而降低草酸钙和磷酸钙的离子活度积。而</w:t>
      </w:r>
      <w:r>
        <w:rPr>
          <w:b/>
          <w:bCs/>
          <w:spacing w:val="5"/>
        </w:rPr>
        <w:t>且，枸</w:t>
      </w:r>
      <w:r>
        <w:rPr/>
        <w:t xml:space="preserve">  </w:t>
      </w:r>
      <w:r>
        <w:rPr>
          <w:b/>
          <w:bCs/>
          <w:spacing w:val="-1"/>
        </w:rPr>
        <w:t>橼酸也是这些晶体生长和聚集的抑制物[30]。给予碱性盐会使尿</w:t>
      </w:r>
      <w:r>
        <w:rPr>
          <w:rFonts w:ascii="Times New Roman" w:hAnsi="Times New Roman" w:eastAsia="Times New Roman" w:cs="Times New Roman"/>
          <w:b/>
          <w:bCs/>
          <w:spacing w:val="-1"/>
        </w:rPr>
        <w:t>PH</w:t>
      </w:r>
      <w:r>
        <w:rPr>
          <w:b/>
          <w:bCs/>
          <w:spacing w:val="-1"/>
        </w:rPr>
        <w:t>值升高，并增加枸橼酸盐的排泄。还</w:t>
      </w:r>
      <w:r>
        <w:rPr>
          <w:spacing w:val="3"/>
        </w:rPr>
        <w:t xml:space="preserve">  </w:t>
      </w:r>
      <w:r>
        <w:rPr>
          <w:b/>
          <w:bCs/>
          <w:spacing w:val="7"/>
        </w:rPr>
        <w:t>有报道指出：使用碱性枸橼酸盐有利于残余结石碎片的清除(见下)。</w:t>
      </w:r>
    </w:p>
    <w:p>
      <w:pPr>
        <w:pStyle w:val="BodyText"/>
        <w:ind w:left="842"/>
        <w:spacing w:before="14" w:line="219" w:lineRule="auto"/>
        <w:rPr/>
      </w:pPr>
      <w:r>
        <w:rPr>
          <w:b/>
          <w:bCs/>
          <w:spacing w:val="2"/>
        </w:rPr>
        <w:t>给予枸橼酸制剂后导致枸橼酸排泄的增加，最重要的因素是肾小</w:t>
      </w:r>
      <w:r>
        <w:rPr>
          <w:b/>
          <w:bCs/>
          <w:spacing w:val="1"/>
        </w:rPr>
        <w:t>管细胞的碱化作用，而仅有很少一</w:t>
      </w:r>
    </w:p>
    <w:p>
      <w:pPr>
        <w:pStyle w:val="BodyText"/>
        <w:ind w:left="429"/>
        <w:spacing w:before="106" w:line="219" w:lineRule="auto"/>
        <w:rPr/>
      </w:pPr>
      <w:r>
        <w:rPr>
          <w:spacing w:val="1"/>
        </w:rPr>
        <w:t>部分外源性摄入的枸橼酸盐是随尿排出的。</w:t>
      </w:r>
    </w:p>
    <w:p>
      <w:pPr>
        <w:pStyle w:val="BodyText"/>
        <w:ind w:left="842"/>
        <w:spacing w:before="76" w:line="219" w:lineRule="auto"/>
        <w:rPr/>
      </w:pPr>
      <w:r>
        <w:rPr>
          <w:b/>
          <w:bCs/>
          <w:spacing w:val="2"/>
        </w:rPr>
        <w:t>用来预防钙结石复发的碱化剂有枸橼酸钾钠、枸橼酸钾、枸橼酸钠、枸橼酸</w:t>
      </w:r>
      <w:r>
        <w:rPr>
          <w:b/>
          <w:bCs/>
          <w:spacing w:val="1"/>
        </w:rPr>
        <w:t>钾镁、碳酸氢钾以及碳</w:t>
      </w:r>
    </w:p>
    <w:p>
      <w:pPr>
        <w:pStyle w:val="BodyText"/>
        <w:ind w:left="429"/>
        <w:spacing w:before="96" w:line="221" w:lineRule="auto"/>
        <w:rPr/>
      </w:pPr>
      <w:r>
        <w:rPr>
          <w:spacing w:val="-1"/>
        </w:rPr>
        <w:t>酸氢钠。</w:t>
      </w:r>
    </w:p>
    <w:p>
      <w:pPr>
        <w:pStyle w:val="BodyText"/>
        <w:ind w:left="429" w:firstLine="410"/>
        <w:spacing w:before="86" w:line="292" w:lineRule="auto"/>
        <w:jc w:val="both"/>
        <w:rPr/>
      </w:pPr>
      <w:r>
        <w:rPr>
          <w:spacing w:val="3"/>
        </w:rPr>
        <w:t>对碱性枸橼酸盐的使用做了四项随机性研究：关于枸橼酸钾两项[31,32],枸橼酸钾钠一项[33],枸橼 </w:t>
      </w:r>
      <w:r>
        <w:rPr>
          <w:spacing w:val="3"/>
        </w:rPr>
        <w:t>酸钠镁一项[34]。在使用枸橼酸钾的两项研究中均显示能显著降低结石复发率。使用枸橡酸钾镁的研究</w:t>
      </w:r>
      <w:r>
        <w:rPr>
          <w:spacing w:val="5"/>
        </w:rPr>
        <w:t xml:space="preserve">  </w:t>
      </w:r>
      <w:r>
        <w:rPr>
          <w:spacing w:val="4"/>
        </w:rPr>
        <w:t>也报道有较好的疗效，而只有使用枸橼酸钾钠的研究组与未治疗组相比疗效无</w:t>
      </w:r>
      <w:r>
        <w:rPr>
          <w:spacing w:val="3"/>
        </w:rPr>
        <w:t>显著性差异。</w:t>
      </w:r>
    </w:p>
    <w:p>
      <w:pPr>
        <w:pStyle w:val="BodyText"/>
        <w:ind w:left="429" w:right="100" w:firstLine="410"/>
        <w:spacing w:before="16" w:line="309" w:lineRule="auto"/>
        <w:jc w:val="both"/>
        <w:rPr/>
      </w:pPr>
      <w:r>
        <w:rPr>
          <w:spacing w:val="4"/>
        </w:rPr>
        <w:t>另一些关于碱性枸橼酸盐的非随机性研究则有不一致的结果。然</w:t>
      </w:r>
      <w:r>
        <w:rPr>
          <w:spacing w:val="3"/>
        </w:rPr>
        <w:t>而总体印象是：在防治结石的复发</w:t>
      </w:r>
      <w:r>
        <w:rPr/>
        <w:t xml:space="preserve"> </w:t>
      </w:r>
      <w:r>
        <w:rPr>
          <w:spacing w:val="-3"/>
        </w:rPr>
        <w:t>方面，枸橼酸钾[31,32,35-40]比枸橼酸钾钠[2,33,41,42]更具有潜力。通过观察枸橼酸钾和枸橼酸钠对尿</w:t>
      </w:r>
      <w:r>
        <w:rPr>
          <w:spacing w:val="9"/>
        </w:rPr>
        <w:t xml:space="preserve"> </w:t>
      </w:r>
      <w:r>
        <w:rPr>
          <w:spacing w:val="-2"/>
        </w:rPr>
        <w:t>液成分的不同影响，同样也支持上述结论[43]。</w:t>
      </w:r>
    </w:p>
    <w:p>
      <w:pPr>
        <w:ind w:left="4940"/>
        <w:spacing w:before="1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rPr>
        <w:t>—241—</w:t>
      </w:r>
    </w:p>
    <w:p>
      <w:pPr>
        <w:spacing w:before="30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340" w:bottom="0" w:left="380" w:header="0" w:footer="0" w:gutter="0"/>
        </w:sectPr>
        <w:rPr>
          <w:rFonts w:ascii="Times New Roman" w:hAnsi="Times New Roman" w:eastAsia="Times New Roman" w:cs="Times New Roman"/>
          <w:sz w:val="21"/>
          <w:szCs w:val="21"/>
        </w:rPr>
      </w:pPr>
    </w:p>
    <w:p>
      <w:pPr>
        <w:spacing w:line="336" w:lineRule="auto"/>
        <w:rPr>
          <w:rFonts w:ascii="Arial"/>
          <w:sz w:val="21"/>
        </w:rPr>
      </w:pPr>
      <w:r/>
    </w:p>
    <w:p>
      <w:pPr>
        <w:ind w:left="811"/>
        <w:spacing w:before="71" w:line="221" w:lineRule="auto"/>
        <w:rPr>
          <w:sz w:val="21"/>
          <w:szCs w:val="21"/>
        </w:rPr>
      </w:pPr>
      <w:r>
        <w:drawing>
          <wp:anchor distT="0" distB="0" distL="0" distR="0" simplePos="0" relativeHeight="251685888" behindDoc="0" locked="0" layoutInCell="1" allowOverlap="1">
            <wp:simplePos x="0" y="0"/>
            <wp:positionH relativeFrom="column">
              <wp:posOffset>323790</wp:posOffset>
            </wp:positionH>
            <wp:positionV relativeFrom="paragraph">
              <wp:posOffset>184356</wp:posOffset>
            </wp:positionV>
            <wp:extent cx="1562138" cy="6667"/>
            <wp:effectExtent l="0" t="0" r="0" b="0"/>
            <wp:wrapNone/>
            <wp:docPr id="38" name="IM 38"/>
            <wp:cNvGraphicFramePr/>
            <a:graphic>
              <a:graphicData uri="http://schemas.openxmlformats.org/drawingml/2006/picture">
                <pic:pic>
                  <pic:nvPicPr>
                    <pic:cNvPr id="38" name="IM 38"/>
                    <pic:cNvPicPr/>
                  </pic:nvPicPr>
                  <pic:blipFill>
                    <a:blip r:embed="rId94"/>
                    <a:stretch>
                      <a:fillRect/>
                    </a:stretch>
                  </pic:blipFill>
                  <pic:spPr>
                    <a:xfrm rot="0">
                      <a:off x="0" y="0"/>
                      <a:ext cx="1562138" cy="6667"/>
                    </a:xfrm>
                    <a:prstGeom prst="rect">
                      <a:avLst/>
                    </a:prstGeom>
                  </pic:spPr>
                </pic:pic>
              </a:graphicData>
            </a:graphic>
          </wp:anchor>
        </w:drawing>
      </w:r>
      <w:r>
        <w:rPr>
          <w:rFonts w:ascii="STXingkai" w:hAnsi="STXingkai" w:eastAsia="STXingkai" w:cs="STXingkai"/>
          <w:sz w:val="21"/>
          <w:szCs w:val="21"/>
          <w:b/>
          <w:bCs/>
          <w:spacing w:val="-21"/>
        </w:rPr>
        <w:t>附</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录</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1"/>
        </w:rPr>
        <w:t>·</w:t>
      </w:r>
      <w:r>
        <w:rPr>
          <w:rFonts w:ascii="STXingkai" w:hAnsi="STXingkai" w:eastAsia="STXingkai" w:cs="STXingkai"/>
          <w:sz w:val="21"/>
          <w:szCs w:val="21"/>
          <w:spacing w:val="-21"/>
        </w:rPr>
        <w:t xml:space="preserve">      </w:t>
      </w:r>
      <w:r>
        <w:rPr>
          <w:rFonts w:ascii="STXingkai" w:hAnsi="STXingkai" w:eastAsia="STXingkai" w:cs="STXingkai"/>
          <w:sz w:val="21"/>
          <w:szCs w:val="21"/>
          <w:b/>
          <w:bCs/>
          <w:spacing w:val="-21"/>
        </w:rPr>
        <w:t>指</w:t>
      </w:r>
      <w:r>
        <w:rPr>
          <w:rFonts w:ascii="STXingkai" w:hAnsi="STXingkai" w:eastAsia="STXingkai" w:cs="STXingkai"/>
          <w:sz w:val="21"/>
          <w:szCs w:val="21"/>
          <w:spacing w:val="1"/>
        </w:rPr>
        <w:t xml:space="preserve">     </w:t>
      </w:r>
      <w:r>
        <w:rPr>
          <w:rFonts w:ascii="STXingkai" w:hAnsi="STXingkai" w:eastAsia="STXingkai" w:cs="STXingkai"/>
          <w:sz w:val="21"/>
          <w:szCs w:val="21"/>
          <w:b/>
          <w:bCs/>
          <w:spacing w:val="-21"/>
        </w:rPr>
        <w:t>南</w:t>
      </w:r>
      <w:r>
        <w:rPr>
          <w:rFonts w:ascii="STXingkai" w:hAnsi="STXingkai" w:eastAsia="STXingkai" w:cs="STXingkai"/>
          <w:sz w:val="21"/>
          <w:szCs w:val="21"/>
          <w:spacing w:val="9"/>
        </w:rPr>
        <w:t xml:space="preserve">   </w:t>
      </w:r>
      <w:r>
        <w:rPr>
          <w:sz w:val="21"/>
          <w:szCs w:val="21"/>
          <w:position w:val="-17"/>
        </w:rPr>
        <w:drawing>
          <wp:inline distT="0" distB="0" distL="0" distR="0">
            <wp:extent cx="228601" cy="209487"/>
            <wp:effectExtent l="0" t="0" r="0" b="0"/>
            <wp:docPr id="40" name="IM 40"/>
            <wp:cNvGraphicFramePr/>
            <a:graphic>
              <a:graphicData uri="http://schemas.openxmlformats.org/drawingml/2006/picture">
                <pic:pic>
                  <pic:nvPicPr>
                    <pic:cNvPr id="40" name="IM 40"/>
                    <pic:cNvPicPr/>
                  </pic:nvPicPr>
                  <pic:blipFill>
                    <a:blip r:embed="rId95"/>
                    <a:stretch>
                      <a:fillRect/>
                    </a:stretch>
                  </pic:blipFill>
                  <pic:spPr>
                    <a:xfrm rot="0">
                      <a:off x="0" y="0"/>
                      <a:ext cx="228601" cy="209487"/>
                    </a:xfrm>
                    <a:prstGeom prst="rect">
                      <a:avLst/>
                    </a:prstGeom>
                  </pic:spPr>
                </pic:pic>
              </a:graphicData>
            </a:graphic>
          </wp:inline>
        </w:drawing>
      </w:r>
    </w:p>
    <w:p>
      <w:pPr>
        <w:pStyle w:val="BodyText"/>
        <w:ind w:left="922"/>
        <w:spacing w:before="214" w:line="219" w:lineRule="auto"/>
        <w:rPr/>
      </w:pPr>
      <w:r>
        <w:rPr>
          <w:b/>
          <w:bCs/>
        </w:rPr>
        <w:t>虽然枸橼酸钾镁能有效地预防结石的复发，但这种药物尚未广泛用于临床。需要进一步研究该药物</w:t>
      </w:r>
    </w:p>
    <w:p>
      <w:pPr>
        <w:pStyle w:val="BodyText"/>
        <w:ind w:left="509"/>
        <w:spacing w:before="85" w:line="220" w:lineRule="auto"/>
        <w:rPr/>
      </w:pPr>
      <w:r>
        <w:rPr>
          <w:spacing w:val="1"/>
        </w:rPr>
        <w:t>是否比枸橼酸钾更有效。</w:t>
      </w:r>
    </w:p>
    <w:p>
      <w:pPr>
        <w:pStyle w:val="BodyText"/>
        <w:ind w:left="509" w:right="40" w:firstLine="410"/>
        <w:spacing w:before="87" w:line="291" w:lineRule="auto"/>
        <w:jc w:val="both"/>
        <w:rPr/>
      </w:pPr>
      <w:r>
        <w:rPr>
          <w:spacing w:val="2"/>
        </w:rPr>
        <w:t>目前还没有相关研究说明碱性枸橼酸盐是否应该有选择性地应用于低枸橼酸尿</w:t>
      </w:r>
      <w:r>
        <w:rPr>
          <w:spacing w:val="1"/>
        </w:rPr>
        <w:t>的患者，或可以非选</w:t>
      </w:r>
      <w:r>
        <w:rPr/>
        <w:t xml:space="preserve"> </w:t>
      </w:r>
      <w:r>
        <w:rPr>
          <w:spacing w:val="2"/>
        </w:rPr>
        <w:t>择性地应用。然而，通过对文献资料的比较发现，现在更趋向于采用选择性的治疗方案[44]。而对随机</w:t>
      </w:r>
      <w:r>
        <w:rPr>
          <w:spacing w:val="3"/>
        </w:rPr>
        <w:t xml:space="preserve"> </w:t>
      </w:r>
      <w:r>
        <w:rPr>
          <w:spacing w:val="-2"/>
        </w:rPr>
        <w:t>性研究的荟萃分析并不能充分评价相应的治疗效果[29]。</w:t>
      </w:r>
    </w:p>
    <w:p>
      <w:pPr>
        <w:pStyle w:val="BodyText"/>
        <w:ind w:left="509" w:right="32"/>
        <w:spacing w:before="9" w:line="290" w:lineRule="auto"/>
        <w:jc w:val="both"/>
        <w:rPr/>
      </w:pPr>
      <w:r>
        <w:rPr>
          <w:spacing w:val="2"/>
        </w:rPr>
        <w:t>已有研究机构对在冲击波碎石术后，碱性枸橼酸盐能否增加结石清除率的作用进行了研究，其中包括欧</w:t>
      </w:r>
      <w:r>
        <w:rPr>
          <w:spacing w:val="8"/>
        </w:rPr>
        <w:t xml:space="preserve"> </w:t>
      </w:r>
      <w:r>
        <w:rPr>
          <w:spacing w:val="16"/>
        </w:rPr>
        <w:t>洲的多中心研究(尚未完成最后的分析)。结论与以前的研究相同，即枸橼酸钾钠[45]和枸橼酸钾</w:t>
      </w:r>
      <w:r>
        <w:rPr>
          <w:spacing w:val="15"/>
        </w:rPr>
        <w:t xml:space="preserve"> </w:t>
      </w:r>
      <w:r>
        <w:rPr>
          <w:spacing w:val="-5"/>
        </w:rPr>
        <w:t>[40,46]都能增加结石碎片的清除率。</w:t>
      </w:r>
    </w:p>
    <w:p>
      <w:pPr>
        <w:pStyle w:val="BodyText"/>
        <w:ind w:left="919"/>
        <w:spacing w:line="219" w:lineRule="auto"/>
        <w:rPr/>
      </w:pPr>
      <w:r>
        <w:rPr>
          <w:spacing w:val="4"/>
        </w:rPr>
        <w:t>服用碱性枸橼酸盐的副作用发生率高，患者耐受性</w:t>
      </w:r>
      <w:r>
        <w:rPr>
          <w:spacing w:val="3"/>
        </w:rPr>
        <w:t>不超过50%。</w:t>
      </w:r>
    </w:p>
    <w:p>
      <w:pPr>
        <w:pStyle w:val="BodyText"/>
        <w:ind w:right="17"/>
        <w:spacing w:before="99" w:line="219" w:lineRule="auto"/>
        <w:jc w:val="right"/>
        <w:rPr/>
      </w:pPr>
      <w:r>
        <w:rPr>
          <w:spacing w:val="-6"/>
        </w:rPr>
        <w:t>由于碱性枸橼酸盐对草酸钙、磷酸钙结晶以及结石形成有</w:t>
      </w:r>
      <w:r>
        <w:rPr>
          <w:spacing w:val="-7"/>
        </w:rPr>
        <w:t>多方面的影响，故被推荐用于预防结石复发。</w:t>
      </w:r>
    </w:p>
    <w:p>
      <w:pPr>
        <w:pStyle w:val="BodyText"/>
        <w:ind w:left="509" w:right="19" w:firstLine="410"/>
        <w:spacing w:before="83" w:line="288" w:lineRule="auto"/>
        <w:rPr/>
      </w:pPr>
      <w:r>
        <w:rPr>
          <w:spacing w:val="3"/>
        </w:rPr>
        <w:t>推荐药物为枸橼酸钾。尽管其对具有低枸橼酸排泄的患</w:t>
      </w:r>
      <w:r>
        <w:rPr>
          <w:spacing w:val="2"/>
        </w:rPr>
        <w:t>者可能是最有效的，但到目前为止还没有文</w:t>
      </w:r>
      <w:r>
        <w:rPr/>
        <w:t xml:space="preserve"> </w:t>
      </w:r>
      <w:r>
        <w:rPr>
          <w:spacing w:val="7"/>
        </w:rPr>
        <w:t>献能提供可靠的证据来支持该观点，故仍有待进一步</w:t>
      </w:r>
      <w:r>
        <w:rPr>
          <w:spacing w:val="6"/>
        </w:rPr>
        <w:t>的研究证实。理论上</w:t>
      </w:r>
      <w:r>
        <w:rPr>
          <w:rFonts w:ascii="Times New Roman" w:hAnsi="Times New Roman" w:eastAsia="Times New Roman" w:cs="Times New Roman"/>
        </w:rPr>
        <w:t>pH</w:t>
      </w:r>
      <w:r>
        <w:rPr>
          <w:spacing w:val="6"/>
        </w:rPr>
        <w:t>值的升高可增加形成磷酸</w:t>
      </w:r>
      <w:r>
        <w:rPr/>
        <w:t xml:space="preserve"> </w:t>
      </w:r>
      <w:r>
        <w:rPr>
          <w:spacing w:val="2"/>
        </w:rPr>
        <w:t>钙结石的风险，但尚未见到有关于这一问题</w:t>
      </w:r>
      <w:r>
        <w:rPr>
          <w:spacing w:val="1"/>
        </w:rPr>
        <w:t>的文献报道。</w:t>
      </w:r>
    </w:p>
    <w:p>
      <w:pPr>
        <w:pStyle w:val="BodyText"/>
        <w:ind w:left="922"/>
        <w:spacing w:before="4" w:line="219" w:lineRule="auto"/>
        <w:rPr/>
      </w:pPr>
      <w:r>
        <w:rPr>
          <w:b/>
          <w:bCs/>
          <w:spacing w:val="-8"/>
        </w:rPr>
        <w:t>14.2.3正磷酸盐</w:t>
      </w:r>
    </w:p>
    <w:p>
      <w:pPr>
        <w:pStyle w:val="BodyText"/>
        <w:ind w:left="509" w:right="27" w:firstLine="410"/>
        <w:spacing w:before="93" w:line="297" w:lineRule="auto"/>
        <w:jc w:val="both"/>
        <w:rPr/>
      </w:pPr>
      <w:r>
        <w:rPr>
          <w:spacing w:val="3"/>
        </w:rPr>
        <w:t>复发的草酸钙结石患者服用正磷酸盐，其理论依据是</w:t>
      </w:r>
      <w:r>
        <w:rPr>
          <w:spacing w:val="2"/>
        </w:rPr>
        <w:t>能减少钙的排泄以及增加焦磷酸盐的排泄。而</w:t>
      </w:r>
      <w:r>
        <w:rPr/>
        <w:t xml:space="preserve"> </w:t>
      </w:r>
      <w:r>
        <w:rPr>
          <w:spacing w:val="1"/>
        </w:rPr>
        <w:t>后者是草酸钙和磷酸钙晶体生长的抑制物。</w:t>
      </w:r>
      <w:r>
        <w:rPr>
          <w:spacing w:val="-60"/>
        </w:rPr>
        <w:t xml:space="preserve"> </w:t>
      </w:r>
      <w:r>
        <w:rPr>
          <w:spacing w:val="1"/>
        </w:rPr>
        <w:t>一般认为其对尿</w:t>
      </w:r>
      <w:r>
        <w:rPr/>
        <w:t>钙的影响是由于1,25</w:t>
      </w:r>
      <w:r>
        <w:rPr>
          <w:spacing w:val="-48"/>
        </w:rPr>
        <w:t xml:space="preserve"> </w:t>
      </w:r>
      <w:r>
        <w:rPr>
          <w:rFonts w:ascii="Times New Roman" w:hAnsi="Times New Roman" w:eastAsia="Times New Roman" w:cs="Times New Roman"/>
        </w:rPr>
        <w:t>(OH)2- </w:t>
      </w:r>
      <w:r>
        <w:rPr/>
        <w:t>维生素</w:t>
      </w:r>
      <w:r>
        <w:rPr>
          <w:rFonts w:ascii="Times New Roman" w:hAnsi="Times New Roman" w:eastAsia="Times New Roman" w:cs="Times New Roman"/>
        </w:rPr>
        <w:t>D</w:t>
      </w:r>
      <w:r>
        <w:rPr/>
        <w:t>介导的 </w:t>
      </w:r>
      <w:r>
        <w:rPr>
          <w:spacing w:val="8"/>
        </w:rPr>
        <w:t>钙吸收和骨重吸收的减少。也有报道指出服用正磷酸盐(中性)能增加尿液中的枸橼酸。</w:t>
      </w:r>
    </w:p>
    <w:p>
      <w:pPr>
        <w:pStyle w:val="BodyText"/>
        <w:ind w:left="509" w:right="40" w:firstLine="410"/>
        <w:spacing w:before="7" w:line="302" w:lineRule="auto"/>
        <w:rPr/>
      </w:pPr>
      <w:r>
        <w:rPr>
          <w:spacing w:val="1"/>
        </w:rPr>
        <w:t>目前关于正磷酸盐对结石形成的影响的研究并不多。</w:t>
      </w:r>
      <w:r>
        <w:rPr>
          <w:spacing w:val="-41"/>
        </w:rPr>
        <w:t xml:space="preserve"> </w:t>
      </w:r>
      <w:r>
        <w:rPr>
          <w:spacing w:val="1"/>
        </w:rPr>
        <w:t>一组随机性的安慰剂对照研究中，在服用磷酸</w:t>
      </w:r>
      <w:r>
        <w:rPr/>
        <w:t xml:space="preserve"> </w:t>
      </w:r>
      <w:r>
        <w:rPr>
          <w:spacing w:val="-2"/>
        </w:rPr>
        <w:t>二氢钾的3年内，正磷酸盐治疗组的结石形成率增加[47]。</w:t>
      </w:r>
    </w:p>
    <w:p>
      <w:pPr>
        <w:pStyle w:val="BodyText"/>
        <w:ind w:left="509" w:right="31" w:firstLine="410"/>
        <w:spacing w:before="1" w:line="299" w:lineRule="auto"/>
        <w:jc w:val="both"/>
        <w:rPr/>
      </w:pPr>
      <w:r>
        <w:rPr>
          <w:spacing w:val="3"/>
        </w:rPr>
        <w:t>有两项随机性研究也对使用磷酸盐治疗3年内的结</w:t>
      </w:r>
      <w:r>
        <w:rPr>
          <w:spacing w:val="2"/>
        </w:rPr>
        <w:t>石形成率进行了分析[16,17]。这两个研究的病例</w:t>
      </w:r>
      <w:r>
        <w:rPr/>
        <w:t xml:space="preserve"> </w:t>
      </w:r>
      <w:r>
        <w:rPr>
          <w:spacing w:val="2"/>
        </w:rPr>
        <w:t>数都较少，且治疗组和非治疗组的结果在统计学上无显著性差异。在另一些无对照的研究中[48,49],也</w:t>
      </w:r>
      <w:r>
        <w:rPr>
          <w:spacing w:val="3"/>
        </w:rPr>
        <w:t xml:space="preserve"> </w:t>
      </w:r>
      <w:r>
        <w:rPr/>
        <w:t>不能证实采用磷酸盐治疗有确切疗效。不过还是有能使结石形成率降低的文献报道[</w:t>
      </w:r>
      <w:r>
        <w:rPr>
          <w:spacing w:val="-1"/>
        </w:rPr>
        <w:t>50,51]。综上所述，</w:t>
      </w:r>
      <w:r>
        <w:rPr/>
        <w:t xml:space="preserve"> </w:t>
      </w:r>
      <w:r>
        <w:rPr>
          <w:spacing w:val="-2"/>
        </w:rPr>
        <w:t>目前还缺少科学的依据证实磷酸盐能有效预防钙结石的</w:t>
      </w:r>
      <w:r>
        <w:rPr>
          <w:spacing w:val="-3"/>
        </w:rPr>
        <w:t>形成[29,52]。</w:t>
      </w:r>
    </w:p>
    <w:p>
      <w:pPr>
        <w:pStyle w:val="BodyText"/>
        <w:ind w:left="509" w:right="12" w:firstLine="410"/>
        <w:spacing w:before="1" w:line="299" w:lineRule="auto"/>
        <w:jc w:val="both"/>
        <w:rPr/>
      </w:pPr>
      <w:r>
        <w:rPr>
          <w:spacing w:val="3"/>
        </w:rPr>
        <w:t>尽管有报道指出患者对该治疗的耐受性较好，但如腹泻</w:t>
      </w:r>
      <w:r>
        <w:rPr>
          <w:spacing w:val="2"/>
        </w:rPr>
        <w:t>、腹部痉挛性疼痛、恶心和呕吐等副作用仍</w:t>
      </w:r>
      <w:r>
        <w:rPr/>
        <w:t xml:space="preserve"> </w:t>
      </w:r>
      <w:r>
        <w:rPr>
          <w:spacing w:val="8"/>
        </w:rPr>
        <w:t>很常见。此外，还需要考虑对</w:t>
      </w:r>
      <w:r>
        <w:rPr>
          <w:rFonts w:ascii="Times New Roman" w:hAnsi="Times New Roman" w:eastAsia="Times New Roman" w:cs="Times New Roman"/>
        </w:rPr>
        <w:t>PTH</w:t>
      </w:r>
      <w:r>
        <w:rPr>
          <w:spacing w:val="8"/>
        </w:rPr>
        <w:t>(甲状旁腺激素)的影响。磷酸二氢钾缓慢释放有可能减少副作用的</w:t>
      </w:r>
      <w:r>
        <w:rPr>
          <w:spacing w:val="14"/>
        </w:rPr>
        <w:t xml:space="preserve"> </w:t>
      </w:r>
      <w:r>
        <w:rPr>
          <w:spacing w:val="-2"/>
        </w:rPr>
        <w:t>产生[53]。尚未阐明服用磷酸盐对磷酸钙结石形成的影响。</w:t>
      </w:r>
    </w:p>
    <w:p>
      <w:pPr>
        <w:pStyle w:val="BodyText"/>
        <w:ind w:left="509" w:right="27" w:firstLine="410"/>
        <w:spacing w:before="1" w:line="291" w:lineRule="auto"/>
        <w:rPr/>
      </w:pPr>
      <w:r>
        <w:rPr>
          <w:spacing w:val="3"/>
        </w:rPr>
        <w:t>目前只有非常微弱的证据表明正磷酸盐能显著减少草酸钙结石的形成。尽管对</w:t>
      </w:r>
      <w:r>
        <w:rPr>
          <w:spacing w:val="2"/>
        </w:rPr>
        <w:t>于吸收性高钙尿的患</w:t>
      </w:r>
      <w:r>
        <w:rPr/>
        <w:t xml:space="preserve"> </w:t>
      </w:r>
      <w:r>
        <w:rPr>
          <w:spacing w:val="2"/>
        </w:rPr>
        <w:t>者而言，该治疗方式可能是一种选择，但尚无充分的依据来推荐使用这种药物。</w:t>
      </w:r>
    </w:p>
    <w:p>
      <w:pPr>
        <w:pStyle w:val="BodyText"/>
        <w:ind w:left="922"/>
        <w:spacing w:before="13" w:line="219" w:lineRule="auto"/>
        <w:rPr/>
      </w:pPr>
      <w:r>
        <w:rPr>
          <w:b/>
          <w:bCs/>
          <w:spacing w:val="-14"/>
        </w:rPr>
        <w:t>14.2.4</w:t>
      </w:r>
      <w:r>
        <w:rPr>
          <w:spacing w:val="-14"/>
        </w:rPr>
        <w:t xml:space="preserve"> </w:t>
      </w:r>
      <w:r>
        <w:rPr>
          <w:b/>
          <w:bCs/>
          <w:spacing w:val="-14"/>
        </w:rPr>
        <w:t>镁剂</w:t>
      </w:r>
    </w:p>
    <w:p>
      <w:pPr>
        <w:pStyle w:val="BodyText"/>
        <w:ind w:left="509" w:firstLine="410"/>
        <w:spacing w:before="95" w:line="290" w:lineRule="auto"/>
        <w:jc w:val="both"/>
        <w:rPr/>
      </w:pPr>
      <w:r>
        <w:rPr>
          <w:spacing w:val="3"/>
        </w:rPr>
        <w:t>镁排泄的增加能够降低草酸钙的离子活度积，并能抑制磷酸钙晶体的生长。另外也可能增加枸橼酸</w:t>
      </w:r>
      <w:r>
        <w:rPr>
          <w:spacing w:val="18"/>
        </w:rPr>
        <w:t xml:space="preserve"> </w:t>
      </w:r>
      <w:r>
        <w:rPr>
          <w:spacing w:val="2"/>
        </w:rPr>
        <w:t>盐的排泄[54]。在磷酸钙不同的晶体态之间的转化方面，镁也被认为有重要作用。因此认为含高浓度镁</w:t>
      </w:r>
      <w:r>
        <w:rPr>
          <w:spacing w:val="3"/>
        </w:rPr>
        <w:t xml:space="preserve"> </w:t>
      </w:r>
      <w:r>
        <w:rPr>
          <w:spacing w:val="1"/>
        </w:rPr>
        <w:t>的尿液能够降低磷酸氢钙形成的风险。</w:t>
      </w:r>
    </w:p>
    <w:p>
      <w:pPr>
        <w:pStyle w:val="BodyText"/>
        <w:ind w:left="509" w:right="20" w:firstLine="410"/>
        <w:spacing w:line="303" w:lineRule="auto"/>
        <w:rPr/>
      </w:pPr>
      <w:r>
        <w:rPr>
          <w:spacing w:val="3"/>
        </w:rPr>
        <w:t>已有氧化镁、氢氧化镁、枸橼酸钾镁和门冬氨酸钾镁等应用于临床。枸橼酸钾镁的效果已在与</w:t>
      </w:r>
      <w:r>
        <w:rPr>
          <w:spacing w:val="2"/>
        </w:rPr>
        <w:t>碱性</w:t>
      </w:r>
      <w:r>
        <w:rPr/>
        <w:t xml:space="preserve"> </w:t>
      </w:r>
      <w:r>
        <w:rPr>
          <w:spacing w:val="7"/>
        </w:rPr>
        <w:t>枸橼酸盐有关的章节中(14.2.2章节)</w:t>
      </w:r>
      <w:r>
        <w:rPr>
          <w:spacing w:val="6"/>
        </w:rPr>
        <w:t>讨论过。</w:t>
      </w:r>
    </w:p>
    <w:p>
      <w:pPr>
        <w:pStyle w:val="BodyText"/>
        <w:ind w:left="509" w:right="16" w:firstLine="290"/>
        <w:spacing w:before="1" w:line="301" w:lineRule="auto"/>
        <w:jc w:val="both"/>
        <w:rPr/>
      </w:pPr>
      <w:r>
        <w:rPr>
          <w:spacing w:val="2"/>
        </w:rPr>
        <w:t>有两项关于镁的临床疗效的随机性研究，</w:t>
      </w:r>
      <w:r>
        <w:rPr>
          <w:spacing w:val="-40"/>
        </w:rPr>
        <w:t xml:space="preserve"> </w:t>
      </w:r>
      <w:r>
        <w:rPr>
          <w:spacing w:val="2"/>
        </w:rPr>
        <w:t>一项是使用氢氧化镁组与安慰剂对照组</w:t>
      </w:r>
      <w:r>
        <w:rPr>
          <w:spacing w:val="1"/>
        </w:rPr>
        <w:t>的比较[55];另一项</w:t>
      </w:r>
      <w:r>
        <w:rPr/>
        <w:t xml:space="preserve"> </w:t>
      </w:r>
      <w:r>
        <w:rPr>
          <w:spacing w:val="3"/>
        </w:rPr>
        <w:t>是使用氧化镁组与未治疗组之间的比较[16]。</w:t>
      </w:r>
      <w:r>
        <w:rPr>
          <w:spacing w:val="2"/>
        </w:rPr>
        <w:t>尽管两项研究分别进行了4年和3年的随访，但都未能显示</w:t>
      </w:r>
      <w:r>
        <w:rPr/>
        <w:t xml:space="preserve"> </w:t>
      </w:r>
      <w:r>
        <w:rPr>
          <w:spacing w:val="2"/>
        </w:rPr>
        <w:t>上述药物对结石形成的影响有统计学上的差异。</w:t>
      </w:r>
    </w:p>
    <w:p>
      <w:pPr>
        <w:pStyle w:val="BodyText"/>
        <w:ind w:left="509" w:right="113" w:firstLine="410"/>
        <w:spacing w:before="1" w:line="299" w:lineRule="auto"/>
        <w:rPr/>
      </w:pPr>
      <w:r>
        <w:rPr>
          <w:spacing w:val="-7"/>
        </w:rPr>
        <w:t>以前所报道[56,57]的关于服用镁剂的积极疗效并未能在近</w:t>
      </w:r>
      <w:r>
        <w:rPr>
          <w:spacing w:val="-8"/>
        </w:rPr>
        <w:t>期的对照性研究中得到证实[52,29]。因此，</w:t>
      </w:r>
      <w:r>
        <w:rPr/>
        <w:t xml:space="preserve"> </w:t>
      </w:r>
      <w:r>
        <w:rPr>
          <w:spacing w:val="2"/>
        </w:rPr>
        <w:t>尚缺乏足够的依据来推荐镁剂作为预防钙结石的单一疗法。</w:t>
      </w:r>
    </w:p>
    <w:p>
      <w:pPr>
        <w:pStyle w:val="BodyText"/>
        <w:ind w:left="922"/>
        <w:spacing w:line="220" w:lineRule="auto"/>
        <w:rPr/>
      </w:pPr>
      <w:r>
        <w:rPr>
          <w:b/>
          <w:bCs/>
          <w:spacing w:val="-5"/>
        </w:rPr>
        <w:t>14.2.5别嘌呤醇</w:t>
      </w:r>
    </w:p>
    <w:p>
      <w:pPr>
        <w:ind w:left="5029"/>
        <w:spacing w:before="283"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—242—</w:t>
      </w:r>
    </w:p>
    <w:p>
      <w:pPr>
        <w:spacing w:line="319" w:lineRule="auto"/>
        <w:rPr>
          <w:rFonts w:ascii="Arial"/>
          <w:sz w:val="21"/>
        </w:rPr>
      </w:pPr>
      <w:r/>
    </w:p>
    <w:p>
      <w:pPr>
        <w:spacing w:before="6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351" w:bottom="0" w:left="400" w:header="0" w:footer="0" w:gutter="0"/>
        </w:sectPr>
        <w:rPr>
          <w:rFonts w:ascii="Times New Roman" w:hAnsi="Times New Roman" w:eastAsia="Times New Roman" w:cs="Times New Roman"/>
          <w:sz w:val="21"/>
          <w:szCs w:val="21"/>
        </w:rPr>
      </w:pPr>
    </w:p>
    <w:p>
      <w:pPr>
        <w:spacing w:line="375" w:lineRule="auto"/>
        <w:rPr>
          <w:rFonts w:ascii="Arial"/>
          <w:sz w:val="21"/>
        </w:rPr>
      </w:pPr>
      <w:r/>
    </w:p>
    <w:p>
      <w:pPr>
        <w:ind w:left="7811"/>
        <w:spacing w:before="71" w:line="294" w:lineRule="exact"/>
        <w:rPr>
          <w:rFonts w:ascii="STXingkai" w:hAnsi="STXingkai" w:eastAsia="STXingkai" w:cs="STXingkai"/>
          <w:sz w:val="21"/>
          <w:szCs w:val="21"/>
        </w:rPr>
      </w:pPr>
      <w:r>
        <w:drawing>
          <wp:anchor distT="0" distB="0" distL="0" distR="0" simplePos="0" relativeHeight="251687936" behindDoc="0" locked="0" layoutInCell="1" allowOverlap="1">
            <wp:simplePos x="0" y="0"/>
            <wp:positionH relativeFrom="column">
              <wp:posOffset>4794244</wp:posOffset>
            </wp:positionH>
            <wp:positionV relativeFrom="paragraph">
              <wp:posOffset>184494</wp:posOffset>
            </wp:positionV>
            <wp:extent cx="1555742" cy="6667"/>
            <wp:effectExtent l="0" t="0" r="0" b="0"/>
            <wp:wrapNone/>
            <wp:docPr id="42" name="IM 42"/>
            <wp:cNvGraphicFramePr/>
            <a:graphic>
              <a:graphicData uri="http://schemas.openxmlformats.org/drawingml/2006/picture">
                <pic:pic>
                  <pic:nvPicPr>
                    <pic:cNvPr id="42" name="IM 42"/>
                    <pic:cNvPicPr/>
                  </pic:nvPicPr>
                  <pic:blipFill>
                    <a:blip r:embed="rId96"/>
                    <a:stretch>
                      <a:fillRect/>
                    </a:stretch>
                  </pic:blipFill>
                  <pic:spPr>
                    <a:xfrm rot="0">
                      <a:off x="0" y="0"/>
                      <a:ext cx="1555742" cy="6667"/>
                    </a:xfrm>
                    <a:prstGeom prst="rect">
                      <a:avLst/>
                    </a:prstGeom>
                  </pic:spPr>
                </pic:pic>
              </a:graphicData>
            </a:graphic>
          </wp:anchor>
        </w:drawing>
      </w:r>
      <w:r>
        <w:drawing>
          <wp:anchor distT="0" distB="0" distL="0" distR="0" simplePos="0" relativeHeight="251688960" behindDoc="0" locked="0" layoutInCell="1" allowOverlap="1">
            <wp:simplePos x="0" y="0"/>
            <wp:positionH relativeFrom="column">
              <wp:posOffset>4660905</wp:posOffset>
            </wp:positionH>
            <wp:positionV relativeFrom="paragraph">
              <wp:posOffset>96947</wp:posOffset>
            </wp:positionV>
            <wp:extent cx="209489" cy="209590"/>
            <wp:effectExtent l="0" t="0" r="0" b="0"/>
            <wp:wrapNone/>
            <wp:docPr id="44" name="IM 44"/>
            <wp:cNvGraphicFramePr/>
            <a:graphic>
              <a:graphicData uri="http://schemas.openxmlformats.org/drawingml/2006/picture">
                <pic:pic>
                  <pic:nvPicPr>
                    <pic:cNvPr id="44" name="IM 44"/>
                    <pic:cNvPicPr/>
                  </pic:nvPicPr>
                  <pic:blipFill>
                    <a:blip r:embed="rId97"/>
                    <a:stretch>
                      <a:fillRect/>
                    </a:stretch>
                  </pic:blipFill>
                  <pic:spPr>
                    <a:xfrm rot="0">
                      <a:off x="0" y="0"/>
                      <a:ext cx="209489" cy="209590"/>
                    </a:xfrm>
                    <a:prstGeom prst="rect">
                      <a:avLst/>
                    </a:prstGeom>
                  </pic:spPr>
                </pic:pic>
              </a:graphicData>
            </a:graphic>
          </wp:anchor>
        </w:drawing>
      </w:r>
      <w:r>
        <w:rPr>
          <w:rFonts w:ascii="STXingkai" w:hAnsi="STXingkai" w:eastAsia="STXingkai" w:cs="STXingkai"/>
          <w:sz w:val="21"/>
          <w:szCs w:val="21"/>
          <w:b/>
          <w:bCs/>
          <w:spacing w:val="-23"/>
          <w:position w:val="2"/>
        </w:rPr>
        <w:t>附</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23"/>
          <w:position w:val="2"/>
        </w:rPr>
        <w:t>录</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23"/>
          <w:position w:val="2"/>
        </w:rPr>
        <w:t>·</w:t>
      </w:r>
      <w:r>
        <w:rPr>
          <w:rFonts w:ascii="STXingkai" w:hAnsi="STXingkai" w:eastAsia="STXingkai" w:cs="STXingkai"/>
          <w:sz w:val="21"/>
          <w:szCs w:val="21"/>
          <w:spacing w:val="17"/>
          <w:w w:val="101"/>
          <w:position w:val="2"/>
        </w:rPr>
        <w:t xml:space="preserve">   </w:t>
      </w:r>
      <w:r>
        <w:rPr>
          <w:rFonts w:ascii="STXingkai" w:hAnsi="STXingkai" w:eastAsia="STXingkai" w:cs="STXingkai"/>
          <w:sz w:val="21"/>
          <w:szCs w:val="21"/>
          <w:b/>
          <w:bCs/>
          <w:spacing w:val="-23"/>
          <w:position w:val="2"/>
        </w:rPr>
        <w:t>指</w:t>
      </w:r>
      <w:r>
        <w:rPr>
          <w:rFonts w:ascii="STXingkai" w:hAnsi="STXingkai" w:eastAsia="STXingkai" w:cs="STXingkai"/>
          <w:sz w:val="21"/>
          <w:szCs w:val="21"/>
          <w:spacing w:val="-23"/>
          <w:position w:val="2"/>
        </w:rPr>
        <w:t xml:space="preserve">     </w:t>
      </w:r>
      <w:r>
        <w:rPr>
          <w:rFonts w:ascii="STXingkai" w:hAnsi="STXingkai" w:eastAsia="STXingkai" w:cs="STXingkai"/>
          <w:sz w:val="21"/>
          <w:szCs w:val="21"/>
          <w:b/>
          <w:bCs/>
          <w:spacing w:val="-23"/>
          <w:position w:val="2"/>
        </w:rPr>
        <w:t>南</w:t>
      </w:r>
    </w:p>
    <w:p>
      <w:pPr>
        <w:spacing w:line="265" w:lineRule="auto"/>
        <w:rPr>
          <w:rFonts w:ascii="Arial"/>
          <w:sz w:val="21"/>
        </w:rPr>
      </w:pPr>
      <w:r/>
    </w:p>
    <w:p>
      <w:pPr>
        <w:pStyle w:val="BodyText"/>
        <w:ind w:left="410" w:right="74" w:firstLine="419"/>
        <w:spacing w:before="68" w:line="291" w:lineRule="auto"/>
        <w:rPr/>
      </w:pPr>
      <w:r>
        <w:rPr>
          <w:spacing w:val="-2"/>
        </w:rPr>
        <w:t>在阐明了高尿酸尿与草酸钙结石形成之间的关系后，遂引入别嘌呤醇来抑制草酸钙结石的形成[58]。</w:t>
      </w:r>
      <w:r>
        <w:rPr>
          <w:spacing w:val="12"/>
        </w:rPr>
        <w:t xml:space="preserve"> </w:t>
      </w:r>
      <w:r>
        <w:rPr>
          <w:spacing w:val="8"/>
        </w:rPr>
        <w:t>别嘌呤醇对草酸钙结石形成的影响，可能是通过以下机制介导：减</w:t>
      </w:r>
      <w:r>
        <w:rPr>
          <w:spacing w:val="7"/>
        </w:rPr>
        <w:t>少盐析效应；降低可促进草酸钙沉</w:t>
      </w:r>
      <w:r>
        <w:rPr/>
        <w:t xml:space="preserve"> </w:t>
      </w:r>
      <w:r>
        <w:rPr>
          <w:spacing w:val="13"/>
        </w:rPr>
        <w:t>淀的尿酸或尿酸盐结晶的形成；使胶体尿酸盐与大</w:t>
      </w:r>
      <w:r>
        <w:rPr>
          <w:spacing w:val="12"/>
        </w:rPr>
        <w:t>分子抑制物之间形成复合物，以及(或者)可能减</w:t>
      </w:r>
      <w:r>
        <w:rPr/>
        <w:t xml:space="preserve"> </w:t>
      </w:r>
      <w:r>
        <w:rPr>
          <w:spacing w:val="3"/>
        </w:rPr>
        <w:t>少草酸盐的排泄。需要指出的是，别嘌呤醇还可以凭借其抗氧</w:t>
      </w:r>
      <w:r>
        <w:rPr>
          <w:spacing w:val="2"/>
        </w:rPr>
        <w:t>化功能而影响结晶作用。</w:t>
      </w:r>
    </w:p>
    <w:p>
      <w:pPr>
        <w:pStyle w:val="BodyText"/>
        <w:ind w:left="410" w:right="72" w:firstLine="419"/>
        <w:spacing w:before="13" w:line="290" w:lineRule="auto"/>
        <w:jc w:val="both"/>
        <w:rPr/>
      </w:pPr>
      <w:r>
        <w:rPr/>
        <w:t>临床上，别嘌呤醇已经用于治疗伴或不伴有高尿酸尿的患者。 一项有安慰剂对照的随机性研究</w:t>
      </w:r>
      <w:r>
        <w:rPr>
          <w:spacing w:val="-1"/>
        </w:rPr>
        <w:t>中，</w:t>
      </w:r>
      <w:r>
        <w:rPr/>
        <w:t xml:space="preserve"> </w:t>
      </w:r>
      <w:r>
        <w:rPr>
          <w:spacing w:val="5"/>
        </w:rPr>
        <w:t>别嘌呤醇治疗有高尿酸尿的草酸钙结石患者，发现服用别嘌呤醇组中有75%的患者没有结石复发，相比</w:t>
      </w:r>
      <w:r>
        <w:rPr>
          <w:spacing w:val="6"/>
        </w:rPr>
        <w:t xml:space="preserve"> </w:t>
      </w:r>
      <w:r>
        <w:rPr>
          <w:spacing w:val="5"/>
        </w:rPr>
        <w:t>之下，安慰剂对照组中仅45%的患者没有结石复发。此结果有统计学意义。另外三项随机性研究对别嘌</w:t>
      </w:r>
      <w:r>
        <w:rPr>
          <w:spacing w:val="4"/>
        </w:rPr>
        <w:t xml:space="preserve"> </w:t>
      </w:r>
      <w:r>
        <w:rPr>
          <w:spacing w:val="-1"/>
        </w:rPr>
        <w:t>呤醇治疗组与安慰剂组或未治疗组[16,17,5</w:t>
      </w:r>
      <w:r>
        <w:rPr>
          <w:spacing w:val="-2"/>
        </w:rPr>
        <w:t>9]进行了比较，研究中没有将高尿酸尿作为选择患者的标准，</w:t>
      </w:r>
      <w:r>
        <w:rPr/>
        <w:t xml:space="preserve"> </w:t>
      </w:r>
      <w:r>
        <w:rPr>
          <w:spacing w:val="3"/>
        </w:rPr>
        <w:t>而其结果均未显示经别嘌呤醇治疗组与未经别嘌呤醇治疗组的效果有任何显著差别。</w:t>
      </w:r>
    </w:p>
    <w:p>
      <w:pPr>
        <w:pStyle w:val="BodyText"/>
        <w:ind w:left="429" w:right="83" w:firstLine="400"/>
        <w:spacing w:line="297" w:lineRule="auto"/>
        <w:jc w:val="both"/>
        <w:rPr/>
      </w:pPr>
      <w:r>
        <w:rPr>
          <w:spacing w:val="4"/>
        </w:rPr>
        <w:t>对非选择性的草酸钙结石患者每日服用300</w:t>
      </w:r>
      <w:r>
        <w:rPr>
          <w:rFonts w:ascii="Times New Roman" w:hAnsi="Times New Roman" w:eastAsia="Times New Roman" w:cs="Times New Roman"/>
        </w:rPr>
        <w:t>mg</w:t>
      </w:r>
      <w:r>
        <w:rPr>
          <w:spacing w:val="4"/>
        </w:rPr>
        <w:t>别嘌呤醇的长</w:t>
      </w:r>
      <w:r>
        <w:rPr>
          <w:spacing w:val="3"/>
        </w:rPr>
        <w:t>期随访研究发现：别嘌呤醇对结石的形</w:t>
      </w:r>
      <w:r>
        <w:rPr/>
        <w:t xml:space="preserve"> </w:t>
      </w:r>
      <w:r>
        <w:rPr>
          <w:spacing w:val="2"/>
        </w:rPr>
        <w:t>成没有影响[60]。另一份瑞典的研究资料也记录了相似的结果[61]。这些结果与在治疗有高尿酸尿的患 </w:t>
      </w:r>
      <w:r>
        <w:rPr>
          <w:spacing w:val="-6"/>
        </w:rPr>
        <w:t>者中所获得的数据大不相同[62,63]。</w:t>
      </w:r>
    </w:p>
    <w:p>
      <w:pPr>
        <w:pStyle w:val="BodyText"/>
        <w:ind w:left="429" w:right="74" w:firstLine="400"/>
        <w:spacing w:before="10" w:line="291" w:lineRule="auto"/>
        <w:jc w:val="both"/>
        <w:rPr/>
      </w:pPr>
      <w:r>
        <w:rPr>
          <w:spacing w:val="3"/>
        </w:rPr>
        <w:t>患者对别嘌呤醇的耐受性较好，但有大剂量使用别嘌呤醇可能产生严重副作用的报道。目前还没有</w:t>
      </w:r>
      <w:r>
        <w:rPr/>
        <w:t xml:space="preserve"> </w:t>
      </w:r>
      <w:r>
        <w:rPr>
          <w:spacing w:val="7"/>
        </w:rPr>
        <w:t>使用别嘌呤醇的依从性方面的资料。综合研究表明，别嘌呤醇可用于治疗伴有高尿酸尿的草酸钙结石</w:t>
      </w:r>
      <w:r>
        <w:rPr>
          <w:spacing w:val="11"/>
        </w:rPr>
        <w:t xml:space="preserve"> </w:t>
      </w:r>
      <w:r>
        <w:rPr>
          <w:spacing w:val="2"/>
        </w:rPr>
        <w:t>患者，但不推荐用于治疗有其他生化异常的患者。</w:t>
      </w:r>
    </w:p>
    <w:p>
      <w:pPr>
        <w:pStyle w:val="BodyText"/>
        <w:ind w:left="829"/>
        <w:spacing w:before="17" w:line="219" w:lineRule="auto"/>
        <w:rPr/>
      </w:pPr>
      <w:r>
        <w:rPr>
          <w:spacing w:val="-3"/>
        </w:rPr>
        <w:t>14.2.6磷酸纤维素</w:t>
      </w:r>
    </w:p>
    <w:p>
      <w:pPr>
        <w:pStyle w:val="BodyText"/>
        <w:ind w:left="429" w:right="54" w:firstLine="400"/>
        <w:spacing w:before="88" w:line="292" w:lineRule="auto"/>
        <w:rPr/>
      </w:pPr>
      <w:r>
        <w:rPr>
          <w:spacing w:val="3"/>
        </w:rPr>
        <w:t>磷酸纤维素和磷酸纤维素钠已被用于减少吸收性高钙尿患者钙的吸收。不幸的是，这类药物与钙形</w:t>
      </w:r>
      <w:r>
        <w:rPr/>
        <w:t xml:space="preserve"> </w:t>
      </w:r>
      <w:r>
        <w:rPr>
          <w:spacing w:val="7"/>
        </w:rPr>
        <w:t>成复合物后又可能导致高草酸尿。与镁的结合可能引起低尿镁症，而且其他的离子成分也可能受到此</w:t>
      </w:r>
      <w:r>
        <w:rPr>
          <w:spacing w:val="9"/>
        </w:rPr>
        <w:t xml:space="preserve"> </w:t>
      </w:r>
      <w:r>
        <w:rPr>
          <w:spacing w:val="11"/>
        </w:rPr>
        <w:t>类药物的消极影响。九项(均为非随机性的)文献研究[64-71]的综合结果显示：在40%的患者中会有</w:t>
      </w:r>
      <w:r>
        <w:rPr>
          <w:spacing w:val="10"/>
        </w:rPr>
        <w:t xml:space="preserve"> </w:t>
      </w:r>
      <w:r>
        <w:rPr>
          <w:spacing w:val="-2"/>
        </w:rPr>
        <w:t>新的结石形成。</w:t>
      </w:r>
    </w:p>
    <w:p>
      <w:pPr>
        <w:pStyle w:val="BodyText"/>
        <w:ind w:left="829"/>
        <w:spacing w:before="32" w:line="219" w:lineRule="auto"/>
        <w:rPr/>
      </w:pPr>
      <w:r>
        <w:rPr>
          <w:spacing w:val="2"/>
        </w:rPr>
        <w:t>故不推荐磷酸纤维素和磷酸纤维素钠作为预防结石复发的药物。</w:t>
      </w:r>
    </w:p>
    <w:p>
      <w:pPr>
        <w:pStyle w:val="BodyText"/>
        <w:ind w:left="829"/>
        <w:spacing w:before="59" w:line="212" w:lineRule="auto"/>
        <w:rPr>
          <w:rFonts w:ascii="Times New Roman" w:hAnsi="Times New Roman" w:eastAsia="Times New Roman" w:cs="Times New Roman"/>
        </w:rPr>
      </w:pPr>
      <w:r>
        <w:rPr>
          <w:spacing w:val="4"/>
        </w:rPr>
        <w:t>14.2.7吡哆醇(维生素</w:t>
      </w:r>
      <w:r>
        <w:rPr>
          <w:rFonts w:ascii="Times New Roman" w:hAnsi="Times New Roman" w:eastAsia="Times New Roman" w:cs="Times New Roman"/>
          <w:spacing w:val="4"/>
        </w:rPr>
        <w:t>B6)</w:t>
      </w:r>
    </w:p>
    <w:p>
      <w:pPr>
        <w:pStyle w:val="BodyText"/>
        <w:ind w:left="429" w:right="52" w:firstLine="393"/>
        <w:spacing w:before="109" w:line="302" w:lineRule="auto"/>
        <w:rPr/>
      </w:pPr>
      <w:r>
        <w:rPr>
          <w:b/>
          <w:bCs/>
          <w:spacing w:val="-2"/>
        </w:rPr>
        <w:t>理论上讲，服用吡哆醇(维生素B6)</w:t>
      </w:r>
      <w:r>
        <w:rPr>
          <w:spacing w:val="44"/>
        </w:rPr>
        <w:t xml:space="preserve"> </w:t>
      </w:r>
      <w:r>
        <w:rPr>
          <w:b/>
          <w:bCs/>
          <w:spacing w:val="-2"/>
        </w:rPr>
        <w:t>可减少内源性草酸盐的生成。这种效应是由于磷酸吡哆醛可使乙</w:t>
      </w:r>
      <w:r>
        <w:rPr/>
        <w:t xml:space="preserve"> </w:t>
      </w:r>
      <w:r>
        <w:rPr/>
        <w:t>醛酸的转氨基反应增强。</w:t>
      </w:r>
    </w:p>
    <w:p>
      <w:pPr>
        <w:pStyle w:val="BodyText"/>
        <w:ind w:left="429" w:right="103" w:firstLine="403"/>
        <w:spacing w:before="2" w:line="296" w:lineRule="auto"/>
        <w:rPr/>
      </w:pPr>
      <w:r>
        <w:rPr>
          <w:b/>
          <w:bCs/>
          <w:spacing w:val="-7"/>
        </w:rPr>
        <w:t>已将毗哆醇与正磷酸盐相联合，成功地用于治疗原发性高草酸尿以及特发性高草酸尿的患者[72,73]。</w:t>
      </w:r>
      <w:r>
        <w:rPr>
          <w:spacing w:val="6"/>
        </w:rPr>
        <w:t xml:space="preserve">  </w:t>
      </w:r>
      <w:r>
        <w:rPr>
          <w:spacing w:val="2"/>
        </w:rPr>
        <w:t>但目前还没有对照性研究支持用吡哆醇治疗特发性草酸钙结石病。</w:t>
      </w:r>
    </w:p>
    <w:p>
      <w:pPr>
        <w:pStyle w:val="BodyText"/>
        <w:ind w:left="429" w:right="74" w:firstLine="400"/>
        <w:spacing w:before="9" w:line="291" w:lineRule="auto"/>
        <w:jc w:val="both"/>
        <w:rPr/>
      </w:pPr>
      <w:r>
        <w:rPr>
          <w:spacing w:val="3"/>
        </w:rPr>
        <w:t>由于原发性高草酸尿十分罕见，病情又很严重，因此尚无有关毗哆醇疗效的随机性研究。然而，有</w:t>
      </w:r>
      <w:r>
        <w:rPr>
          <w:spacing w:val="1"/>
        </w:rPr>
        <w:t xml:space="preserve"> </w:t>
      </w:r>
      <w:r>
        <w:rPr>
          <w:spacing w:val="3"/>
        </w:rPr>
        <w:t>几项研究证实，部分</w:t>
      </w:r>
      <w:r>
        <w:rPr>
          <w:rFonts w:ascii="Times New Roman" w:hAnsi="Times New Roman" w:eastAsia="Times New Roman" w:cs="Times New Roman"/>
          <w:spacing w:val="3"/>
        </w:rPr>
        <w:t>I</w:t>
      </w:r>
      <w:r>
        <w:rPr>
          <w:rFonts w:ascii="Times New Roman" w:hAnsi="Times New Roman" w:eastAsia="Times New Roman" w:cs="Times New Roman"/>
        </w:rPr>
        <w:t xml:space="preserve">  </w:t>
      </w:r>
      <w:r>
        <w:rPr>
          <w:spacing w:val="3"/>
        </w:rPr>
        <w:t>型高草酸尿患者对大剂量吡哆醇具有良好反</w:t>
      </w:r>
      <w:r>
        <w:rPr>
          <w:spacing w:val="2"/>
        </w:rPr>
        <w:t>应。由于缺乏其他有效的治疗方式，</w:t>
      </w:r>
      <w:r>
        <w:rPr/>
        <w:t xml:space="preserve"> </w:t>
      </w:r>
      <w:r>
        <w:rPr>
          <w:spacing w:val="4"/>
        </w:rPr>
        <w:t>采用吡哆醇的试验性治疗确实是有价值的，可用于减少</w:t>
      </w:r>
      <w:r>
        <w:rPr>
          <w:rFonts w:ascii="Times New Roman" w:hAnsi="Times New Roman" w:eastAsia="Times New Roman" w:cs="Times New Roman"/>
          <w:spacing w:val="4"/>
        </w:rPr>
        <w:t>I</w:t>
      </w:r>
      <w:r>
        <w:rPr>
          <w:rFonts w:ascii="Times New Roman" w:hAnsi="Times New Roman" w:eastAsia="Times New Roman" w:cs="Times New Roman"/>
          <w:spacing w:val="43"/>
          <w:w w:val="101"/>
        </w:rPr>
        <w:t xml:space="preserve"> </w:t>
      </w:r>
      <w:r>
        <w:rPr>
          <w:spacing w:val="4"/>
        </w:rPr>
        <w:t>型原发性高草酸尿患者草酸盐的排泄。</w:t>
      </w:r>
    </w:p>
    <w:p>
      <w:pPr>
        <w:pStyle w:val="BodyText"/>
        <w:ind w:left="429"/>
        <w:spacing w:before="7" w:line="219" w:lineRule="auto"/>
        <w:rPr/>
      </w:pPr>
      <w:r>
        <w:rPr>
          <w:spacing w:val="-5"/>
        </w:rPr>
        <w:t>14.2.8推荐意见</w:t>
      </w:r>
    </w:p>
    <w:p>
      <w:pPr>
        <w:pStyle w:val="BodyText"/>
        <w:ind w:left="429" w:right="69" w:firstLine="400"/>
        <w:spacing w:before="93" w:line="297" w:lineRule="auto"/>
        <w:rPr/>
      </w:pPr>
      <w:r>
        <w:rPr>
          <w:spacing w:val="3"/>
        </w:rPr>
        <w:t>使用氧化镁和氢氧化镁的单一疗法是无效的。然而，将镁盐与噻嗪类利尿剂联用后可能有一定效果</w:t>
      </w:r>
      <w:r>
        <w:rPr>
          <w:spacing w:val="2"/>
        </w:rPr>
        <w:t xml:space="preserve"> </w:t>
      </w:r>
      <w:r>
        <w:rPr>
          <w:spacing w:val="3"/>
        </w:rPr>
        <w:t>[74]。对于预防钙结石患者的复发，磷酸纤</w:t>
      </w:r>
      <w:r>
        <w:rPr>
          <w:spacing w:val="2"/>
        </w:rPr>
        <w:t>维素和磷酸纤维素钠无明显作用。同样地，合成或半合成的</w:t>
      </w:r>
      <w:r>
        <w:rPr/>
        <w:t xml:space="preserve"> </w:t>
      </w:r>
      <w:r>
        <w:rPr>
          <w:spacing w:val="10"/>
        </w:rPr>
        <w:t>氨基葡聚糖</w:t>
      </w:r>
      <w:r>
        <w:rPr>
          <w:rFonts w:ascii="Times New Roman" w:hAnsi="Times New Roman" w:eastAsia="Times New Roman" w:cs="Times New Roman"/>
          <w:spacing w:val="10"/>
        </w:rPr>
        <w:t>(</w:t>
      </w:r>
      <w:r>
        <w:rPr>
          <w:rFonts w:ascii="Times New Roman" w:hAnsi="Times New Roman" w:eastAsia="Times New Roman" w:cs="Times New Roman"/>
        </w:rPr>
        <w:t>GAGs</w:t>
      </w:r>
      <w:r>
        <w:rPr>
          <w:rFonts w:ascii="Times New Roman" w:hAnsi="Times New Roman" w:eastAsia="Times New Roman" w:cs="Times New Roman"/>
          <w:spacing w:val="10"/>
        </w:rPr>
        <w:t>)</w:t>
      </w:r>
      <w:r>
        <w:rPr>
          <w:spacing w:val="10"/>
        </w:rPr>
        <w:t>对预防也无明显作用(如：多硫戊聚糖钠)。</w:t>
      </w:r>
    </w:p>
    <w:p>
      <w:pPr>
        <w:pStyle w:val="BodyText"/>
        <w:ind w:left="499" w:firstLine="330"/>
        <w:spacing w:before="5" w:line="300" w:lineRule="auto"/>
        <w:jc w:val="both"/>
        <w:rPr/>
      </w:pPr>
      <w:r>
        <w:rPr>
          <w:spacing w:val="4"/>
        </w:rPr>
        <w:t>对于预防特发性钙结石的复发，有针对的选择性</w:t>
      </w:r>
      <w:r>
        <w:rPr>
          <w:spacing w:val="3"/>
        </w:rPr>
        <w:t>疗法是否要优于非选择性的疗法，还没有绝对统一</w:t>
      </w:r>
      <w:r>
        <w:rPr/>
        <w:t xml:space="preserve"> </w:t>
      </w:r>
      <w:r>
        <w:rPr/>
        <w:t>的意见。然而，在分析文献资料后发现：仍倾向于提倡针对个体的生化异常来进行有选择性的治疗[6]。</w:t>
      </w:r>
      <w:r>
        <w:rPr>
          <w:spacing w:val="9"/>
        </w:rPr>
        <w:t xml:space="preserve"> </w:t>
      </w:r>
      <w:r>
        <w:rPr>
          <w:spacing w:val="1"/>
        </w:rPr>
        <w:t>表25为针对选择性治疗方法的推荐方案。</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494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8"/>
        </w:rPr>
        <w:t>—243—</w:t>
      </w:r>
    </w:p>
    <w:p>
      <w:pPr>
        <w:spacing w:before="292"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04" w:bottom="0" w:left="380" w:header="0" w:footer="0" w:gutter="0"/>
        </w:sectPr>
        <w:rPr>
          <w:rFonts w:ascii="Times New Roman" w:hAnsi="Times New Roman" w:eastAsia="Times New Roman" w:cs="Times New Roman"/>
          <w:sz w:val="21"/>
          <w:szCs w:val="21"/>
        </w:rPr>
      </w:pPr>
    </w:p>
    <w:p>
      <w:pPr>
        <w:pStyle w:val="BodyText"/>
        <w:ind w:left="2083"/>
        <w:spacing w:before="315" w:line="207" w:lineRule="auto"/>
        <w:rPr>
          <w:sz w:val="24"/>
          <w:szCs w:val="24"/>
        </w:rPr>
      </w:pPr>
      <w:r>
        <w:rPr>
          <w:sz w:val="24"/>
          <w:szCs w:val="24"/>
          <w:b/>
          <w:bCs/>
          <w:spacing w:val="-2"/>
        </w:rPr>
        <w:t>表25复发性钙结石的不同药物治疗的证据水平和推荐</w:t>
      </w:r>
      <w:r>
        <w:rPr>
          <w:sz w:val="24"/>
          <w:szCs w:val="24"/>
          <w:b/>
          <w:bCs/>
          <w:spacing w:val="-3"/>
        </w:rPr>
        <w:t>级别</w:t>
      </w:r>
    </w:p>
    <w:tbl>
      <w:tblPr>
        <w:tblStyle w:val="TableNormal"/>
        <w:tblW w:w="8169" w:type="dxa"/>
        <w:tblInd w:w="10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67"/>
        <w:gridCol w:w="807"/>
        <w:gridCol w:w="1320"/>
        <w:gridCol w:w="2507"/>
        <w:gridCol w:w="1468"/>
      </w:tblGrid>
      <w:tr>
        <w:trPr>
          <w:trHeight w:val="584" w:hRule="atLeast"/>
        </w:trPr>
        <w:tc>
          <w:tcPr>
            <w:tcW w:w="2067" w:type="dxa"/>
            <w:vAlign w:val="top"/>
            <w:tcBorders>
              <w:right w:val="nil"/>
            </w:tcBorders>
          </w:tcPr>
          <w:p>
            <w:pPr>
              <w:pStyle w:val="TableText"/>
              <w:ind w:left="95"/>
              <w:spacing w:before="25" w:line="220" w:lineRule="auto"/>
              <w:rPr>
                <w:sz w:val="23"/>
                <w:szCs w:val="23"/>
              </w:rPr>
            </w:pPr>
            <w:r>
              <w:rPr>
                <w:sz w:val="23"/>
                <w:szCs w:val="23"/>
                <w:spacing w:val="5"/>
              </w:rPr>
              <w:t>药物</w:t>
            </w:r>
          </w:p>
        </w:tc>
        <w:tc>
          <w:tcPr>
            <w:tcW w:w="807" w:type="dxa"/>
            <w:vAlign w:val="top"/>
            <w:tcBorders>
              <w:left w:val="nil"/>
              <w:right w:val="nil"/>
            </w:tcBorders>
          </w:tcPr>
          <w:p>
            <w:pPr>
              <w:pStyle w:val="TableText"/>
              <w:ind w:left="393"/>
              <w:spacing w:before="155" w:line="182" w:lineRule="auto"/>
              <w:rPr>
                <w:sz w:val="23"/>
                <w:szCs w:val="23"/>
              </w:rPr>
            </w:pPr>
            <w:r>
              <w:rPr>
                <w:sz w:val="23"/>
                <w:szCs w:val="23"/>
                <w:spacing w:val="-2"/>
              </w:rPr>
              <w:t>LE</w:t>
            </w:r>
          </w:p>
        </w:tc>
        <w:tc>
          <w:tcPr>
            <w:tcW w:w="1320" w:type="dxa"/>
            <w:vAlign w:val="top"/>
            <w:tcBorders>
              <w:left w:val="nil"/>
              <w:right w:val="nil"/>
            </w:tcBorders>
          </w:tcPr>
          <w:p>
            <w:pPr>
              <w:pStyle w:val="TableText"/>
              <w:ind w:left="195"/>
              <w:spacing w:before="143" w:line="183" w:lineRule="auto"/>
              <w:rPr>
                <w:sz w:val="23"/>
                <w:szCs w:val="23"/>
              </w:rPr>
            </w:pPr>
            <w:r>
              <w:rPr>
                <w:sz w:val="23"/>
                <w:szCs w:val="23"/>
                <w:spacing w:val="-2"/>
              </w:rPr>
              <w:t>GR</w:t>
            </w:r>
          </w:p>
        </w:tc>
        <w:tc>
          <w:tcPr>
            <w:tcW w:w="2507" w:type="dxa"/>
            <w:vAlign w:val="top"/>
            <w:tcBorders>
              <w:left w:val="nil"/>
              <w:right w:val="nil"/>
            </w:tcBorders>
          </w:tcPr>
          <w:p>
            <w:pPr>
              <w:pStyle w:val="TableText"/>
              <w:ind w:left="819"/>
              <w:spacing w:before="31" w:line="219" w:lineRule="auto"/>
              <w:rPr>
                <w:sz w:val="23"/>
                <w:szCs w:val="23"/>
              </w:rPr>
            </w:pPr>
            <w:r>
              <w:rPr>
                <w:sz w:val="23"/>
                <w:szCs w:val="23"/>
                <w:b/>
                <w:bCs/>
                <w:spacing w:val="-5"/>
              </w:rPr>
              <w:t>参考文献</w:t>
            </w:r>
          </w:p>
        </w:tc>
        <w:tc>
          <w:tcPr>
            <w:tcW w:w="1468" w:type="dxa"/>
            <w:vAlign w:val="top"/>
            <w:tcBorders>
              <w:left w:val="nil"/>
            </w:tcBorders>
          </w:tcPr>
          <w:p>
            <w:pPr>
              <w:pStyle w:val="TableText"/>
              <w:ind w:left="442"/>
              <w:spacing w:before="21" w:line="220" w:lineRule="auto"/>
              <w:rPr>
                <w:sz w:val="23"/>
                <w:szCs w:val="23"/>
              </w:rPr>
            </w:pPr>
            <w:r>
              <w:rPr>
                <w:sz w:val="23"/>
                <w:szCs w:val="23"/>
                <w:b/>
                <w:bCs/>
                <w:spacing w:val="-5"/>
              </w:rPr>
              <w:t>评论</w:t>
            </w:r>
          </w:p>
        </w:tc>
      </w:tr>
      <w:tr>
        <w:trPr>
          <w:trHeight w:val="619" w:hRule="atLeast"/>
        </w:trPr>
        <w:tc>
          <w:tcPr>
            <w:tcW w:w="2067" w:type="dxa"/>
            <w:vAlign w:val="top"/>
            <w:tcBorders>
              <w:right w:val="nil"/>
            </w:tcBorders>
          </w:tcPr>
          <w:p>
            <w:pPr>
              <w:pStyle w:val="TableText"/>
              <w:ind w:left="95" w:right="227" w:firstLine="9"/>
              <w:spacing w:before="40" w:line="228" w:lineRule="auto"/>
              <w:rPr>
                <w:sz w:val="23"/>
                <w:szCs w:val="23"/>
              </w:rPr>
            </w:pPr>
            <w:r>
              <w:rPr>
                <w:sz w:val="23"/>
                <w:szCs w:val="23"/>
              </w:rPr>
              <w:t>噻嗪类/类噻嗪类</w:t>
            </w:r>
            <w:r>
              <w:rPr>
                <w:sz w:val="23"/>
                <w:szCs w:val="23"/>
                <w:spacing w:val="3"/>
              </w:rPr>
              <w:t xml:space="preserve"> </w:t>
            </w:r>
            <w:r>
              <w:rPr>
                <w:sz w:val="23"/>
                <w:szCs w:val="23"/>
                <w:spacing w:val="6"/>
              </w:rPr>
              <w:t>试剂</w:t>
            </w:r>
          </w:p>
        </w:tc>
        <w:tc>
          <w:tcPr>
            <w:tcW w:w="807" w:type="dxa"/>
            <w:vAlign w:val="top"/>
            <w:tcBorders>
              <w:left w:val="nil"/>
              <w:right w:val="nil"/>
            </w:tcBorders>
          </w:tcPr>
          <w:p>
            <w:pPr>
              <w:pStyle w:val="TableText"/>
              <w:ind w:left="263"/>
              <w:spacing w:before="273"/>
              <w:rPr>
                <w:sz w:val="23"/>
                <w:szCs w:val="23"/>
              </w:rPr>
            </w:pPr>
            <w:r>
              <w:rPr>
                <w:sz w:val="23"/>
                <w:szCs w:val="23"/>
                <w:spacing w:val="-6"/>
              </w:rPr>
              <w:t>la</w:t>
            </w:r>
          </w:p>
        </w:tc>
        <w:tc>
          <w:tcPr>
            <w:tcW w:w="1320" w:type="dxa"/>
            <w:vAlign w:val="top"/>
            <w:tcBorders>
              <w:left w:val="nil"/>
              <w:right w:val="nil"/>
            </w:tcBorders>
          </w:tcPr>
          <w:p>
            <w:pPr>
              <w:pStyle w:val="TableText"/>
              <w:ind w:left="446"/>
              <w:spacing w:before="308" w:line="184" w:lineRule="auto"/>
              <w:rPr>
                <w:sz w:val="23"/>
                <w:szCs w:val="23"/>
              </w:rPr>
            </w:pPr>
            <w:r>
              <w:rPr>
                <w:sz w:val="23"/>
                <w:szCs w:val="23"/>
              </w:rPr>
              <w:t>A</w:t>
            </w:r>
          </w:p>
        </w:tc>
        <w:tc>
          <w:tcPr>
            <w:tcW w:w="2507" w:type="dxa"/>
            <w:vAlign w:val="top"/>
            <w:tcBorders>
              <w:left w:val="nil"/>
              <w:right w:val="nil"/>
            </w:tcBorders>
          </w:tcPr>
          <w:p>
            <w:pPr>
              <w:pStyle w:val="TableText"/>
              <w:ind w:left="935"/>
              <w:spacing w:before="242"/>
              <w:rPr>
                <w:sz w:val="23"/>
                <w:szCs w:val="23"/>
              </w:rPr>
            </w:pPr>
            <w:r>
              <w:rPr>
                <w:sz w:val="23"/>
                <w:szCs w:val="23"/>
                <w:spacing w:val="-4"/>
              </w:rPr>
              <w:t>7-29</w:t>
            </w:r>
          </w:p>
        </w:tc>
        <w:tc>
          <w:tcPr>
            <w:tcW w:w="1468" w:type="dxa"/>
            <w:vAlign w:val="top"/>
            <w:tcBorders>
              <w:left w:val="nil"/>
            </w:tcBorders>
          </w:tcPr>
          <w:p>
            <w:pPr>
              <w:pStyle w:val="TableText"/>
              <w:ind w:left="429"/>
              <w:spacing w:before="263" w:line="239" w:lineRule="auto"/>
              <w:rPr>
                <w:sz w:val="23"/>
                <w:szCs w:val="23"/>
              </w:rPr>
            </w:pPr>
            <w:r>
              <w:rPr>
                <w:sz w:val="23"/>
                <w:szCs w:val="23"/>
                <w:spacing w:val="-4"/>
              </w:rPr>
              <w:t>14.2.1</w:t>
            </w:r>
          </w:p>
        </w:tc>
      </w:tr>
      <w:tr>
        <w:trPr>
          <w:trHeight w:val="279" w:hRule="atLeast"/>
        </w:trPr>
        <w:tc>
          <w:tcPr>
            <w:tcW w:w="2067" w:type="dxa"/>
            <w:vAlign w:val="top"/>
            <w:tcBorders>
              <w:right w:val="nil"/>
            </w:tcBorders>
          </w:tcPr>
          <w:p>
            <w:pPr>
              <w:pStyle w:val="TableText"/>
              <w:ind w:left="115"/>
              <w:spacing w:before="42" w:line="182" w:lineRule="auto"/>
              <w:rPr>
                <w:sz w:val="23"/>
                <w:szCs w:val="23"/>
              </w:rPr>
            </w:pPr>
            <w:r>
              <w:rPr>
                <w:sz w:val="23"/>
                <w:szCs w:val="23"/>
                <w:spacing w:val="-1"/>
              </w:rPr>
              <w:t>碱性枸橼酸盐</w:t>
            </w:r>
          </w:p>
        </w:tc>
        <w:tc>
          <w:tcPr>
            <w:tcW w:w="807" w:type="dxa"/>
            <w:vAlign w:val="top"/>
            <w:tcBorders>
              <w:left w:val="nil"/>
              <w:right w:val="nil"/>
            </w:tcBorders>
          </w:tcPr>
          <w:p>
            <w:pPr>
              <w:pStyle w:val="TableText"/>
              <w:ind w:left="273"/>
              <w:spacing w:before="44" w:line="180" w:lineRule="auto"/>
              <w:rPr>
                <w:sz w:val="23"/>
                <w:szCs w:val="23"/>
              </w:rPr>
            </w:pPr>
            <w:r>
              <w:rPr>
                <w:sz w:val="23"/>
                <w:szCs w:val="23"/>
                <w:spacing w:val="-7"/>
              </w:rPr>
              <w:t>1b</w:t>
            </w:r>
          </w:p>
        </w:tc>
        <w:tc>
          <w:tcPr>
            <w:tcW w:w="1320" w:type="dxa"/>
            <w:vAlign w:val="top"/>
            <w:tcBorders>
              <w:left w:val="nil"/>
              <w:right w:val="nil"/>
            </w:tcBorders>
          </w:tcPr>
          <w:p>
            <w:pPr>
              <w:pStyle w:val="TableText"/>
              <w:ind w:left="466"/>
              <w:spacing w:before="78" w:line="191" w:lineRule="exact"/>
              <w:rPr>
                <w:sz w:val="23"/>
                <w:szCs w:val="23"/>
              </w:rPr>
            </w:pPr>
            <w:r>
              <w:rPr>
                <w:sz w:val="23"/>
                <w:szCs w:val="23"/>
                <w:position w:val="-3"/>
              </w:rPr>
              <w:t>A</w:t>
            </w:r>
          </w:p>
        </w:tc>
        <w:tc>
          <w:tcPr>
            <w:tcW w:w="2507" w:type="dxa"/>
            <w:vAlign w:val="top"/>
            <w:tcBorders>
              <w:left w:val="nil"/>
              <w:right w:val="nil"/>
            </w:tcBorders>
          </w:tcPr>
          <w:p>
            <w:pPr>
              <w:pStyle w:val="TableText"/>
              <w:ind w:left="716"/>
              <w:spacing w:before="37" w:line="186" w:lineRule="auto"/>
              <w:rPr>
                <w:sz w:val="23"/>
                <w:szCs w:val="23"/>
              </w:rPr>
            </w:pPr>
            <w:r>
              <w:rPr>
                <w:sz w:val="23"/>
                <w:szCs w:val="23"/>
                <w:spacing w:val="-1"/>
              </w:rPr>
              <w:t>2,30-46-</w:t>
            </w:r>
          </w:p>
        </w:tc>
        <w:tc>
          <w:tcPr>
            <w:tcW w:w="1468" w:type="dxa"/>
            <w:vAlign w:val="top"/>
            <w:tcBorders>
              <w:left w:val="nil"/>
            </w:tcBorders>
          </w:tcPr>
          <w:p>
            <w:pPr>
              <w:pStyle w:val="TableText"/>
              <w:ind w:left="429"/>
              <w:spacing w:before="44" w:line="180" w:lineRule="auto"/>
              <w:rPr>
                <w:rFonts w:ascii="MS Gothic" w:hAnsi="MS Gothic" w:eastAsia="MS Gothic" w:cs="MS Gothic"/>
                <w:sz w:val="23"/>
                <w:szCs w:val="23"/>
              </w:rPr>
            </w:pPr>
            <w:r>
              <w:rPr>
                <w:sz w:val="23"/>
                <w:szCs w:val="23"/>
                <w:spacing w:val="-4"/>
              </w:rPr>
              <w:t>14.2.2</w:t>
            </w:r>
            <w:r>
              <w:rPr>
                <w:rFonts w:ascii="MS Gothic" w:hAnsi="MS Gothic" w:eastAsia="MS Gothic" w:cs="MS Gothic"/>
                <w:sz w:val="23"/>
                <w:szCs w:val="23"/>
                <w:spacing w:val="-4"/>
              </w:rPr>
              <w:t>↵</w:t>
            </w:r>
          </w:p>
        </w:tc>
      </w:tr>
      <w:tr>
        <w:trPr>
          <w:trHeight w:val="309" w:hRule="atLeast"/>
        </w:trPr>
        <w:tc>
          <w:tcPr>
            <w:tcW w:w="2067" w:type="dxa"/>
            <w:vAlign w:val="top"/>
            <w:tcBorders>
              <w:right w:val="nil"/>
            </w:tcBorders>
          </w:tcPr>
          <w:p>
            <w:pPr>
              <w:pStyle w:val="TableText"/>
              <w:ind w:left="115"/>
              <w:spacing w:before="53" w:line="197" w:lineRule="auto"/>
              <w:rPr>
                <w:sz w:val="23"/>
                <w:szCs w:val="23"/>
              </w:rPr>
            </w:pPr>
            <w:r>
              <w:rPr>
                <w:sz w:val="23"/>
                <w:szCs w:val="23"/>
                <w:spacing w:val="2"/>
              </w:rPr>
              <w:t>别嘌呤醇</w:t>
            </w:r>
          </w:p>
        </w:tc>
        <w:tc>
          <w:tcPr>
            <w:tcW w:w="807" w:type="dxa"/>
            <w:vAlign w:val="top"/>
            <w:tcBorders>
              <w:left w:val="nil"/>
              <w:right w:val="nil"/>
            </w:tcBorders>
          </w:tcPr>
          <w:p>
            <w:pPr>
              <w:pStyle w:val="TableText"/>
              <w:ind w:left="263"/>
              <w:spacing w:before="75" w:line="179" w:lineRule="auto"/>
              <w:rPr>
                <w:sz w:val="23"/>
                <w:szCs w:val="23"/>
              </w:rPr>
            </w:pPr>
            <w:r>
              <w:rPr>
                <w:sz w:val="23"/>
                <w:szCs w:val="23"/>
                <w:spacing w:val="-7"/>
              </w:rPr>
              <w:t>1b</w:t>
            </w:r>
          </w:p>
        </w:tc>
        <w:tc>
          <w:tcPr>
            <w:tcW w:w="1320" w:type="dxa"/>
            <w:vAlign w:val="top"/>
            <w:tcBorders>
              <w:left w:val="nil"/>
              <w:right w:val="nil"/>
            </w:tcBorders>
          </w:tcPr>
          <w:p>
            <w:pPr>
              <w:pStyle w:val="TableText"/>
              <w:ind w:left="466"/>
              <w:spacing w:before="110" w:line="189" w:lineRule="exact"/>
              <w:rPr>
                <w:sz w:val="23"/>
                <w:szCs w:val="23"/>
              </w:rPr>
            </w:pPr>
            <w:r>
              <w:rPr>
                <w:sz w:val="23"/>
                <w:szCs w:val="23"/>
                <w:spacing w:val="-1"/>
                <w:position w:val="-3"/>
              </w:rPr>
              <w:t>A*</w:t>
            </w:r>
          </w:p>
        </w:tc>
        <w:tc>
          <w:tcPr>
            <w:tcW w:w="2507" w:type="dxa"/>
            <w:vAlign w:val="top"/>
            <w:tcBorders>
              <w:left w:val="nil"/>
              <w:right w:val="nil"/>
            </w:tcBorders>
          </w:tcPr>
          <w:p>
            <w:pPr>
              <w:pStyle w:val="TableText"/>
              <w:ind w:left="516"/>
              <w:spacing w:before="68" w:line="185" w:lineRule="auto"/>
              <w:rPr>
                <w:sz w:val="23"/>
                <w:szCs w:val="23"/>
              </w:rPr>
            </w:pPr>
            <w:r>
              <w:rPr>
                <w:sz w:val="23"/>
                <w:szCs w:val="23"/>
                <w:spacing w:val="-3"/>
              </w:rPr>
              <w:t>16,17,58-63</w:t>
            </w:r>
          </w:p>
        </w:tc>
        <w:tc>
          <w:tcPr>
            <w:tcW w:w="1468" w:type="dxa"/>
            <w:vAlign w:val="top"/>
            <w:tcBorders>
              <w:left w:val="nil"/>
            </w:tcBorders>
          </w:tcPr>
          <w:p>
            <w:pPr>
              <w:pStyle w:val="TableText"/>
              <w:ind w:left="429"/>
              <w:spacing w:before="75" w:line="179" w:lineRule="auto"/>
              <w:rPr>
                <w:sz w:val="23"/>
                <w:szCs w:val="23"/>
              </w:rPr>
            </w:pPr>
            <w:r>
              <w:rPr>
                <w:sz w:val="23"/>
                <w:szCs w:val="23"/>
                <w:spacing w:val="-4"/>
              </w:rPr>
              <w:t>14.254</w:t>
            </w:r>
          </w:p>
        </w:tc>
      </w:tr>
      <w:tr>
        <w:trPr>
          <w:trHeight w:val="279" w:hRule="atLeast"/>
        </w:trPr>
        <w:tc>
          <w:tcPr>
            <w:tcW w:w="2067" w:type="dxa"/>
            <w:vAlign w:val="top"/>
            <w:tcBorders>
              <w:right w:val="nil"/>
            </w:tcBorders>
          </w:tcPr>
          <w:p>
            <w:pPr>
              <w:pStyle w:val="TableText"/>
              <w:ind w:left="95"/>
              <w:spacing w:before="23" w:line="197" w:lineRule="auto"/>
              <w:rPr>
                <w:sz w:val="23"/>
                <w:szCs w:val="23"/>
              </w:rPr>
            </w:pPr>
            <w:r>
              <w:rPr>
                <w:sz w:val="23"/>
                <w:szCs w:val="23"/>
                <w:spacing w:val="2"/>
              </w:rPr>
              <w:t>正磷酸盐</w:t>
            </w:r>
          </w:p>
        </w:tc>
        <w:tc>
          <w:tcPr>
            <w:tcW w:w="807" w:type="dxa"/>
            <w:vAlign w:val="top"/>
            <w:tcBorders>
              <w:left w:val="nil"/>
              <w:right w:val="nil"/>
            </w:tcBorders>
          </w:tcPr>
          <w:p>
            <w:pPr>
              <w:pStyle w:val="TableText"/>
              <w:ind w:left="232"/>
              <w:spacing w:before="67" w:line="162" w:lineRule="auto"/>
              <w:rPr>
                <w:sz w:val="23"/>
                <w:szCs w:val="23"/>
              </w:rPr>
            </w:pPr>
            <w:r>
              <w:rPr>
                <w:sz w:val="23"/>
                <w:szCs w:val="23"/>
                <w:spacing w:val="-4"/>
              </w:rPr>
              <w:t>30</w:t>
            </w:r>
          </w:p>
        </w:tc>
        <w:tc>
          <w:tcPr>
            <w:tcW w:w="1320" w:type="dxa"/>
            <w:vAlign w:val="top"/>
            <w:tcBorders>
              <w:left w:val="nil"/>
              <w:right w:val="nil"/>
            </w:tcBorders>
          </w:tcPr>
          <w:p>
            <w:pPr>
              <w:rPr>
                <w:rFonts w:ascii="Arial"/>
                <w:sz w:val="21"/>
              </w:rPr>
            </w:pPr>
            <w:r/>
          </w:p>
        </w:tc>
        <w:tc>
          <w:tcPr>
            <w:tcW w:w="2507" w:type="dxa"/>
            <w:vAlign w:val="top"/>
            <w:tcBorders>
              <w:left w:val="nil"/>
              <w:right w:val="nil"/>
            </w:tcBorders>
          </w:tcPr>
          <w:p>
            <w:pPr>
              <w:pStyle w:val="TableText"/>
              <w:ind w:left="536"/>
              <w:spacing w:before="39" w:line="184" w:lineRule="auto"/>
              <w:rPr>
                <w:sz w:val="23"/>
                <w:szCs w:val="23"/>
              </w:rPr>
            </w:pPr>
            <w:r>
              <w:rPr>
                <w:sz w:val="23"/>
                <w:szCs w:val="23"/>
                <w:spacing w:val="-2"/>
              </w:rPr>
              <w:t>16,17,29,47-53</w:t>
            </w:r>
          </w:p>
        </w:tc>
        <w:tc>
          <w:tcPr>
            <w:tcW w:w="1468" w:type="dxa"/>
            <w:vAlign w:val="top"/>
            <w:tcBorders>
              <w:left w:val="nil"/>
            </w:tcBorders>
          </w:tcPr>
          <w:p>
            <w:pPr>
              <w:pStyle w:val="TableText"/>
              <w:ind w:left="429"/>
              <w:spacing w:before="45" w:line="179" w:lineRule="auto"/>
              <w:rPr>
                <w:sz w:val="23"/>
                <w:szCs w:val="23"/>
              </w:rPr>
            </w:pPr>
            <w:r>
              <w:rPr>
                <w:sz w:val="23"/>
                <w:szCs w:val="23"/>
                <w:spacing w:val="-4"/>
              </w:rPr>
              <w:t>14.2.3</w:t>
            </w:r>
          </w:p>
        </w:tc>
      </w:tr>
      <w:tr>
        <w:trPr>
          <w:trHeight w:val="299" w:hRule="atLeast"/>
        </w:trPr>
        <w:tc>
          <w:tcPr>
            <w:tcW w:w="2067" w:type="dxa"/>
            <w:vAlign w:val="top"/>
            <w:tcBorders>
              <w:right w:val="nil"/>
            </w:tcBorders>
          </w:tcPr>
          <w:p>
            <w:pPr>
              <w:pStyle w:val="TableText"/>
              <w:ind w:left="85"/>
              <w:spacing w:before="27" w:line="210" w:lineRule="auto"/>
              <w:rPr>
                <w:sz w:val="23"/>
                <w:szCs w:val="23"/>
              </w:rPr>
            </w:pPr>
            <w:r>
              <w:rPr>
                <w:sz w:val="23"/>
                <w:szCs w:val="23"/>
              </w:rPr>
              <w:t>镁</w:t>
            </w:r>
          </w:p>
        </w:tc>
        <w:tc>
          <w:tcPr>
            <w:tcW w:w="807" w:type="dxa"/>
            <w:vAlign w:val="top"/>
            <w:tcBorders>
              <w:left w:val="nil"/>
              <w:right w:val="nil"/>
            </w:tcBorders>
          </w:tcPr>
          <w:p>
            <w:pPr>
              <w:pStyle w:val="TableText"/>
              <w:ind w:left="232"/>
              <w:spacing w:before="67" w:line="178" w:lineRule="auto"/>
              <w:rPr>
                <w:sz w:val="23"/>
                <w:szCs w:val="23"/>
              </w:rPr>
            </w:pPr>
            <w:r>
              <w:rPr>
                <w:sz w:val="23"/>
                <w:szCs w:val="23"/>
                <w:spacing w:val="-4"/>
              </w:rPr>
              <w:t>30</w:t>
            </w:r>
          </w:p>
        </w:tc>
        <w:tc>
          <w:tcPr>
            <w:tcW w:w="1320" w:type="dxa"/>
            <w:vAlign w:val="top"/>
            <w:tcBorders>
              <w:left w:val="nil"/>
              <w:right w:val="nil"/>
            </w:tcBorders>
          </w:tcPr>
          <w:p>
            <w:pPr>
              <w:pStyle w:val="TableText"/>
              <w:ind w:left="455"/>
              <w:spacing w:before="175" w:line="114" w:lineRule="exact"/>
              <w:rPr>
                <w:sz w:val="23"/>
                <w:szCs w:val="23"/>
              </w:rPr>
            </w:pPr>
            <w:r>
              <w:rPr>
                <w:sz w:val="23"/>
                <w:szCs w:val="23"/>
                <w:position w:val="-5"/>
              </w:rPr>
              <w:t>-</w:t>
            </w:r>
          </w:p>
        </w:tc>
        <w:tc>
          <w:tcPr>
            <w:tcW w:w="2507" w:type="dxa"/>
            <w:vAlign w:val="top"/>
            <w:tcBorders>
              <w:left w:val="nil"/>
              <w:right w:val="nil"/>
            </w:tcBorders>
          </w:tcPr>
          <w:p>
            <w:pPr>
              <w:pStyle w:val="TableText"/>
              <w:ind w:left="525"/>
              <w:spacing w:before="41" w:line="199" w:lineRule="auto"/>
              <w:rPr>
                <w:sz w:val="23"/>
                <w:szCs w:val="23"/>
              </w:rPr>
            </w:pPr>
            <w:r>
              <w:rPr>
                <w:sz w:val="23"/>
                <w:szCs w:val="23"/>
                <w:spacing w:val="-3"/>
              </w:rPr>
              <w:t>16,29.54-57</w:t>
            </w:r>
          </w:p>
        </w:tc>
        <w:tc>
          <w:tcPr>
            <w:tcW w:w="1468" w:type="dxa"/>
            <w:vAlign w:val="top"/>
            <w:tcBorders>
              <w:left w:val="nil"/>
            </w:tcBorders>
          </w:tcPr>
          <w:p>
            <w:pPr>
              <w:pStyle w:val="TableText"/>
              <w:ind w:left="429"/>
              <w:spacing w:before="67" w:line="178" w:lineRule="auto"/>
              <w:rPr>
                <w:sz w:val="23"/>
                <w:szCs w:val="23"/>
              </w:rPr>
            </w:pPr>
            <w:r>
              <w:rPr>
                <w:sz w:val="23"/>
                <w:szCs w:val="23"/>
                <w:spacing w:val="-4"/>
              </w:rPr>
              <w:t>14.2.4e</w:t>
            </w:r>
          </w:p>
        </w:tc>
      </w:tr>
      <w:tr>
        <w:trPr>
          <w:trHeight w:val="289" w:hRule="atLeast"/>
        </w:trPr>
        <w:tc>
          <w:tcPr>
            <w:tcW w:w="2067" w:type="dxa"/>
            <w:vAlign w:val="top"/>
            <w:tcBorders>
              <w:right w:val="nil"/>
            </w:tcBorders>
          </w:tcPr>
          <w:p>
            <w:pPr>
              <w:pStyle w:val="TableText"/>
              <w:ind w:left="104"/>
              <w:spacing w:before="44" w:line="188" w:lineRule="auto"/>
              <w:rPr>
                <w:sz w:val="23"/>
                <w:szCs w:val="23"/>
              </w:rPr>
            </w:pPr>
            <w:r>
              <w:rPr>
                <w:sz w:val="23"/>
                <w:szCs w:val="23"/>
                <w:spacing w:val="2"/>
              </w:rPr>
              <w:t>维生素B6</w:t>
            </w:r>
          </w:p>
        </w:tc>
        <w:tc>
          <w:tcPr>
            <w:tcW w:w="807" w:type="dxa"/>
            <w:vAlign w:val="top"/>
            <w:tcBorders>
              <w:left w:val="nil"/>
              <w:right w:val="nil"/>
            </w:tcBorders>
          </w:tcPr>
          <w:p>
            <w:pPr>
              <w:pStyle w:val="TableText"/>
              <w:ind w:left="243"/>
              <w:spacing w:before="58" w:line="177" w:lineRule="auto"/>
              <w:rPr>
                <w:sz w:val="23"/>
                <w:szCs w:val="23"/>
              </w:rPr>
            </w:pPr>
            <w:r>
              <w:rPr>
                <w:sz w:val="23"/>
                <w:szCs w:val="23"/>
                <w:spacing w:val="-3"/>
              </w:rPr>
              <w:t>2be</w:t>
            </w:r>
          </w:p>
        </w:tc>
        <w:tc>
          <w:tcPr>
            <w:tcW w:w="1320" w:type="dxa"/>
            <w:vAlign w:val="top"/>
            <w:tcBorders>
              <w:left w:val="nil"/>
              <w:right w:val="nil"/>
            </w:tcBorders>
          </w:tcPr>
          <w:p>
            <w:pPr>
              <w:pStyle w:val="TableText"/>
              <w:ind w:left="455"/>
              <w:spacing w:before="96" w:line="183" w:lineRule="exact"/>
              <w:rPr>
                <w:sz w:val="23"/>
                <w:szCs w:val="23"/>
              </w:rPr>
            </w:pPr>
            <w:r>
              <w:rPr>
                <w:sz w:val="23"/>
                <w:szCs w:val="23"/>
                <w:spacing w:val="-1"/>
                <w:position w:val="-3"/>
              </w:rPr>
              <w:t>B**</w:t>
            </w:r>
          </w:p>
        </w:tc>
        <w:tc>
          <w:tcPr>
            <w:tcW w:w="2507" w:type="dxa"/>
            <w:vAlign w:val="top"/>
            <w:tcBorders>
              <w:left w:val="nil"/>
              <w:right w:val="nil"/>
            </w:tcBorders>
          </w:tcPr>
          <w:p>
            <w:pPr>
              <w:pStyle w:val="TableText"/>
              <w:ind w:left="946"/>
              <w:spacing w:before="78" w:line="161" w:lineRule="auto"/>
              <w:rPr>
                <w:sz w:val="23"/>
                <w:szCs w:val="23"/>
              </w:rPr>
            </w:pPr>
            <w:r>
              <w:rPr>
                <w:sz w:val="23"/>
                <w:szCs w:val="23"/>
                <w:spacing w:val="-3"/>
              </w:rPr>
              <w:t>72-730</w:t>
            </w:r>
          </w:p>
        </w:tc>
        <w:tc>
          <w:tcPr>
            <w:tcW w:w="1468" w:type="dxa"/>
            <w:vAlign w:val="top"/>
            <w:tcBorders>
              <w:left w:val="nil"/>
            </w:tcBorders>
          </w:tcPr>
          <w:p>
            <w:pPr>
              <w:pStyle w:val="TableText"/>
              <w:ind w:left="408"/>
              <w:spacing w:before="78" w:line="161" w:lineRule="auto"/>
              <w:rPr>
                <w:sz w:val="23"/>
                <w:szCs w:val="23"/>
              </w:rPr>
            </w:pPr>
            <w:r>
              <w:rPr>
                <w:sz w:val="23"/>
                <w:szCs w:val="23"/>
                <w:spacing w:val="-4"/>
              </w:rPr>
              <w:t>14.2.70</w:t>
            </w:r>
          </w:p>
        </w:tc>
      </w:tr>
      <w:tr>
        <w:trPr>
          <w:trHeight w:val="898" w:hRule="atLeast"/>
        </w:trPr>
        <w:tc>
          <w:tcPr>
            <w:tcW w:w="2067" w:type="dxa"/>
            <w:vAlign w:val="top"/>
            <w:tcBorders>
              <w:right w:val="nil"/>
            </w:tcBorders>
          </w:tcPr>
          <w:p>
            <w:pPr>
              <w:pStyle w:val="TableText"/>
              <w:ind w:left="95"/>
              <w:spacing w:before="16" w:line="219" w:lineRule="auto"/>
              <w:rPr>
                <w:sz w:val="23"/>
                <w:szCs w:val="23"/>
              </w:rPr>
            </w:pPr>
            <w:r>
              <w:rPr>
                <w:sz w:val="23"/>
                <w:szCs w:val="23"/>
                <w:spacing w:val="-2"/>
              </w:rPr>
              <w:t>磷酸纤维素</w:t>
            </w:r>
          </w:p>
          <w:p>
            <w:pPr>
              <w:pStyle w:val="TableText"/>
              <w:ind w:left="135"/>
              <w:spacing w:before="67" w:line="219" w:lineRule="auto"/>
              <w:rPr>
                <w:sz w:val="23"/>
                <w:szCs w:val="23"/>
              </w:rPr>
            </w:pPr>
            <w:r>
              <w:rPr>
                <w:sz w:val="23"/>
                <w:szCs w:val="23"/>
                <w:spacing w:val="2"/>
              </w:rPr>
              <w:t>磷酸纤维素钠</w:t>
            </w:r>
          </w:p>
        </w:tc>
        <w:tc>
          <w:tcPr>
            <w:tcW w:w="807" w:type="dxa"/>
            <w:vAlign w:val="top"/>
            <w:tcBorders>
              <w:left w:val="nil"/>
              <w:right w:val="nil"/>
            </w:tcBorders>
          </w:tcPr>
          <w:p>
            <w:pPr>
              <w:rPr>
                <w:rFonts w:ascii="Arial"/>
                <w:sz w:val="21"/>
              </w:rPr>
            </w:pPr>
            <w:r/>
          </w:p>
        </w:tc>
        <w:tc>
          <w:tcPr>
            <w:tcW w:w="1320" w:type="dxa"/>
            <w:vAlign w:val="top"/>
            <w:tcBorders>
              <w:left w:val="nil"/>
              <w:right w:val="nil"/>
            </w:tcBorders>
          </w:tcPr>
          <w:p>
            <w:pPr>
              <w:pStyle w:val="TableText"/>
              <w:ind w:left="345"/>
              <w:spacing w:before="40" w:line="222" w:lineRule="auto"/>
              <w:rPr>
                <w:sz w:val="23"/>
                <w:szCs w:val="23"/>
              </w:rPr>
            </w:pPr>
            <w:r>
              <w:rPr>
                <w:sz w:val="23"/>
                <w:szCs w:val="23"/>
                <w:spacing w:val="4"/>
              </w:rPr>
              <w:t>不推</w:t>
            </w:r>
          </w:p>
          <w:p>
            <w:pPr>
              <w:pStyle w:val="TableText"/>
              <w:ind w:left="575" w:right="640" w:hanging="139"/>
              <w:spacing w:before="18" w:line="222" w:lineRule="auto"/>
              <w:rPr>
                <w:sz w:val="23"/>
                <w:szCs w:val="23"/>
              </w:rPr>
            </w:pPr>
            <w:r>
              <w:rPr>
                <w:sz w:val="23"/>
                <w:szCs w:val="23"/>
                <w:spacing w:val="-10"/>
              </w:rPr>
              <w:t>荐</w:t>
            </w:r>
            <w:r>
              <w:rPr>
                <w:sz w:val="23"/>
                <w:szCs w:val="23"/>
              </w:rPr>
              <w:t xml:space="preserve"> </w:t>
            </w:r>
            <w:r>
              <w:rPr>
                <w:sz w:val="23"/>
                <w:szCs w:val="23"/>
                <w:spacing w:val="-12"/>
              </w:rPr>
              <w:t>2</w:t>
            </w:r>
          </w:p>
        </w:tc>
        <w:tc>
          <w:tcPr>
            <w:tcW w:w="2507" w:type="dxa"/>
            <w:vAlign w:val="top"/>
            <w:tcBorders>
              <w:left w:val="nil"/>
              <w:right w:val="nil"/>
            </w:tcBorders>
          </w:tcPr>
          <w:p>
            <w:pPr>
              <w:pStyle w:val="TableText"/>
              <w:ind w:left="956"/>
              <w:spacing w:before="268"/>
              <w:rPr>
                <w:sz w:val="23"/>
                <w:szCs w:val="23"/>
              </w:rPr>
            </w:pPr>
            <w:r>
              <w:rPr>
                <w:sz w:val="23"/>
                <w:szCs w:val="23"/>
                <w:spacing w:val="-3"/>
              </w:rPr>
              <w:t>64-71</w:t>
            </w:r>
          </w:p>
        </w:tc>
        <w:tc>
          <w:tcPr>
            <w:tcW w:w="1468" w:type="dxa"/>
            <w:vAlign w:val="top"/>
            <w:tcBorders>
              <w:left w:val="nil"/>
            </w:tcBorders>
          </w:tcPr>
          <w:p>
            <w:pPr>
              <w:pStyle w:val="TableText"/>
              <w:ind w:left="408"/>
              <w:spacing w:before="239" w:line="239" w:lineRule="auto"/>
              <w:rPr>
                <w:sz w:val="23"/>
                <w:szCs w:val="23"/>
              </w:rPr>
            </w:pPr>
            <w:r>
              <w:rPr>
                <w:sz w:val="23"/>
                <w:szCs w:val="23"/>
                <w:spacing w:val="-5"/>
              </w:rPr>
              <w:t>142.6</w:t>
            </w:r>
          </w:p>
        </w:tc>
      </w:tr>
      <w:tr>
        <w:trPr>
          <w:trHeight w:val="594" w:hRule="atLeast"/>
        </w:trPr>
        <w:tc>
          <w:tcPr>
            <w:tcW w:w="8169" w:type="dxa"/>
            <w:vAlign w:val="top"/>
            <w:gridSpan w:val="5"/>
          </w:tcPr>
          <w:p>
            <w:pPr>
              <w:pStyle w:val="TableText"/>
              <w:ind w:left="135" w:right="2161"/>
              <w:spacing w:before="58" w:line="211" w:lineRule="auto"/>
              <w:rPr>
                <w:sz w:val="23"/>
                <w:szCs w:val="23"/>
              </w:rPr>
            </w:pPr>
            <w:r>
              <w:rPr>
                <w:sz w:val="23"/>
                <w:szCs w:val="23"/>
              </w:rPr>
              <w:t>*仅针对有高尿酸尿的患者： 米*仅针对有高草酸</w:t>
            </w:r>
            <w:r>
              <w:rPr>
                <w:sz w:val="23"/>
                <w:szCs w:val="23"/>
                <w:spacing w:val="-1"/>
              </w:rPr>
              <w:t>尿的患者</w:t>
            </w:r>
            <w:r>
              <w:rPr>
                <w:sz w:val="23"/>
                <w:szCs w:val="23"/>
              </w:rPr>
              <w:t xml:space="preserve"> </w:t>
            </w:r>
            <w:r>
              <w:rPr>
                <w:sz w:val="23"/>
                <w:szCs w:val="23"/>
              </w:rPr>
              <w:t>LE</w:t>
            </w:r>
            <w:r>
              <w:rPr>
                <w:sz w:val="23"/>
                <w:szCs w:val="23"/>
                <w:spacing w:val="35"/>
              </w:rPr>
              <w:t>=证据级别：</w:t>
            </w:r>
            <w:r>
              <w:rPr>
                <w:sz w:val="23"/>
                <w:szCs w:val="23"/>
                <w:spacing w:val="113"/>
              </w:rPr>
              <w:t xml:space="preserve"> </w:t>
            </w:r>
            <w:r>
              <w:rPr>
                <w:sz w:val="23"/>
                <w:szCs w:val="23"/>
              </w:rPr>
              <w:t>GR</w:t>
            </w:r>
            <w:r>
              <w:rPr>
                <w:sz w:val="23"/>
                <w:szCs w:val="23"/>
                <w:spacing w:val="35"/>
              </w:rPr>
              <w:t>=推荐等级</w:t>
            </w:r>
          </w:p>
        </w:tc>
      </w:tr>
    </w:tbl>
    <w:p>
      <w:pPr>
        <w:pStyle w:val="BodyText"/>
        <w:ind w:left="1999"/>
        <w:spacing w:before="293" w:line="183" w:lineRule="auto"/>
        <w:rPr>
          <w:sz w:val="23"/>
          <w:szCs w:val="23"/>
        </w:rPr>
      </w:pPr>
      <w:r>
        <w:rPr>
          <w:sz w:val="23"/>
          <w:szCs w:val="23"/>
          <w:spacing w:val="-1"/>
        </w:rPr>
        <w:t>表26尿液成分异常的钙结石患者所推荐的选择性治疗方案*</w:t>
      </w:r>
    </w:p>
    <w:tbl>
      <w:tblPr>
        <w:tblStyle w:val="TableNormal"/>
        <w:tblW w:w="8153" w:type="dxa"/>
        <w:tblInd w:w="9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86"/>
        <w:gridCol w:w="5367"/>
      </w:tblGrid>
      <w:tr>
        <w:trPr>
          <w:trHeight w:val="284" w:hRule="atLeast"/>
        </w:trPr>
        <w:tc>
          <w:tcPr>
            <w:tcW w:w="2786" w:type="dxa"/>
            <w:vAlign w:val="top"/>
            <w:tcBorders>
              <w:right w:val="nil"/>
            </w:tcBorders>
          </w:tcPr>
          <w:p>
            <w:pPr>
              <w:pStyle w:val="TableText"/>
              <w:ind w:left="114"/>
              <w:spacing w:before="33" w:line="193" w:lineRule="auto"/>
              <w:rPr>
                <w:sz w:val="23"/>
                <w:szCs w:val="23"/>
              </w:rPr>
            </w:pPr>
            <w:r>
              <w:rPr>
                <w:sz w:val="23"/>
                <w:szCs w:val="23"/>
                <w:spacing w:val="2"/>
              </w:rPr>
              <w:t>治疗方法</w:t>
            </w:r>
          </w:p>
        </w:tc>
        <w:tc>
          <w:tcPr>
            <w:tcW w:w="5367" w:type="dxa"/>
            <w:vAlign w:val="top"/>
            <w:tcBorders>
              <w:left w:val="nil"/>
            </w:tcBorders>
          </w:tcPr>
          <w:p>
            <w:pPr>
              <w:pStyle w:val="TableText"/>
              <w:ind w:left="2923"/>
              <w:spacing w:before="32" w:line="194" w:lineRule="auto"/>
              <w:rPr>
                <w:sz w:val="23"/>
                <w:szCs w:val="23"/>
              </w:rPr>
            </w:pPr>
            <w:r>
              <w:rPr>
                <w:sz w:val="23"/>
                <w:szCs w:val="23"/>
                <w:spacing w:val="2"/>
              </w:rPr>
              <w:t>异常情况</w:t>
            </w:r>
          </w:p>
        </w:tc>
      </w:tr>
      <w:tr>
        <w:trPr>
          <w:trHeight w:val="788" w:hRule="atLeast"/>
        </w:trPr>
        <w:tc>
          <w:tcPr>
            <w:tcW w:w="2786" w:type="dxa"/>
            <w:vAlign w:val="top"/>
            <w:tcBorders>
              <w:right w:val="nil"/>
            </w:tcBorders>
          </w:tcPr>
          <w:p>
            <w:pPr>
              <w:pStyle w:val="TableText"/>
              <w:ind w:left="94"/>
              <w:spacing w:before="28" w:line="217" w:lineRule="auto"/>
              <w:rPr>
                <w:sz w:val="23"/>
                <w:szCs w:val="23"/>
              </w:rPr>
            </w:pPr>
            <w:r>
              <w:rPr>
                <w:sz w:val="23"/>
                <w:szCs w:val="23"/>
                <w:spacing w:val="2"/>
              </w:rPr>
              <w:t>噻嗪类利尿药1</w:t>
            </w:r>
          </w:p>
          <w:p>
            <w:pPr>
              <w:pStyle w:val="TableText"/>
              <w:ind w:left="94"/>
              <w:spacing w:line="219" w:lineRule="auto"/>
              <w:rPr>
                <w:sz w:val="23"/>
                <w:szCs w:val="23"/>
              </w:rPr>
            </w:pPr>
            <w:r>
              <w:rPr>
                <w:sz w:val="23"/>
                <w:szCs w:val="23"/>
              </w:rPr>
              <w:t>噻嗪类利尿药+镁</w:t>
            </w:r>
          </w:p>
        </w:tc>
        <w:tc>
          <w:tcPr>
            <w:tcW w:w="5367" w:type="dxa"/>
            <w:vAlign w:val="top"/>
            <w:tcBorders>
              <w:left w:val="nil"/>
            </w:tcBorders>
          </w:tcPr>
          <w:p>
            <w:pPr>
              <w:pStyle w:val="TableText"/>
              <w:ind w:left="823"/>
              <w:spacing w:before="28" w:line="217" w:lineRule="auto"/>
              <w:rPr>
                <w:sz w:val="23"/>
                <w:szCs w:val="23"/>
              </w:rPr>
            </w:pPr>
            <w:r>
              <w:rPr>
                <w:sz w:val="23"/>
                <w:szCs w:val="23"/>
                <w:spacing w:val="1"/>
              </w:rPr>
              <w:t>1)高钙尿</w:t>
            </w:r>
          </w:p>
          <w:p>
            <w:pPr>
              <w:pStyle w:val="TableText"/>
              <w:ind w:left="1223"/>
              <w:spacing w:line="200" w:lineRule="auto"/>
              <w:rPr>
                <w:sz w:val="23"/>
                <w:szCs w:val="23"/>
              </w:rPr>
            </w:pPr>
            <w:r>
              <w:rPr>
                <w:sz w:val="23"/>
                <w:szCs w:val="23"/>
                <w:spacing w:val="1"/>
              </w:rPr>
              <w:t>2)磷酸氢钙结石形成</w:t>
            </w:r>
          </w:p>
          <w:p>
            <w:pPr>
              <w:pStyle w:val="TableText"/>
              <w:ind w:left="1233"/>
              <w:spacing w:line="184" w:lineRule="auto"/>
              <w:rPr>
                <w:sz w:val="23"/>
                <w:szCs w:val="23"/>
              </w:rPr>
            </w:pPr>
            <w:r>
              <w:rPr>
                <w:sz w:val="23"/>
                <w:szCs w:val="23"/>
                <w:spacing w:val="1"/>
              </w:rPr>
              <w:t>3)其他异常情况</w:t>
            </w:r>
          </w:p>
        </w:tc>
      </w:tr>
      <w:tr>
        <w:trPr>
          <w:trHeight w:val="1317" w:hRule="atLeast"/>
        </w:trPr>
        <w:tc>
          <w:tcPr>
            <w:tcW w:w="2786" w:type="dxa"/>
            <w:vAlign w:val="top"/>
            <w:tcBorders>
              <w:right w:val="nil"/>
            </w:tcBorders>
          </w:tcPr>
          <w:p>
            <w:pPr>
              <w:spacing w:line="241" w:lineRule="auto"/>
              <w:rPr>
                <w:rFonts w:ascii="Arial"/>
                <w:sz w:val="21"/>
              </w:rPr>
            </w:pPr>
            <w:r/>
          </w:p>
          <w:p>
            <w:pPr>
              <w:spacing w:line="242" w:lineRule="auto"/>
              <w:rPr>
                <w:rFonts w:ascii="Arial"/>
                <w:sz w:val="21"/>
              </w:rPr>
            </w:pPr>
            <w:r/>
          </w:p>
          <w:p>
            <w:pPr>
              <w:pStyle w:val="TableText"/>
              <w:ind w:left="84"/>
              <w:spacing w:before="75" w:line="220" w:lineRule="auto"/>
              <w:rPr>
                <w:sz w:val="23"/>
                <w:szCs w:val="23"/>
              </w:rPr>
            </w:pPr>
            <w:r>
              <w:rPr>
                <w:sz w:val="23"/>
                <w:szCs w:val="23"/>
                <w:spacing w:val="-1"/>
              </w:rPr>
              <w:t>碱性枸橼酸盐</w:t>
            </w:r>
          </w:p>
        </w:tc>
        <w:tc>
          <w:tcPr>
            <w:tcW w:w="5367" w:type="dxa"/>
            <w:vAlign w:val="top"/>
            <w:tcBorders>
              <w:left w:val="nil"/>
            </w:tcBorders>
          </w:tcPr>
          <w:p>
            <w:pPr>
              <w:pStyle w:val="TableText"/>
              <w:ind w:left="1243"/>
              <w:spacing w:before="31" w:line="216" w:lineRule="auto"/>
              <w:rPr>
                <w:sz w:val="23"/>
                <w:szCs w:val="23"/>
              </w:rPr>
            </w:pPr>
            <w:r>
              <w:rPr>
                <w:sz w:val="23"/>
                <w:szCs w:val="23"/>
                <w:spacing w:val="1"/>
              </w:rPr>
              <w:t>1)低枸橼酸盐尿症</w:t>
            </w:r>
          </w:p>
          <w:p>
            <w:pPr>
              <w:pStyle w:val="TableText"/>
              <w:ind w:left="1243"/>
              <w:spacing w:line="216" w:lineRule="auto"/>
              <w:rPr>
                <w:sz w:val="23"/>
                <w:szCs w:val="23"/>
              </w:rPr>
            </w:pPr>
            <w:r>
              <w:rPr>
                <w:sz w:val="23"/>
                <w:szCs w:val="23"/>
                <w:spacing w:val="4"/>
              </w:rPr>
              <w:t>1)</w:t>
            </w:r>
            <w:r>
              <w:rPr>
                <w:sz w:val="23"/>
                <w:szCs w:val="23"/>
              </w:rPr>
              <w:t>RTA</w:t>
            </w:r>
            <w:r>
              <w:rPr>
                <w:sz w:val="23"/>
                <w:szCs w:val="23"/>
                <w:spacing w:val="4"/>
              </w:rPr>
              <w:t>(肾小管性酸中毒)</w:t>
            </w:r>
          </w:p>
          <w:p>
            <w:pPr>
              <w:pStyle w:val="TableText"/>
              <w:ind w:left="1223"/>
              <w:spacing w:line="201" w:lineRule="auto"/>
              <w:rPr>
                <w:sz w:val="23"/>
                <w:szCs w:val="23"/>
              </w:rPr>
            </w:pPr>
            <w:r>
              <w:rPr>
                <w:sz w:val="23"/>
                <w:szCs w:val="23"/>
                <w:spacing w:val="1"/>
              </w:rPr>
              <w:t>2)肠原性高草酸尿</w:t>
            </w:r>
          </w:p>
          <w:p>
            <w:pPr>
              <w:pStyle w:val="TableText"/>
              <w:ind w:left="1223"/>
              <w:spacing w:before="1" w:line="207" w:lineRule="auto"/>
              <w:rPr>
                <w:sz w:val="23"/>
                <w:szCs w:val="23"/>
              </w:rPr>
            </w:pPr>
            <w:r>
              <w:rPr>
                <w:sz w:val="23"/>
                <w:szCs w:val="23"/>
                <w:spacing w:val="1"/>
              </w:rPr>
              <w:t>3)低抑制活性2</w:t>
            </w:r>
          </w:p>
          <w:p>
            <w:pPr>
              <w:pStyle w:val="TableText"/>
              <w:ind w:left="1223"/>
              <w:spacing w:before="1" w:line="181" w:lineRule="auto"/>
              <w:rPr>
                <w:sz w:val="23"/>
                <w:szCs w:val="23"/>
              </w:rPr>
            </w:pPr>
            <w:r>
              <w:rPr>
                <w:sz w:val="23"/>
                <w:szCs w:val="23"/>
                <w:spacing w:val="-1"/>
              </w:rPr>
              <w:t>4)其他异常情况</w:t>
            </w:r>
          </w:p>
        </w:tc>
      </w:tr>
      <w:tr>
        <w:trPr>
          <w:trHeight w:val="269" w:hRule="atLeast"/>
        </w:trPr>
        <w:tc>
          <w:tcPr>
            <w:tcW w:w="2786" w:type="dxa"/>
            <w:vAlign w:val="top"/>
            <w:tcBorders>
              <w:right w:val="nil"/>
            </w:tcBorders>
          </w:tcPr>
          <w:p>
            <w:pPr>
              <w:pStyle w:val="TableText"/>
              <w:ind w:left="94"/>
              <w:spacing w:before="34" w:line="180" w:lineRule="auto"/>
              <w:rPr>
                <w:sz w:val="23"/>
                <w:szCs w:val="23"/>
              </w:rPr>
            </w:pPr>
            <w:r>
              <w:rPr>
                <w:sz w:val="23"/>
                <w:szCs w:val="23"/>
                <w:spacing w:val="2"/>
              </w:rPr>
              <w:t>别嘌呤醇</w:t>
            </w:r>
          </w:p>
        </w:tc>
        <w:tc>
          <w:tcPr>
            <w:tcW w:w="5367" w:type="dxa"/>
            <w:vAlign w:val="top"/>
            <w:tcBorders>
              <w:left w:val="nil"/>
            </w:tcBorders>
          </w:tcPr>
          <w:p>
            <w:pPr>
              <w:pStyle w:val="TableText"/>
              <w:ind w:left="1253"/>
              <w:spacing w:before="33" w:line="181" w:lineRule="auto"/>
              <w:rPr>
                <w:sz w:val="23"/>
                <w:szCs w:val="23"/>
              </w:rPr>
            </w:pPr>
            <w:r>
              <w:rPr>
                <w:sz w:val="23"/>
                <w:szCs w:val="23"/>
                <w:spacing w:val="1"/>
              </w:rPr>
              <w:t>1)高尿酸尿</w:t>
            </w:r>
          </w:p>
        </w:tc>
      </w:tr>
      <w:tr>
        <w:trPr>
          <w:trHeight w:val="529" w:hRule="atLeast"/>
        </w:trPr>
        <w:tc>
          <w:tcPr>
            <w:tcW w:w="2786" w:type="dxa"/>
            <w:vAlign w:val="top"/>
            <w:tcBorders>
              <w:right w:val="nil"/>
            </w:tcBorders>
          </w:tcPr>
          <w:p>
            <w:pPr>
              <w:pStyle w:val="TableText"/>
              <w:ind w:left="114"/>
              <w:spacing w:before="35" w:line="219" w:lineRule="auto"/>
              <w:rPr>
                <w:sz w:val="23"/>
                <w:szCs w:val="23"/>
              </w:rPr>
            </w:pPr>
            <w:r>
              <w:rPr>
                <w:sz w:val="23"/>
                <w:szCs w:val="23"/>
                <w:spacing w:val="5"/>
              </w:rPr>
              <w:t>吡哆醇(维生素B6)</w:t>
            </w:r>
          </w:p>
        </w:tc>
        <w:tc>
          <w:tcPr>
            <w:tcW w:w="5367" w:type="dxa"/>
            <w:vAlign w:val="top"/>
            <w:tcBorders>
              <w:left w:val="nil"/>
            </w:tcBorders>
          </w:tcPr>
          <w:p>
            <w:pPr>
              <w:pStyle w:val="TableText"/>
              <w:ind w:left="1253"/>
              <w:spacing w:before="34" w:line="209" w:lineRule="auto"/>
              <w:rPr>
                <w:sz w:val="23"/>
                <w:szCs w:val="23"/>
              </w:rPr>
            </w:pPr>
            <w:r>
              <w:rPr>
                <w:sz w:val="23"/>
                <w:szCs w:val="23"/>
              </w:rPr>
              <w:t>1)1型原发性高草酸尿</w:t>
            </w:r>
          </w:p>
          <w:p>
            <w:pPr>
              <w:pStyle w:val="TableText"/>
              <w:ind w:left="1213"/>
              <w:spacing w:line="180" w:lineRule="auto"/>
              <w:rPr>
                <w:sz w:val="23"/>
                <w:szCs w:val="23"/>
              </w:rPr>
            </w:pPr>
            <w:r>
              <w:rPr>
                <w:sz w:val="23"/>
                <w:szCs w:val="23"/>
                <w:spacing w:val="1"/>
              </w:rPr>
              <w:t>2)轻度高草酸尿</w:t>
            </w:r>
          </w:p>
        </w:tc>
      </w:tr>
      <w:tr>
        <w:trPr>
          <w:trHeight w:val="548" w:hRule="atLeast"/>
        </w:trPr>
        <w:tc>
          <w:tcPr>
            <w:tcW w:w="2786" w:type="dxa"/>
            <w:vAlign w:val="top"/>
            <w:tcBorders>
              <w:right w:val="nil"/>
            </w:tcBorders>
          </w:tcPr>
          <w:p>
            <w:pPr>
              <w:pStyle w:val="TableText"/>
              <w:ind w:left="104" w:right="1631"/>
              <w:spacing w:before="44" w:line="198" w:lineRule="auto"/>
              <w:rPr>
                <w:sz w:val="23"/>
                <w:szCs w:val="23"/>
              </w:rPr>
            </w:pPr>
            <w:r>
              <w:rPr>
                <w:sz w:val="23"/>
                <w:szCs w:val="23"/>
                <w:spacing w:val="3"/>
              </w:rPr>
              <w:t>钙补充剂</w:t>
            </w:r>
            <w:r>
              <w:rPr>
                <w:sz w:val="23"/>
                <w:szCs w:val="23"/>
              </w:rPr>
              <w:t xml:space="preserve">  </w:t>
            </w:r>
            <w:r>
              <w:rPr>
                <w:sz w:val="23"/>
                <w:szCs w:val="23"/>
                <w:spacing w:val="1"/>
              </w:rPr>
              <w:t>正磷酸盐3</w:t>
            </w:r>
          </w:p>
        </w:tc>
        <w:tc>
          <w:tcPr>
            <w:tcW w:w="5367" w:type="dxa"/>
            <w:vAlign w:val="top"/>
            <w:tcBorders>
              <w:left w:val="nil"/>
            </w:tcBorders>
          </w:tcPr>
          <w:p>
            <w:pPr>
              <w:pStyle w:val="TableText"/>
              <w:ind w:left="823" w:right="2259" w:firstLine="429"/>
              <w:spacing w:before="44" w:line="198" w:lineRule="auto"/>
              <w:rPr>
                <w:sz w:val="23"/>
                <w:szCs w:val="23"/>
              </w:rPr>
            </w:pPr>
            <w:r>
              <w:rPr>
                <w:sz w:val="23"/>
                <w:szCs w:val="23"/>
                <w:spacing w:val="1"/>
              </w:rPr>
              <w:t>1)肠原性高草酸尿</w:t>
            </w:r>
            <w:r>
              <w:rPr>
                <w:sz w:val="23"/>
                <w:szCs w:val="23"/>
              </w:rPr>
              <w:t xml:space="preserve"> </w:t>
            </w:r>
            <w:r>
              <w:rPr>
                <w:sz w:val="23"/>
                <w:szCs w:val="23"/>
                <w:spacing w:val="1"/>
              </w:rPr>
              <w:t>1)高钙尿</w:t>
            </w:r>
          </w:p>
        </w:tc>
      </w:tr>
      <w:tr>
        <w:trPr>
          <w:trHeight w:val="1046" w:hRule="atLeast"/>
        </w:trPr>
        <w:tc>
          <w:tcPr>
            <w:tcW w:w="8153" w:type="dxa"/>
            <w:vAlign w:val="top"/>
            <w:gridSpan w:val="2"/>
          </w:tcPr>
          <w:p>
            <w:pPr>
              <w:pStyle w:val="TableText"/>
              <w:ind w:left="123" w:hanging="109"/>
              <w:spacing w:before="37" w:line="216" w:lineRule="auto"/>
              <w:rPr>
                <w:sz w:val="23"/>
                <w:szCs w:val="23"/>
              </w:rPr>
            </w:pPr>
            <w:r>
              <w:rPr>
                <w:sz w:val="23"/>
                <w:szCs w:val="23"/>
                <w:spacing w:val="-1"/>
              </w:rPr>
              <w:t>1有必要使用铆离子补充剂避免因低血卵、细胞内酸中毒引起的低铆血症和低</w:t>
            </w:r>
            <w:r>
              <w:rPr>
                <w:sz w:val="23"/>
                <w:szCs w:val="23"/>
                <w:spacing w:val="-2"/>
              </w:rPr>
              <w:t>构燃</w:t>
            </w:r>
            <w:r>
              <w:rPr>
                <w:sz w:val="23"/>
                <w:szCs w:val="23"/>
              </w:rPr>
              <w:t xml:space="preserve"> </w:t>
            </w:r>
            <w:r>
              <w:rPr>
                <w:sz w:val="23"/>
                <w:szCs w:val="23"/>
                <w:spacing w:val="-2"/>
              </w:rPr>
              <w:t>酸尿。</w:t>
            </w:r>
          </w:p>
          <w:p>
            <w:pPr>
              <w:pStyle w:val="TableText"/>
              <w:ind w:left="104"/>
              <w:spacing w:line="201" w:lineRule="auto"/>
              <w:rPr>
                <w:sz w:val="23"/>
                <w:szCs w:val="23"/>
              </w:rPr>
            </w:pPr>
            <w:r>
              <w:rPr>
                <w:sz w:val="23"/>
                <w:szCs w:val="23"/>
              </w:rPr>
              <w:t>2已对尿液中与晶体成长或聚集有关的抑制因素进行了评估的病例。</w:t>
            </w:r>
          </w:p>
          <w:p>
            <w:pPr>
              <w:pStyle w:val="TableText"/>
              <w:ind w:left="274"/>
              <w:spacing w:before="1" w:line="167" w:lineRule="auto"/>
              <w:rPr>
                <w:sz w:val="23"/>
                <w:szCs w:val="23"/>
              </w:rPr>
            </w:pPr>
            <w:r>
              <w:rPr>
                <w:sz w:val="23"/>
                <w:szCs w:val="23"/>
              </w:rPr>
              <w:t>3正磷酸盐并非一线用药，但它适用于不能耐受噻檗类利尿剂的高钙尿患</w:t>
            </w:r>
            <w:r>
              <w:rPr>
                <w:sz w:val="23"/>
                <w:szCs w:val="23"/>
                <w:spacing w:val="-1"/>
              </w:rPr>
              <w:t>者，</w:t>
            </w:r>
          </w:p>
        </w:tc>
      </w:tr>
    </w:tbl>
    <w:p>
      <w:pPr>
        <w:pStyle w:val="BodyText"/>
        <w:spacing w:before="84" w:line="216" w:lineRule="auto"/>
        <w:jc w:val="right"/>
        <w:rPr>
          <w:sz w:val="23"/>
          <w:szCs w:val="23"/>
        </w:rPr>
      </w:pPr>
      <w:r>
        <w:rPr>
          <w:sz w:val="23"/>
          <w:szCs w:val="23"/>
          <w:b/>
          <w:bCs/>
          <w:spacing w:val="-9"/>
        </w:rPr>
        <w:t>*根据已达成的一致意见，将不同的尿液异常情况分别编号为(1,2,</w:t>
      </w:r>
      <w:r>
        <w:rPr>
          <w:sz w:val="23"/>
          <w:szCs w:val="23"/>
          <w:b/>
          <w:bCs/>
          <w:spacing w:val="-10"/>
        </w:rPr>
        <w:t>3,4)。如果认为某药物对两</w:t>
      </w:r>
    </w:p>
    <w:p>
      <w:pPr>
        <w:pStyle w:val="BodyText"/>
        <w:ind w:left="549"/>
        <w:spacing w:before="86" w:line="219" w:lineRule="auto"/>
        <w:rPr/>
      </w:pPr>
      <w:r>
        <w:rPr>
          <w:spacing w:val="5"/>
        </w:rPr>
        <w:t>种异常情况均有相同的疗效，则给予它们相同</w:t>
      </w:r>
      <w:r>
        <w:rPr>
          <w:spacing w:val="4"/>
        </w:rPr>
        <w:t>的编号。首选者标记为1。</w:t>
      </w:r>
    </w:p>
    <w:p>
      <w:pPr>
        <w:pStyle w:val="BodyText"/>
        <w:ind w:left="952"/>
        <w:spacing w:before="68" w:line="219" w:lineRule="auto"/>
        <w:rPr/>
      </w:pPr>
      <w:r>
        <w:rPr>
          <w:b/>
          <w:bCs/>
          <w:spacing w:val="-1"/>
        </w:rPr>
        <w:t>14.2.9参考文献</w:t>
      </w:r>
    </w:p>
    <w:p>
      <w:pPr>
        <w:ind w:left="549" w:right="45"/>
        <w:spacing w:before="142"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1.Tiselius   HG,Ackermann   D,Alken    P,Buck   C,Conort    P,</w:t>
      </w:r>
      <w:r>
        <w:rPr>
          <w:rFonts w:ascii="Times New Roman" w:hAnsi="Times New Roman" w:eastAsia="Times New Roman" w:cs="Times New Roman"/>
          <w:sz w:val="21"/>
          <w:szCs w:val="21"/>
          <w:spacing w:val="-1"/>
        </w:rPr>
        <w:t>Gallucci   M.Guidelines    on   urolithiasis.In:EAU</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guidelines.Edition  presented  at  the   16th  EAU  Congress,Geneva,Switz</w:t>
      </w:r>
      <w:r>
        <w:rPr>
          <w:rFonts w:ascii="Times New Roman" w:hAnsi="Times New Roman" w:eastAsia="Times New Roman" w:cs="Times New Roman"/>
          <w:sz w:val="21"/>
          <w:szCs w:val="21"/>
          <w:spacing w:val="-1"/>
        </w:rPr>
        <w:t>erland  2001(ISBN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90-806179-3-9)</w:t>
      </w:r>
    </w:p>
    <w:p>
      <w:pPr>
        <w:ind w:left="549"/>
        <w:spacing w:before="147" w:line="192" w:lineRule="auto"/>
        <w:rPr>
          <w:rFonts w:ascii="Times New Roman" w:hAnsi="Times New Roman" w:eastAsia="Times New Roman" w:cs="Times New Roman"/>
          <w:sz w:val="21"/>
          <w:szCs w:val="21"/>
        </w:rPr>
      </w:pPr>
      <w:hyperlink w:history="true" r:id="rId99">
        <w:r>
          <w:rPr>
            <w:rFonts w:ascii="Times New Roman" w:hAnsi="Times New Roman" w:eastAsia="Times New Roman" w:cs="Times New Roman"/>
            <w:sz w:val="21"/>
            <w:szCs w:val="21"/>
          </w:rPr>
          <w:t>http://www.uroweb.org/files</w:t>
        </w:r>
        <w:r>
          <w:rPr>
            <w:rFonts w:ascii="Times New Roman" w:hAnsi="Times New Roman" w:eastAsia="Times New Roman" w:cs="Times New Roman"/>
            <w:sz w:val="21"/>
            <w:szCs w:val="21"/>
            <w:spacing w:val="-1"/>
          </w:rPr>
          <w:t>/uploaded_files/urolithiasis.pdf</w:t>
        </w:r>
      </w:hyperlink>
    </w:p>
    <w:p>
      <w:pPr>
        <w:ind w:left="54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2.Tiselius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HG.Epidemiology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disease</w:t>
      </w:r>
      <w:r>
        <w:rPr>
          <w:rFonts w:ascii="Times New Roman" w:hAnsi="Times New Roman" w:eastAsia="Times New Roman" w:cs="Times New Roman"/>
          <w:sz w:val="21"/>
          <w:szCs w:val="21"/>
          <w:spacing w:val="-1"/>
        </w:rPr>
        <w:t>.BJU</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Int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2003;91:758-767.</w:t>
      </w:r>
    </w:p>
    <w:p>
      <w:pPr>
        <w:ind w:left="549"/>
        <w:spacing w:before="166" w:line="192" w:lineRule="auto"/>
        <w:rPr>
          <w:rFonts w:ascii="Times New Roman" w:hAnsi="Times New Roman" w:eastAsia="Times New Roman" w:cs="Times New Roman"/>
          <w:sz w:val="21"/>
          <w:szCs w:val="21"/>
        </w:rPr>
      </w:pPr>
      <w:hyperlink w:history="true" r:id="rId100">
        <w:r>
          <w:rPr>
            <w:rFonts w:ascii="Times New Roman" w:hAnsi="Times New Roman" w:eastAsia="Times New Roman" w:cs="Times New Roman"/>
            <w:sz w:val="21"/>
            <w:szCs w:val="21"/>
            <w:spacing w:val="-4"/>
          </w:rPr>
          <w:t>http://www.ncbi.nlm.nih.gov/entrez/query.fcgi?cmd=Retrieve&amp;db=pubmed&amp;dopt=Abstract&amp;list_uids</w:t>
        </w:r>
        <w:r>
          <w:rPr>
            <w:rFonts w:ascii="Times New Roman" w:hAnsi="Times New Roman" w:eastAsia="Times New Roman" w:cs="Times New Roman"/>
            <w:sz w:val="21"/>
            <w:szCs w:val="21"/>
            <w:spacing w:val="-5"/>
          </w:rPr>
          <w:t>=12709088</w:t>
        </w:r>
      </w:hyperlink>
    </w:p>
    <w:p>
      <w:pPr>
        <w:ind w:left="549" w:right="32"/>
        <w:spacing w:before="149" w:line="309" w:lineRule="auto"/>
        <w:rPr>
          <w:rFonts w:ascii="Times New Roman" w:hAnsi="Times New Roman" w:eastAsia="Times New Roman" w:cs="Times New Roman"/>
          <w:sz w:val="21"/>
          <w:szCs w:val="21"/>
        </w:rPr>
      </w:pPr>
      <w:hyperlink w:history="true" r:id="rId100">
        <w:r>
          <w:rPr>
            <w:rFonts w:ascii="Times New Roman" w:hAnsi="Times New Roman" w:eastAsia="Times New Roman" w:cs="Times New Roman"/>
            <w:sz w:val="21"/>
            <w:szCs w:val="21"/>
          </w:rPr>
          <w:t>3.Tiselius     HG</w:t>
        </w:r>
      </w:hyperlink>
      <w:r>
        <w:rPr>
          <w:rFonts w:ascii="Times New Roman" w:hAnsi="Times New Roman" w:eastAsia="Times New Roman" w:cs="Times New Roman"/>
          <w:sz w:val="21"/>
          <w:szCs w:val="21"/>
        </w:rPr>
        <w:t>,</w:t>
      </w:r>
      <w:hyperlink w:history="true" r:id="rId38">
        <w:r>
          <w:rPr>
            <w:rFonts w:ascii="Times New Roman" w:hAnsi="Times New Roman" w:eastAsia="Times New Roman" w:cs="Times New Roman"/>
            <w:sz w:val="21"/>
            <w:szCs w:val="21"/>
          </w:rPr>
          <w:t>Ackermann</w:t>
        </w:r>
      </w:hyperlink>
      <w:r>
        <w:rPr>
          <w:rFonts w:ascii="Times New Roman" w:hAnsi="Times New Roman" w:eastAsia="Times New Roman" w:cs="Times New Roman"/>
          <w:sz w:val="21"/>
          <w:szCs w:val="21"/>
        </w:rPr>
        <w:t xml:space="preserve">     D,Alken     P,Buck     C,Conort </w:t>
      </w:r>
      <w:r>
        <w:rPr>
          <w:rFonts w:ascii="Times New Roman" w:hAnsi="Times New Roman" w:eastAsia="Times New Roman" w:cs="Times New Roman"/>
          <w:sz w:val="21"/>
          <w:szCs w:val="21"/>
          <w:spacing w:val="-1"/>
        </w:rPr>
        <w:t xml:space="preserve">    P,Gallucci     M.Guidelines     on     urolithiasis.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(Abbreviated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version)Eur</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2001;40:362-3</w:t>
      </w:r>
      <w:r>
        <w:rPr>
          <w:rFonts w:ascii="Times New Roman" w:hAnsi="Times New Roman" w:eastAsia="Times New Roman" w:cs="Times New Roman"/>
          <w:sz w:val="21"/>
          <w:szCs w:val="21"/>
          <w:spacing w:val="-1"/>
        </w:rPr>
        <w:t>71.</w:t>
      </w:r>
    </w:p>
    <w:p>
      <w:pPr>
        <w:ind w:left="5069"/>
        <w:spacing w:before="20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—244—</w:t>
      </w:r>
    </w:p>
    <w:p>
      <w:pPr>
        <w:spacing w:line="280"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98"/>
          <w:pgSz w:w="11850" w:h="16140"/>
          <w:pgMar w:top="1210" w:right="1332" w:bottom="0" w:left="400" w:header="879" w:footer="0" w:gutter="0"/>
        </w:sectPr>
        <w:rPr>
          <w:rFonts w:ascii="Times New Roman" w:hAnsi="Times New Roman" w:eastAsia="Times New Roman" w:cs="Times New Roman"/>
          <w:sz w:val="21"/>
          <w:szCs w:val="21"/>
        </w:rPr>
      </w:pPr>
    </w:p>
    <w:p>
      <w:pPr>
        <w:spacing w:line="427" w:lineRule="auto"/>
        <w:rPr>
          <w:rFonts w:ascii="Arial"/>
          <w:sz w:val="21"/>
        </w:rPr>
      </w:pPr>
      <w:r/>
    </w:p>
    <w:p>
      <w:pPr>
        <w:ind w:firstLine="7349"/>
        <w:spacing w:line="390" w:lineRule="exact"/>
        <w:rPr/>
      </w:pPr>
      <w:r>
        <w:rPr>
          <w:position w:val="-7"/>
        </w:rPr>
        <w:drawing>
          <wp:inline distT="0" distB="0" distL="0" distR="0">
            <wp:extent cx="1727231" cy="247613"/>
            <wp:effectExtent l="0" t="0" r="0" b="0"/>
            <wp:docPr id="50" name="IM 50"/>
            <wp:cNvGraphicFramePr/>
            <a:graphic>
              <a:graphicData uri="http://schemas.openxmlformats.org/drawingml/2006/picture">
                <pic:pic>
                  <pic:nvPicPr>
                    <pic:cNvPr id="50" name="IM 50"/>
                    <pic:cNvPicPr/>
                  </pic:nvPicPr>
                  <pic:blipFill>
                    <a:blip r:embed="rId101"/>
                    <a:stretch>
                      <a:fillRect/>
                    </a:stretch>
                  </pic:blipFill>
                  <pic:spPr>
                    <a:xfrm rot="0">
                      <a:off x="0" y="0"/>
                      <a:ext cx="1727231" cy="247613"/>
                    </a:xfrm>
                    <a:prstGeom prst="rect">
                      <a:avLst/>
                    </a:prstGeom>
                  </pic:spPr>
                </pic:pic>
              </a:graphicData>
            </a:graphic>
          </wp:inline>
        </w:drawing>
      </w:r>
    </w:p>
    <w:p>
      <w:pPr>
        <w:ind w:left="429"/>
        <w:spacing w:before="236"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spacing w:val="-3"/>
          </w:rPr>
          <w:t>http://www.ncbi.nlm.nih.go</w:t>
        </w:r>
        <w:r>
          <w:rPr>
            <w:rFonts w:ascii="Times New Roman" w:hAnsi="Times New Roman" w:eastAsia="Times New Roman" w:cs="Times New Roman"/>
            <w:sz w:val="21"/>
            <w:szCs w:val="21"/>
            <w:spacing w:val="-4"/>
          </w:rPr>
          <w:t>v/entrez/query.fcgi?cmd=Retrieve&amp;db=pubmed&amp;dopt=Abstract&amp;list_uids=11713390</w:t>
        </w:r>
      </w:hyperlink>
    </w:p>
    <w:p>
      <w:pPr>
        <w:ind w:left="429" w:right="43"/>
        <w:spacing w:before="125" w:line="318" w:lineRule="auto"/>
        <w:jc w:val="both"/>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4.Tiselius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HG</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Advisory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Board</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urope</w:t>
        </w:r>
        <w:r>
          <w:rPr>
            <w:rFonts w:ascii="Times New Roman" w:hAnsi="Times New Roman" w:eastAsia="Times New Roman" w:cs="Times New Roman"/>
            <w:sz w:val="21"/>
            <w:szCs w:val="21"/>
            <w:spacing w:val="-1"/>
          </w:rPr>
          <w:t>an</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Urolithiasis</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EAU</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Health</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Care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Office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Working</w:t>
        </w:r>
      </w:hyperlink>
      <w:r>
        <w:rPr>
          <w:rFonts w:ascii="Times New Roman" w:hAnsi="Times New Roman" w:eastAsia="Times New Roman" w:cs="Times New Roman"/>
          <w:sz w:val="21"/>
          <w:szCs w:val="21"/>
        </w:rPr>
        <w:t xml:space="preserve">  </w:t>
      </w:r>
      <w:hyperlink w:history="true" r:id="rId102">
        <w:r>
          <w:rPr>
            <w:rFonts w:ascii="Times New Roman" w:hAnsi="Times New Roman" w:eastAsia="Times New Roman" w:cs="Times New Roman"/>
            <w:sz w:val="21"/>
            <w:szCs w:val="21"/>
          </w:rPr>
          <w:t>Party  for</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Lithiasis.Possibilities  for</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preve</w:t>
        </w:r>
        <w:r>
          <w:rPr>
            <w:rFonts w:ascii="Times New Roman" w:hAnsi="Times New Roman" w:eastAsia="Times New Roman" w:cs="Times New Roman"/>
            <w:sz w:val="21"/>
            <w:szCs w:val="21"/>
            <w:spacing w:val="-1"/>
          </w:rPr>
          <w:t>nting</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recurrent  calcium  stone  formation:principles  for  the  metabolic</w:t>
        </w:r>
      </w:hyperlink>
      <w:r>
        <w:rPr>
          <w:rFonts w:ascii="Times New Roman" w:hAnsi="Times New Roman" w:eastAsia="Times New Roman" w:cs="Times New Roman"/>
          <w:sz w:val="21"/>
          <w:szCs w:val="21"/>
        </w:rPr>
        <w:t xml:space="preserve"> </w:t>
      </w:r>
      <w:hyperlink w:history="true" r:id="rId102">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of patients</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calcium  stone</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disease.BJU</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Internati</w:t>
        </w:r>
        <w:r>
          <w:rPr>
            <w:rFonts w:ascii="Times New Roman" w:hAnsi="Times New Roman" w:eastAsia="Times New Roman" w:cs="Times New Roman"/>
            <w:sz w:val="21"/>
            <w:szCs w:val="21"/>
            <w:spacing w:val="-1"/>
          </w:rPr>
          <w:t>onal</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2001</w:t>
        </w:r>
      </w:hyperlink>
      <w:r>
        <w:rPr>
          <w:rFonts w:ascii="Times New Roman" w:hAnsi="Times New Roman" w:eastAsia="Times New Roman" w:cs="Times New Roman"/>
          <w:sz w:val="21"/>
          <w:szCs w:val="21"/>
          <w:spacing w:val="-1"/>
        </w:rPr>
        <w:t>;</w:t>
      </w:r>
      <w:hyperlink w:history="true" r:id="rId103">
        <w:r>
          <w:rPr>
            <w:rFonts w:ascii="Times New Roman" w:hAnsi="Times New Roman" w:eastAsia="Times New Roman" w:cs="Times New Roman"/>
            <w:sz w:val="21"/>
            <w:szCs w:val="21"/>
            <w:spacing w:val="-1"/>
          </w:rPr>
          <w:t>88:158-168</w:t>
        </w:r>
      </w:hyperlink>
      <w:r>
        <w:rPr>
          <w:rFonts w:ascii="Times New Roman" w:hAnsi="Times New Roman" w:eastAsia="Times New Roman" w:cs="Times New Roman"/>
          <w:sz w:val="21"/>
          <w:szCs w:val="21"/>
          <w:spacing w:val="-1"/>
        </w:rPr>
        <w:t>.</w:t>
      </w:r>
    </w:p>
    <w:p>
      <w:pPr>
        <w:ind w:left="429"/>
        <w:spacing w:before="61"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spacing w:val="-3"/>
          </w:rPr>
          <w:t>http://www.ncbi.nlm.nih.go</w:t>
        </w:r>
        <w:r>
          <w:rPr>
            <w:rFonts w:ascii="Times New Roman" w:hAnsi="Times New Roman" w:eastAsia="Times New Roman" w:cs="Times New Roman"/>
            <w:sz w:val="21"/>
            <w:szCs w:val="21"/>
            <w:spacing w:val="-4"/>
          </w:rPr>
          <w:t>v/entrez/query.fcgi?cmd=Retrieve&amp;db=pubmed&amp;dopt=Abstract&amp;list_uids=11446874</w:t>
        </w:r>
      </w:hyperlink>
    </w:p>
    <w:p>
      <w:pPr>
        <w:ind w:left="429" w:right="30"/>
        <w:spacing w:before="136" w:line="283"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5.Pak  CYC.Comprehensive  evaluation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not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cost-effective   for  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work-up</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  calc</w:t>
        </w:r>
        <w:r>
          <w:rPr>
            <w:rFonts w:ascii="Times New Roman" w:hAnsi="Times New Roman" w:eastAsia="Times New Roman" w:cs="Times New Roman"/>
            <w:sz w:val="21"/>
            <w:szCs w:val="21"/>
            <w:spacing w:val="-1"/>
          </w:rPr>
          <w:t>ium   stone  formers.In:</w:t>
        </w:r>
      </w:hyperlink>
      <w:r>
        <w:rPr>
          <w:rFonts w:ascii="Times New Roman" w:hAnsi="Times New Roman" w:eastAsia="Times New Roman" w:cs="Times New Roman"/>
          <w:sz w:val="21"/>
          <w:szCs w:val="21"/>
        </w:rPr>
        <w:t xml:space="preserve"> </w:t>
      </w:r>
      <w:hyperlink w:history="true" r:id="rId102">
        <w:r>
          <w:rPr>
            <w:rFonts w:ascii="Times New Roman" w:hAnsi="Times New Roman" w:eastAsia="Times New Roman" w:cs="Times New Roman"/>
            <w:sz w:val="21"/>
            <w:szCs w:val="21"/>
          </w:rPr>
          <w:t>Urolithiasis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2000.AL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Rodgers</w:t>
        </w:r>
      </w:hyperlink>
      <w:r>
        <w:rPr>
          <w:rFonts w:ascii="Times New Roman" w:hAnsi="Times New Roman" w:eastAsia="Times New Roman" w:cs="Times New Roman"/>
          <w:sz w:val="21"/>
          <w:szCs w:val="21"/>
        </w:rPr>
        <w:t>,</w:t>
      </w:r>
      <w:hyperlink w:history="true" r:id="rId104">
        <w:r>
          <w:rPr>
            <w:rFonts w:ascii="Times New Roman" w:hAnsi="Times New Roman" w:eastAsia="Times New Roman" w:cs="Times New Roman"/>
            <w:sz w:val="21"/>
            <w:szCs w:val="21"/>
          </w:rPr>
          <w:t>BE</w:t>
        </w:r>
      </w:hyperlink>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Hibbert,B</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Hess,SR</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Khan,GM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Preminger(eds).</w:t>
      </w:r>
      <w:r>
        <w:rPr>
          <w:rFonts w:ascii="Times New Roman" w:hAnsi="Times New Roman" w:eastAsia="Times New Roman" w:cs="Times New Roman"/>
          <w:sz w:val="21"/>
          <w:szCs w:val="21"/>
          <w:spacing w:val="-1"/>
        </w:rPr>
        <w:t>Cape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Town:University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Cape  Town,pp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356-359.</w:t>
      </w:r>
    </w:p>
    <w:p>
      <w:pPr>
        <w:ind w:left="429" w:right="45"/>
        <w:spacing w:before="136" w:line="2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6.Tiselius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HG.Comprehensive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metabolic</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valuation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formers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cost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effective.In:Urolithiasis</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2000.AL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Rodgers,BE Hibbert,B Hess,SR Khan,GM Preminger(eds).Cape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Town:University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of Cape Town,pp</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349-355.</w:t>
      </w:r>
    </w:p>
    <w:p>
      <w:pPr>
        <w:ind w:left="429" w:right="44"/>
        <w:spacing w:before="148"/>
        <w:rPr>
          <w:rFonts w:ascii="Times New Roman" w:hAnsi="Times New Roman" w:eastAsia="Times New Roman" w:cs="Times New Roman"/>
          <w:sz w:val="21"/>
          <w:szCs w:val="21"/>
        </w:rPr>
      </w:pPr>
      <w:r>
        <w:rPr>
          <w:rFonts w:ascii="Times New Roman" w:hAnsi="Times New Roman" w:eastAsia="Times New Roman" w:cs="Times New Roman"/>
          <w:sz w:val="21"/>
          <w:szCs w:val="21"/>
        </w:rPr>
        <w:t>7.Yendt</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ER.Commentary:Renal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twenty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years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later.Jour</w:t>
      </w:r>
      <w:r>
        <w:rPr>
          <w:rFonts w:ascii="Times New Roman" w:hAnsi="Times New Roman" w:eastAsia="Times New Roman" w:cs="Times New Roman"/>
          <w:sz w:val="21"/>
          <w:szCs w:val="21"/>
          <w:spacing w:val="-1"/>
        </w:rPr>
        <w:t>nal</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of   lithotripsy    and    stone    disease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1990;2:164-172.</w:t>
      </w:r>
    </w:p>
    <w:p>
      <w:pPr>
        <w:ind w:left="429" w:right="48"/>
        <w:spacing w:before="166" w:line="25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8.Constanzo</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LS,Windhager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EE.Calcium</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sodium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transport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distal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convoluted</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tubule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rat.AmJ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Physiol   1978;235:F492-506.</w:t>
      </w:r>
    </w:p>
    <w:p>
      <w:pPr>
        <w:ind w:left="429"/>
        <w:spacing w:before="157"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http://www.ncbi.nlm.nih.gov/entrez/query.fcgi?cmd=Retrieve&amp;db=pubmed&amp;dopt=Abstract&amp;list_</w:t>
        </w:r>
        <w:r>
          <w:rPr>
            <w:rFonts w:ascii="Times New Roman" w:hAnsi="Times New Roman" w:eastAsia="Times New Roman" w:cs="Times New Roman"/>
            <w:sz w:val="21"/>
            <w:szCs w:val="21"/>
            <w:spacing w:val="-1"/>
          </w:rPr>
          <w:t>uids=727266</w:t>
        </w:r>
      </w:hyperlink>
    </w:p>
    <w:p>
      <w:pPr>
        <w:ind w:left="429" w:right="48"/>
        <w:spacing w:before="136" w:line="30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9.Cohanim  M</w:t>
        </w:r>
      </w:hyperlink>
      <w:r>
        <w:rPr>
          <w:rFonts w:ascii="Times New Roman" w:hAnsi="Times New Roman" w:eastAsia="Times New Roman" w:cs="Times New Roman"/>
          <w:sz w:val="21"/>
          <w:szCs w:val="21"/>
        </w:rPr>
        <w:t>,</w:t>
      </w:r>
      <w:hyperlink w:history="true" r:id="rId105">
        <w:r>
          <w:rPr>
            <w:rFonts w:ascii="Times New Roman" w:hAnsi="Times New Roman" w:eastAsia="Times New Roman" w:cs="Times New Roman"/>
            <w:sz w:val="21"/>
            <w:szCs w:val="21"/>
          </w:rPr>
          <w:t>Yendt</w:t>
        </w:r>
      </w:hyperlink>
      <w:r>
        <w:rPr>
          <w:rFonts w:ascii="Times New Roman" w:hAnsi="Times New Roman" w:eastAsia="Times New Roman" w:cs="Times New Roman"/>
          <w:sz w:val="21"/>
          <w:szCs w:val="21"/>
        </w:rPr>
        <w:t xml:space="preserve">  ER.Reduction   of  urinary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oxalate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during  long-term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thiazide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therapy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with </w:t>
      </w:r>
      <w:r>
        <w:rPr>
          <w:rFonts w:ascii="Times New Roman" w:hAnsi="Times New Roman" w:eastAsia="Times New Roman" w:cs="Times New Roman"/>
          <w:sz w:val="21"/>
          <w:szCs w:val="21"/>
        </w:rPr>
        <w:t>calcium  urolithiasis.Invest  Urol   1980;18:170-173.</w:t>
      </w:r>
    </w:p>
    <w:p>
      <w:pPr>
        <w:ind w:left="429"/>
        <w:spacing w:before="63"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ids=7410033</w:t>
        </w:r>
      </w:hyperlink>
    </w:p>
    <w:p>
      <w:pPr>
        <w:ind w:left="429" w:right="69"/>
        <w:spacing w:before="137" w:line="286"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10.Ehrig</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V</w:t>
        </w:r>
      </w:hyperlink>
      <w:r>
        <w:rPr>
          <w:rFonts w:ascii="Times New Roman" w:hAnsi="Times New Roman" w:eastAsia="Times New Roman" w:cs="Times New Roman"/>
          <w:sz w:val="21"/>
          <w:szCs w:val="21"/>
        </w:rPr>
        <w:t>,</w:t>
      </w:r>
      <w:hyperlink w:history="true" r:id="rId106">
        <w:r>
          <w:rPr>
            <w:rFonts w:ascii="Times New Roman" w:hAnsi="Times New Roman" w:eastAsia="Times New Roman" w:cs="Times New Roman"/>
            <w:sz w:val="21"/>
            <w:szCs w:val="21"/>
          </w:rPr>
          <w:t>Harrison</w:t>
        </w:r>
      </w:hyperlink>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JE,Wilson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DR.Eff</w:t>
      </w:r>
      <w:r>
        <w:rPr>
          <w:rFonts w:ascii="Times New Roman" w:hAnsi="Times New Roman" w:eastAsia="Times New Roman" w:cs="Times New Roman"/>
          <w:sz w:val="21"/>
          <w:szCs w:val="21"/>
          <w:spacing w:val="-1"/>
        </w:rPr>
        <w:t>ect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long</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term</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thiazide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therapy  on  intestinal  calcium  absorption  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patients           </w:t>
      </w:r>
      <w:r>
        <w:rPr>
          <w:rFonts w:ascii="Times New Roman" w:hAnsi="Times New Roman" w:eastAsia="Times New Roman" w:cs="Times New Roman"/>
          <w:sz w:val="17"/>
          <w:szCs w:val="17"/>
        </w:rPr>
        <w:t>with               </w:t>
      </w:r>
      <w:r>
        <w:rPr>
          <w:rFonts w:ascii="Times New Roman" w:hAnsi="Times New Roman" w:eastAsia="Times New Roman" w:cs="Times New Roman"/>
          <w:sz w:val="21"/>
          <w:szCs w:val="21"/>
        </w:rPr>
        <w:t>recurrent            re</w:t>
      </w:r>
      <w:r>
        <w:rPr>
          <w:rFonts w:ascii="Times New Roman" w:hAnsi="Times New Roman" w:eastAsia="Times New Roman" w:cs="Times New Roman"/>
          <w:sz w:val="21"/>
          <w:szCs w:val="21"/>
          <w:spacing w:val="-1"/>
        </w:rPr>
        <w:t>nal           </w:t>
      </w:r>
      <w:r>
        <w:rPr>
          <w:rFonts w:ascii="Times New Roman" w:hAnsi="Times New Roman" w:eastAsia="Times New Roman" w:cs="Times New Roman"/>
          <w:sz w:val="21"/>
          <w:szCs w:val="21"/>
          <w:spacing w:val="-1"/>
          <w:position w:val="-1"/>
        </w:rPr>
        <w:t>calculi.            </w:t>
      </w:r>
      <w:r>
        <w:rPr>
          <w:rFonts w:ascii="Times New Roman" w:hAnsi="Times New Roman" w:eastAsia="Times New Roman" w:cs="Times New Roman"/>
          <w:sz w:val="21"/>
          <w:szCs w:val="21"/>
          <w:spacing w:val="-1"/>
        </w:rPr>
        <w:t>Metabolism            1974;           23:139-149.</w:t>
      </w:r>
      <w:r>
        <w:rPr>
          <w:rFonts w:ascii="Times New Roman" w:hAnsi="Times New Roman" w:eastAsia="Times New Roman" w:cs="Times New Roman"/>
          <w:sz w:val="21"/>
          <w:szCs w:val="21"/>
        </w:rPr>
        <w:t xml:space="preserve">    </w:t>
      </w:r>
      <w:hyperlink w:history="true" r:id="rId102">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ids=4810806</w:t>
        </w:r>
      </w:hyperlink>
    </w:p>
    <w:p>
      <w:pPr>
        <w:ind w:left="429" w:right="35"/>
        <w:spacing w:before="157" w:line="289"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spacing w:val="-1"/>
          </w:rPr>
          <w:t>11.Zerwekh</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JE</w:t>
        </w:r>
      </w:hyperlink>
      <w:r>
        <w:rPr>
          <w:rFonts w:ascii="Times New Roman" w:hAnsi="Times New Roman" w:eastAsia="Times New Roman" w:cs="Times New Roman"/>
          <w:sz w:val="21"/>
          <w:szCs w:val="21"/>
          <w:spacing w:val="-1"/>
        </w:rPr>
        <w:t>,</w:t>
      </w:r>
      <w:hyperlink w:history="true" r:id="rId48">
        <w:r>
          <w:rPr>
            <w:rFonts w:ascii="Times New Roman" w:hAnsi="Times New Roman" w:eastAsia="Times New Roman" w:cs="Times New Roman"/>
            <w:sz w:val="21"/>
            <w:szCs w:val="21"/>
            <w:spacing w:val="-1"/>
          </w:rPr>
          <w:t>Pak</w:t>
        </w:r>
      </w:hyperlink>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CYC.Selective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effects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thiazide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serum  1  alpha,25-dihydroxy</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vi</w:t>
      </w:r>
      <w:r>
        <w:rPr>
          <w:rFonts w:ascii="Times New Roman" w:hAnsi="Times New Roman" w:eastAsia="Times New Roman" w:cs="Times New Roman"/>
          <w:sz w:val="21"/>
          <w:szCs w:val="21"/>
          <w:spacing w:val="-2"/>
        </w:rPr>
        <w:t>tamin</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D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intestinal    calcium     abso</w:t>
      </w:r>
      <w:r>
        <w:rPr>
          <w:rFonts w:ascii="Times New Roman" w:hAnsi="Times New Roman" w:eastAsia="Times New Roman" w:cs="Times New Roman"/>
          <w:sz w:val="21"/>
          <w:szCs w:val="21"/>
          <w:spacing w:val="-1"/>
        </w:rPr>
        <w:t>rption     in     renal     and     absorptive    hypercalciuras.Metabolism      1980;29:13-17.</w:t>
      </w:r>
      <w:r>
        <w:rPr>
          <w:rFonts w:ascii="Times New Roman" w:hAnsi="Times New Roman" w:eastAsia="Times New Roman" w:cs="Times New Roman"/>
          <w:sz w:val="21"/>
          <w:szCs w:val="21"/>
        </w:rPr>
        <w:t xml:space="preserve"> </w:t>
      </w:r>
      <w:hyperlink w:history="true" r:id="rId102">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ids=7351872</w:t>
        </w:r>
      </w:hyperlink>
    </w:p>
    <w:p>
      <w:pPr>
        <w:ind w:left="429"/>
        <w:spacing w:before="127"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spacing w:val="-1"/>
          </w:rPr>
          <w:t>12.Yendt  ER.Renal  calculi.Canadian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Medical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Association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Journal   1970</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107">
        <w:r>
          <w:rPr>
            <w:rFonts w:ascii="Times New Roman" w:hAnsi="Times New Roman" w:eastAsia="Times New Roman" w:cs="Times New Roman"/>
            <w:sz w:val="21"/>
            <w:szCs w:val="21"/>
            <w:spacing w:val="-1"/>
          </w:rPr>
          <w:t>102:479-489</w:t>
        </w:r>
      </w:hyperlink>
      <w:r>
        <w:rPr>
          <w:rFonts w:ascii="Times New Roman" w:hAnsi="Times New Roman" w:eastAsia="Times New Roman" w:cs="Times New Roman"/>
          <w:sz w:val="21"/>
          <w:szCs w:val="21"/>
          <w:spacing w:val="-1"/>
        </w:rPr>
        <w:t>.</w:t>
      </w:r>
    </w:p>
    <w:p>
      <w:pPr>
        <w:ind w:left="429"/>
        <w:spacing w:before="167"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http://www.nebi.nlm.nih.gov/entrez/query.fcgi?cmd=Retrieve&amp;db=pubmed&amp;dopt=Abstract&amp;list_u</w:t>
        </w:r>
        <w:r>
          <w:rPr>
            <w:rFonts w:ascii="Times New Roman" w:hAnsi="Times New Roman" w:eastAsia="Times New Roman" w:cs="Times New Roman"/>
            <w:sz w:val="21"/>
            <w:szCs w:val="21"/>
            <w:spacing w:val="-1"/>
          </w:rPr>
          <w:t>ids=5438766</w:t>
        </w:r>
      </w:hyperlink>
    </w:p>
    <w:p>
      <w:pPr>
        <w:ind w:left="429"/>
        <w:spacing w:before="147"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13.Brocks    P</w:t>
        </w:r>
      </w:hyperlink>
      <w:r>
        <w:rPr>
          <w:rFonts w:ascii="Times New Roman" w:hAnsi="Times New Roman" w:eastAsia="Times New Roman" w:cs="Times New Roman"/>
          <w:sz w:val="21"/>
          <w:szCs w:val="21"/>
        </w:rPr>
        <w:t>,</w:t>
      </w:r>
      <w:hyperlink w:history="true" r:id="rId108">
        <w:r>
          <w:rPr>
            <w:rFonts w:ascii="Times New Roman" w:hAnsi="Times New Roman" w:eastAsia="Times New Roman" w:cs="Times New Roman"/>
            <w:sz w:val="21"/>
            <w:szCs w:val="21"/>
          </w:rPr>
          <w:t>Dahl</w:t>
        </w:r>
      </w:hyperlink>
      <w:r>
        <w:rPr>
          <w:rFonts w:ascii="Times New Roman" w:hAnsi="Times New Roman" w:eastAsia="Times New Roman" w:cs="Times New Roman"/>
          <w:sz w:val="21"/>
          <w:szCs w:val="21"/>
        </w:rPr>
        <w:t xml:space="preserve">     C,Wolf    H.Do     thiazides     prev</w:t>
      </w:r>
      <w:r>
        <w:rPr>
          <w:rFonts w:ascii="Times New Roman" w:hAnsi="Times New Roman" w:eastAsia="Times New Roman" w:cs="Times New Roman"/>
          <w:sz w:val="21"/>
          <w:szCs w:val="21"/>
          <w:spacing w:val="-1"/>
        </w:rPr>
        <w:t>ent    recurrent     idiopathic     renal     calcium     stones?</w:t>
      </w:r>
    </w:p>
    <w:p>
      <w:pPr>
        <w:ind w:left="429"/>
        <w:spacing w:before="12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Lancet1981;2(8238):124-125.</w:t>
      </w:r>
    </w:p>
    <w:p>
      <w:pPr>
        <w:ind w:left="429"/>
        <w:spacing w:before="156"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http://www.ncbi.nlm.nih.gov/entrez/query.fcgi?cmd=Retrieve&amp;db=PubMed&amp;list_uids=6361755&amp;do</w:t>
        </w:r>
        <w:r>
          <w:rPr>
            <w:rFonts w:ascii="Times New Roman" w:hAnsi="Times New Roman" w:eastAsia="Times New Roman" w:cs="Times New Roman"/>
            <w:sz w:val="21"/>
            <w:szCs w:val="21"/>
            <w:spacing w:val="-1"/>
          </w:rPr>
          <w:t>pt=Abstract</w:t>
        </w:r>
      </w:hyperlink>
    </w:p>
    <w:p>
      <w:pPr>
        <w:ind w:left="429" w:right="45"/>
        <w:spacing w:before="148" w:line="32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spacing w:val="-1"/>
          </w:rPr>
          <w:t>14.Scholz</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D</w:t>
        </w:r>
      </w:hyperlink>
      <w:r>
        <w:rPr>
          <w:rFonts w:ascii="Times New Roman" w:hAnsi="Times New Roman" w:eastAsia="Times New Roman" w:cs="Times New Roman"/>
          <w:sz w:val="21"/>
          <w:szCs w:val="21"/>
          <w:spacing w:val="-1"/>
        </w:rPr>
        <w:t>,</w:t>
      </w:r>
      <w:hyperlink w:history="true" r:id="rId109">
        <w:r>
          <w:rPr>
            <w:rFonts w:ascii="Times New Roman" w:hAnsi="Times New Roman" w:eastAsia="Times New Roman" w:cs="Times New Roman"/>
            <w:sz w:val="21"/>
            <w:szCs w:val="21"/>
            <w:spacing w:val="-1"/>
          </w:rPr>
          <w:t>Schwille</w:t>
        </w:r>
      </w:hyperlink>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PO,Sigel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A.Double-blind</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thiazide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lithiasis.J</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1982;128:903-907.</w:t>
      </w:r>
    </w:p>
    <w:p>
      <w:pPr>
        <w:ind w:left="429"/>
        <w:spacing w:before="51"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http://www.ncbi.nlm.nih.govlentrezlquery.fcgi?cmd=Retrieve&amp;db=PubMed&amp;list_uids=7176047&amp;do</w:t>
        </w:r>
        <w:r>
          <w:rPr>
            <w:rFonts w:ascii="Times New Roman" w:hAnsi="Times New Roman" w:eastAsia="Times New Roman" w:cs="Times New Roman"/>
            <w:sz w:val="21"/>
            <w:szCs w:val="21"/>
            <w:spacing w:val="-1"/>
          </w:rPr>
          <w:t>pt=Abstract</w:t>
        </w:r>
      </w:hyperlink>
    </w:p>
    <w:p>
      <w:pPr>
        <w:ind w:left="429" w:right="49"/>
        <w:spacing w:before="158" w:line="30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15.Laerum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E</w:t>
        </w:r>
      </w:hyperlink>
      <w:r>
        <w:rPr>
          <w:rFonts w:ascii="Times New Roman" w:hAnsi="Times New Roman" w:eastAsia="Times New Roman" w:cs="Times New Roman"/>
          <w:sz w:val="21"/>
          <w:szCs w:val="21"/>
        </w:rPr>
        <w:t>,</w:t>
      </w:r>
      <w:hyperlink w:history="true" r:id="rId110">
        <w:r>
          <w:rPr>
            <w:rFonts w:ascii="Times New Roman" w:hAnsi="Times New Roman" w:eastAsia="Times New Roman" w:cs="Times New Roman"/>
            <w:sz w:val="21"/>
            <w:szCs w:val="21"/>
          </w:rPr>
          <w:t>Larsen</w:t>
        </w:r>
      </w:hyperlink>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S.Thiazide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prophylax</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of  urolithiasis.A</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double-blind</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general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practice.Acta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Scand.1984;215(4):383-</w:t>
      </w:r>
      <w:r>
        <w:rPr>
          <w:rFonts w:ascii="Times New Roman" w:hAnsi="Times New Roman" w:eastAsia="Times New Roman" w:cs="Times New Roman"/>
          <w:sz w:val="21"/>
          <w:szCs w:val="21"/>
          <w:spacing w:val="-1"/>
        </w:rPr>
        <w:t>389.</w:t>
      </w:r>
    </w:p>
    <w:p>
      <w:pPr>
        <w:ind w:left="429"/>
        <w:spacing w:before="51" w:line="192"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http://www.ncbi.nlm.nih.govlentrez/query.fcgi?cmd=Retrieve&amp;db=PubMed&amp;list_uids=6375276&amp;do</w:t>
        </w:r>
        <w:r>
          <w:rPr>
            <w:rFonts w:ascii="Times New Roman" w:hAnsi="Times New Roman" w:eastAsia="Times New Roman" w:cs="Times New Roman"/>
            <w:sz w:val="21"/>
            <w:szCs w:val="21"/>
            <w:spacing w:val="-1"/>
          </w:rPr>
          <w:t>pt=Abstract</w:t>
        </w:r>
      </w:hyperlink>
    </w:p>
    <w:p>
      <w:pPr>
        <w:ind w:left="429" w:right="50"/>
        <w:spacing w:before="158" w:line="255" w:lineRule="auto"/>
        <w:rPr>
          <w:rFonts w:ascii="Times New Roman" w:hAnsi="Times New Roman" w:eastAsia="Times New Roman" w:cs="Times New Roman"/>
          <w:sz w:val="21"/>
          <w:szCs w:val="21"/>
        </w:rPr>
      </w:pPr>
      <w:hyperlink w:history="true" r:id="rId102">
        <w:r>
          <w:rPr>
            <w:rFonts w:ascii="Times New Roman" w:hAnsi="Times New Roman" w:eastAsia="Times New Roman" w:cs="Times New Roman"/>
            <w:sz w:val="21"/>
            <w:szCs w:val="21"/>
          </w:rPr>
          <w:t>16.Wilson  DR</w:t>
        </w:r>
      </w:hyperlink>
      <w:r>
        <w:rPr>
          <w:rFonts w:ascii="Times New Roman" w:hAnsi="Times New Roman" w:eastAsia="Times New Roman" w:cs="Times New Roman"/>
          <w:sz w:val="21"/>
          <w:szCs w:val="21"/>
        </w:rPr>
        <w:t>,</w:t>
      </w:r>
      <w:hyperlink w:history="true" r:id="rId111">
        <w:r>
          <w:rPr>
            <w:rFonts w:ascii="Times New Roman" w:hAnsi="Times New Roman" w:eastAsia="Times New Roman" w:cs="Times New Roman"/>
            <w:sz w:val="21"/>
            <w:szCs w:val="21"/>
          </w:rPr>
          <w:t>Strauss</w:t>
        </w:r>
      </w:hyperlink>
      <w:r>
        <w:rPr>
          <w:rFonts w:ascii="Times New Roman" w:hAnsi="Times New Roman" w:eastAsia="Times New Roman" w:cs="Times New Roman"/>
          <w:sz w:val="21"/>
          <w:szCs w:val="21"/>
        </w:rPr>
        <w:t xml:space="preserve">  AL,Manuel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MA.Comparison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  medical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treatments   for  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preventio</w:t>
      </w:r>
      <w:r>
        <w:rPr>
          <w:rFonts w:ascii="Times New Roman" w:hAnsi="Times New Roman" w:eastAsia="Times New Roman" w:cs="Times New Roman"/>
          <w:sz w:val="21"/>
          <w:szCs w:val="21"/>
          <w:spacing w:val="-1"/>
        </w:rPr>
        <w:t>n   of  recurrent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calcium  nephrolithiasis.Urol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Res  </w:t>
      </w:r>
      <w:r>
        <w:rPr>
          <w:rFonts w:ascii="Times New Roman" w:hAnsi="Times New Roman" w:eastAsia="Times New Roman" w:cs="Times New Roman"/>
          <w:sz w:val="21"/>
          <w:szCs w:val="21"/>
          <w:spacing w:val="-1"/>
        </w:rPr>
        <w:t xml:space="preserve"> 1984;12:39-40.</w:t>
      </w:r>
    </w:p>
    <w:p>
      <w:pPr>
        <w:ind w:left="429" w:right="29"/>
        <w:spacing w:before="146"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17.Robertson   WG,Peacock   M,Selby    PL,Williams   RE,Clark    P,Chis</w:t>
      </w:r>
      <w:r>
        <w:rPr>
          <w:rFonts w:ascii="Times New Roman" w:hAnsi="Times New Roman" w:eastAsia="Times New Roman" w:cs="Times New Roman"/>
          <w:sz w:val="21"/>
          <w:szCs w:val="21"/>
          <w:spacing w:val="-1"/>
        </w:rPr>
        <w:t>holm   GD,Hargreaves    TB,Rose   MB,</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Wilkinson</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H.A</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multicentre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trial</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to</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evaluate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three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treatments</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idiopathic</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caleium  stone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disease-a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preliminary   report.In:Urolithiasis    and   related    clinical   research.Schwille    PO,Smith   LH</w:t>
      </w:r>
      <w:r>
        <w:rPr>
          <w:rFonts w:ascii="Times New Roman" w:hAnsi="Times New Roman" w:eastAsia="Times New Roman" w:cs="Times New Roman"/>
          <w:sz w:val="21"/>
          <w:szCs w:val="21"/>
          <w:spacing w:val="-1"/>
        </w:rPr>
        <w:t>,Robertson    WG,</w:t>
      </w:r>
    </w:p>
    <w:p>
      <w:pPr>
        <w:ind w:left="4979"/>
        <w:spacing w:before="25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8"/>
        </w:rPr>
        <w:t>—245—</w:t>
      </w:r>
    </w:p>
    <w:p>
      <w:pPr>
        <w:spacing w:line="31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4"/>
          <w:pgSz w:w="11850" w:h="16140"/>
          <w:pgMar w:top="400" w:right="1399" w:bottom="0" w:left="380" w:header="0" w:footer="0" w:gutter="0"/>
        </w:sectPr>
        <w:rPr>
          <w:rFonts w:ascii="Times New Roman" w:hAnsi="Times New Roman" w:eastAsia="Times New Roman" w:cs="Times New Roman"/>
          <w:sz w:val="21"/>
          <w:szCs w:val="21"/>
        </w:rPr>
      </w:pPr>
    </w:p>
    <w:p>
      <w:pPr>
        <w:ind w:firstLine="509"/>
        <w:spacing w:before="180" w:line="519" w:lineRule="exact"/>
        <w:rPr/>
      </w:pPr>
      <w:r>
        <w:rPr>
          <w:position w:val="-10"/>
        </w:rPr>
        <w:drawing>
          <wp:inline distT="0" distB="0" distL="0" distR="0">
            <wp:extent cx="1727231" cy="330117"/>
            <wp:effectExtent l="0" t="0" r="0" b="0"/>
            <wp:docPr id="52" name="IM 52"/>
            <wp:cNvGraphicFramePr/>
            <a:graphic>
              <a:graphicData uri="http://schemas.openxmlformats.org/drawingml/2006/picture">
                <pic:pic>
                  <pic:nvPicPr>
                    <pic:cNvPr id="52" name="IM 52"/>
                    <pic:cNvPicPr/>
                  </pic:nvPicPr>
                  <pic:blipFill>
                    <a:blip r:embed="rId112"/>
                    <a:stretch>
                      <a:fillRect/>
                    </a:stretch>
                  </pic:blipFill>
                  <pic:spPr>
                    <a:xfrm rot="0">
                      <a:off x="0" y="0"/>
                      <a:ext cx="1727231" cy="330117"/>
                    </a:xfrm>
                    <a:prstGeom prst="rect">
                      <a:avLst/>
                    </a:prstGeom>
                  </pic:spPr>
                </pic:pic>
              </a:graphicData>
            </a:graphic>
          </wp:inline>
        </w:drawing>
      </w:r>
    </w:p>
    <w:p>
      <w:pPr>
        <w:ind w:left="579"/>
        <w:spacing w:before="2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Vahlensieck</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W(eds).Plenum</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Press:New</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York   1</w:t>
      </w:r>
      <w:r>
        <w:rPr>
          <w:rFonts w:ascii="Times New Roman" w:hAnsi="Times New Roman" w:eastAsia="Times New Roman" w:cs="Times New Roman"/>
          <w:sz w:val="21"/>
          <w:szCs w:val="21"/>
          <w:spacing w:val="-1"/>
        </w:rPr>
        <w:t>985,pp.545-548.</w:t>
      </w:r>
    </w:p>
    <w:p>
      <w:pPr>
        <w:ind w:left="429" w:right="27"/>
        <w:spacing w:before="126" w:line="3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18.Ettinger    B,Citron    JT,Livermore    B,Dolman    LI.Chlorthalidone</w:t>
      </w:r>
      <w:r>
        <w:rPr>
          <w:rFonts w:ascii="Times New Roman" w:hAnsi="Times New Roman" w:eastAsia="Times New Roman" w:cs="Times New Roman"/>
          <w:sz w:val="21"/>
          <w:szCs w:val="21"/>
          <w:spacing w:val="-1"/>
        </w:rPr>
        <w:t xml:space="preserve">    reduces    calcium    oxalate    calculous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recurrences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but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magnesium</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hydroxide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doe</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not.J</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1988;139:679-684.</w:t>
      </w:r>
    </w:p>
    <w:p>
      <w:pPr>
        <w:ind w:left="429" w:right="66"/>
        <w:spacing w:before="21" w:line="300" w:lineRule="auto"/>
        <w:rPr>
          <w:rFonts w:ascii="Times New Roman" w:hAnsi="Times New Roman" w:eastAsia="Times New Roman" w:cs="Times New Roman"/>
          <w:sz w:val="21"/>
          <w:szCs w:val="21"/>
        </w:rPr>
      </w:pPr>
      <w:hyperlink w:history="true" r:id="rId113">
        <w:r>
          <w:rPr>
            <w:rFonts w:ascii="Times New Roman" w:hAnsi="Times New Roman" w:eastAsia="Times New Roman" w:cs="Times New Roman"/>
            <w:sz w:val="21"/>
            <w:szCs w:val="21"/>
          </w:rPr>
          <w:t>http://www.ncbi.nlm.nih.gov/entrez/query.fegi?cmd=Retrieve&amp;db=PubMed&amp;list_uids=3280829&amp;do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429" w:right="34"/>
        <w:spacing w:before="57"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19.Ohkawa</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M,Tokunaga  S,Naka</w:t>
      </w:r>
      <w:r>
        <w:rPr>
          <w:rFonts w:ascii="Times New Roman" w:hAnsi="Times New Roman" w:eastAsia="Times New Roman" w:cs="Times New Roman"/>
          <w:sz w:val="21"/>
          <w:szCs w:val="21"/>
          <w:spacing w:val="-1"/>
        </w:rPr>
        <w:t>shima  T,Orito  M,Hisazumi  H.Thiazide  treatment  for  calcium  urolithiasis  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idiopathic</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hypercalciuria.Br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Urol  1992;69:571-576.</w:t>
      </w:r>
    </w:p>
    <w:p>
      <w:pPr>
        <w:ind w:left="429"/>
        <w:spacing w:before="22"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w:t>
        </w:r>
        <w:r>
          <w:rPr>
            <w:rFonts w:ascii="Times New Roman" w:hAnsi="Times New Roman" w:eastAsia="Times New Roman" w:cs="Times New Roman"/>
            <w:sz w:val="21"/>
            <w:szCs w:val="21"/>
            <w:spacing w:val="-1"/>
          </w:rPr>
          <w:t>=PubMed&amp;list_uids=1638340&amp;dopt=Abstract</w:t>
        </w:r>
      </w:hyperlink>
    </w:p>
    <w:p>
      <w:pPr>
        <w:ind w:left="429" w:right="24"/>
        <w:spacing w:before="136" w:line="260"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20.Borghi   L</w:t>
        </w:r>
      </w:hyperlink>
      <w:r>
        <w:rPr>
          <w:rFonts w:ascii="Times New Roman" w:hAnsi="Times New Roman" w:eastAsia="Times New Roman" w:cs="Times New Roman"/>
          <w:sz w:val="21"/>
          <w:szCs w:val="21"/>
        </w:rPr>
        <w:t>,</w:t>
      </w:r>
      <w:hyperlink w:history="true" r:id="rId115">
        <w:r>
          <w:rPr>
            <w:rFonts w:ascii="Times New Roman" w:hAnsi="Times New Roman" w:eastAsia="Times New Roman" w:cs="Times New Roman"/>
            <w:sz w:val="21"/>
            <w:szCs w:val="21"/>
          </w:rPr>
          <w:t>Meschi</w:t>
        </w:r>
      </w:hyperlink>
      <w:r>
        <w:rPr>
          <w:rFonts w:ascii="Times New Roman" w:hAnsi="Times New Roman" w:eastAsia="Times New Roman" w:cs="Times New Roman"/>
          <w:sz w:val="21"/>
          <w:szCs w:val="21"/>
        </w:rPr>
        <w:t xml:space="preserve">   T,Guerra   A,Novanni   A.Randomized   prospective   study   of   a   nonthiazide   diureti</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indapamide,in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preventing</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calcium  stones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recurrences.</w:t>
      </w:r>
      <w:r>
        <w:rPr>
          <w:rFonts w:ascii="Times New Roman" w:hAnsi="Times New Roman" w:eastAsia="Times New Roman" w:cs="Times New Roman"/>
          <w:sz w:val="21"/>
          <w:szCs w:val="21"/>
          <w:spacing w:val="-1"/>
        </w:rPr>
        <w:t>J  Cardiovasc</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Pharmacol  1993;22(Suppl  6):78-86.</w:t>
      </w:r>
    </w:p>
    <w:p>
      <w:pPr>
        <w:ind w:left="429"/>
        <w:spacing w:before="137"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http://www.ncbi.nlm.nih.gov/entrez/query.fcgi?cmd=Retrieve&amp;db=PubMed&amp;list_uids=7508066&amp;do</w:t>
        </w:r>
        <w:r>
          <w:rPr>
            <w:rFonts w:ascii="Times New Roman" w:hAnsi="Times New Roman" w:eastAsia="Times New Roman" w:cs="Times New Roman"/>
            <w:sz w:val="21"/>
            <w:szCs w:val="21"/>
            <w:spacing w:val="-1"/>
          </w:rPr>
          <w:t>pt=Abstract</w:t>
        </w:r>
      </w:hyperlink>
    </w:p>
    <w:p>
      <w:pPr>
        <w:ind w:left="429"/>
        <w:spacing w:before="127" w:line="294"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21.Ahlstrand    C</w:t>
        </w:r>
      </w:hyperlink>
      <w:r>
        <w:rPr>
          <w:rFonts w:ascii="Times New Roman" w:hAnsi="Times New Roman" w:eastAsia="Times New Roman" w:cs="Times New Roman"/>
          <w:sz w:val="21"/>
          <w:szCs w:val="21"/>
        </w:rPr>
        <w:t>,</w:t>
      </w:r>
      <w:hyperlink w:history="true" r:id="rId116">
        <w:r>
          <w:rPr>
            <w:rFonts w:ascii="Times New Roman" w:hAnsi="Times New Roman" w:eastAsia="Times New Roman" w:cs="Times New Roman"/>
            <w:sz w:val="21"/>
            <w:szCs w:val="21"/>
          </w:rPr>
          <w:t>Sandwall</w:t>
        </w:r>
      </w:hyperlink>
      <w:r>
        <w:rPr>
          <w:rFonts w:ascii="Times New Roman" w:hAnsi="Times New Roman" w:eastAsia="Times New Roman" w:cs="Times New Roman"/>
          <w:sz w:val="21"/>
          <w:szCs w:val="21"/>
        </w:rPr>
        <w:t xml:space="preserve">     K,Tiselius    HG.Prophylactic     treatment    of    calcium     s</w:t>
      </w:r>
      <w:r>
        <w:rPr>
          <w:rFonts w:ascii="Times New Roman" w:hAnsi="Times New Roman" w:eastAsia="Times New Roman" w:cs="Times New Roman"/>
          <w:sz w:val="21"/>
          <w:szCs w:val="21"/>
          <w:spacing w:val="-1"/>
        </w:rPr>
        <w:t>tone     formers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hydrochlorothiazide   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magnesium.In:Renal   stones-aspects   o</w:t>
      </w:r>
      <w:r>
        <w:rPr>
          <w:rFonts w:ascii="Times New Roman" w:hAnsi="Times New Roman" w:eastAsia="Times New Roman" w:cs="Times New Roman"/>
          <w:sz w:val="21"/>
          <w:szCs w:val="21"/>
          <w:spacing w:val="-1"/>
        </w:rPr>
        <w:t>n   their   formation,removal   and   prevention.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Sixth</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European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Symposium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on  Urolit</w:t>
      </w:r>
      <w:r>
        <w:rPr>
          <w:rFonts w:ascii="Times New Roman" w:hAnsi="Times New Roman" w:eastAsia="Times New Roman" w:cs="Times New Roman"/>
          <w:sz w:val="21"/>
          <w:szCs w:val="21"/>
          <w:spacing w:val="-1"/>
        </w:rPr>
        <w:t>hiasis   1995.HG   Tiselius(ed).Akademitryck  AB,</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Edsbruk   1996,pp   195-197.</w:t>
      </w:r>
    </w:p>
    <w:p>
      <w:pPr>
        <w:ind w:left="429" w:right="34"/>
        <w:spacing w:before="157"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22.Ala-Opas   M,Elomaa   I,Porkka    L,Alfthan   0.Unp</w:t>
      </w:r>
      <w:r>
        <w:rPr>
          <w:rFonts w:ascii="Times New Roman" w:hAnsi="Times New Roman" w:eastAsia="Times New Roman" w:cs="Times New Roman"/>
          <w:sz w:val="21"/>
          <w:szCs w:val="21"/>
          <w:spacing w:val="-1"/>
        </w:rPr>
        <w:t>rocessed   bran    and   intermittent   thiazide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therapy    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prevention</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of recurrent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stones.Scand</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Nep</w:t>
      </w:r>
      <w:r>
        <w:rPr>
          <w:rFonts w:ascii="Times New Roman" w:hAnsi="Times New Roman" w:eastAsia="Times New Roman" w:cs="Times New Roman"/>
          <w:sz w:val="21"/>
          <w:szCs w:val="21"/>
          <w:spacing w:val="-1"/>
        </w:rPr>
        <w:t>hrol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1987;21:311-314.</w:t>
      </w:r>
    </w:p>
    <w:p>
      <w:pPr>
        <w:ind w:left="429"/>
        <w:spacing w:before="146"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http://www.ncbi.nlm.nih.gov/entrez/query.fcgi?cmd=Retrieve&amp;db=PubMed&amp;list_uids=2832935&amp;do</w:t>
        </w:r>
        <w:r>
          <w:rPr>
            <w:rFonts w:ascii="Times New Roman" w:hAnsi="Times New Roman" w:eastAsia="Times New Roman" w:cs="Times New Roman"/>
            <w:sz w:val="21"/>
            <w:szCs w:val="21"/>
            <w:spacing w:val="-1"/>
          </w:rPr>
          <w:t>pt=Abstract</w:t>
        </w:r>
      </w:hyperlink>
    </w:p>
    <w:p>
      <w:pPr>
        <w:ind w:left="429" w:right="33"/>
        <w:spacing w:before="148" w:line="30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23.Coe  FL</w:t>
        </w:r>
      </w:hyperlink>
      <w:r>
        <w:rPr>
          <w:rFonts w:ascii="Times New Roman" w:hAnsi="Times New Roman" w:eastAsia="Times New Roman" w:cs="Times New Roman"/>
          <w:sz w:val="21"/>
          <w:szCs w:val="21"/>
        </w:rPr>
        <w:t>,</w:t>
      </w:r>
      <w:hyperlink w:history="true" r:id="rId117">
        <w:r>
          <w:rPr>
            <w:rFonts w:ascii="Times New Roman" w:hAnsi="Times New Roman" w:eastAsia="Times New Roman" w:cs="Times New Roman"/>
            <w:sz w:val="21"/>
            <w:szCs w:val="21"/>
          </w:rPr>
          <w:t>Kavalach</w:t>
        </w:r>
      </w:hyperlink>
      <w:r>
        <w:rPr>
          <w:rFonts w:ascii="Times New Roman" w:hAnsi="Times New Roman" w:eastAsia="Times New Roman" w:cs="Times New Roman"/>
          <w:sz w:val="21"/>
          <w:szCs w:val="21"/>
        </w:rPr>
        <w:t xml:space="preserve">  AG.Hypercalciuria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hyperuricosuria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nephrolithias</w:t>
      </w:r>
      <w:r>
        <w:rPr>
          <w:rFonts w:ascii="Times New Roman" w:hAnsi="Times New Roman" w:eastAsia="Times New Roman" w:cs="Times New Roman"/>
          <w:sz w:val="21"/>
          <w:szCs w:val="21"/>
          <w:spacing w:val="-1"/>
        </w:rPr>
        <w:t>is.New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Eng</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1974;1344-135</w:t>
      </w:r>
      <w:r>
        <w:rPr>
          <w:rFonts w:ascii="Times New Roman" w:hAnsi="Times New Roman" w:eastAsia="Times New Roman" w:cs="Times New Roman"/>
          <w:sz w:val="21"/>
          <w:szCs w:val="21"/>
          <w:spacing w:val="-2"/>
        </w:rPr>
        <w:t>0.</w:t>
      </w:r>
    </w:p>
    <w:p>
      <w:pPr>
        <w:ind w:left="429"/>
        <w:spacing w:before="61"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ids=4610395</w:t>
        </w:r>
      </w:hyperlink>
    </w:p>
    <w:p>
      <w:pPr>
        <w:ind w:left="429" w:right="34"/>
        <w:spacing w:before="126" w:line="313"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24.Birkenh?ger   JC</w:t>
        </w:r>
      </w:hyperlink>
      <w:r>
        <w:rPr>
          <w:rFonts w:ascii="Times New Roman" w:hAnsi="Times New Roman" w:eastAsia="Times New Roman" w:cs="Times New Roman"/>
          <w:sz w:val="21"/>
          <w:szCs w:val="21"/>
        </w:rPr>
        <w:t>,</w:t>
      </w:r>
      <w:hyperlink w:history="true" r:id="rId118">
        <w:r>
          <w:rPr>
            <w:rFonts w:ascii="Times New Roman" w:hAnsi="Times New Roman" w:eastAsia="Times New Roman" w:cs="Times New Roman"/>
            <w:sz w:val="21"/>
            <w:szCs w:val="21"/>
          </w:rPr>
          <w:t>Juttman</w:t>
        </w:r>
      </w:hyperlink>
      <w:r>
        <w:rPr>
          <w:rFonts w:ascii="Times New Roman" w:hAnsi="Times New Roman" w:eastAsia="Times New Roman" w:cs="Times New Roman"/>
          <w:sz w:val="21"/>
          <w:szCs w:val="21"/>
        </w:rPr>
        <w:t xml:space="preserve">   JR,Lockefeer   JHM.Do   thiazides   prevent   </w:t>
      </w:r>
      <w:r>
        <w:rPr>
          <w:rFonts w:ascii="Times New Roman" w:hAnsi="Times New Roman" w:eastAsia="Times New Roman" w:cs="Times New Roman"/>
          <w:sz w:val="21"/>
          <w:szCs w:val="21"/>
          <w:spacing w:val="-1"/>
        </w:rPr>
        <w:t>recurrent   idiopathic   renal   calcium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stones?Lancet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1981;578-589.</w:t>
      </w:r>
    </w:p>
    <w:p>
      <w:pPr>
        <w:ind w:left="429"/>
        <w:spacing w:before="51"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http://www.ncbi.nlm.nih.govlentrezlquery.fcgi?cmd=Retrieve&amp;db=pubmed&amp;dopt=Abstract&amp;list_u</w:t>
        </w:r>
        <w:r>
          <w:rPr>
            <w:rFonts w:ascii="Times New Roman" w:hAnsi="Times New Roman" w:eastAsia="Times New Roman" w:cs="Times New Roman"/>
            <w:sz w:val="21"/>
            <w:szCs w:val="21"/>
            <w:spacing w:val="-1"/>
          </w:rPr>
          <w:t>ids=6116016</w:t>
        </w:r>
      </w:hyperlink>
    </w:p>
    <w:p>
      <w:pPr>
        <w:ind w:left="429" w:right="8"/>
        <w:spacing w:before="147" w:line="296"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25.Ljunghall  S</w:t>
        </w:r>
      </w:hyperlink>
      <w:r>
        <w:rPr>
          <w:rFonts w:ascii="Times New Roman" w:hAnsi="Times New Roman" w:eastAsia="Times New Roman" w:cs="Times New Roman"/>
          <w:sz w:val="21"/>
          <w:szCs w:val="21"/>
        </w:rPr>
        <w:t>,</w:t>
      </w:r>
      <w:hyperlink w:history="true" r:id="rId119">
        <w:r>
          <w:rPr>
            <w:rFonts w:ascii="Times New Roman" w:hAnsi="Times New Roman" w:eastAsia="Times New Roman" w:cs="Times New Roman"/>
            <w:sz w:val="21"/>
            <w:szCs w:val="21"/>
          </w:rPr>
          <w:t>Backman</w:t>
        </w:r>
      </w:hyperlink>
      <w:r>
        <w:rPr>
          <w:rFonts w:ascii="Times New Roman" w:hAnsi="Times New Roman" w:eastAsia="Times New Roman" w:cs="Times New Roman"/>
          <w:sz w:val="21"/>
          <w:szCs w:val="21"/>
        </w:rPr>
        <w:t xml:space="preserve">  U,Danielson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BG,Fellstr?m</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B,Johannson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G,Wikstr?m</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B.Long-term</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tre</w:t>
      </w:r>
      <w:r>
        <w:rPr>
          <w:rFonts w:ascii="Times New Roman" w:hAnsi="Times New Roman" w:eastAsia="Times New Roman" w:cs="Times New Roman"/>
          <w:sz w:val="21"/>
          <w:szCs w:val="21"/>
          <w:spacing w:val="-1"/>
        </w:rPr>
        <w:t>atment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bendroflumethiazide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prevention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of  renal   stones:clinical   experiences</w:t>
      </w:r>
      <w:r>
        <w:rPr>
          <w:rFonts w:ascii="Times New Roman" w:hAnsi="Times New Roman" w:eastAsia="Times New Roman" w:cs="Times New Roman"/>
          <w:sz w:val="21"/>
          <w:szCs w:val="21"/>
          <w:spacing w:val="-1"/>
        </w:rPr>
        <w:t>.In:Urolithiasis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clinical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basic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research.Plenum   Press:New   York  </w:t>
      </w:r>
      <w:r>
        <w:rPr>
          <w:rFonts w:ascii="Times New Roman" w:hAnsi="Times New Roman" w:eastAsia="Times New Roman" w:cs="Times New Roman"/>
          <w:sz w:val="21"/>
          <w:szCs w:val="21"/>
          <w:spacing w:val="-1"/>
        </w:rPr>
        <w:t xml:space="preserve">  1981,pp.241-244.</w:t>
      </w:r>
    </w:p>
    <w:p>
      <w:pPr>
        <w:ind w:left="429" w:right="9"/>
        <w:spacing w:before="147"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26.Ahlstrand  C,Tiselius  HG,Larsson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L,Hellgren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E.Clinical   experience  with</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long-term</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bendroflumet</w:t>
      </w:r>
      <w:r>
        <w:rPr>
          <w:rFonts w:ascii="Times New Roman" w:hAnsi="Times New Roman" w:eastAsia="Times New Roman" w:cs="Times New Roman"/>
          <w:sz w:val="21"/>
          <w:szCs w:val="21"/>
          <w:spacing w:val="-1"/>
        </w:rPr>
        <w:t>hiazide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formers.Br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1984;56:255-262.</w:t>
      </w:r>
    </w:p>
    <w:p>
      <w:pPr>
        <w:ind w:left="429"/>
        <w:spacing w:before="167"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ids=6399984</w:t>
        </w:r>
      </w:hyperlink>
    </w:p>
    <w:p>
      <w:pPr>
        <w:ind w:left="429" w:right="14"/>
        <w:spacing w:before="117" w:line="32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27.Marangella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w:t>
        </w:r>
      </w:hyperlink>
      <w:r>
        <w:rPr>
          <w:rFonts w:ascii="Times New Roman" w:hAnsi="Times New Roman" w:eastAsia="Times New Roman" w:cs="Times New Roman"/>
          <w:sz w:val="21"/>
          <w:szCs w:val="21"/>
        </w:rPr>
        <w:t>,</w:t>
      </w:r>
      <w:hyperlink w:history="true" r:id="rId120">
        <w:r>
          <w:rPr>
            <w:rFonts w:ascii="Times New Roman" w:hAnsi="Times New Roman" w:eastAsia="Times New Roman" w:cs="Times New Roman"/>
            <w:sz w:val="21"/>
            <w:szCs w:val="21"/>
          </w:rPr>
          <w:t>Vitale</w:t>
        </w:r>
      </w:hyperlink>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C,Bagnis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C,Bruno</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M,Ram</w:t>
      </w:r>
      <w:r>
        <w:rPr>
          <w:rFonts w:ascii="Times New Roman" w:hAnsi="Times New Roman" w:eastAsia="Times New Roman" w:cs="Times New Roman"/>
          <w:sz w:val="21"/>
          <w:szCs w:val="21"/>
          <w:spacing w:val="-1"/>
        </w:rPr>
        <w:t>ello</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A.Idiopathic</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nephrolithiasis.Nephron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1999;81:38-44.</w:t>
      </w:r>
    </w:p>
    <w:p>
      <w:pPr>
        <w:ind w:left="429"/>
        <w:spacing w:before="61"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ids=9873213</w:t>
        </w:r>
      </w:hyperlink>
    </w:p>
    <w:p>
      <w:pPr>
        <w:ind w:left="429" w:right="24"/>
        <w:spacing w:before="138" w:line="289"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28.Pak</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CYC</w:t>
        </w:r>
      </w:hyperlink>
      <w:r>
        <w:rPr>
          <w:rFonts w:ascii="Times New Roman" w:hAnsi="Times New Roman" w:eastAsia="Times New Roman" w:cs="Times New Roman"/>
          <w:sz w:val="21"/>
          <w:szCs w:val="21"/>
        </w:rPr>
        <w:t>,</w:t>
      </w:r>
      <w:hyperlink w:history="true" r:id="rId121">
        <w:r>
          <w:rPr>
            <w:rFonts w:ascii="Times New Roman" w:hAnsi="Times New Roman" w:eastAsia="Times New Roman" w:cs="Times New Roman"/>
            <w:sz w:val="21"/>
            <w:szCs w:val="21"/>
          </w:rPr>
          <w:t>Peters</w:t>
        </w:r>
      </w:hyperlink>
      <w:r>
        <w:rPr>
          <w:rFonts w:ascii="Times New Roman" w:hAnsi="Times New Roman" w:eastAsia="Times New Roman" w:cs="Times New Roman"/>
          <w:sz w:val="21"/>
          <w:szCs w:val="21"/>
        </w:rPr>
        <w:t xml:space="preserve">  P,Hurt   G,Kadesky  M,Fine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M,Reisman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
        </w:rPr>
        <w:t>,Splann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   Carmala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C,Freeman  A,Britton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Sakhaee,Breslau</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NA.Is  selective  therapy  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recurrent  nephrolithiasis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possi</w:t>
      </w:r>
      <w:r>
        <w:rPr>
          <w:rFonts w:ascii="Times New Roman" w:hAnsi="Times New Roman" w:eastAsia="Times New Roman" w:cs="Times New Roman"/>
          <w:sz w:val="21"/>
          <w:szCs w:val="21"/>
          <w:spacing w:val="-1"/>
        </w:rPr>
        <w:t>ble?Am  JMed  1981;71:615-627.</w:t>
      </w:r>
      <w:r>
        <w:rPr>
          <w:rFonts w:ascii="Times New Roman" w:hAnsi="Times New Roman" w:eastAsia="Times New Roman" w:cs="Times New Roman"/>
          <w:sz w:val="21"/>
          <w:szCs w:val="21"/>
        </w:rPr>
        <w:t xml:space="preserve">    </w:t>
      </w:r>
      <w:hyperlink w:history="true" r:id="rId114">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ids=7282750</w:t>
        </w:r>
      </w:hyperlink>
    </w:p>
    <w:p>
      <w:pPr>
        <w:ind w:left="429" w:right="29"/>
        <w:spacing w:before="137" w:line="255"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29.Pearle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MS</w:t>
        </w:r>
      </w:hyperlink>
      <w:r>
        <w:rPr>
          <w:rFonts w:ascii="Times New Roman" w:hAnsi="Times New Roman" w:eastAsia="Times New Roman" w:cs="Times New Roman"/>
          <w:sz w:val="21"/>
          <w:szCs w:val="21"/>
        </w:rPr>
        <w:t>,</w:t>
      </w:r>
      <w:hyperlink w:history="true" r:id="rId122">
        <w:r>
          <w:rPr>
            <w:rFonts w:ascii="Times New Roman" w:hAnsi="Times New Roman" w:eastAsia="Times New Roman" w:cs="Times New Roman"/>
            <w:sz w:val="21"/>
            <w:szCs w:val="21"/>
          </w:rPr>
          <w:t>Roehrborn</w:t>
        </w:r>
      </w:hyperlink>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CG,Pak</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CYC.Meta-analysis</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trials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medic</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prevention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nephrolithiasis.J</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Endourol   1999;13:</w:t>
      </w:r>
      <w:r>
        <w:rPr>
          <w:rFonts w:ascii="Times New Roman" w:hAnsi="Times New Roman" w:eastAsia="Times New Roman" w:cs="Times New Roman"/>
          <w:sz w:val="21"/>
          <w:szCs w:val="21"/>
          <w:spacing w:val="-1"/>
        </w:rPr>
        <w:t>679-685.</w:t>
      </w:r>
    </w:p>
    <w:p>
      <w:pPr>
        <w:ind w:left="429"/>
        <w:spacing w:before="187"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spacing w:val="-3"/>
          </w:rPr>
          <w:t>http://www.ncbi.nlm.nih</w:t>
        </w:r>
        <w:r>
          <w:rPr>
            <w:rFonts w:ascii="Times New Roman" w:hAnsi="Times New Roman" w:eastAsia="Times New Roman" w:cs="Times New Roman"/>
            <w:sz w:val="21"/>
            <w:szCs w:val="21"/>
            <w:spacing w:val="-4"/>
          </w:rPr>
          <w:t>.gov/entrez/query.fcgi?cmd=Retrieve&amp;db=pubmed&amp;dopt=Abstract&amp;list_uids=10608521</w:t>
        </w:r>
      </w:hyperlink>
    </w:p>
    <w:p>
      <w:pPr>
        <w:ind w:left="429"/>
        <w:spacing w:before="137" w:line="192" w:lineRule="auto"/>
        <w:rPr>
          <w:rFonts w:ascii="Times New Roman" w:hAnsi="Times New Roman" w:eastAsia="Times New Roman" w:cs="Times New Roman"/>
          <w:sz w:val="21"/>
          <w:szCs w:val="21"/>
        </w:rPr>
      </w:pPr>
      <w:hyperlink w:history="true" r:id="rId114">
        <w:r>
          <w:rPr>
            <w:rFonts w:ascii="Times New Roman" w:hAnsi="Times New Roman" w:eastAsia="Times New Roman" w:cs="Times New Roman"/>
            <w:sz w:val="21"/>
            <w:szCs w:val="21"/>
          </w:rPr>
          <w:t>30.Tiselius  HG</w:t>
        </w:r>
      </w:hyperlink>
      <w:r>
        <w:rPr>
          <w:rFonts w:ascii="Times New Roman" w:hAnsi="Times New Roman" w:eastAsia="Times New Roman" w:cs="Times New Roman"/>
          <w:sz w:val="21"/>
          <w:szCs w:val="21"/>
        </w:rPr>
        <w:t>,</w:t>
      </w:r>
      <w:hyperlink w:history="true" r:id="rId123">
        <w:r>
          <w:rPr>
            <w:rFonts w:ascii="Times New Roman" w:hAnsi="Times New Roman" w:eastAsia="Times New Roman" w:cs="Times New Roman"/>
            <w:sz w:val="21"/>
            <w:szCs w:val="21"/>
          </w:rPr>
          <w:t>Berg</w:t>
        </w:r>
      </w:hyperlink>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C,Fornander  AM,Nilsson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MA.Effects   of  citrate  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   different  phases   </w:t>
      </w:r>
      <w:r>
        <w:rPr>
          <w:rFonts w:ascii="Times New Roman" w:hAnsi="Times New Roman" w:eastAsia="Times New Roman" w:cs="Times New Roman"/>
          <w:sz w:val="21"/>
          <w:szCs w:val="21"/>
          <w:spacing w:val="-1"/>
        </w:rPr>
        <w:t>of  calcium</w:t>
      </w:r>
    </w:p>
    <w:p>
      <w:pPr>
        <w:ind w:left="4969"/>
        <w:spacing w:before="2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—246—</w:t>
      </w:r>
    </w:p>
    <w:p>
      <w:pPr>
        <w:spacing w:line="43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455" w:bottom="0" w:left="400" w:header="0" w:footer="0" w:gutter="0"/>
        </w:sectPr>
        <w:rPr>
          <w:rFonts w:ascii="Times New Roman" w:hAnsi="Times New Roman" w:eastAsia="Times New Roman" w:cs="Times New Roman"/>
          <w:sz w:val="21"/>
          <w:szCs w:val="21"/>
        </w:rPr>
      </w:pPr>
    </w:p>
    <w:p>
      <w:pPr>
        <w:spacing w:line="347" w:lineRule="auto"/>
        <w:rPr>
          <w:rFonts w:ascii="Arial"/>
          <w:sz w:val="21"/>
        </w:rPr>
      </w:pPr>
      <w:r/>
    </w:p>
    <w:p>
      <w:pPr>
        <w:ind w:firstLine="7710"/>
        <w:spacing w:line="500" w:lineRule="exact"/>
        <w:rPr/>
      </w:pPr>
      <w:r>
        <w:rPr>
          <w:position w:val="-10"/>
        </w:rPr>
        <w:drawing>
          <wp:inline distT="0" distB="0" distL="0" distR="0">
            <wp:extent cx="1739872" cy="317510"/>
            <wp:effectExtent l="0" t="0" r="0" b="0"/>
            <wp:docPr id="54" name="IM 54"/>
            <wp:cNvGraphicFramePr/>
            <a:graphic>
              <a:graphicData uri="http://schemas.openxmlformats.org/drawingml/2006/picture">
                <pic:pic>
                  <pic:nvPicPr>
                    <pic:cNvPr id="54" name="IM 54"/>
                    <pic:cNvPicPr/>
                  </pic:nvPicPr>
                  <pic:blipFill>
                    <a:blip r:embed="rId124"/>
                    <a:stretch>
                      <a:fillRect/>
                    </a:stretch>
                  </pic:blipFill>
                  <pic:spPr>
                    <a:xfrm rot="0">
                      <a:off x="0" y="0"/>
                      <a:ext cx="1739872" cy="317510"/>
                    </a:xfrm>
                    <a:prstGeom prst="rect">
                      <a:avLst/>
                    </a:prstGeom>
                  </pic:spPr>
                </pic:pic>
              </a:graphicData>
            </a:graphic>
          </wp:inline>
        </w:drawing>
      </w:r>
    </w:p>
    <w:p>
      <w:pPr>
        <w:ind w:left="800"/>
        <w:spacing w:before="22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oxalate  crystallisation.Scann</w:t>
      </w:r>
      <w:r>
        <w:rPr>
          <w:rFonts w:ascii="Times New Roman" w:hAnsi="Times New Roman" w:eastAsia="Times New Roman" w:cs="Times New Roman"/>
          <w:sz w:val="21"/>
          <w:szCs w:val="21"/>
          <w:spacing w:val="-1"/>
        </w:rPr>
        <w:t>ing  Microsc   1993;7:381-391.</w:t>
      </w:r>
    </w:p>
    <w:p>
      <w:pPr>
        <w:ind w:left="800" w:right="64"/>
        <w:spacing w:before="158" w:line="30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http://www.ncbi.nlm.nih.gov/entrezlquery.fcgi?cmd=Retrieve&amp;db=pubmed&amp;dopt=Abstract&amp;list_u</w:t>
        </w:r>
        <w:r>
          <w:rPr>
            <w:rFonts w:ascii="Times New Roman" w:hAnsi="Times New Roman" w:eastAsia="Times New Roman" w:cs="Times New Roman"/>
            <w:sz w:val="21"/>
            <w:szCs w:val="21"/>
            <w:spacing w:val="-1"/>
          </w:rPr>
          <w:t>ids=8316807</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31.Barcelo  B</w:t>
        </w:r>
      </w:hyperlink>
      <w:r>
        <w:rPr>
          <w:rFonts w:ascii="Times New Roman" w:hAnsi="Times New Roman" w:eastAsia="Times New Roman" w:cs="Times New Roman"/>
          <w:sz w:val="21"/>
          <w:szCs w:val="21"/>
        </w:rPr>
        <w:t>,</w:t>
      </w:r>
      <w:hyperlink w:history="true" r:id="rId126">
        <w:r>
          <w:rPr>
            <w:rFonts w:ascii="Times New Roman" w:hAnsi="Times New Roman" w:eastAsia="Times New Roman" w:cs="Times New Roman"/>
            <w:sz w:val="21"/>
            <w:szCs w:val="21"/>
          </w:rPr>
          <w:t>Wuhl</w:t>
        </w:r>
      </w:hyperlink>
      <w:r>
        <w:rPr>
          <w:rFonts w:ascii="Times New Roman" w:hAnsi="Times New Roman" w:eastAsia="Times New Roman" w:cs="Times New Roman"/>
          <w:sz w:val="21"/>
          <w:szCs w:val="21"/>
        </w:rPr>
        <w:t xml:space="preserve">  0,Servitge  E,Rousaud  A,Pak</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CYC.Randomized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double-blind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study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  potassi</w:t>
      </w:r>
      <w:r>
        <w:rPr>
          <w:rFonts w:ascii="Times New Roman" w:hAnsi="Times New Roman" w:eastAsia="Times New Roman" w:cs="Times New Roman"/>
          <w:sz w:val="21"/>
          <w:szCs w:val="21"/>
          <w:spacing w:val="-1"/>
        </w:rPr>
        <w:t>um  citrate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in  idiopathic</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hypocitraturic  calcium</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nephrolithiasis.J</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1"/>
        </w:rPr>
        <w:t xml:space="preserve">  1993;150:1761-1764.</w:t>
      </w:r>
    </w:p>
    <w:p>
      <w:pPr>
        <w:ind w:left="800" w:right="48"/>
        <w:spacing w:before="50" w:line="31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http://www.ncbi.nlm.nih.gov/entrez/query.fcgi?cmd=Retrieve&amp;db=PubMed&amp;list_uids=8230497&amp;do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32.Tuncel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A</w:t>
        </w:r>
      </w:hyperlink>
      <w:r>
        <w:rPr>
          <w:rFonts w:ascii="Times New Roman" w:hAnsi="Times New Roman" w:eastAsia="Times New Roman" w:cs="Times New Roman"/>
          <w:sz w:val="21"/>
          <w:szCs w:val="21"/>
        </w:rPr>
        <w:t>,</w:t>
      </w:r>
      <w:hyperlink w:history="true" r:id="rId127">
        <w:r>
          <w:rPr>
            <w:rFonts w:ascii="Times New Roman" w:hAnsi="Times New Roman" w:eastAsia="Times New Roman" w:cs="Times New Roman"/>
            <w:sz w:val="21"/>
            <w:szCs w:val="21"/>
          </w:rPr>
          <w:t>Biri</w:t>
        </w:r>
      </w:hyperlink>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H,Kü</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peli</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B,Tan?,Sen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I.Efficiency</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long-ter</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potassium</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idiopathic</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oxalate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disease.In:Urol</w:t>
      </w:r>
      <w:r>
        <w:rPr>
          <w:rFonts w:ascii="Times New Roman" w:hAnsi="Times New Roman" w:eastAsia="Times New Roman" w:cs="Times New Roman"/>
          <w:sz w:val="21"/>
          <w:szCs w:val="21"/>
          <w:spacing w:val="-1"/>
        </w:rPr>
        <w:t>ithiasis(Proceedings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2nd</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Eurolithiasis  Society</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Meeting).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Sarica K,Kyagci F,Erbagci A and Inal 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(eds).ReTa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offset publishing,Gaziantep,Tu</w:t>
      </w:r>
      <w:r>
        <w:rPr>
          <w:rFonts w:ascii="Times New Roman" w:hAnsi="Times New Roman" w:eastAsia="Times New Roman" w:cs="Times New Roman"/>
          <w:sz w:val="21"/>
          <w:szCs w:val="21"/>
          <w:spacing w:val="-1"/>
        </w:rPr>
        <w:t>rkey,2003,p</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273.</w:t>
      </w:r>
    </w:p>
    <w:p>
      <w:pPr>
        <w:ind w:left="800" w:right="69"/>
        <w:spacing w:before="66" w:line="3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33.Hofbauer  J,H?barth  K,Szabo</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N,Marberger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M.Alkali</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citrate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prophylaxis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idiopathic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recur</w:t>
      </w:r>
      <w:r>
        <w:rPr>
          <w:rFonts w:ascii="Times New Roman" w:hAnsi="Times New Roman" w:eastAsia="Times New Roman" w:cs="Times New Roman"/>
          <w:sz w:val="21"/>
          <w:szCs w:val="21"/>
          <w:spacing w:val="-1"/>
        </w:rPr>
        <w:t>rent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oxalate  nephrolithiasis-a  prospective  randomized  study.Br</w:t>
      </w:r>
      <w:r>
        <w:rPr>
          <w:rFonts w:ascii="Times New Roman" w:hAnsi="Times New Roman" w:eastAsia="Times New Roman" w:cs="Times New Roman"/>
          <w:sz w:val="21"/>
          <w:szCs w:val="21"/>
          <w:spacing w:val="-1"/>
        </w:rPr>
        <w:t xml:space="preserve">  J  Urol   1994;73:362-365.</w:t>
      </w:r>
    </w:p>
    <w:p>
      <w:pPr>
        <w:ind w:left="800" w:right="62"/>
        <w:spacing w:before="43" w:line="31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http://www.ncbi.nlm.nih.gov/entrez/query.fcgi?cmd=Retrieve&amp;db=PubMed&amp;list_uids=8199822&amp;do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34.Ettinger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48">
        <w:r>
          <w:rPr>
            <w:rFonts w:ascii="Times New Roman" w:hAnsi="Times New Roman" w:eastAsia="Times New Roman" w:cs="Times New Roman"/>
            <w:sz w:val="21"/>
            <w:szCs w:val="21"/>
          </w:rPr>
          <w:t>Pak</w:t>
        </w:r>
      </w:hyperlink>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CYC,Citron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JT,T</w:t>
      </w:r>
      <w:r>
        <w:rPr>
          <w:rFonts w:ascii="Times New Roman" w:hAnsi="Times New Roman" w:eastAsia="Times New Roman" w:cs="Times New Roman"/>
          <w:sz w:val="21"/>
          <w:szCs w:val="21"/>
          <w:spacing w:val="-1"/>
        </w:rPr>
        <w:t>homa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C,Adams-Huet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B,Vangessel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A.Potassium-magnesium</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effective</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prophylaxis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against</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recurrent</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cal</w:t>
      </w:r>
      <w:r>
        <w:rPr>
          <w:rFonts w:ascii="Times New Roman" w:hAnsi="Times New Roman" w:eastAsia="Times New Roman" w:cs="Times New Roman"/>
          <w:sz w:val="21"/>
          <w:szCs w:val="21"/>
          <w:spacing w:val="-1"/>
        </w:rPr>
        <w:t>cium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nephrolithiasis.J</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Urol  1997;158:2069-2073.</w:t>
      </w:r>
    </w:p>
    <w:p>
      <w:pPr>
        <w:ind w:left="800" w:right="69"/>
        <w:spacing w:before="43" w:line="312"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http://www.ncbi.nlm.nih.gov/entrez/query.fcgi?cmd=Retrieve&amp;db=PubMed&amp;list_uids=9366314&amp;do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35.Lee  YH</w:t>
        </w:r>
      </w:hyperlink>
      <w:r>
        <w:rPr>
          <w:rFonts w:ascii="Times New Roman" w:hAnsi="Times New Roman" w:eastAsia="Times New Roman" w:cs="Times New Roman"/>
          <w:sz w:val="21"/>
          <w:szCs w:val="21"/>
        </w:rPr>
        <w:t>,</w:t>
      </w:r>
      <w:hyperlink w:history="true" r:id="rId128">
        <w:r>
          <w:rPr>
            <w:rFonts w:ascii="Times New Roman" w:hAnsi="Times New Roman" w:eastAsia="Times New Roman" w:cs="Times New Roman"/>
            <w:sz w:val="21"/>
            <w:szCs w:val="21"/>
          </w:rPr>
          <w:t>Huang</w:t>
        </w:r>
      </w:hyperlink>
      <w:r>
        <w:rPr>
          <w:rFonts w:ascii="Times New Roman" w:hAnsi="Times New Roman" w:eastAsia="Times New Roman" w:cs="Times New Roman"/>
          <w:sz w:val="21"/>
          <w:szCs w:val="21"/>
        </w:rPr>
        <w:t xml:space="preserve">  WC,Tsai  JY,Hung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JK.The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efficacy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potassium  citrate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prophylaxis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for </w:t>
      </w:r>
      <w:r>
        <w:rPr>
          <w:rFonts w:ascii="Times New Roman" w:hAnsi="Times New Roman" w:eastAsia="Times New Roman" w:cs="Times New Roman"/>
          <w:sz w:val="21"/>
          <w:szCs w:val="21"/>
        </w:rPr>
        <w:t>preventing</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upper</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rPr>
        <w:t>tract</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calculi:a</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midterm</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follow-</w:t>
      </w:r>
      <w:r>
        <w:rPr>
          <w:rFonts w:ascii="Times New Roman" w:hAnsi="Times New Roman" w:eastAsia="Times New Roman" w:cs="Times New Roman"/>
          <w:sz w:val="21"/>
          <w:szCs w:val="21"/>
          <w:spacing w:val="-1"/>
        </w:rPr>
        <w:t>up</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study.J</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Urol  1999;161:1453-1457.</w:t>
      </w:r>
    </w:p>
    <w:p>
      <w:pPr>
        <w:ind w:left="800"/>
        <w:spacing w:before="57" w:line="192"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spacing w:val="-3"/>
          </w:rPr>
          <w:t>http://www.ncbi.nlm.nih.govlentre</w:t>
        </w:r>
        <w:r>
          <w:rPr>
            <w:rFonts w:ascii="Times New Roman" w:hAnsi="Times New Roman" w:eastAsia="Times New Roman" w:cs="Times New Roman"/>
            <w:sz w:val="21"/>
            <w:szCs w:val="21"/>
            <w:spacing w:val="-4"/>
          </w:rPr>
          <w:t>z/query.fcgi?cmd=Retrieve&amp;db=pubmed&amp;dopt=Abstract&amp;list_uids=10210371</w:t>
        </w:r>
      </w:hyperlink>
    </w:p>
    <w:p>
      <w:pPr>
        <w:ind w:left="800" w:right="68"/>
        <w:spacing w:before="137" w:line="310"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36.Pak   CY</w:t>
        </w:r>
      </w:hyperlink>
      <w:r>
        <w:rPr>
          <w:rFonts w:ascii="Times New Roman" w:hAnsi="Times New Roman" w:eastAsia="Times New Roman" w:cs="Times New Roman"/>
          <w:sz w:val="21"/>
          <w:szCs w:val="21"/>
        </w:rPr>
        <w:t>,</w:t>
      </w:r>
      <w:hyperlink w:history="true" r:id="rId129">
        <w:r>
          <w:rPr>
            <w:rFonts w:ascii="Times New Roman" w:hAnsi="Times New Roman" w:eastAsia="Times New Roman" w:cs="Times New Roman"/>
            <w:sz w:val="21"/>
            <w:szCs w:val="21"/>
          </w:rPr>
          <w:t>Fuller</w:t>
        </w:r>
      </w:hyperlink>
      <w:r>
        <w:rPr>
          <w:rFonts w:ascii="Times New Roman" w:hAnsi="Times New Roman" w:eastAsia="Times New Roman" w:cs="Times New Roman"/>
          <w:sz w:val="21"/>
          <w:szCs w:val="21"/>
        </w:rPr>
        <w:t xml:space="preserve">   C.Idiopathic    hypocitraturic   calcium-oxalate    nephrolithiasis  </w:t>
      </w:r>
      <w:r>
        <w:rPr>
          <w:rFonts w:ascii="Times New Roman" w:hAnsi="Times New Roman" w:eastAsia="Times New Roman" w:cs="Times New Roman"/>
          <w:sz w:val="21"/>
          <w:szCs w:val="21"/>
          <w:spacing w:val="-1"/>
        </w:rPr>
        <w:t xml:space="preserve"> successfully    treated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potassium                      citrate.                       </w:t>
      </w:r>
      <w:r>
        <w:rPr>
          <w:rFonts w:ascii="Times New Roman" w:hAnsi="Times New Roman" w:eastAsia="Times New Roman" w:cs="Times New Roman"/>
          <w:sz w:val="21"/>
          <w:szCs w:val="21"/>
          <w:position w:val="-1"/>
        </w:rPr>
        <w:t>Ann                   </w:t>
      </w:r>
      <w:r>
        <w:rPr>
          <w:rFonts w:ascii="Times New Roman" w:hAnsi="Times New Roman" w:eastAsia="Times New Roman" w:cs="Times New Roman"/>
          <w:sz w:val="21"/>
          <w:szCs w:val="21"/>
        </w:rPr>
        <w:t>Int                  </w:t>
      </w:r>
      <w:r>
        <w:rPr>
          <w:rFonts w:ascii="Times New Roman" w:hAnsi="Times New Roman" w:eastAsia="Times New Roman" w:cs="Times New Roman"/>
          <w:sz w:val="21"/>
          <w:szCs w:val="21"/>
          <w:spacing w:val="-1"/>
        </w:rPr>
        <w:t xml:space="preserve">  Med                    1986;104:33-37.</w:t>
      </w:r>
    </w:p>
    <w:p>
      <w:pPr>
        <w:ind w:left="800" w:right="69"/>
        <w:spacing w:before="47" w:line="326"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ids=3940503</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37.Pak</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CY</w:t>
        </w:r>
      </w:hyperlink>
      <w:r>
        <w:rPr>
          <w:rFonts w:ascii="Times New Roman" w:hAnsi="Times New Roman" w:eastAsia="Times New Roman" w:cs="Times New Roman"/>
          <w:sz w:val="21"/>
          <w:szCs w:val="21"/>
        </w:rPr>
        <w:t>,</w:t>
      </w:r>
      <w:hyperlink w:history="true" r:id="rId130">
        <w:r>
          <w:rPr>
            <w:rFonts w:ascii="Times New Roman" w:hAnsi="Times New Roman" w:eastAsia="Times New Roman" w:cs="Times New Roman"/>
            <w:sz w:val="21"/>
            <w:szCs w:val="21"/>
          </w:rPr>
          <w:t>Peterson</w:t>
        </w:r>
      </w:hyperlink>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R.Successful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of hyperuricosuric</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oxalate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nephro</w:t>
      </w:r>
      <w:r>
        <w:rPr>
          <w:rFonts w:ascii="Times New Roman" w:hAnsi="Times New Roman" w:eastAsia="Times New Roman" w:cs="Times New Roman"/>
          <w:sz w:val="21"/>
          <w:szCs w:val="21"/>
          <w:spacing w:val="-1"/>
        </w:rPr>
        <w:t>lithiasis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potassium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citrate.Arch  Intern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Med   </w:t>
      </w:r>
      <w:r>
        <w:rPr>
          <w:rFonts w:ascii="Times New Roman" w:hAnsi="Times New Roman" w:eastAsia="Times New Roman" w:cs="Times New Roman"/>
          <w:sz w:val="21"/>
          <w:szCs w:val="21"/>
          <w:spacing w:val="-1"/>
        </w:rPr>
        <w:t>1986;146:863-867.</w:t>
      </w:r>
    </w:p>
    <w:p>
      <w:pPr>
        <w:ind w:left="800" w:right="62"/>
        <w:spacing w:before="46" w:line="31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ids=3963975</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38.Preminger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GM</w:t>
        </w:r>
      </w:hyperlink>
      <w:r>
        <w:rPr>
          <w:rFonts w:ascii="Times New Roman" w:hAnsi="Times New Roman" w:eastAsia="Times New Roman" w:cs="Times New Roman"/>
          <w:sz w:val="21"/>
          <w:szCs w:val="21"/>
        </w:rPr>
        <w:t>,</w:t>
      </w:r>
      <w:hyperlink w:history="true" r:id="rId131">
        <w:r>
          <w:rPr>
            <w:rFonts w:ascii="Times New Roman" w:hAnsi="Times New Roman" w:eastAsia="Times New Roman" w:cs="Times New Roman"/>
            <w:sz w:val="21"/>
            <w:szCs w:val="21"/>
          </w:rPr>
          <w:t>Harvey</w:t>
        </w:r>
      </w:hyperlink>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JA,Pak</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CY.Comparative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efficacy</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of  “speci</w:t>
      </w:r>
      <w:r>
        <w:rPr>
          <w:rFonts w:ascii="Times New Roman" w:hAnsi="Times New Roman" w:eastAsia="Times New Roman" w:cs="Times New Roman"/>
          <w:sz w:val="21"/>
          <w:szCs w:val="21"/>
          <w:spacing w:val="-1"/>
        </w:rPr>
        <w:t>fic”potassium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versus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conservative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nephrolithiasis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 mild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moderate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severity.</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Urol  1985;134:658-661.</w:t>
      </w:r>
    </w:p>
    <w:p>
      <w:pPr>
        <w:ind w:left="800" w:right="134"/>
        <w:spacing w:before="43" w:line="32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ids=3897582</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39.Whalley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NA</w:t>
        </w:r>
      </w:hyperlink>
      <w:r>
        <w:rPr>
          <w:rFonts w:ascii="Times New Roman" w:hAnsi="Times New Roman" w:eastAsia="Times New Roman" w:cs="Times New Roman"/>
          <w:sz w:val="21"/>
          <w:szCs w:val="21"/>
        </w:rPr>
        <w:t>,</w:t>
      </w:r>
      <w:hyperlink w:history="true" r:id="rId132">
        <w:r>
          <w:rPr>
            <w:rFonts w:ascii="Times New Roman" w:hAnsi="Times New Roman" w:eastAsia="Times New Roman" w:cs="Times New Roman"/>
            <w:sz w:val="21"/>
            <w:szCs w:val="21"/>
          </w:rPr>
          <w:t>Meyers</w:t>
        </w:r>
      </w:hyperlink>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AM,Martins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M,Margolius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LP.Long-term</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ffects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potassium</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of new</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groups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of re</w:t>
      </w:r>
      <w:r>
        <w:rPr>
          <w:rFonts w:ascii="Times New Roman" w:hAnsi="Times New Roman" w:eastAsia="Times New Roman" w:cs="Times New Roman"/>
          <w:sz w:val="21"/>
          <w:szCs w:val="21"/>
          <w:spacing w:val="-1"/>
        </w:rPr>
        <w:t>current</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formers</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hypocitraturia.Br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1996;78:10-14.</w:t>
      </w:r>
    </w:p>
    <w:p>
      <w:pPr>
        <w:ind w:left="800" w:right="50"/>
        <w:spacing w:before="43" w:line="329" w:lineRule="auto"/>
        <w:rPr>
          <w:rFonts w:ascii="Times New Roman" w:hAnsi="Times New Roman" w:eastAsia="Times New Roman" w:cs="Times New Roman"/>
          <w:sz w:val="21"/>
          <w:szCs w:val="21"/>
        </w:rPr>
      </w:pPr>
      <w:r>
        <w:drawing>
          <wp:anchor distT="0" distB="0" distL="0" distR="0" simplePos="0" relativeHeight="251696128" behindDoc="1" locked="0" layoutInCell="1" allowOverlap="1">
            <wp:simplePos x="0" y="0"/>
            <wp:positionH relativeFrom="column">
              <wp:posOffset>0</wp:posOffset>
            </wp:positionH>
            <wp:positionV relativeFrom="paragraph">
              <wp:posOffset>414865</wp:posOffset>
            </wp:positionV>
            <wp:extent cx="134682" cy="87307"/>
            <wp:effectExtent l="0" t="0" r="0" b="0"/>
            <wp:wrapNone/>
            <wp:docPr id="56" name="IM 56"/>
            <wp:cNvGraphicFramePr/>
            <a:graphic>
              <a:graphicData uri="http://schemas.openxmlformats.org/drawingml/2006/picture">
                <pic:pic>
                  <pic:nvPicPr>
                    <pic:cNvPr id="56" name="IM 56"/>
                    <pic:cNvPicPr/>
                  </pic:nvPicPr>
                  <pic:blipFill>
                    <a:blip r:embed="rId133"/>
                    <a:stretch>
                      <a:fillRect/>
                    </a:stretch>
                  </pic:blipFill>
                  <pic:spPr>
                    <a:xfrm rot="0">
                      <a:off x="0" y="0"/>
                      <a:ext cx="134682" cy="87307"/>
                    </a:xfrm>
                    <a:prstGeom prst="rect">
                      <a:avLst/>
                    </a:prstGeom>
                  </pic:spPr>
                </pic:pic>
              </a:graphicData>
            </a:graphic>
          </wp:anchor>
        </w:drawing>
      </w:r>
      <w:hyperlink w:history="true" r:id="rId12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ids=8795392</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40.Soygur  T</w:t>
        </w:r>
      </w:hyperlink>
      <w:r>
        <w:rPr>
          <w:rFonts w:ascii="Times New Roman" w:hAnsi="Times New Roman" w:eastAsia="Times New Roman" w:cs="Times New Roman"/>
          <w:sz w:val="21"/>
          <w:szCs w:val="21"/>
        </w:rPr>
        <w:t>,</w:t>
      </w:r>
      <w:hyperlink w:history="true" r:id="rId134">
        <w:r>
          <w:rPr>
            <w:rFonts w:ascii="Times New Roman" w:hAnsi="Times New Roman" w:eastAsia="Times New Roman" w:cs="Times New Roman"/>
            <w:sz w:val="21"/>
            <w:szCs w:val="21"/>
          </w:rPr>
          <w:t>Akbay</w:t>
        </w:r>
      </w:hyperlink>
      <w:r>
        <w:rPr>
          <w:rFonts w:ascii="Times New Roman" w:hAnsi="Times New Roman" w:eastAsia="Times New Roman" w:cs="Times New Roman"/>
          <w:sz w:val="21"/>
          <w:szCs w:val="21"/>
        </w:rPr>
        <w:t xml:space="preserve">  A,Kupeli   S.The  effect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potassium  citrate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therapy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recur</w:t>
      </w:r>
      <w:r>
        <w:rPr>
          <w:rFonts w:ascii="Times New Roman" w:hAnsi="Times New Roman" w:eastAsia="Times New Roman" w:cs="Times New Roman"/>
          <w:sz w:val="21"/>
          <w:szCs w:val="21"/>
          <w:spacing w:val="-1"/>
        </w:rPr>
        <w:t>rence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fragments  after  shockwave  lithotripsy  in  lower  caliceal</w:t>
      </w:r>
      <w:r>
        <w:rPr>
          <w:rFonts w:ascii="Times New Roman" w:hAnsi="Times New Roman" w:eastAsia="Times New Roman" w:cs="Times New Roman"/>
          <w:sz w:val="21"/>
          <w:szCs w:val="21"/>
          <w:spacing w:val="-1"/>
        </w:rPr>
        <w:t xml:space="preserve">  calcium  oxalate  urolithiasis:a  randomized  controlled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trial.J</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Endourol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2002;16:149-152.</w:t>
      </w:r>
    </w:p>
    <w:p>
      <w:pPr>
        <w:ind w:left="800"/>
        <w:spacing w:before="35" w:line="192"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spacing w:val="-3"/>
          </w:rPr>
          <w:t>http://www.ncbi.nlm.nih.gov/entrez/qu</w:t>
        </w:r>
        <w:r>
          <w:rPr>
            <w:rFonts w:ascii="Times New Roman" w:hAnsi="Times New Roman" w:eastAsia="Times New Roman" w:cs="Times New Roman"/>
            <w:sz w:val="21"/>
            <w:szCs w:val="21"/>
            <w:spacing w:val="-4"/>
          </w:rPr>
          <w:t>ery.fcgi?cmd=Retrieve&amp;db=pubmed&amp;dopt=Abstract&amp;list_uids=12028622</w:t>
        </w:r>
      </w:hyperlink>
    </w:p>
    <w:p>
      <w:pPr>
        <w:ind w:left="800" w:right="49"/>
        <w:spacing w:before="148" w:line="311"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41.Berg</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C</w:t>
        </w:r>
      </w:hyperlink>
      <w:r>
        <w:rPr>
          <w:rFonts w:ascii="Times New Roman" w:hAnsi="Times New Roman" w:eastAsia="Times New Roman" w:cs="Times New Roman"/>
          <w:sz w:val="21"/>
          <w:szCs w:val="21"/>
        </w:rPr>
        <w:t>,</w:t>
      </w:r>
      <w:hyperlink w:history="true" r:id="rId135">
        <w:r>
          <w:rPr>
            <w:rFonts w:ascii="Times New Roman" w:hAnsi="Times New Roman" w:eastAsia="Times New Roman" w:cs="Times New Roman"/>
            <w:sz w:val="21"/>
            <w:szCs w:val="21"/>
          </w:rPr>
          <w:t>Larsson</w:t>
        </w:r>
      </w:hyperlink>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L,Tiselius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HG.The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effects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of a</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si</w:t>
      </w:r>
      <w:r>
        <w:rPr>
          <w:rFonts w:ascii="Times New Roman" w:hAnsi="Times New Roman" w:eastAsia="Times New Roman" w:cs="Times New Roman"/>
          <w:sz w:val="21"/>
          <w:szCs w:val="21"/>
          <w:spacing w:val="-1"/>
        </w:rPr>
        <w:t>ngle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evening</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dose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of alkaline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urine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composition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56"/>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formation.J</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Urol  1992;148:979-985.</w:t>
      </w:r>
    </w:p>
    <w:p>
      <w:pPr>
        <w:ind w:left="800" w:right="69"/>
        <w:spacing w:before="74" w:line="327"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ids=1507355</w:t>
        </w:r>
      </w:hyperlink>
      <w:r>
        <w:rPr>
          <w:rFonts w:ascii="Times New Roman" w:hAnsi="Times New Roman" w:eastAsia="Times New Roman" w:cs="Times New Roman"/>
          <w:sz w:val="21"/>
          <w:szCs w:val="21"/>
        </w:rPr>
        <w:t xml:space="preserve">   </w:t>
      </w:r>
      <w:hyperlink w:history="true" r:id="rId125">
        <w:r>
          <w:rPr>
            <w:rFonts w:ascii="Times New Roman" w:hAnsi="Times New Roman" w:eastAsia="Times New Roman" w:cs="Times New Roman"/>
            <w:sz w:val="21"/>
            <w:szCs w:val="21"/>
          </w:rPr>
          <w:t>42.Jendle-Bengten  C</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Tiselius</w:t>
        </w:r>
      </w:hyperlink>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HG.Long-term  follow-up  o</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stone  formers  treated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with  a  low  dose  of</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sodium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potassium</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citrate.Scand</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Nephrol</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2000;34:36-</w:t>
      </w:r>
      <w:r>
        <w:rPr>
          <w:rFonts w:ascii="Times New Roman" w:hAnsi="Times New Roman" w:eastAsia="Times New Roman" w:cs="Times New Roman"/>
          <w:sz w:val="21"/>
          <w:szCs w:val="21"/>
          <w:spacing w:val="-1"/>
        </w:rPr>
        <w:t>41.</w:t>
      </w:r>
    </w:p>
    <w:p>
      <w:pPr>
        <w:ind w:left="800"/>
        <w:spacing w:before="22" w:line="192"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spacing w:val="-3"/>
          </w:rPr>
          <w:t>http://www.ncbi.nlm.nih.govlentrez/query</w:t>
        </w:r>
        <w:r>
          <w:rPr>
            <w:rFonts w:ascii="Times New Roman" w:hAnsi="Times New Roman" w:eastAsia="Times New Roman" w:cs="Times New Roman"/>
            <w:sz w:val="21"/>
            <w:szCs w:val="21"/>
            <w:spacing w:val="-4"/>
          </w:rPr>
          <w:t>.fcgi?cmd=Retrieve&amp;db=pubmed&amp;dopt=Abstract&amp;list_uids=10757268</w:t>
        </w:r>
      </w:hyperlink>
    </w:p>
    <w:p>
      <w:pPr>
        <w:ind w:left="800"/>
        <w:spacing w:before="147" w:line="192" w:lineRule="auto"/>
        <w:rPr>
          <w:rFonts w:ascii="Times New Roman" w:hAnsi="Times New Roman" w:eastAsia="Times New Roman" w:cs="Times New Roman"/>
          <w:sz w:val="21"/>
          <w:szCs w:val="21"/>
        </w:rPr>
      </w:pPr>
      <w:hyperlink w:history="true" r:id="rId125">
        <w:r>
          <w:rPr>
            <w:rFonts w:ascii="Times New Roman" w:hAnsi="Times New Roman" w:eastAsia="Times New Roman" w:cs="Times New Roman"/>
            <w:sz w:val="21"/>
            <w:szCs w:val="21"/>
          </w:rPr>
          <w:t>43.Sakhaee  K</w:t>
        </w:r>
      </w:hyperlink>
      <w:r>
        <w:rPr>
          <w:rFonts w:ascii="Times New Roman" w:hAnsi="Times New Roman" w:eastAsia="Times New Roman" w:cs="Times New Roman"/>
          <w:sz w:val="21"/>
          <w:szCs w:val="21"/>
        </w:rPr>
        <w:t>,</w:t>
      </w:r>
      <w:hyperlink w:history="true" r:id="rId136">
        <w:r>
          <w:rPr>
            <w:rFonts w:ascii="Times New Roman" w:hAnsi="Times New Roman" w:eastAsia="Times New Roman" w:cs="Times New Roman"/>
            <w:sz w:val="21"/>
            <w:szCs w:val="21"/>
          </w:rPr>
          <w:t>Nicar</w:t>
        </w:r>
      </w:hyperlink>
      <w:r>
        <w:rPr>
          <w:rFonts w:ascii="Times New Roman" w:hAnsi="Times New Roman" w:eastAsia="Times New Roman" w:cs="Times New Roman"/>
          <w:sz w:val="21"/>
          <w:szCs w:val="21"/>
        </w:rPr>
        <w:t xml:space="preserve">  M,Hill  K,Pak  CY.Contrasting  effects  of</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potassium  citrate  and  sodium</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citra</w:t>
      </w:r>
      <w:r>
        <w:rPr>
          <w:rFonts w:ascii="Times New Roman" w:hAnsi="Times New Roman" w:eastAsia="Times New Roman" w:cs="Times New Roman"/>
          <w:sz w:val="21"/>
          <w:szCs w:val="21"/>
          <w:spacing w:val="-1"/>
        </w:rPr>
        <w:t>te  therapies</w:t>
      </w:r>
    </w:p>
    <w:p>
      <w:pPr>
        <w:ind w:left="5310"/>
        <w:spacing w:before="28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—247—</w:t>
      </w:r>
    </w:p>
    <w:p>
      <w:pPr>
        <w:spacing w:line="270" w:lineRule="auto"/>
        <w:rPr>
          <w:rFonts w:ascii="Arial"/>
          <w:sz w:val="21"/>
        </w:rPr>
      </w:pPr>
      <w:r/>
    </w:p>
    <w:p>
      <w:pPr>
        <w:ind w:left="36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380" w:bottom="0" w:left="19" w:header="0" w:footer="0" w:gutter="0"/>
        </w:sectPr>
        <w:rPr>
          <w:rFonts w:ascii="Times New Roman" w:hAnsi="Times New Roman" w:eastAsia="Times New Roman" w:cs="Times New Roman"/>
          <w:sz w:val="21"/>
          <w:szCs w:val="21"/>
        </w:rPr>
      </w:pPr>
    </w:p>
    <w:p>
      <w:pPr>
        <w:ind w:left="519"/>
        <w:spacing w:before="2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chemistries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crystalliza</w:t>
      </w:r>
      <w:r>
        <w:rPr>
          <w:rFonts w:ascii="Times New Roman" w:hAnsi="Times New Roman" w:eastAsia="Times New Roman" w:cs="Times New Roman"/>
          <w:sz w:val="21"/>
          <w:szCs w:val="21"/>
          <w:spacing w:val="-1"/>
        </w:rPr>
        <w:t>tion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stone-forming</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salts.Kidney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Int  1983;24:348-352.</w:t>
      </w:r>
    </w:p>
    <w:p>
      <w:pPr>
        <w:ind w:left="389"/>
        <w:spacing w:before="136"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ids=6645208</w:t>
        </w:r>
      </w:hyperlink>
    </w:p>
    <w:p>
      <w:pPr>
        <w:ind w:left="389"/>
        <w:spacing w:before="127"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44.Tiselius</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HG.Stone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rPr>
          <w:t>incidence</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prevention.Braz</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2000</w:t>
        </w:r>
      </w:hyperlink>
      <w:r>
        <w:rPr>
          <w:rFonts w:ascii="Times New Roman" w:hAnsi="Times New Roman" w:eastAsia="Times New Roman" w:cs="Times New Roman"/>
          <w:sz w:val="21"/>
          <w:szCs w:val="21"/>
          <w:spacing w:val="-1"/>
        </w:rPr>
        <w:t>;</w:t>
      </w:r>
      <w:hyperlink w:history="true" r:id="rId139">
        <w:r>
          <w:rPr>
            <w:rFonts w:ascii="Times New Roman" w:hAnsi="Times New Roman" w:eastAsia="Times New Roman" w:cs="Times New Roman"/>
            <w:sz w:val="21"/>
            <w:szCs w:val="21"/>
            <w:spacing w:val="-1"/>
          </w:rPr>
          <w:t>26:452-462</w:t>
        </w:r>
      </w:hyperlink>
      <w:r>
        <w:rPr>
          <w:rFonts w:ascii="Times New Roman" w:hAnsi="Times New Roman" w:eastAsia="Times New Roman" w:cs="Times New Roman"/>
          <w:sz w:val="21"/>
          <w:szCs w:val="21"/>
          <w:spacing w:val="-1"/>
        </w:rPr>
        <w:t>.</w:t>
      </w:r>
    </w:p>
    <w:p>
      <w:pPr>
        <w:ind w:left="389" w:right="15"/>
        <w:spacing w:before="147" w:line="2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45.Cicerello   E,Merlo   F,Gambaro   G,Maccatrozzo   L,Fandella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A,Bagio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B,Anselmo</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G.Effect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   alkaline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citrate</w:t>
      </w:r>
      <w:r>
        <w:rPr>
          <w:rFonts w:ascii="Times New Roman" w:hAnsi="Times New Roman" w:eastAsia="Times New Roman" w:cs="Times New Roman"/>
          <w:sz w:val="21"/>
          <w:szCs w:val="21"/>
          <w:spacing w:val="60"/>
          <w:w w:val="101"/>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clearance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after</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extracorporeal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sterile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infection</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rPr>
        <w:t>nephrolithias</w:t>
      </w:r>
      <w:r>
        <w:rPr>
          <w:rFonts w:ascii="Times New Roman" w:hAnsi="Times New Roman" w:eastAsia="Times New Roman" w:cs="Times New Roman"/>
          <w:sz w:val="21"/>
          <w:szCs w:val="21"/>
          <w:spacing w:val="-1"/>
        </w:rPr>
        <w:t>is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patients.J</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Urol  1994;151:5-9.</w:t>
      </w:r>
    </w:p>
    <w:p>
      <w:pPr>
        <w:ind w:left="389"/>
        <w:spacing w:before="137"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ids=8254832</w:t>
        </w:r>
      </w:hyperlink>
    </w:p>
    <w:p>
      <w:pPr>
        <w:ind w:left="389" w:right="15"/>
        <w:spacing w:before="147" w:line="30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46.Fine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JK</w:t>
        </w:r>
      </w:hyperlink>
      <w:r>
        <w:rPr>
          <w:rFonts w:ascii="Times New Roman" w:hAnsi="Times New Roman" w:eastAsia="Times New Roman" w:cs="Times New Roman"/>
          <w:sz w:val="21"/>
          <w:szCs w:val="21"/>
        </w:rPr>
        <w:t>,</w:t>
      </w:r>
      <w:hyperlink w:history="true" r:id="rId48">
        <w:r>
          <w:rPr>
            <w:rFonts w:ascii="Times New Roman" w:hAnsi="Times New Roman" w:eastAsia="Times New Roman" w:cs="Times New Roman"/>
            <w:sz w:val="21"/>
            <w:szCs w:val="21"/>
          </w:rPr>
          <w:t>Pak</w:t>
        </w:r>
      </w:hyperlink>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CY,Preminger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rPr>
        <w:t>GM.Effect</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1"/>
        </w:rPr>
        <w:t>edical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management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residual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fragments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formation</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following</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shock</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wave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lithotripsy.J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1995;153:27-33.</w:t>
      </w:r>
    </w:p>
    <w:p>
      <w:pPr>
        <w:ind w:left="389"/>
        <w:spacing w:before="52"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ids=7966783</w:t>
        </w:r>
      </w:hyperlink>
    </w:p>
    <w:p>
      <w:pPr>
        <w:ind w:left="389" w:right="20"/>
        <w:spacing w:before="137" w:line="30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47.Ettinger   B.Recurrent   nephrolithiasis:natural   history   and   effect   of   phosphate   therapy.A </w:t>
        </w:r>
        <w:r>
          <w:rPr>
            <w:rFonts w:ascii="Times New Roman" w:hAnsi="Times New Roman" w:eastAsia="Times New Roman" w:cs="Times New Roman"/>
            <w:sz w:val="21"/>
            <w:szCs w:val="21"/>
            <w:spacing w:val="-1"/>
          </w:rPr>
          <w:t xml:space="preserve">  double-blind</w:t>
        </w:r>
      </w:hyperlink>
      <w:r>
        <w:rPr>
          <w:rFonts w:ascii="Times New Roman" w:hAnsi="Times New Roman" w:eastAsia="Times New Roman" w:cs="Times New Roman"/>
          <w:sz w:val="21"/>
          <w:szCs w:val="21"/>
        </w:rPr>
        <w:t xml:space="preserve"> </w:t>
      </w:r>
      <w:hyperlink w:history="true" r:id="rId138">
        <w:r>
          <w:rPr>
            <w:rFonts w:ascii="Times New Roman" w:hAnsi="Times New Roman" w:eastAsia="Times New Roman" w:cs="Times New Roman"/>
            <w:sz w:val="21"/>
            <w:szCs w:val="21"/>
            <w:spacing w:val="-1"/>
          </w:rPr>
          <w:t>control</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study.Am</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Med  1976</w:t>
        </w:r>
      </w:hyperlink>
      <w:r>
        <w:rPr>
          <w:rFonts w:ascii="Times New Roman" w:hAnsi="Times New Roman" w:eastAsia="Times New Roman" w:cs="Times New Roman"/>
          <w:sz w:val="21"/>
          <w:szCs w:val="21"/>
          <w:spacing w:val="-1"/>
        </w:rPr>
        <w:t>;</w:t>
      </w:r>
      <w:hyperlink w:history="true" r:id="rId140">
        <w:r>
          <w:rPr>
            <w:rFonts w:ascii="Times New Roman" w:hAnsi="Times New Roman" w:eastAsia="Times New Roman" w:cs="Times New Roman"/>
            <w:sz w:val="21"/>
            <w:szCs w:val="21"/>
            <w:spacing w:val="-1"/>
          </w:rPr>
          <w:t>61:200-206</w:t>
        </w:r>
      </w:hyperlink>
      <w:r>
        <w:rPr>
          <w:rFonts w:ascii="Times New Roman" w:hAnsi="Times New Roman" w:eastAsia="Times New Roman" w:cs="Times New Roman"/>
          <w:sz w:val="21"/>
          <w:szCs w:val="21"/>
          <w:spacing w:val="-1"/>
        </w:rPr>
        <w:t>.</w:t>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389"/>
            <w:spacing w:before="52"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http://www.ncbi.nlm.nih.govlentrez/query.fcgi?cmd=Retrieve&amp;db=PubMed&amp;list_uids=782240&amp;do</w:t>
            </w:r>
            <w:r>
              <w:rPr>
                <w:rFonts w:ascii="Times New Roman" w:hAnsi="Times New Roman" w:eastAsia="Times New Roman" w:cs="Times New Roman"/>
                <w:sz w:val="21"/>
                <w:szCs w:val="21"/>
                <w:spacing w:val="-1"/>
              </w:rPr>
              <w:t>pt=Abstract</w:t>
            </w:r>
          </w:hyperlink>
        </w:p>
        <w:p>
          <w:pPr>
            <w:ind w:right="19"/>
            <w:spacing w:before="147" w:line="192" w:lineRule="auto"/>
            <w:jc w:val="right"/>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48.Palmqvist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E</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Tiselius</w:t>
            </w:r>
          </w:hyperlink>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HG.Phosp</w:t>
          </w:r>
          <w:r>
            <w:rPr>
              <w:rFonts w:ascii="Times New Roman" w:hAnsi="Times New Roman" w:eastAsia="Times New Roman" w:cs="Times New Roman"/>
              <w:sz w:val="21"/>
              <w:szCs w:val="21"/>
              <w:spacing w:val="-1"/>
            </w:rPr>
            <w:t>hate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disease.Urol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Int</w:t>
          </w:r>
        </w:p>
      </w:sdtContent>
    </w:sdt>
    <w:p>
      <w:pPr>
        <w:ind w:left="389"/>
        <w:spacing w:before="12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1988;43:24-28.</w:t>
      </w:r>
    </w:p>
    <w:p>
      <w:pPr>
        <w:ind w:left="389"/>
        <w:spacing w:before="166"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http://www.ncbi.nlm.nih.gov/entrez/query.fegi?cmd=Retrieve&amp;db=pubmed&amp;dopt=Abstract&amp;list_u</w:t>
        </w:r>
        <w:r>
          <w:rPr>
            <w:rFonts w:ascii="Times New Roman" w:hAnsi="Times New Roman" w:eastAsia="Times New Roman" w:cs="Times New Roman"/>
            <w:sz w:val="21"/>
            <w:szCs w:val="21"/>
            <w:spacing w:val="-1"/>
          </w:rPr>
          <w:t>ids=3376359</w:t>
        </w:r>
      </w:hyperlink>
    </w:p>
    <w:p>
      <w:pPr>
        <w:ind w:left="389" w:right="20"/>
        <w:spacing w:before="148" w:line="33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spacing w:val="-1"/>
          </w:rPr>
          <w:t>49.Tiselius</w:t>
        </w:r>
        <w:r>
          <w:rPr>
            <w:rFonts w:ascii="Times New Roman" w:hAnsi="Times New Roman" w:eastAsia="Times New Roman" w:cs="Times New Roman"/>
            <w:sz w:val="21"/>
            <w:szCs w:val="21"/>
            <w:spacing w:val="60"/>
            <w:w w:val="101"/>
          </w:rPr>
          <w:t xml:space="preserve"> </w:t>
        </w:r>
        <w:r>
          <w:rPr>
            <w:rFonts w:ascii="Times New Roman" w:hAnsi="Times New Roman" w:eastAsia="Times New Roman" w:cs="Times New Roman"/>
            <w:sz w:val="21"/>
            <w:szCs w:val="21"/>
            <w:spacing w:val="-1"/>
          </w:rPr>
          <w:t>HG</w:t>
        </w:r>
      </w:hyperlink>
      <w:r>
        <w:rPr>
          <w:rFonts w:ascii="Times New Roman" w:hAnsi="Times New Roman" w:eastAsia="Times New Roman" w:cs="Times New Roman"/>
          <w:sz w:val="21"/>
          <w:szCs w:val="21"/>
          <w:spacing w:val="-1"/>
        </w:rPr>
        <w:t>,</w:t>
      </w:r>
      <w:hyperlink w:history="true" r:id="rId141">
        <w:r>
          <w:rPr>
            <w:rFonts w:ascii="Times New Roman" w:hAnsi="Times New Roman" w:eastAsia="Times New Roman" w:cs="Times New Roman"/>
            <w:sz w:val="21"/>
            <w:szCs w:val="21"/>
            <w:spacing w:val="-1"/>
          </w:rPr>
          <w:t>SandvallK.How</w:t>
        </w:r>
      </w:hyperlink>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are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urine</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composition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disease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affected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by</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therapeutic</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measures</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outpatient  stone </w:t>
      </w:r>
      <w:r>
        <w:rPr>
          <w:rFonts w:ascii="Times New Roman" w:hAnsi="Times New Roman" w:eastAsia="Times New Roman" w:cs="Times New Roman"/>
          <w:sz w:val="21"/>
          <w:szCs w:val="21"/>
          <w:spacing w:val="-1"/>
        </w:rPr>
        <w:t xml:space="preserve"> clinic?Eur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Urol  1990;17:206-212.</w:t>
      </w:r>
    </w:p>
    <w:p>
      <w:pPr>
        <w:ind w:left="389"/>
        <w:spacing w:before="11"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http://www.ncbi.nlm.nih.govlentrezlquery.fcgi?cmd=Retrieve&amp;db=pubmed&amp;dopt=Abstract&amp;list_u</w:t>
        </w:r>
        <w:r>
          <w:rPr>
            <w:rFonts w:ascii="Times New Roman" w:hAnsi="Times New Roman" w:eastAsia="Times New Roman" w:cs="Times New Roman"/>
            <w:sz w:val="21"/>
            <w:szCs w:val="21"/>
            <w:spacing w:val="-1"/>
          </w:rPr>
          <w:t>ids=2351189</w:t>
        </w:r>
      </w:hyperlink>
    </w:p>
    <w:p>
      <w:pPr>
        <w:ind w:right="5"/>
        <w:spacing w:before="147" w:line="192" w:lineRule="auto"/>
        <w:jc w:val="right"/>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50.Smith</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LH</w:t>
        </w:r>
      </w:hyperlink>
      <w:r>
        <w:rPr>
          <w:rFonts w:ascii="Times New Roman" w:hAnsi="Times New Roman" w:eastAsia="Times New Roman" w:cs="Times New Roman"/>
          <w:sz w:val="21"/>
          <w:szCs w:val="21"/>
        </w:rPr>
        <w:t>,</w:t>
      </w:r>
      <w:hyperlink w:history="true" r:id="rId142">
        <w:r>
          <w:rPr>
            <w:rFonts w:ascii="Times New Roman" w:hAnsi="Times New Roman" w:eastAsia="Times New Roman" w:cs="Times New Roman"/>
            <w:sz w:val="21"/>
            <w:szCs w:val="21"/>
          </w:rPr>
          <w:t>Werness</w:t>
        </w:r>
      </w:hyperlink>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PG,VanDenBerg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CJ,W</w:t>
      </w:r>
      <w:r>
        <w:rPr>
          <w:rFonts w:ascii="Times New Roman" w:hAnsi="Times New Roman" w:eastAsia="Times New Roman" w:cs="Times New Roman"/>
          <w:sz w:val="21"/>
          <w:szCs w:val="21"/>
          <w:spacing w:val="-1"/>
        </w:rPr>
        <w:t>ilson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DM.Orthophosphate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treatment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urolithiasis.</w:t>
      </w:r>
    </w:p>
    <w:p>
      <w:pPr>
        <w:ind w:left="389"/>
        <w:spacing w:before="14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Scand</w:t>
      </w:r>
      <w:r>
        <w:rPr>
          <w:rFonts w:ascii="Times New Roman" w:hAnsi="Times New Roman" w:eastAsia="Times New Roman" w:cs="Times New Roman"/>
          <w:sz w:val="21"/>
          <w:szCs w:val="21"/>
          <w:spacing w:val="54"/>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Nephrol  1980;suppl  53:253-263.</w:t>
      </w:r>
    </w:p>
    <w:p>
      <w:pPr>
        <w:ind w:left="389"/>
        <w:spacing w:before="126"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ids=6938002</w:t>
        </w:r>
      </w:hyperlink>
    </w:p>
    <w:p>
      <w:pPr>
        <w:ind w:left="389" w:right="10"/>
        <w:spacing w:before="158" w:line="265"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51.Backman     U</w:t>
        </w:r>
      </w:hyperlink>
      <w:r>
        <w:rPr>
          <w:rFonts w:ascii="Times New Roman" w:hAnsi="Times New Roman" w:eastAsia="Times New Roman" w:cs="Times New Roman"/>
          <w:sz w:val="21"/>
          <w:szCs w:val="21"/>
        </w:rPr>
        <w:t>,</w:t>
      </w:r>
      <w:hyperlink w:history="true" r:id="rId143">
        <w:r>
          <w:rPr>
            <w:rFonts w:ascii="Times New Roman" w:hAnsi="Times New Roman" w:eastAsia="Times New Roman" w:cs="Times New Roman"/>
            <w:sz w:val="21"/>
            <w:szCs w:val="21"/>
          </w:rPr>
          <w:t>Danielson</w:t>
        </w:r>
      </w:hyperlink>
      <w:r>
        <w:rPr>
          <w:rFonts w:ascii="Times New Roman" w:hAnsi="Times New Roman" w:eastAsia="Times New Roman" w:cs="Times New Roman"/>
          <w:sz w:val="21"/>
          <w:szCs w:val="21"/>
        </w:rPr>
        <w:t xml:space="preserve">     BG,Ljunghall      S.In:Njursten      -</w:t>
      </w:r>
      <w:r>
        <w:rPr>
          <w:rFonts w:ascii="Times New Roman" w:hAnsi="Times New Roman" w:eastAsia="Times New Roman" w:cs="Times New Roman"/>
          <w:sz w:val="21"/>
          <w:szCs w:val="21"/>
          <w:spacing w:val="-1"/>
        </w:rPr>
        <w:t>etiologi,utredning,behandling.Ferrosan,Malm?,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Sweden,1983;pp      169-173.[Swedis</w:t>
      </w:r>
      <w:r>
        <w:rPr>
          <w:rFonts w:ascii="Times New Roman" w:hAnsi="Times New Roman" w:eastAsia="Times New Roman" w:cs="Times New Roman"/>
          <w:sz w:val="21"/>
          <w:szCs w:val="21"/>
          <w:spacing w:val="-2"/>
        </w:rPr>
        <w:t>h]</w:t>
      </w:r>
    </w:p>
    <w:p>
      <w:pPr>
        <w:ind w:left="389" w:right="5"/>
        <w:spacing w:before="146"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52.Churchill  DN.Medical  treatment  to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prevent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recurrent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urolithiasis.A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guide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critical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appraisal.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Miner</w:t>
      </w:r>
      <w:r>
        <w:rPr>
          <w:rFonts w:ascii="Times New Roman" w:hAnsi="Times New Roman" w:eastAsia="Times New Roman" w:cs="Times New Roman"/>
          <w:sz w:val="21"/>
          <w:szCs w:val="21"/>
          <w:spacing w:val="52"/>
          <w:w w:val="101"/>
        </w:rPr>
        <w:t xml:space="preserve"> </w:t>
      </w:r>
      <w:r>
        <w:rPr>
          <w:rFonts w:ascii="Times New Roman" w:hAnsi="Times New Roman" w:eastAsia="Times New Roman" w:cs="Times New Roman"/>
          <w:sz w:val="21"/>
          <w:szCs w:val="21"/>
          <w:spacing w:val="-1"/>
        </w:rPr>
        <w:t>Electrolyte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Metab  1987;13:294-304.</w:t>
      </w:r>
    </w:p>
    <w:p>
      <w:pPr>
        <w:ind w:left="389"/>
        <w:spacing w:before="147"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spacing w:val="-1"/>
          </w:rPr>
          <w:t>http://www.ncbi.nlm.nih.gov/entrez/query.fcegi?cmd=Retrieve&amp;db=pubmed&amp;dopt=Abstract&amp;list_uids=3627054</w:t>
        </w:r>
      </w:hyperlink>
    </w:p>
    <w:p>
      <w:pPr>
        <w:ind w:left="389" w:right="20"/>
        <w:spacing w:before="136" w:line="270"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53.Breslau</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NA</w:t>
        </w:r>
      </w:hyperlink>
      <w:r>
        <w:rPr>
          <w:rFonts w:ascii="Times New Roman" w:hAnsi="Times New Roman" w:eastAsia="Times New Roman" w:cs="Times New Roman"/>
          <w:sz w:val="21"/>
          <w:szCs w:val="21"/>
        </w:rPr>
        <w:t>,</w:t>
      </w:r>
      <w:hyperlink w:history="true" r:id="rId144">
        <w:r>
          <w:rPr>
            <w:rFonts w:ascii="Times New Roman" w:hAnsi="Times New Roman" w:eastAsia="Times New Roman" w:cs="Times New Roman"/>
            <w:sz w:val="21"/>
            <w:szCs w:val="21"/>
          </w:rPr>
          <w:t>Heller</w:t>
        </w:r>
      </w:hyperlink>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HJ,Reza-Albarran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AA,Pak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CY.Physiological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effects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of  a   slow   release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potassium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phosphate  for  absorptive  hypercalciuria:a  randomized  double-blind  trial.J  Urol  1998;1</w:t>
      </w:r>
      <w:r>
        <w:rPr>
          <w:rFonts w:ascii="Times New Roman" w:hAnsi="Times New Roman" w:eastAsia="Times New Roman" w:cs="Times New Roman"/>
          <w:sz w:val="21"/>
          <w:szCs w:val="21"/>
          <w:spacing w:val="-1"/>
        </w:rPr>
        <w:t>60:664-668.</w:t>
      </w:r>
    </w:p>
    <w:p>
      <w:pPr>
        <w:ind w:left="389"/>
        <w:spacing w:before="147"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ids=9720517</w:t>
        </w:r>
      </w:hyperlink>
    </w:p>
    <w:p>
      <w:pPr>
        <w:ind w:left="389"/>
        <w:spacing w:before="137" w:line="260"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54.Schwartz   BF</w:t>
        </w:r>
      </w:hyperlink>
      <w:r>
        <w:rPr>
          <w:rFonts w:ascii="Times New Roman" w:hAnsi="Times New Roman" w:eastAsia="Times New Roman" w:cs="Times New Roman"/>
          <w:sz w:val="21"/>
          <w:szCs w:val="21"/>
        </w:rPr>
        <w:t>,</w:t>
      </w:r>
      <w:hyperlink w:history="true" r:id="rId145">
        <w:r>
          <w:rPr>
            <w:rFonts w:ascii="Times New Roman" w:hAnsi="Times New Roman" w:eastAsia="Times New Roman" w:cs="Times New Roman"/>
            <w:sz w:val="21"/>
            <w:szCs w:val="21"/>
          </w:rPr>
          <w:t>Bruce</w:t>
        </w:r>
      </w:hyperlink>
      <w:r>
        <w:rPr>
          <w:rFonts w:ascii="Times New Roman" w:hAnsi="Times New Roman" w:eastAsia="Times New Roman" w:cs="Times New Roman"/>
          <w:sz w:val="21"/>
          <w:szCs w:val="21"/>
        </w:rPr>
        <w:t xml:space="preserve">   J,Leslie    S,Stoller   ML.Rethinking   the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role    of</w:t>
      </w:r>
      <w:r>
        <w:rPr>
          <w:rFonts w:ascii="Times New Roman" w:hAnsi="Times New Roman" w:eastAsia="Times New Roman" w:cs="Times New Roman"/>
          <w:sz w:val="21"/>
          <w:szCs w:val="21"/>
          <w:spacing w:val="-1"/>
        </w:rPr>
        <w:t xml:space="preserve">   urinary   magnesium   in    calcium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urolithiasis.J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Endourol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2001;15:233-235.</w:t>
      </w:r>
    </w:p>
    <w:p>
      <w:pPr>
        <w:ind w:left="389"/>
        <w:spacing w:before="167" w:line="192"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spacing w:val="-4"/>
          </w:rPr>
          <w:t>http://www.ncbi.nlm.nih.govlentrez/query.fcgi?cmd=Retrieve&amp;db=pubmed&amp;dopt=Abstract&amp;list_uids=11339386</w:t>
        </w:r>
      </w:hyperlink>
    </w:p>
    <w:p>
      <w:pPr>
        <w:ind w:left="389" w:right="13"/>
        <w:spacing w:before="147" w:line="260" w:lineRule="auto"/>
        <w:rPr>
          <w:rFonts w:ascii="Times New Roman" w:hAnsi="Times New Roman" w:eastAsia="Times New Roman" w:cs="Times New Roman"/>
          <w:sz w:val="21"/>
          <w:szCs w:val="21"/>
        </w:rPr>
      </w:pPr>
      <w:hyperlink w:history="true" r:id="rId138">
        <w:r>
          <w:rPr>
            <w:rFonts w:ascii="Times New Roman" w:hAnsi="Times New Roman" w:eastAsia="Times New Roman" w:cs="Times New Roman"/>
            <w:sz w:val="21"/>
            <w:szCs w:val="21"/>
          </w:rPr>
          <w:t>55.Ettinger    B</w:t>
        </w:r>
      </w:hyperlink>
      <w:r>
        <w:rPr>
          <w:rFonts w:ascii="Times New Roman" w:hAnsi="Times New Roman" w:eastAsia="Times New Roman" w:cs="Times New Roman"/>
          <w:sz w:val="21"/>
          <w:szCs w:val="21"/>
        </w:rPr>
        <w:t>,</w:t>
      </w:r>
      <w:hyperlink w:history="true" r:id="rId146">
        <w:r>
          <w:rPr>
            <w:rFonts w:ascii="Times New Roman" w:hAnsi="Times New Roman" w:eastAsia="Times New Roman" w:cs="Times New Roman"/>
            <w:sz w:val="21"/>
            <w:szCs w:val="21"/>
          </w:rPr>
          <w:t>Citron</w:t>
        </w:r>
      </w:hyperlink>
      <w:r>
        <w:rPr>
          <w:rFonts w:ascii="Times New Roman" w:hAnsi="Times New Roman" w:eastAsia="Times New Roman" w:cs="Times New Roman"/>
          <w:sz w:val="21"/>
          <w:szCs w:val="21"/>
        </w:rPr>
        <w:t xml:space="preserve">    JT,Livermore    B,Dolman    LI.Chlorthalidone    reduce</w:t>
      </w:r>
      <w:r>
        <w:rPr>
          <w:rFonts w:ascii="Times New Roman" w:hAnsi="Times New Roman" w:eastAsia="Times New Roman" w:cs="Times New Roman"/>
          <w:sz w:val="21"/>
          <w:szCs w:val="21"/>
          <w:spacing w:val="-1"/>
        </w:rPr>
        <w:t>s    calcium    oxalate    calculous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position w:val="1"/>
        </w:rPr>
        <w:t>recurrences         </w:t>
      </w:r>
      <w:r>
        <w:rPr>
          <w:rFonts w:ascii="Times New Roman" w:hAnsi="Times New Roman" w:eastAsia="Times New Roman" w:cs="Times New Roman"/>
          <w:sz w:val="21"/>
          <w:szCs w:val="21"/>
        </w:rPr>
        <w:t>but         </w:t>
      </w:r>
      <w:r>
        <w:rPr>
          <w:rFonts w:ascii="Times New Roman" w:hAnsi="Times New Roman" w:eastAsia="Times New Roman" w:cs="Times New Roman"/>
          <w:sz w:val="21"/>
          <w:szCs w:val="21"/>
          <w:position w:val="-1"/>
        </w:rPr>
        <w:t>magnesium         hydroxide        </w:t>
      </w:r>
      <w:r>
        <w:rPr>
          <w:rFonts w:ascii="Times New Roman" w:hAnsi="Times New Roman" w:eastAsia="Times New Roman" w:cs="Times New Roman"/>
          <w:sz w:val="21"/>
          <w:szCs w:val="21"/>
        </w:rPr>
        <w:t>does        </w:t>
      </w:r>
      <w:r>
        <w:rPr>
          <w:rFonts w:ascii="Times New Roman" w:hAnsi="Times New Roman" w:eastAsia="Times New Roman" w:cs="Times New Roman"/>
          <w:sz w:val="21"/>
          <w:szCs w:val="21"/>
          <w:position w:val="-1"/>
        </w:rPr>
        <w:t>not.        </w:t>
      </w:r>
      <w:r>
        <w:rPr>
          <w:rFonts w:ascii="Times New Roman" w:hAnsi="Times New Roman" w:eastAsia="Times New Roman" w:cs="Times New Roman"/>
          <w:sz w:val="21"/>
          <w:szCs w:val="21"/>
        </w:rPr>
        <w:t>J        Urol        1988;139:6</w:t>
      </w:r>
      <w:r>
        <w:rPr>
          <w:rFonts w:ascii="Times New Roman" w:hAnsi="Times New Roman" w:eastAsia="Times New Roman" w:cs="Times New Roman"/>
          <w:sz w:val="21"/>
          <w:szCs w:val="21"/>
          <w:spacing w:val="-1"/>
        </w:rPr>
        <w:t>79-684.</w:t>
      </w:r>
    </w:p>
    <w:p>
      <w:pPr>
        <w:ind w:left="389" w:right="61"/>
        <w:spacing w:before="156" w:line="261" w:lineRule="auto"/>
        <w:rPr>
          <w:rFonts w:ascii="Times New Roman" w:hAnsi="Times New Roman" w:eastAsia="Times New Roman" w:cs="Times New Roman"/>
          <w:sz w:val="21"/>
          <w:szCs w:val="21"/>
        </w:rPr>
      </w:pPr>
      <w:hyperlink w:history="true" r:id="rId147">
        <w:r>
          <w:rPr>
            <w:rFonts w:ascii="Times New Roman" w:hAnsi="Times New Roman" w:eastAsia="Times New Roman" w:cs="Times New Roman"/>
            <w:sz w:val="21"/>
            <w:szCs w:val="21"/>
          </w:rPr>
          <w:t>http://www.ncbi.nlm.nih.gov/entrez/query.fcgi?cmd=Retrieve&amp;db=PubMed&amp;list_uids=3280829&amp;do</w:t>
        </w:r>
        <w:r>
          <w:rPr>
            <w:rFonts w:ascii="Times New Roman" w:hAnsi="Times New Roman" w:eastAsia="Times New Roman" w:cs="Times New Roman"/>
            <w:sz w:val="21"/>
            <w:szCs w:val="21"/>
            <w:spacing w:val="-1"/>
          </w:rPr>
          <w:t>pt=Abstract</w:t>
        </w:r>
      </w:hyperlink>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&amp;itool=iconabstr</w:t>
      </w:r>
    </w:p>
    <w:p>
      <w:pPr>
        <w:ind w:left="389" w:right="20"/>
        <w:spacing w:before="135"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56.Johansson   G,Backman   U,Danielson   BG,Fellstr?m   B,Ljunghall    S,Wikstr?m   </w:t>
      </w:r>
      <w:r>
        <w:rPr>
          <w:rFonts w:ascii="Times New Roman" w:hAnsi="Times New Roman" w:eastAsia="Times New Roman" w:cs="Times New Roman"/>
          <w:sz w:val="21"/>
          <w:szCs w:val="21"/>
          <w:spacing w:val="-1"/>
        </w:rPr>
        <w:t>B.Effects   of   magnesium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hydroxide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renal</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disease.J</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Am</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Coll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Nutr</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1982;1:179-185.</w:t>
      </w:r>
    </w:p>
    <w:p>
      <w:pPr>
        <w:ind w:left="389"/>
        <w:spacing w:before="167" w:line="192" w:lineRule="auto"/>
        <w:rPr>
          <w:rFonts w:ascii="Times New Roman" w:hAnsi="Times New Roman" w:eastAsia="Times New Roman" w:cs="Times New Roman"/>
          <w:sz w:val="21"/>
          <w:szCs w:val="21"/>
        </w:rPr>
      </w:pPr>
      <w:hyperlink w:history="true" r:id="rId148">
        <w:r>
          <w:rPr>
            <w:rFonts w:ascii="Times New Roman" w:hAnsi="Times New Roman" w:eastAsia="Times New Roman" w:cs="Times New Roman"/>
            <w:sz w:val="21"/>
            <w:szCs w:val="21"/>
            <w:spacing w:val="-4"/>
          </w:rPr>
          <w:t>http://www.ncbi.nlm.nih.govlentrez/query.fcgi?cmd=Retrieve&amp;db=pubmed&amp;dopt=Abstract&amp;list_uids=6764</w:t>
        </w:r>
        <w:r>
          <w:rPr>
            <w:rFonts w:ascii="Times New Roman" w:hAnsi="Times New Roman" w:eastAsia="Times New Roman" w:cs="Times New Roman"/>
            <w:sz w:val="21"/>
            <w:szCs w:val="21"/>
            <w:spacing w:val="-5"/>
          </w:rPr>
          <w:t>473</w:t>
        </w:r>
      </w:hyperlink>
    </w:p>
    <w:p>
      <w:pPr>
        <w:ind w:left="4999"/>
        <w:spacing w:before="24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—248—</w:t>
      </w:r>
    </w:p>
    <w:p>
      <w:pPr>
        <w:spacing w:line="41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37"/>
          <w:pgSz w:w="11850" w:h="16140"/>
          <w:pgMar w:top="1109" w:right="1499" w:bottom="0" w:left="400" w:header="599" w:footer="0" w:gutter="0"/>
        </w:sectPr>
        <w:rPr>
          <w:rFonts w:ascii="Times New Roman" w:hAnsi="Times New Roman" w:eastAsia="Times New Roman" w:cs="Times New Roman"/>
          <w:sz w:val="21"/>
          <w:szCs w:val="21"/>
        </w:rPr>
      </w:pPr>
    </w:p>
    <w:p>
      <w:pPr>
        <w:ind w:left="674" w:right="68"/>
        <w:spacing w:before="226" w:line="27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57.Prien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EL</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Sr,Gershoff  SF.Magnes</w:t>
      </w:r>
      <w:r>
        <w:rPr>
          <w:rFonts w:ascii="Times New Roman" w:hAnsi="Times New Roman" w:eastAsia="Times New Roman" w:cs="Times New Roman"/>
          <w:sz w:val="21"/>
          <w:szCs w:val="21"/>
          <w:spacing w:val="-1"/>
        </w:rPr>
        <w:t>ium   oxide-pyridoxine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therapy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recurrent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calculi.J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Urol   1974;112:509-512.</w:t>
      </w:r>
    </w:p>
    <w:p>
      <w:pPr>
        <w:ind w:left="674"/>
        <w:spacing w:before="121"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http://www.ncbi.nlm.nih.govlentrezlquery.fcgi?cmd=Retrieve&amp;dh=pubmed&amp;dopt=Abstract&amp;list_u</w:t>
        </w:r>
        <w:r>
          <w:rPr>
            <w:rFonts w:ascii="Times New Roman" w:hAnsi="Times New Roman" w:eastAsia="Times New Roman" w:cs="Times New Roman"/>
            <w:sz w:val="21"/>
            <w:szCs w:val="21"/>
            <w:spacing w:val="-1"/>
          </w:rPr>
          <w:t>ids=4414543</w:t>
        </w:r>
      </w:hyperlink>
    </w:p>
    <w:p>
      <w:pPr>
        <w:ind w:left="674" w:right="89"/>
        <w:spacing w:before="127" w:line="32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58.Favus  MJ</w:t>
        </w:r>
      </w:hyperlink>
      <w:r>
        <w:rPr>
          <w:rFonts w:ascii="Times New Roman" w:hAnsi="Times New Roman" w:eastAsia="Times New Roman" w:cs="Times New Roman"/>
          <w:sz w:val="21"/>
          <w:szCs w:val="21"/>
        </w:rPr>
        <w:t>,</w:t>
      </w:r>
      <w:hyperlink w:history="true" r:id="rId151">
        <w:r>
          <w:rPr>
            <w:rFonts w:ascii="Times New Roman" w:hAnsi="Times New Roman" w:eastAsia="Times New Roman" w:cs="Times New Roman"/>
            <w:sz w:val="21"/>
            <w:szCs w:val="21"/>
          </w:rPr>
          <w:t>Coe</w:t>
        </w:r>
      </w:hyperlink>
      <w:r>
        <w:rPr>
          <w:rFonts w:ascii="Times New Roman" w:hAnsi="Times New Roman" w:eastAsia="Times New Roman" w:cs="Times New Roman"/>
          <w:sz w:val="21"/>
          <w:szCs w:val="21"/>
        </w:rPr>
        <w:t xml:space="preserve">  FL.The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effects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allopurinol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on   stone  form</w:t>
      </w:r>
      <w:r>
        <w:rPr>
          <w:rFonts w:ascii="Times New Roman" w:hAnsi="Times New Roman" w:eastAsia="Times New Roman" w:cs="Times New Roman"/>
          <w:sz w:val="21"/>
          <w:szCs w:val="21"/>
          <w:spacing w:val="-1"/>
        </w:rPr>
        <w:t>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hyperuricosuric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oxalate  stone-formers.Scand  J  Urol  Nephrol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1980;53(sup</w:t>
      </w:r>
      <w:r>
        <w:rPr>
          <w:rFonts w:ascii="Times New Roman" w:hAnsi="Times New Roman" w:eastAsia="Times New Roman" w:cs="Times New Roman"/>
          <w:sz w:val="21"/>
          <w:szCs w:val="21"/>
          <w:spacing w:val="-1"/>
        </w:rPr>
        <w:t>pl.):265-271.</w:t>
      </w:r>
    </w:p>
    <w:p>
      <w:pPr>
        <w:ind w:left="674"/>
        <w:spacing w:before="41"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ids=6938003</w:t>
        </w:r>
      </w:hyperlink>
    </w:p>
    <w:p>
      <w:pPr>
        <w:ind w:left="674" w:right="69"/>
        <w:spacing w:before="116" w:line="283" w:lineRule="auto"/>
        <w:rPr>
          <w:rFonts w:ascii="Times New Roman" w:hAnsi="Times New Roman" w:eastAsia="Times New Roman" w:cs="Times New Roman"/>
          <w:sz w:val="21"/>
          <w:szCs w:val="21"/>
        </w:rPr>
      </w:pPr>
      <w:r>
        <w:drawing>
          <wp:anchor distT="0" distB="0" distL="0" distR="0" simplePos="0" relativeHeight="251701248" behindDoc="1" locked="0" layoutInCell="1" allowOverlap="1">
            <wp:simplePos x="0" y="0"/>
            <wp:positionH relativeFrom="column">
              <wp:posOffset>0</wp:posOffset>
            </wp:positionH>
            <wp:positionV relativeFrom="paragraph">
              <wp:posOffset>166696</wp:posOffset>
            </wp:positionV>
            <wp:extent cx="73463" cy="408965"/>
            <wp:effectExtent l="0" t="0" r="0" b="0"/>
            <wp:wrapNone/>
            <wp:docPr id="62" name="IM 62"/>
            <wp:cNvGraphicFramePr/>
            <a:graphic>
              <a:graphicData uri="http://schemas.openxmlformats.org/drawingml/2006/picture">
                <pic:pic>
                  <pic:nvPicPr>
                    <pic:cNvPr id="62" name="IM 62"/>
                    <pic:cNvPicPr/>
                  </pic:nvPicPr>
                  <pic:blipFill>
                    <a:blip r:embed="rId152"/>
                    <a:stretch>
                      <a:fillRect/>
                    </a:stretch>
                  </pic:blipFill>
                  <pic:spPr>
                    <a:xfrm rot="0">
                      <a:off x="0" y="0"/>
                      <a:ext cx="73463" cy="408965"/>
                    </a:xfrm>
                    <a:prstGeom prst="rect">
                      <a:avLst/>
                    </a:prstGeom>
                  </pic:spPr>
                </pic:pic>
              </a:graphicData>
            </a:graphic>
          </wp:anchor>
        </w:drawing>
      </w:r>
      <w:hyperlink w:history="true" r:id="rId150">
        <w:r>
          <w:rPr>
            <w:rFonts w:ascii="Times New Roman" w:hAnsi="Times New Roman" w:eastAsia="Times New Roman" w:cs="Times New Roman"/>
            <w:sz w:val="21"/>
            <w:szCs w:val="21"/>
          </w:rPr>
          <w:t>59.Miano</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L</w:t>
        </w:r>
      </w:hyperlink>
      <w:r>
        <w:rPr>
          <w:rFonts w:ascii="Times New Roman" w:hAnsi="Times New Roman" w:eastAsia="Times New Roman" w:cs="Times New Roman"/>
          <w:sz w:val="21"/>
          <w:szCs w:val="21"/>
        </w:rPr>
        <w:t>,</w:t>
      </w:r>
      <w:hyperlink w:history="true" r:id="rId153">
        <w:r>
          <w:rPr>
            <w:rFonts w:ascii="Times New Roman" w:hAnsi="Times New Roman" w:eastAsia="Times New Roman" w:cs="Times New Roman"/>
            <w:sz w:val="21"/>
            <w:szCs w:val="21"/>
          </w:rPr>
          <w:t>Petta</w:t>
        </w:r>
      </w:hyperlink>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S,Galatioto</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GP,</w:t>
      </w:r>
      <w:r>
        <w:rPr>
          <w:rFonts w:ascii="Times New Roman" w:hAnsi="Times New Roman" w:eastAsia="Times New Roman" w:cs="Times New Roman"/>
          <w:sz w:val="21"/>
          <w:szCs w:val="21"/>
          <w:spacing w:val="-1"/>
        </w:rPr>
        <w:t>Gullucci</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M.A</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placebo</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controlled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double-blind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of  allopurinol   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severe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recurrent   idiopathic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renal   lithiasis.In:Urol</w:t>
      </w:r>
      <w:r>
        <w:rPr>
          <w:rFonts w:ascii="Times New Roman" w:hAnsi="Times New Roman" w:eastAsia="Times New Roman" w:cs="Times New Roman"/>
          <w:sz w:val="21"/>
          <w:szCs w:val="21"/>
          <w:spacing w:val="-1"/>
        </w:rPr>
        <w:t>ithiasis   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related   clinical   research.New</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York,Plenum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Press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1985,pp.521-524.</w:t>
      </w:r>
    </w:p>
    <w:p>
      <w:pPr>
        <w:ind w:left="674" w:right="69"/>
        <w:spacing w:before="146"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60.Tiselius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HG,Larsson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L,Hellgren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E.Clinical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results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  allopurinol   treatment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prevention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of  calcium </w:t>
      </w:r>
      <w:r>
        <w:rPr>
          <w:rFonts w:ascii="Times New Roman" w:hAnsi="Times New Roman" w:eastAsia="Times New Roman" w:cs="Times New Roman"/>
          <w:sz w:val="21"/>
          <w:szCs w:val="21"/>
          <w:spacing w:val="-1"/>
        </w:rPr>
        <w:t>oxalate</w:t>
      </w:r>
      <w:r>
        <w:rPr>
          <w:rFonts w:ascii="Times New Roman" w:hAnsi="Times New Roman" w:eastAsia="Times New Roman" w:cs="Times New Roman"/>
          <w:sz w:val="21"/>
          <w:szCs w:val="21"/>
          <w:spacing w:val="61"/>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formation.J</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Urol  1986;13:297-300.</w:t>
      </w:r>
    </w:p>
    <w:p>
      <w:pPr>
        <w:ind w:left="674"/>
        <w:spacing w:before="146"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ids=3712614</w:t>
        </w:r>
      </w:hyperlink>
    </w:p>
    <w:p>
      <w:pPr>
        <w:ind w:left="674"/>
        <w:spacing w:before="12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61.Fellstr?m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B</w:t>
        </w:r>
      </w:hyperlink>
      <w:r>
        <w:rPr>
          <w:rFonts w:ascii="Times New Roman" w:hAnsi="Times New Roman" w:eastAsia="Times New Roman" w:cs="Times New Roman"/>
          <w:sz w:val="21"/>
          <w:szCs w:val="21"/>
        </w:rPr>
        <w:t>,</w:t>
      </w:r>
      <w:hyperlink w:history="true" r:id="rId119">
        <w:r>
          <w:rPr>
            <w:rFonts w:ascii="Times New Roman" w:hAnsi="Times New Roman" w:eastAsia="Times New Roman" w:cs="Times New Roman"/>
            <w:sz w:val="21"/>
            <w:szCs w:val="21"/>
          </w:rPr>
          <w:t>Backman</w:t>
        </w:r>
      </w:hyperlink>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U,Daniel</w:t>
      </w:r>
      <w:r>
        <w:rPr>
          <w:rFonts w:ascii="Times New Roman" w:hAnsi="Times New Roman" w:eastAsia="Times New Roman" w:cs="Times New Roman"/>
          <w:sz w:val="21"/>
          <w:szCs w:val="21"/>
          <w:spacing w:val="-1"/>
        </w:rPr>
        <w:t>son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BG,Holmgren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K,Johannson</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G,Lindsjo</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M,Ljunghall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S,Wikstr?m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B.</w:t>
      </w:r>
    </w:p>
    <w:p>
      <w:pPr>
        <w:ind w:left="674"/>
        <w:spacing w:before="137"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Allopurinol</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of renal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calcium</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sto</w:t>
      </w:r>
      <w:r>
        <w:rPr>
          <w:rFonts w:ascii="Times New Roman" w:hAnsi="Times New Roman" w:eastAsia="Times New Roman" w:cs="Times New Roman"/>
          <w:sz w:val="21"/>
          <w:szCs w:val="21"/>
          <w:spacing w:val="-1"/>
        </w:rPr>
        <w:t>ne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disease.Br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Urol  1985;57:375-379.</w:t>
      </w:r>
    </w:p>
    <w:p>
      <w:pPr>
        <w:ind w:left="674"/>
        <w:spacing w:before="15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http://www.ncbi.nlm.nih.gov/entrez/query.fcgi?cmd=Retrieve&amp;db=PubMed&amp;list_uids=4027505&amp;do</w:t>
        </w:r>
        <w:r>
          <w:rPr>
            <w:rFonts w:ascii="Times New Roman" w:hAnsi="Times New Roman" w:eastAsia="Times New Roman" w:cs="Times New Roman"/>
            <w:sz w:val="21"/>
            <w:szCs w:val="21"/>
            <w:spacing w:val="-1"/>
          </w:rPr>
          <w:t>pt=Abstract</w:t>
        </w:r>
      </w:hyperlink>
    </w:p>
    <w:p>
      <w:pPr>
        <w:ind w:left="674"/>
        <w:spacing w:before="13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62.Coe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FL</w:t>
        </w:r>
      </w:hyperlink>
      <w:r>
        <w:rPr>
          <w:rFonts w:ascii="Times New Roman" w:hAnsi="Times New Roman" w:eastAsia="Times New Roman" w:cs="Times New Roman"/>
          <w:sz w:val="21"/>
          <w:szCs w:val="21"/>
        </w:rPr>
        <w:t>,</w:t>
      </w:r>
      <w:hyperlink w:history="true" r:id="rId154">
        <w:r>
          <w:rPr>
            <w:rFonts w:ascii="Times New Roman" w:hAnsi="Times New Roman" w:eastAsia="Times New Roman" w:cs="Times New Roman"/>
            <w:sz w:val="21"/>
            <w:szCs w:val="21"/>
          </w:rPr>
          <w:t>Raisen</w:t>
        </w:r>
      </w:hyperlink>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L.Allopurinol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trea</w:t>
      </w:r>
      <w:r>
        <w:rPr>
          <w:rFonts w:ascii="Times New Roman" w:hAnsi="Times New Roman" w:eastAsia="Times New Roman" w:cs="Times New Roman"/>
          <w:sz w:val="21"/>
          <w:szCs w:val="21"/>
          <w:spacing w:val="-1"/>
        </w:rPr>
        <w:t>tment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of  uric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acid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disorders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calcium-stone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formers.Lancet   1973;</w:t>
      </w:r>
    </w:p>
    <w:p>
      <w:pPr>
        <w:ind w:left="674"/>
        <w:spacing w:before="12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i:129-131.</w:t>
      </w:r>
    </w:p>
    <w:p>
      <w:pPr>
        <w:ind w:left="674"/>
        <w:spacing w:before="154"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http://www.ncbi.nlm.nih.gov/entrez/query.fcgi?cmd=Retrieve&amp;db=PubMed&amp;list_uids=4118468&amp;do</w:t>
        </w:r>
        <w:r>
          <w:rPr>
            <w:rFonts w:ascii="Times New Roman" w:hAnsi="Times New Roman" w:eastAsia="Times New Roman" w:cs="Times New Roman"/>
            <w:sz w:val="21"/>
            <w:szCs w:val="21"/>
            <w:spacing w:val="-1"/>
          </w:rPr>
          <w:t>pt=Abstract</w:t>
        </w:r>
      </w:hyperlink>
    </w:p>
    <w:p>
      <w:pPr>
        <w:ind w:left="674"/>
        <w:spacing w:before="14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63.Coe</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FL.Uric  acid  and  calcium  oxalate  n</w:t>
        </w:r>
        <w:r>
          <w:rPr>
            <w:rFonts w:ascii="Times New Roman" w:hAnsi="Times New Roman" w:eastAsia="Times New Roman" w:cs="Times New Roman"/>
            <w:sz w:val="21"/>
            <w:szCs w:val="21"/>
            <w:spacing w:val="-1"/>
          </w:rPr>
          <w:t>ephrolithiasis.Kidney  Int  1983</w:t>
        </w:r>
      </w:hyperlink>
      <w:r>
        <w:rPr>
          <w:rFonts w:ascii="Times New Roman" w:hAnsi="Times New Roman" w:eastAsia="Times New Roman" w:cs="Times New Roman"/>
          <w:sz w:val="21"/>
          <w:szCs w:val="21"/>
          <w:spacing w:val="-1"/>
        </w:rPr>
        <w:t>;</w:t>
      </w:r>
      <w:hyperlink w:history="true" r:id="rId88">
        <w:r>
          <w:rPr>
            <w:rFonts w:ascii="Times New Roman" w:hAnsi="Times New Roman" w:eastAsia="Times New Roman" w:cs="Times New Roman"/>
            <w:sz w:val="21"/>
            <w:szCs w:val="21"/>
            <w:spacing w:val="-1"/>
          </w:rPr>
          <w:t>24:392-403</w:t>
        </w:r>
      </w:hyperlink>
      <w:r>
        <w:rPr>
          <w:rFonts w:ascii="Times New Roman" w:hAnsi="Times New Roman" w:eastAsia="Times New Roman" w:cs="Times New Roman"/>
          <w:sz w:val="21"/>
          <w:szCs w:val="21"/>
          <w:spacing w:val="-1"/>
        </w:rPr>
        <w:t>.</w:t>
      </w:r>
    </w:p>
    <w:p>
      <w:pPr>
        <w:ind w:left="674"/>
        <w:spacing w:before="14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http://www.ncbi.nlm.nih.gov/entrez/query.fcgi?cmd=Retrieve&amp;db=PubMed&amp;list_uids=6645213&amp;do</w:t>
        </w:r>
        <w:r>
          <w:rPr>
            <w:rFonts w:ascii="Times New Roman" w:hAnsi="Times New Roman" w:eastAsia="Times New Roman" w:cs="Times New Roman"/>
            <w:sz w:val="21"/>
            <w:szCs w:val="21"/>
            <w:spacing w:val="-1"/>
          </w:rPr>
          <w:t>pt=Abstract</w:t>
        </w:r>
      </w:hyperlink>
    </w:p>
    <w:p>
      <w:pPr>
        <w:ind w:left="674"/>
        <w:spacing w:before="14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spacing w:val="-1"/>
          </w:rPr>
          <w:t>64.Hallson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PC</w:t>
        </w:r>
      </w:hyperlink>
      <w:r>
        <w:rPr>
          <w:rFonts w:ascii="Times New Roman" w:hAnsi="Times New Roman" w:eastAsia="Times New Roman" w:cs="Times New Roman"/>
          <w:sz w:val="21"/>
          <w:szCs w:val="21"/>
          <w:spacing w:val="-1"/>
        </w:rPr>
        <w:t>,</w:t>
      </w:r>
      <w:hyperlink w:history="true" r:id="rId155">
        <w:r>
          <w:rPr>
            <w:rFonts w:ascii="Times New Roman" w:hAnsi="Times New Roman" w:eastAsia="Times New Roman" w:cs="Times New Roman"/>
            <w:sz w:val="21"/>
            <w:szCs w:val="21"/>
            <w:spacing w:val="-1"/>
          </w:rPr>
          <w:t>Rose</w:t>
        </w:r>
      </w:hyperlink>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GA.A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new  urinary   test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activity'.BrJ</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1978;50:442-448.</w:t>
      </w:r>
    </w:p>
    <w:p>
      <w:pPr>
        <w:ind w:left="674"/>
        <w:spacing w:before="156"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http://www.ncbi.nlm.nih.gov/entrez/query.fcgi?cmd=Retrieve&amp;db=PubMed&amp;list_uids=753493&amp;do</w:t>
        </w:r>
        <w:r>
          <w:rPr>
            <w:rFonts w:ascii="Times New Roman" w:hAnsi="Times New Roman" w:eastAsia="Times New Roman" w:cs="Times New Roman"/>
            <w:sz w:val="21"/>
            <w:szCs w:val="21"/>
            <w:spacing w:val="-1"/>
          </w:rPr>
          <w:t>pt=Abstract</w:t>
        </w:r>
      </w:hyperlink>
    </w:p>
    <w:p>
      <w:pPr>
        <w:ind w:left="674" w:right="64"/>
        <w:spacing w:before="147" w:line="286"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65.Hautmann  R</w:t>
        </w:r>
      </w:hyperlink>
      <w:r>
        <w:rPr>
          <w:rFonts w:ascii="Times New Roman" w:hAnsi="Times New Roman" w:eastAsia="Times New Roman" w:cs="Times New Roman"/>
          <w:sz w:val="21"/>
          <w:szCs w:val="21"/>
        </w:rPr>
        <w:t>,</w:t>
      </w:r>
      <w:hyperlink w:history="true" r:id="rId156">
        <w:r>
          <w:rPr>
            <w:rFonts w:ascii="Times New Roman" w:hAnsi="Times New Roman" w:eastAsia="Times New Roman" w:cs="Times New Roman"/>
            <w:sz w:val="21"/>
            <w:szCs w:val="21"/>
          </w:rPr>
          <w:t>Hering</w:t>
        </w:r>
      </w:hyperlink>
      <w:r>
        <w:rPr>
          <w:rFonts w:ascii="Times New Roman" w:hAnsi="Times New Roman" w:eastAsia="Times New Roman" w:cs="Times New Roman"/>
          <w:sz w:val="21"/>
          <w:szCs w:val="21"/>
        </w:rPr>
        <w:t xml:space="preserve">  FJ,Lutzeyer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W.Calcium</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oxalate   stone  disease:effect</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and   side  effects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of  cellulose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phosphate</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and   succinate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long-term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abso</w:t>
      </w:r>
      <w:r>
        <w:rPr>
          <w:rFonts w:ascii="Times New Roman" w:hAnsi="Times New Roman" w:eastAsia="Times New Roman" w:cs="Times New Roman"/>
          <w:sz w:val="21"/>
          <w:szCs w:val="21"/>
          <w:spacing w:val="-1"/>
        </w:rPr>
        <w:t>rptive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hypercalciuria   and</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hyperoxaluria.J</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1978;120:712-715.&lt;br/&gt;</w:t>
      </w:r>
    </w:p>
    <w:p>
      <w:pPr>
        <w:ind w:left="674"/>
        <w:spacing w:before="14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http://www.ncbi.nlm.nih.govlentrez/query.fcgi?cmd=Retrieve&amp;db=PubMed&amp;list_uids=731812&amp;do</w:t>
        </w:r>
        <w:r>
          <w:rPr>
            <w:rFonts w:ascii="Times New Roman" w:hAnsi="Times New Roman" w:eastAsia="Times New Roman" w:cs="Times New Roman"/>
            <w:sz w:val="21"/>
            <w:szCs w:val="21"/>
            <w:spacing w:val="-1"/>
          </w:rPr>
          <w:t>pt=Abstract</w:t>
        </w:r>
      </w:hyperlink>
    </w:p>
    <w:p>
      <w:pPr>
        <w:ind w:left="674"/>
        <w:spacing w:before="14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66.Pak</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CY.Clinical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pharmacolo</w:t>
        </w:r>
        <w:r>
          <w:rPr>
            <w:rFonts w:ascii="Times New Roman" w:hAnsi="Times New Roman" w:eastAsia="Times New Roman" w:cs="Times New Roman"/>
            <w:sz w:val="21"/>
            <w:szCs w:val="21"/>
            <w:spacing w:val="-1"/>
          </w:rPr>
          <w:t>gy</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sodium</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cellulose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phosphate.J</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Clin</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Pharmacol  1979</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hyperlink w:history="true" r:id="rId157">
        <w:r>
          <w:rPr>
            <w:rFonts w:ascii="Times New Roman" w:hAnsi="Times New Roman" w:eastAsia="Times New Roman" w:cs="Times New Roman"/>
            <w:sz w:val="21"/>
            <w:szCs w:val="21"/>
            <w:spacing w:val="-1"/>
          </w:rPr>
          <w:t>19:451-457</w:t>
        </w:r>
      </w:hyperlink>
      <w:r>
        <w:rPr>
          <w:rFonts w:ascii="Times New Roman" w:hAnsi="Times New Roman" w:eastAsia="Times New Roman" w:cs="Times New Roman"/>
          <w:sz w:val="21"/>
          <w:szCs w:val="21"/>
          <w:spacing w:val="-1"/>
        </w:rPr>
        <w:t>.</w:t>
      </w:r>
    </w:p>
    <w:p>
      <w:pPr>
        <w:ind w:left="674"/>
        <w:spacing w:before="137"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http://www.ncbi.nlm.nih.gov/entrez/query.fcgi?cmd=Retrieve&amp;db=PubMed&amp;list_uids=489764&amp;do</w:t>
        </w:r>
        <w:r>
          <w:rPr>
            <w:rFonts w:ascii="Times New Roman" w:hAnsi="Times New Roman" w:eastAsia="Times New Roman" w:cs="Times New Roman"/>
            <w:sz w:val="21"/>
            <w:szCs w:val="21"/>
            <w:spacing w:val="-1"/>
          </w:rPr>
          <w:t>pt=Abstract</w:t>
        </w:r>
      </w:hyperlink>
    </w:p>
    <w:p>
      <w:pPr>
        <w:ind w:left="674" w:right="64"/>
        <w:spacing w:before="157" w:line="260"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67.Backman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U</w:t>
        </w:r>
      </w:hyperlink>
      <w:r>
        <w:rPr>
          <w:rFonts w:ascii="Times New Roman" w:hAnsi="Times New Roman" w:eastAsia="Times New Roman" w:cs="Times New Roman"/>
          <w:sz w:val="21"/>
          <w:szCs w:val="21"/>
        </w:rPr>
        <w:t>,</w:t>
      </w:r>
      <w:hyperlink w:history="true" r:id="rId143">
        <w:r>
          <w:rPr>
            <w:rFonts w:ascii="Times New Roman" w:hAnsi="Times New Roman" w:eastAsia="Times New Roman" w:cs="Times New Roman"/>
            <w:sz w:val="21"/>
            <w:szCs w:val="21"/>
          </w:rPr>
          <w:t>Danielson</w:t>
        </w:r>
      </w:hyperlink>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BG,Johansson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G,Ljunghall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S,Wikstr?m</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B.Treatment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of  recurrent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formation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cellulose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phospha</w:t>
      </w:r>
      <w:r>
        <w:rPr>
          <w:rFonts w:ascii="Times New Roman" w:hAnsi="Times New Roman" w:eastAsia="Times New Roman" w:cs="Times New Roman"/>
          <w:sz w:val="21"/>
          <w:szCs w:val="21"/>
          <w:spacing w:val="-1"/>
        </w:rPr>
        <w:t>te.J</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Urol  1980;123:9-11.</w:t>
      </w:r>
    </w:p>
    <w:p>
      <w:pPr>
        <w:ind w:left="674"/>
        <w:spacing w:before="166"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http://www.ncbi.nlm.nih.gov/entrez/query.fcgi?cmd=Retrieve&amp;db=PubMed&amp;list_uids=7351731&amp;do</w:t>
        </w:r>
        <w:r>
          <w:rPr>
            <w:rFonts w:ascii="Times New Roman" w:hAnsi="Times New Roman" w:eastAsia="Times New Roman" w:cs="Times New Roman"/>
            <w:sz w:val="21"/>
            <w:szCs w:val="21"/>
            <w:spacing w:val="-1"/>
          </w:rPr>
          <w:t>pt=Abstract</w:t>
        </w:r>
      </w:hyperlink>
    </w:p>
    <w:p>
      <w:pPr>
        <w:ind w:left="674" w:right="65"/>
        <w:spacing w:before="108" w:line="341"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68.Pak</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CY.A</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cautious</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use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cellulose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rPr>
          <w:t>phosphate</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calc</w:t>
        </w:r>
        <w:r>
          <w:rPr>
            <w:rFonts w:ascii="Times New Roman" w:hAnsi="Times New Roman" w:eastAsia="Times New Roman" w:cs="Times New Roman"/>
            <w:sz w:val="21"/>
            <w:szCs w:val="21"/>
            <w:spacing w:val="-1"/>
          </w:rPr>
          <w:t>ium</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nephrolithiasis.Invest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Urol</w:t>
        </w:r>
      </w:hyperlink>
      <w:r>
        <w:rPr>
          <w:rFonts w:ascii="Times New Roman" w:hAnsi="Times New Roman" w:eastAsia="Times New Roman" w:cs="Times New Roman"/>
          <w:sz w:val="21"/>
          <w:szCs w:val="21"/>
        </w:rPr>
        <w:t xml:space="preserve"> </w:t>
      </w:r>
      <w:hyperlink w:history="true" r:id="rId150">
        <w:r>
          <w:rPr>
            <w:rFonts w:ascii="Times New Roman" w:hAnsi="Times New Roman" w:eastAsia="Times New Roman" w:cs="Times New Roman"/>
            <w:sz w:val="21"/>
            <w:szCs w:val="21"/>
            <w:spacing w:val="-3"/>
          </w:rPr>
          <w:t>1981</w:t>
        </w:r>
      </w:hyperlink>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6"/>
        </w:rPr>
        <w:t xml:space="preserve"> </w:t>
      </w:r>
      <w:hyperlink w:history="true" r:id="rId158">
        <w:r>
          <w:rPr>
            <w:rFonts w:ascii="Times New Roman" w:hAnsi="Times New Roman" w:eastAsia="Times New Roman" w:cs="Times New Roman"/>
            <w:sz w:val="21"/>
            <w:szCs w:val="21"/>
            <w:spacing w:val="-3"/>
          </w:rPr>
          <w:t>19:187-190</w:t>
        </w:r>
      </w:hyperlink>
      <w:r>
        <w:rPr>
          <w:rFonts w:ascii="Times New Roman" w:hAnsi="Times New Roman" w:eastAsia="Times New Roman" w:cs="Times New Roman"/>
          <w:sz w:val="21"/>
          <w:szCs w:val="21"/>
          <w:spacing w:val="-3"/>
        </w:rPr>
        <w:t>.</w:t>
      </w:r>
    </w:p>
    <w:p>
      <w:pPr>
        <w:ind w:left="674"/>
        <w:spacing w:before="33" w:line="192"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http://www.nchi.nlm.nih.gov/entrez/query.fcgi?cmd=Retrieve&amp;db=PubMed&amp;list_uids=7298289&amp;do</w:t>
        </w:r>
        <w:r>
          <w:rPr>
            <w:rFonts w:ascii="Times New Roman" w:hAnsi="Times New Roman" w:eastAsia="Times New Roman" w:cs="Times New Roman"/>
            <w:sz w:val="21"/>
            <w:szCs w:val="21"/>
            <w:spacing w:val="-1"/>
          </w:rPr>
          <w:t>pt=Abstract</w:t>
        </w:r>
      </w:hyperlink>
    </w:p>
    <w:p>
      <w:pPr>
        <w:ind w:left="674" w:right="59"/>
        <w:spacing w:before="107" w:line="296" w:lineRule="auto"/>
        <w:rPr>
          <w:rFonts w:ascii="Times New Roman" w:hAnsi="Times New Roman" w:eastAsia="Times New Roman" w:cs="Times New Roman"/>
          <w:sz w:val="21"/>
          <w:szCs w:val="21"/>
        </w:rPr>
      </w:pPr>
      <w:hyperlink w:history="true" r:id="rId150">
        <w:r>
          <w:rPr>
            <w:rFonts w:ascii="Times New Roman" w:hAnsi="Times New Roman" w:eastAsia="Times New Roman" w:cs="Times New Roman"/>
            <w:sz w:val="21"/>
            <w:szCs w:val="21"/>
          </w:rPr>
          <w:t>69.Knebel   L</w:t>
        </w:r>
      </w:hyperlink>
      <w:r>
        <w:rPr>
          <w:rFonts w:ascii="Times New Roman" w:hAnsi="Times New Roman" w:eastAsia="Times New Roman" w:cs="Times New Roman"/>
          <w:sz w:val="21"/>
          <w:szCs w:val="21"/>
        </w:rPr>
        <w:t>,</w:t>
      </w:r>
      <w:hyperlink w:history="true" r:id="rId159">
        <w:r>
          <w:rPr>
            <w:rFonts w:ascii="Times New Roman" w:hAnsi="Times New Roman" w:eastAsia="Times New Roman" w:cs="Times New Roman"/>
            <w:sz w:val="21"/>
            <w:szCs w:val="21"/>
          </w:rPr>
          <w:t>Tsc?pe</w:t>
        </w:r>
      </w:hyperlink>
      <w:r>
        <w:rPr>
          <w:rFonts w:ascii="Times New Roman" w:hAnsi="Times New Roman" w:eastAsia="Times New Roman" w:cs="Times New Roman"/>
          <w:sz w:val="21"/>
          <w:szCs w:val="21"/>
        </w:rPr>
        <w:t xml:space="preserve">   W,Ritz   E.A   one   day   cellulose   phosphate   test</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disc</w:t>
      </w:r>
      <w:r>
        <w:rPr>
          <w:rFonts w:ascii="Times New Roman" w:hAnsi="Times New Roman" w:eastAsia="Times New Roman" w:cs="Times New Roman"/>
          <w:sz w:val="21"/>
          <w:szCs w:val="21"/>
          <w:spacing w:val="-1"/>
        </w:rPr>
        <w:t>riminates   non-absorptive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from</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absorptive  hypercalciuria.In:Urolithiasis  and  related  clinical  research.Schwille  PO,Smith  LH,Robertson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WG, </w:t>
      </w:r>
      <w:r>
        <w:rPr>
          <w:rFonts w:ascii="Times New Roman" w:hAnsi="Times New Roman" w:eastAsia="Times New Roman" w:cs="Times New Roman"/>
          <w:sz w:val="21"/>
          <w:szCs w:val="21"/>
        </w:rPr>
        <w:t>Vahlensieck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W(eds).Plenum</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Press:New</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York,1985,pp.303-306.</w:t>
      </w:r>
    </w:p>
    <w:p>
      <w:pPr>
        <w:ind w:left="674" w:right="50"/>
        <w:spacing w:before="146" w:line="26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70.Marickar</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YMF,Rose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GA.Relationship</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growth</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ur</w:t>
      </w:r>
      <w:r>
        <w:rPr>
          <w:rFonts w:ascii="Times New Roman" w:hAnsi="Times New Roman" w:eastAsia="Times New Roman" w:cs="Times New Roman"/>
          <w:sz w:val="21"/>
          <w:szCs w:val="21"/>
          <w:spacing w:val="-1"/>
        </w:rPr>
        <w:t>inary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biochemistry</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long-term</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follow-up</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stone  patients  with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idiopathic</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hypercalciuria.BrJUrol   1985;5</w:t>
      </w:r>
      <w:r>
        <w:rPr>
          <w:rFonts w:ascii="Times New Roman" w:hAnsi="Times New Roman" w:eastAsia="Times New Roman" w:cs="Times New Roman"/>
          <w:sz w:val="21"/>
          <w:szCs w:val="21"/>
          <w:spacing w:val="-1"/>
        </w:rPr>
        <w:t>7:613-617.</w:t>
      </w:r>
    </w:p>
    <w:p>
      <w:pPr>
        <w:ind w:left="674"/>
        <w:spacing w:before="137" w:line="192" w:lineRule="auto"/>
        <w:rPr>
          <w:rFonts w:ascii="Times New Roman" w:hAnsi="Times New Roman" w:eastAsia="Times New Roman" w:cs="Times New Roman"/>
          <w:sz w:val="21"/>
          <w:szCs w:val="21"/>
        </w:rPr>
      </w:pPr>
      <w:hyperlink w:history="true" r:id="rId160">
        <w:r>
          <w:rPr>
            <w:rFonts w:ascii="Times New Roman" w:hAnsi="Times New Roman" w:eastAsia="Times New Roman" w:cs="Times New Roman"/>
            <w:sz w:val="21"/>
            <w:szCs w:val="21"/>
            <w:spacing w:val="-4"/>
          </w:rPr>
          <w:t>http://www.ncbi.nlm.nih.gov/entrezlquery.fcgi?cmd=Retrieve&amp;db=PubMed&amp;list</w:t>
        </w:r>
        <w:r>
          <w:rPr>
            <w:rFonts w:ascii="Times New Roman" w:hAnsi="Times New Roman" w:eastAsia="Times New Roman" w:cs="Times New Roman"/>
            <w:sz w:val="21"/>
            <w:szCs w:val="21"/>
            <w:spacing w:val="-5"/>
          </w:rPr>
          <w:t>_uids=4084717&amp;dopt=Abstract</w:t>
        </w:r>
      </w:hyperlink>
    </w:p>
    <w:p>
      <w:pPr>
        <w:rPr>
          <w:rFonts w:ascii="Arial"/>
          <w:sz w:val="21"/>
        </w:rPr>
      </w:pPr>
      <w:r/>
    </w:p>
    <w:p>
      <w:pPr>
        <w:ind w:left="5305"/>
        <w:spacing w:before="5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98"/>
        </w:rPr>
        <w:t>—249—</w:t>
      </w:r>
    </w:p>
    <w:p>
      <w:pPr>
        <w:spacing w:line="270" w:lineRule="auto"/>
        <w:rPr>
          <w:rFonts w:ascii="Arial"/>
          <w:sz w:val="21"/>
        </w:rPr>
      </w:pPr>
      <w:r/>
    </w:p>
    <w:p>
      <w:pPr>
        <w:ind w:left="245"/>
        <w:spacing w:before="6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49"/>
          <w:pgSz w:w="11850" w:h="16140"/>
          <w:pgMar w:top="1280" w:right="1390" w:bottom="0" w:left="134" w:header="760" w:footer="0" w:gutter="0"/>
        </w:sectPr>
        <w:rPr>
          <w:rFonts w:ascii="Times New Roman" w:hAnsi="Times New Roman" w:eastAsia="Times New Roman" w:cs="Times New Roman"/>
          <w:sz w:val="21"/>
          <w:szCs w:val="21"/>
        </w:rPr>
      </w:pPr>
    </w:p>
    <w:p>
      <w:pPr>
        <w:spacing w:line="295" w:lineRule="auto"/>
        <w:rPr>
          <w:rFonts w:ascii="Arial"/>
          <w:sz w:val="21"/>
        </w:rPr>
      </w:pPr>
      <w:r/>
    </w:p>
    <w:p>
      <w:pPr>
        <w:ind w:left="1063"/>
        <w:spacing w:before="72" w:line="293" w:lineRule="exact"/>
        <w:rPr>
          <w:rFonts w:ascii="STXingkai" w:hAnsi="STXingkai" w:eastAsia="STXingkai" w:cs="STXingkai"/>
          <w:sz w:val="21"/>
          <w:szCs w:val="21"/>
        </w:rPr>
      </w:pPr>
      <w:r>
        <w:drawing>
          <wp:anchor distT="0" distB="0" distL="0" distR="0" simplePos="0" relativeHeight="251706368" behindDoc="0" locked="0" layoutInCell="1" allowOverlap="1">
            <wp:simplePos x="0" y="0"/>
            <wp:positionH relativeFrom="column">
              <wp:posOffset>361939</wp:posOffset>
            </wp:positionH>
            <wp:positionV relativeFrom="paragraph">
              <wp:posOffset>184773</wp:posOffset>
            </wp:positionV>
            <wp:extent cx="1562063" cy="6667"/>
            <wp:effectExtent l="0" t="0" r="0" b="0"/>
            <wp:wrapNone/>
            <wp:docPr id="64" name="IM 64"/>
            <wp:cNvGraphicFramePr/>
            <a:graphic>
              <a:graphicData uri="http://schemas.openxmlformats.org/drawingml/2006/picture">
                <pic:pic>
                  <pic:nvPicPr>
                    <pic:cNvPr id="64" name="IM 64"/>
                    <pic:cNvPicPr/>
                  </pic:nvPicPr>
                  <pic:blipFill>
                    <a:blip r:embed="rId161"/>
                    <a:stretch>
                      <a:fillRect/>
                    </a:stretch>
                  </pic:blipFill>
                  <pic:spPr>
                    <a:xfrm rot="0">
                      <a:off x="0" y="0"/>
                      <a:ext cx="1562063" cy="6667"/>
                    </a:xfrm>
                    <a:prstGeom prst="rect">
                      <a:avLst/>
                    </a:prstGeom>
                  </pic:spPr>
                </pic:pic>
              </a:graphicData>
            </a:graphic>
          </wp:anchor>
        </w:drawing>
      </w:r>
      <w:r>
        <w:drawing>
          <wp:anchor distT="0" distB="0" distL="0" distR="0" simplePos="0" relativeHeight="251707392" behindDoc="0" locked="0" layoutInCell="1" allowOverlap="1">
            <wp:simplePos x="0" y="0"/>
            <wp:positionH relativeFrom="column">
              <wp:posOffset>1854173</wp:posOffset>
            </wp:positionH>
            <wp:positionV relativeFrom="paragraph">
              <wp:posOffset>90872</wp:posOffset>
            </wp:positionV>
            <wp:extent cx="228601" cy="215944"/>
            <wp:effectExtent l="0" t="0" r="0" b="0"/>
            <wp:wrapNone/>
            <wp:docPr id="66" name="IM 66"/>
            <wp:cNvGraphicFramePr/>
            <a:graphic>
              <a:graphicData uri="http://schemas.openxmlformats.org/drawingml/2006/picture">
                <pic:pic>
                  <pic:nvPicPr>
                    <pic:cNvPr id="66" name="IM 66"/>
                    <pic:cNvPicPr/>
                  </pic:nvPicPr>
                  <pic:blipFill>
                    <a:blip r:embed="rId162"/>
                    <a:stretch>
                      <a:fillRect/>
                    </a:stretch>
                  </pic:blipFill>
                  <pic:spPr>
                    <a:xfrm rot="0">
                      <a:off x="0" y="0"/>
                      <a:ext cx="228601" cy="215944"/>
                    </a:xfrm>
                    <a:prstGeom prst="rect">
                      <a:avLst/>
                    </a:prstGeom>
                  </pic:spPr>
                </pic:pic>
              </a:graphicData>
            </a:graphic>
          </wp:anchor>
        </w:drawing>
      </w:r>
      <w:r>
        <w:rPr>
          <w:rFonts w:ascii="STXingkai" w:hAnsi="STXingkai" w:eastAsia="STXingkai" w:cs="STXingkai"/>
          <w:sz w:val="21"/>
          <w:szCs w:val="21"/>
          <w:b/>
          <w:bCs/>
          <w:spacing w:val="-23"/>
          <w:position w:val="2"/>
        </w:rPr>
        <w:t>附</w:t>
      </w:r>
      <w:r>
        <w:rPr>
          <w:rFonts w:ascii="STXingkai" w:hAnsi="STXingkai" w:eastAsia="STXingkai" w:cs="STXingkai"/>
          <w:sz w:val="21"/>
          <w:szCs w:val="21"/>
          <w:spacing w:val="2"/>
          <w:position w:val="2"/>
        </w:rPr>
        <w:t xml:space="preserve">    </w:t>
      </w:r>
      <w:r>
        <w:rPr>
          <w:rFonts w:ascii="STXingkai" w:hAnsi="STXingkai" w:eastAsia="STXingkai" w:cs="STXingkai"/>
          <w:sz w:val="21"/>
          <w:szCs w:val="21"/>
          <w:b/>
          <w:bCs/>
          <w:spacing w:val="-23"/>
          <w:position w:val="2"/>
        </w:rPr>
        <w:t>录</w:t>
      </w:r>
      <w:r>
        <w:rPr>
          <w:rFonts w:ascii="STXingkai" w:hAnsi="STXingkai" w:eastAsia="STXingkai" w:cs="STXingkai"/>
          <w:sz w:val="21"/>
          <w:szCs w:val="21"/>
          <w:spacing w:val="3"/>
          <w:position w:val="2"/>
        </w:rPr>
        <w:t xml:space="preserve">     </w:t>
      </w:r>
      <w:r>
        <w:rPr>
          <w:rFonts w:ascii="STXingkai" w:hAnsi="STXingkai" w:eastAsia="STXingkai" w:cs="STXingkai"/>
          <w:sz w:val="21"/>
          <w:szCs w:val="21"/>
          <w:b/>
          <w:bCs/>
          <w:spacing w:val="-23"/>
          <w:position w:val="2"/>
        </w:rPr>
        <w:t>·</w:t>
      </w:r>
      <w:r>
        <w:rPr>
          <w:rFonts w:ascii="STXingkai" w:hAnsi="STXingkai" w:eastAsia="STXingkai" w:cs="STXingkai"/>
          <w:sz w:val="21"/>
          <w:szCs w:val="21"/>
          <w:position w:val="2"/>
        </w:rPr>
        <w:t xml:space="preserve">    </w:t>
      </w:r>
      <w:r>
        <w:rPr>
          <w:rFonts w:ascii="STXingkai" w:hAnsi="STXingkai" w:eastAsia="STXingkai" w:cs="STXingkai"/>
          <w:sz w:val="21"/>
          <w:szCs w:val="21"/>
          <w:b/>
          <w:bCs/>
          <w:spacing w:val="-23"/>
          <w:position w:val="2"/>
        </w:rPr>
        <w:t>指</w:t>
      </w:r>
      <w:r>
        <w:rPr>
          <w:rFonts w:ascii="STXingkai" w:hAnsi="STXingkai" w:eastAsia="STXingkai" w:cs="STXingkai"/>
          <w:sz w:val="21"/>
          <w:szCs w:val="21"/>
          <w:spacing w:val="-23"/>
          <w:position w:val="2"/>
        </w:rPr>
        <w:t xml:space="preserve">     </w:t>
      </w:r>
      <w:r>
        <w:rPr>
          <w:rFonts w:ascii="STXingkai" w:hAnsi="STXingkai" w:eastAsia="STXingkai" w:cs="STXingkai"/>
          <w:sz w:val="21"/>
          <w:szCs w:val="21"/>
          <w:b/>
          <w:bCs/>
          <w:spacing w:val="-23"/>
          <w:position w:val="2"/>
        </w:rPr>
        <w:t>南</w:t>
      </w:r>
    </w:p>
    <w:p>
      <w:pPr>
        <w:spacing w:line="292" w:lineRule="auto"/>
        <w:rPr>
          <w:rFonts w:ascii="Arial"/>
          <w:sz w:val="21"/>
        </w:rPr>
      </w:pPr>
      <w:r/>
    </w:p>
    <w:p>
      <w:pPr>
        <w:ind w:left="569" w:right="669"/>
        <w:spacing w:before="60" w:line="3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71.Burke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JR,Cowley</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DM,Mottram</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1"/>
        </w:rPr>
        <w:t>M,Buckner</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P.Cellulose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phosphate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chlorothiazide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childhood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idiopathic  hypercalciuria.Austr  NZJ</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Med   1986;16:43-47.</w:t>
      </w:r>
    </w:p>
    <w:p>
      <w:pPr>
        <w:ind w:left="569" w:right="668"/>
        <w:spacing w:before="3" w:line="322" w:lineRule="auto"/>
        <w:rPr>
          <w:rFonts w:ascii="Times New Roman" w:hAnsi="Times New Roman" w:eastAsia="Times New Roman" w:cs="Times New Roman"/>
          <w:sz w:val="21"/>
          <w:szCs w:val="21"/>
        </w:rPr>
      </w:pPr>
      <w:hyperlink w:history="true" r:id="rId163">
        <w:r>
          <w:rPr>
            <w:rFonts w:ascii="Times New Roman" w:hAnsi="Times New Roman" w:eastAsia="Times New Roman" w:cs="Times New Roman"/>
            <w:sz w:val="21"/>
            <w:szCs w:val="21"/>
          </w:rPr>
          <w:t>http://www.ncbi.nlm.nih.gov/entrez/query.fcgi?cmd=</w:t>
        </w:r>
        <w:r>
          <w:rPr>
            <w:rFonts w:ascii="Times New Roman" w:hAnsi="Times New Roman" w:eastAsia="Times New Roman" w:cs="Times New Roman"/>
            <w:sz w:val="21"/>
            <w:szCs w:val="21"/>
            <w:spacing w:val="-1"/>
          </w:rPr>
          <w:t>Retrieve&amp;db=PubMed&amp;list_uids=3458445&amp;dopt=Abstract</w:t>
        </w:r>
      </w:hyperlink>
      <w:r>
        <w:rPr>
          <w:rFonts w:ascii="Times New Roman" w:hAnsi="Times New Roman" w:eastAsia="Times New Roman" w:cs="Times New Roman"/>
          <w:sz w:val="21"/>
          <w:szCs w:val="21"/>
        </w:rPr>
        <w:t xml:space="preserve">  </w:t>
      </w:r>
      <w:hyperlink w:history="true" r:id="rId163">
        <w:r>
          <w:rPr>
            <w:rFonts w:ascii="Times New Roman" w:hAnsi="Times New Roman" w:eastAsia="Times New Roman" w:cs="Times New Roman"/>
            <w:sz w:val="21"/>
            <w:szCs w:val="21"/>
          </w:rPr>
          <w:t>72.Milliner   DS</w:t>
        </w:r>
      </w:hyperlink>
      <w:r>
        <w:rPr>
          <w:rFonts w:ascii="Times New Roman" w:hAnsi="Times New Roman" w:eastAsia="Times New Roman" w:cs="Times New Roman"/>
          <w:sz w:val="21"/>
          <w:szCs w:val="21"/>
        </w:rPr>
        <w:t>,</w:t>
      </w:r>
      <w:hyperlink w:history="true" r:id="rId164">
        <w:r>
          <w:rPr>
            <w:rFonts w:ascii="Times New Roman" w:hAnsi="Times New Roman" w:eastAsia="Times New Roman" w:cs="Times New Roman"/>
            <w:sz w:val="21"/>
            <w:szCs w:val="21"/>
          </w:rPr>
          <w:t>Eickholt</w:t>
        </w:r>
      </w:hyperlink>
      <w:r>
        <w:rPr>
          <w:rFonts w:ascii="Times New Roman" w:hAnsi="Times New Roman" w:eastAsia="Times New Roman" w:cs="Times New Roman"/>
          <w:sz w:val="21"/>
          <w:szCs w:val="21"/>
        </w:rPr>
        <w:t xml:space="preserve">   JT,Bergstralt    EJ,Wilson   DM,Smith    LH.Results   of   long-term    treatment   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orthophosphate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pyridoxine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wi</w:t>
      </w: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primary</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hyperoxaluria.N</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Eng</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1994;331:1553-1558.</w:t>
      </w:r>
    </w:p>
    <w:p>
      <w:pPr>
        <w:ind w:left="569" w:right="664"/>
        <w:spacing w:before="27" w:line="322" w:lineRule="auto"/>
        <w:rPr>
          <w:rFonts w:ascii="Times New Roman" w:hAnsi="Times New Roman" w:eastAsia="Times New Roman" w:cs="Times New Roman"/>
          <w:sz w:val="21"/>
          <w:szCs w:val="21"/>
        </w:rPr>
      </w:pPr>
      <w:hyperlink w:history="true" r:id="rId163">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ids=7969325</w:t>
        </w:r>
      </w:hyperlink>
      <w:r>
        <w:rPr>
          <w:rFonts w:ascii="Times New Roman" w:hAnsi="Times New Roman" w:eastAsia="Times New Roman" w:cs="Times New Roman"/>
          <w:sz w:val="21"/>
          <w:szCs w:val="21"/>
        </w:rPr>
        <w:t xml:space="preserve">  </w:t>
      </w:r>
      <w:hyperlink w:history="true" r:id="rId163">
        <w:r>
          <w:rPr>
            <w:rFonts w:ascii="Times New Roman" w:hAnsi="Times New Roman" w:eastAsia="Times New Roman" w:cs="Times New Roman"/>
            <w:sz w:val="21"/>
            <w:szCs w:val="21"/>
          </w:rPr>
          <w:t>73.Mitwall</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w:t>
        </w:r>
      </w:hyperlink>
      <w:r>
        <w:rPr>
          <w:rFonts w:ascii="Times New Roman" w:hAnsi="Times New Roman" w:eastAsia="Times New Roman" w:cs="Times New Roman"/>
          <w:sz w:val="21"/>
          <w:szCs w:val="21"/>
        </w:rPr>
        <w:t>,</w:t>
      </w:r>
      <w:hyperlink w:history="true" r:id="rId165">
        <w:r>
          <w:rPr>
            <w:rFonts w:ascii="Times New Roman" w:hAnsi="Times New Roman" w:eastAsia="Times New Roman" w:cs="Times New Roman"/>
            <w:sz w:val="21"/>
            <w:szCs w:val="21"/>
          </w:rPr>
          <w:t>Ayiomamitis</w:t>
        </w:r>
      </w:hyperlink>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rPr>
        <w:t>A,Grass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L,Oreopoulos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DG.Control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hyperoxaluria</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large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dose</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of pyridoxine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kidney</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stone</w:t>
      </w:r>
      <w:r>
        <w:rPr>
          <w:rFonts w:ascii="Times New Roman" w:hAnsi="Times New Roman" w:eastAsia="Times New Roman" w:cs="Times New Roman"/>
          <w:sz w:val="21"/>
          <w:szCs w:val="21"/>
          <w:spacing w:val="-1"/>
        </w:rPr>
        <w:t>s.Int</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Nephrol</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1988;20:353-359.</w:t>
      </w:r>
    </w:p>
    <w:p>
      <w:pPr>
        <w:ind w:left="569" w:right="652"/>
        <w:spacing w:before="35" w:line="322" w:lineRule="auto"/>
        <w:rPr>
          <w:rFonts w:ascii="Times New Roman" w:hAnsi="Times New Roman" w:eastAsia="Times New Roman" w:cs="Times New Roman"/>
          <w:sz w:val="21"/>
          <w:szCs w:val="21"/>
        </w:rPr>
      </w:pPr>
      <w:hyperlink w:history="true" r:id="rId163">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ids=3170105</w:t>
        </w:r>
      </w:hyperlink>
      <w:r>
        <w:rPr>
          <w:rFonts w:ascii="Times New Roman" w:hAnsi="Times New Roman" w:eastAsia="Times New Roman" w:cs="Times New Roman"/>
          <w:sz w:val="21"/>
          <w:szCs w:val="21"/>
        </w:rPr>
        <w:t xml:space="preserve">   </w:t>
      </w:r>
      <w:hyperlink w:history="true" r:id="rId163">
        <w:r>
          <w:rPr>
            <w:rFonts w:ascii="Times New Roman" w:hAnsi="Times New Roman" w:eastAsia="Times New Roman" w:cs="Times New Roman"/>
            <w:sz w:val="21"/>
            <w:szCs w:val="21"/>
          </w:rPr>
          <w:t>74.Ahlstrand    C</w:t>
        </w:r>
      </w:hyperlink>
      <w:r>
        <w:rPr>
          <w:rFonts w:ascii="Times New Roman" w:hAnsi="Times New Roman" w:eastAsia="Times New Roman" w:cs="Times New Roman"/>
          <w:sz w:val="21"/>
          <w:szCs w:val="21"/>
        </w:rPr>
        <w:t>,</w:t>
      </w:r>
      <w:hyperlink w:history="true" r:id="rId166">
        <w:r>
          <w:rPr>
            <w:rFonts w:ascii="Times New Roman" w:hAnsi="Times New Roman" w:eastAsia="Times New Roman" w:cs="Times New Roman"/>
            <w:sz w:val="21"/>
            <w:szCs w:val="21"/>
          </w:rPr>
          <w:t>Sandvall</w:t>
        </w:r>
      </w:hyperlink>
      <w:r>
        <w:rPr>
          <w:rFonts w:ascii="Times New Roman" w:hAnsi="Times New Roman" w:eastAsia="Times New Roman" w:cs="Times New Roman"/>
          <w:sz w:val="21"/>
          <w:szCs w:val="21"/>
        </w:rPr>
        <w:t xml:space="preserve">     K,Tiselius     HG.Prophylactic    treatment     of    calcium     stone </w:t>
      </w:r>
      <w:r>
        <w:rPr>
          <w:rFonts w:ascii="Times New Roman" w:hAnsi="Times New Roman" w:eastAsia="Times New Roman" w:cs="Times New Roman"/>
          <w:sz w:val="21"/>
          <w:szCs w:val="21"/>
          <w:spacing w:val="-1"/>
        </w:rPr>
        <w:t xml:space="preserve">    formers    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hydrochlorothiazide   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magnesium.In:Renal   stones-as</w:t>
      </w:r>
      <w:r>
        <w:rPr>
          <w:rFonts w:ascii="Times New Roman" w:hAnsi="Times New Roman" w:eastAsia="Times New Roman" w:cs="Times New Roman"/>
          <w:sz w:val="21"/>
          <w:szCs w:val="21"/>
          <w:spacing w:val="-1"/>
        </w:rPr>
        <w:t>pects   on   their   formation,removal   and   prevention.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   of   the    Sixth   European    Symposium   on    Urolithiasis.Ti</w:t>
      </w:r>
      <w:r>
        <w:rPr>
          <w:rFonts w:ascii="Times New Roman" w:hAnsi="Times New Roman" w:eastAsia="Times New Roman" w:cs="Times New Roman"/>
          <w:sz w:val="21"/>
          <w:szCs w:val="21"/>
          <w:spacing w:val="-1"/>
        </w:rPr>
        <w:t>selius   HG(ed).University    Hospital: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Link?ping,1995,pp.195-197.</w:t>
      </w:r>
    </w:p>
    <w:p>
      <w:pPr>
        <w:pStyle w:val="BodyText"/>
        <w:ind w:left="979"/>
        <w:spacing w:before="4" w:line="220" w:lineRule="auto"/>
        <w:rPr/>
      </w:pPr>
      <w:r>
        <w:rPr>
          <w:spacing w:val="-2"/>
        </w:rPr>
        <w:t>14.3尿酸结石的药物治疗</w:t>
      </w:r>
    </w:p>
    <w:p>
      <w:pPr>
        <w:pStyle w:val="BodyText"/>
        <w:ind w:left="569" w:right="653" w:firstLine="360"/>
        <w:spacing w:before="57" w:line="297" w:lineRule="auto"/>
        <w:rPr/>
      </w:pPr>
      <w:r>
        <w:rPr>
          <w:spacing w:val="3"/>
        </w:rPr>
        <w:t>预防或溶解尿酸结石的原则是去除以下三个危险因素中的一个或全部：①尿液</w:t>
      </w:r>
      <w:r>
        <w:rPr>
          <w:rFonts w:ascii="Times New Roman" w:hAnsi="Times New Roman" w:eastAsia="Times New Roman" w:cs="Times New Roman"/>
        </w:rPr>
        <w:t>pH</w:t>
      </w:r>
      <w:r>
        <w:rPr>
          <w:spacing w:val="2"/>
        </w:rPr>
        <w:t>值降低；②尿酸的</w:t>
      </w:r>
      <w:r>
        <w:rPr/>
        <w:t xml:space="preserve"> </w:t>
      </w:r>
      <w:r>
        <w:rPr>
          <w:spacing w:val="-4"/>
        </w:rPr>
        <w:t>高排泄；③尿量较少[1-4]。尿液pH</w:t>
      </w:r>
      <w:r>
        <w:rPr>
          <w:spacing w:val="-40"/>
        </w:rPr>
        <w:t xml:space="preserve"> </w:t>
      </w:r>
      <w:r>
        <w:rPr>
          <w:spacing w:val="-4"/>
        </w:rPr>
        <w:t>值应该提高到6.5以上，通常推荐应使pH</w:t>
      </w:r>
      <w:r>
        <w:rPr>
          <w:spacing w:val="-39"/>
        </w:rPr>
        <w:t xml:space="preserve"> </w:t>
      </w:r>
      <w:r>
        <w:rPr>
          <w:spacing w:val="-4"/>
        </w:rPr>
        <w:t>值达到6.5~7.2之间[1,2,4]。</w:t>
      </w:r>
      <w:r>
        <w:rPr/>
        <w:t xml:space="preserve"> </w:t>
      </w:r>
      <w:r>
        <w:rPr>
          <w:spacing w:val="3"/>
        </w:rPr>
        <w:t>24小时尿量至少应达到2000~2500</w:t>
      </w:r>
      <w:r>
        <w:rPr>
          <w:rFonts w:ascii="Times New Roman" w:hAnsi="Times New Roman" w:eastAsia="Times New Roman" w:cs="Times New Roman"/>
        </w:rPr>
        <w:t>ml</w:t>
      </w:r>
      <w:r>
        <w:rPr>
          <w:rFonts w:ascii="Times New Roman" w:hAnsi="Times New Roman" w:eastAsia="Times New Roman" w:cs="Times New Roman"/>
          <w:spacing w:val="3"/>
        </w:rPr>
        <w:t>[1-4],24 </w:t>
      </w:r>
      <w:r>
        <w:rPr>
          <w:rFonts w:ascii="Times New Roman" w:hAnsi="Times New Roman" w:eastAsia="Times New Roman" w:cs="Times New Roman"/>
          <w:spacing w:val="2"/>
        </w:rPr>
        <w:t xml:space="preserve">  </w:t>
      </w:r>
      <w:r>
        <w:rPr>
          <w:spacing w:val="2"/>
        </w:rPr>
        <w:t>小时的尿酸排泄总量应低于4</w:t>
      </w:r>
      <w:r>
        <w:rPr>
          <w:rFonts w:ascii="Times New Roman" w:hAnsi="Times New Roman" w:eastAsia="Times New Roman" w:cs="Times New Roman"/>
        </w:rPr>
        <w:t>mmol</w:t>
      </w:r>
      <w:r>
        <w:rPr>
          <w:rFonts w:ascii="Times New Roman" w:hAnsi="Times New Roman" w:eastAsia="Times New Roman" w:cs="Times New Roman"/>
          <w:spacing w:val="2"/>
        </w:rPr>
        <w:t>[5]</w:t>
      </w:r>
      <w:r>
        <w:rPr>
          <w:spacing w:val="2"/>
        </w:rPr>
        <w:t>。</w:t>
      </w:r>
    </w:p>
    <w:p>
      <w:pPr>
        <w:pStyle w:val="BodyText"/>
        <w:ind w:left="573" w:right="660" w:firstLine="379"/>
        <w:spacing w:before="42" w:line="281" w:lineRule="auto"/>
        <w:rPr>
          <w:sz w:val="22"/>
          <w:szCs w:val="22"/>
        </w:rPr>
      </w:pPr>
      <w:r>
        <w:pict>
          <v:shape id="_x0000_s6" style="position:absolute;margin-left:533.494pt;margin-top:249.982pt;mso-position-vertical-relative:text;mso-position-horizontal-relative:text;width:4.7pt;height:5.8pt;z-index:251705344;"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8"/>
                      <w:szCs w:val="8"/>
                    </w:rPr>
                  </w:pPr>
                  <w:r>
                    <w:rPr>
                      <w:rFonts w:ascii="Arial" w:hAnsi="Arial" w:eastAsia="Arial" w:cs="Arial"/>
                      <w:sz w:val="8"/>
                      <w:szCs w:val="8"/>
                    </w:rPr>
                    <w:t>C</w:t>
                  </w:r>
                </w:p>
              </w:txbxContent>
            </v:textbox>
          </v:shape>
        </w:pict>
      </w:r>
      <w:r>
        <w:drawing>
          <wp:anchor distT="0" distB="0" distL="0" distR="0" simplePos="0" relativeHeight="251704320" behindDoc="0" locked="0" layoutInCell="1" allowOverlap="1">
            <wp:simplePos x="0" y="0"/>
            <wp:positionH relativeFrom="column">
              <wp:posOffset>6800794</wp:posOffset>
            </wp:positionH>
            <wp:positionV relativeFrom="paragraph">
              <wp:posOffset>2793784</wp:posOffset>
            </wp:positionV>
            <wp:extent cx="44471" cy="31771"/>
            <wp:effectExtent l="0" t="0" r="0" b="0"/>
            <wp:wrapNone/>
            <wp:docPr id="68" name="IM 68"/>
            <wp:cNvGraphicFramePr/>
            <a:graphic>
              <a:graphicData uri="http://schemas.openxmlformats.org/drawingml/2006/picture">
                <pic:pic>
                  <pic:nvPicPr>
                    <pic:cNvPr id="68" name="IM 68"/>
                    <pic:cNvPicPr/>
                  </pic:nvPicPr>
                  <pic:blipFill>
                    <a:blip r:embed="rId167"/>
                    <a:stretch>
                      <a:fillRect/>
                    </a:stretch>
                  </pic:blipFill>
                  <pic:spPr>
                    <a:xfrm rot="0">
                      <a:off x="0" y="0"/>
                      <a:ext cx="44471" cy="31771"/>
                    </a:xfrm>
                    <a:prstGeom prst="rect">
                      <a:avLst/>
                    </a:prstGeom>
                  </pic:spPr>
                </pic:pic>
              </a:graphicData>
            </a:graphic>
          </wp:anchor>
        </w:drawing>
      </w:r>
      <w:r>
        <w:rPr>
          <w:b/>
          <w:bCs/>
          <w:spacing w:val="1"/>
        </w:rPr>
        <w:t>现在一般推荐使用枸橡酸钾碱化尿液。临床上钾离子的碱化效应要优于钠离子[</w:t>
      </w:r>
      <w:r>
        <w:rPr>
          <w:b/>
          <w:bCs/>
        </w:rPr>
        <w:t>5],尿酸钾的溶解度</w:t>
      </w:r>
      <w:r>
        <w:rPr/>
        <w:t xml:space="preserve"> </w:t>
      </w:r>
      <w:r>
        <w:rPr>
          <w:sz w:val="22"/>
          <w:szCs w:val="22"/>
          <w:b/>
          <w:bCs/>
          <w:spacing w:val="-6"/>
        </w:rPr>
        <w:t>也</w:t>
      </w:r>
      <w:r>
        <w:rPr>
          <w:sz w:val="22"/>
          <w:szCs w:val="22"/>
          <w:b/>
          <w:bCs/>
          <w:u w:val="single" w:color="auto"/>
          <w:spacing w:val="-6"/>
        </w:rPr>
        <w:t>大于尿酸钠[6,7],而且钾离子不会增加钙离子的排泄。尿酸结石患者的药物治疗方案见表27:</w:t>
      </w:r>
      <w:r>
        <w:rPr>
          <w:sz w:val="22"/>
          <w:szCs w:val="22"/>
          <w:u w:val="single" w:color="auto"/>
          <w:spacing w:val="1"/>
        </w:rPr>
        <w:t xml:space="preserve">      </w:t>
      </w:r>
    </w:p>
    <w:p>
      <w:pPr>
        <w:spacing w:before="17"/>
        <w:rPr/>
      </w:pPr>
      <w:r/>
    </w:p>
    <w:tbl>
      <w:tblPr>
        <w:tblStyle w:val="TableNormal"/>
        <w:tblW w:w="8509" w:type="dxa"/>
        <w:tblInd w:w="9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82"/>
        <w:gridCol w:w="2956"/>
        <w:gridCol w:w="1394"/>
        <w:gridCol w:w="1977"/>
      </w:tblGrid>
      <w:tr>
        <w:trPr>
          <w:trHeight w:val="295" w:hRule="atLeast"/>
        </w:trPr>
        <w:tc>
          <w:tcPr>
            <w:tcW w:w="8509" w:type="dxa"/>
            <w:vAlign w:val="top"/>
            <w:gridSpan w:val="4"/>
          </w:tcPr>
          <w:p>
            <w:pPr>
              <w:pStyle w:val="TableText"/>
              <w:ind w:left="844"/>
              <w:spacing w:before="10" w:line="203" w:lineRule="auto"/>
              <w:rPr/>
            </w:pPr>
            <w:r>
              <w:rPr>
                <w:spacing w:val="-7"/>
              </w:rPr>
              <w:t>目 的</w:t>
            </w:r>
            <w:r>
              <w:rPr>
                <w:spacing w:val="3"/>
              </w:rPr>
              <w:t xml:space="preserve">             </w:t>
            </w:r>
            <w:r>
              <w:rPr>
                <w:spacing w:val="-7"/>
              </w:rPr>
              <w:t>治疗措施</w:t>
            </w:r>
            <w:r>
              <w:rPr>
                <w:spacing w:val="11"/>
              </w:rPr>
              <w:t xml:space="preserve">        </w:t>
            </w:r>
            <w:r>
              <w:rPr>
                <w:b/>
                <w:bCs/>
                <w:spacing w:val="-7"/>
              </w:rPr>
              <w:t>推荐等级</w:t>
            </w:r>
            <w:r>
              <w:rPr>
                <w:spacing w:val="-7"/>
              </w:rPr>
              <w:t xml:space="preserve">       </w:t>
            </w:r>
            <w:r>
              <w:rPr>
                <w:b/>
                <w:bCs/>
                <w:spacing w:val="-7"/>
              </w:rPr>
              <w:t>参考文献</w:t>
            </w:r>
          </w:p>
        </w:tc>
      </w:tr>
      <w:tr>
        <w:trPr>
          <w:trHeight w:val="928" w:hRule="atLeast"/>
        </w:trPr>
        <w:tc>
          <w:tcPr>
            <w:tcW w:w="2182" w:type="dxa"/>
            <w:vAlign w:val="top"/>
            <w:vMerge w:val="restart"/>
            <w:tcBorders>
              <w:bottom w:val="nil"/>
            </w:tcBorders>
          </w:tcPr>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TableText"/>
              <w:ind w:left="835"/>
              <w:spacing w:before="81" w:line="220" w:lineRule="auto"/>
              <w:rPr/>
            </w:pPr>
            <w:r>
              <w:rPr>
                <w:spacing w:val="6"/>
              </w:rPr>
              <w:t>预防</w:t>
            </w:r>
          </w:p>
        </w:tc>
        <w:tc>
          <w:tcPr>
            <w:tcW w:w="2956" w:type="dxa"/>
            <w:vAlign w:val="top"/>
            <w:tcBorders>
              <w:right w:val="nil"/>
            </w:tcBorders>
          </w:tcPr>
          <w:p>
            <w:pPr>
              <w:pStyle w:val="TableText"/>
              <w:ind w:left="92" w:right="335"/>
              <w:spacing w:before="12" w:line="223" w:lineRule="auto"/>
              <w:jc w:val="both"/>
              <w:rPr/>
            </w:pPr>
            <w:r>
              <w:rPr>
                <w:spacing w:val="2"/>
              </w:rPr>
              <w:t>稀释尿液：大量饮水以</w:t>
            </w:r>
            <w:r>
              <w:rPr>
                <w:spacing w:val="1"/>
              </w:rPr>
              <w:t xml:space="preserve"> </w:t>
            </w:r>
            <w:r>
              <w:rPr>
                <w:spacing w:val="-13"/>
              </w:rPr>
              <w:t>使</w:t>
            </w:r>
            <w:r>
              <w:rPr>
                <w:spacing w:val="-49"/>
              </w:rPr>
              <w:t xml:space="preserve"> </w:t>
            </w:r>
            <w:r>
              <w:rPr>
                <w:spacing w:val="-13"/>
              </w:rPr>
              <w:t>2</w:t>
            </w:r>
            <w:r>
              <w:rPr>
                <w:spacing w:val="-59"/>
              </w:rPr>
              <w:t xml:space="preserve"> </w:t>
            </w:r>
            <w:r>
              <w:rPr>
                <w:spacing w:val="-13"/>
              </w:rPr>
              <w:t>4</w:t>
            </w:r>
            <w:r>
              <w:rPr>
                <w:spacing w:val="-51"/>
              </w:rPr>
              <w:t xml:space="preserve"> </w:t>
            </w:r>
            <w:r>
              <w:rPr>
                <w:spacing w:val="-13"/>
              </w:rPr>
              <w:t>小</w:t>
            </w:r>
            <w:r>
              <w:rPr>
                <w:spacing w:val="-46"/>
              </w:rPr>
              <w:t xml:space="preserve"> </w:t>
            </w:r>
            <w:r>
              <w:rPr>
                <w:spacing w:val="-13"/>
              </w:rPr>
              <w:t>时</w:t>
            </w:r>
            <w:r>
              <w:rPr>
                <w:spacing w:val="-59"/>
              </w:rPr>
              <w:t xml:space="preserve"> </w:t>
            </w:r>
            <w:r>
              <w:rPr>
                <w:spacing w:val="-13"/>
              </w:rPr>
              <w:t>尿</w:t>
            </w:r>
            <w:r>
              <w:rPr>
                <w:spacing w:val="-55"/>
              </w:rPr>
              <w:t xml:space="preserve"> </w:t>
            </w:r>
            <w:r>
              <w:rPr>
                <w:spacing w:val="-13"/>
              </w:rPr>
              <w:t>液</w:t>
            </w:r>
            <w:r>
              <w:rPr>
                <w:spacing w:val="-59"/>
              </w:rPr>
              <w:t xml:space="preserve"> </w:t>
            </w:r>
            <w:r>
              <w:rPr>
                <w:spacing w:val="-13"/>
              </w:rPr>
              <w:t>超</w:t>
            </w:r>
            <w:r>
              <w:rPr>
                <w:spacing w:val="-57"/>
              </w:rPr>
              <w:t xml:space="preserve"> </w:t>
            </w:r>
            <w:r>
              <w:rPr>
                <w:spacing w:val="-13"/>
              </w:rPr>
              <w:t>过</w:t>
            </w:r>
            <w:r>
              <w:rPr/>
              <w:t xml:space="preserve"> </w:t>
            </w:r>
            <w:r>
              <w:rPr>
                <w:spacing w:val="-2"/>
              </w:rPr>
              <w:t>2000mle</w:t>
            </w:r>
          </w:p>
        </w:tc>
        <w:tc>
          <w:tcPr>
            <w:tcW w:w="1394" w:type="dxa"/>
            <w:vAlign w:val="top"/>
            <w:tcBorders>
              <w:left w:val="nil"/>
              <w:right w:val="nil"/>
            </w:tcBorders>
          </w:tcPr>
          <w:p>
            <w:pPr>
              <w:pStyle w:val="TableText"/>
              <w:ind w:left="381"/>
              <w:spacing w:before="136" w:line="182" w:lineRule="auto"/>
              <w:rPr/>
            </w:pPr>
            <w:r>
              <w:rPr>
                <w:spacing w:val="-2"/>
              </w:rPr>
              <w:t>Be</w:t>
            </w:r>
          </w:p>
        </w:tc>
        <w:tc>
          <w:tcPr>
            <w:tcW w:w="1977" w:type="dxa"/>
            <w:vAlign w:val="top"/>
            <w:tcBorders>
              <w:left w:val="nil"/>
            </w:tcBorders>
          </w:tcPr>
          <w:p>
            <w:pPr>
              <w:pStyle w:val="TableText"/>
              <w:ind w:left="797"/>
              <w:spacing w:before="95" w:line="241" w:lineRule="auto"/>
              <w:rPr>
                <w:rFonts w:ascii="MS Gothic" w:hAnsi="MS Gothic" w:eastAsia="MS Gothic" w:cs="MS Gothic"/>
              </w:rPr>
            </w:pPr>
            <w:r>
              <w:rPr>
                <w:spacing w:val="-8"/>
              </w:rPr>
              <w:t>1-4</w:t>
            </w:r>
            <w:r>
              <w:rPr>
                <w:rFonts w:ascii="MS Gothic" w:hAnsi="MS Gothic" w:eastAsia="MS Gothic" w:cs="MS Gothic"/>
                <w:spacing w:val="-8"/>
              </w:rPr>
              <w:t>↵</w:t>
            </w:r>
          </w:p>
        </w:tc>
      </w:tr>
      <w:tr>
        <w:trPr>
          <w:trHeight w:val="938" w:hRule="atLeast"/>
        </w:trPr>
        <w:tc>
          <w:tcPr>
            <w:tcW w:w="2182" w:type="dxa"/>
            <w:vAlign w:val="top"/>
            <w:vMerge w:val="continue"/>
            <w:tcBorders>
              <w:top w:val="nil"/>
              <w:bottom w:val="nil"/>
            </w:tcBorders>
          </w:tcPr>
          <w:p>
            <w:pPr>
              <w:rPr>
                <w:rFonts w:ascii="Arial"/>
                <w:sz w:val="21"/>
              </w:rPr>
            </w:pPr>
            <w:r/>
          </w:p>
        </w:tc>
        <w:tc>
          <w:tcPr>
            <w:tcW w:w="2956" w:type="dxa"/>
            <w:vAlign w:val="top"/>
            <w:tcBorders>
              <w:right w:val="nil"/>
            </w:tcBorders>
          </w:tcPr>
          <w:p>
            <w:pPr>
              <w:pStyle w:val="TableText"/>
              <w:ind w:left="96"/>
              <w:spacing w:before="29" w:line="220" w:lineRule="auto"/>
              <w:rPr/>
            </w:pPr>
            <w:r>
              <w:rPr>
                <w:b/>
                <w:bCs/>
              </w:rPr>
              <w:t>碱化尿液：</w:t>
            </w:r>
            <w:r>
              <w:rPr/>
              <w:t>枸橼酸钾</w:t>
            </w:r>
          </w:p>
          <w:p>
            <w:pPr>
              <w:pStyle w:val="TableText"/>
              <w:ind w:left="92" w:right="338"/>
              <w:spacing w:before="56" w:line="201" w:lineRule="auto"/>
              <w:rPr/>
            </w:pPr>
            <w:r>
              <w:rPr>
                <w:spacing w:val="1"/>
              </w:rPr>
              <w:t>3-7</w:t>
            </w:r>
            <w:r>
              <w:rPr/>
              <w:t>mmol</w:t>
            </w:r>
            <w:r>
              <w:rPr>
                <w:spacing w:val="1"/>
              </w:rPr>
              <w:t>×2-3枸橼酸钾</w:t>
            </w:r>
            <w:r>
              <w:rPr>
                <w:spacing w:val="7"/>
              </w:rPr>
              <w:t xml:space="preserve"> </w:t>
            </w:r>
            <w:r>
              <w:rPr>
                <w:spacing w:val="2"/>
              </w:rPr>
              <w:t>钠9</w:t>
            </w:r>
            <w:r>
              <w:rPr/>
              <w:t>mmol</w:t>
            </w:r>
            <w:r>
              <w:rPr>
                <w:spacing w:val="2"/>
              </w:rPr>
              <w:t>×2-3</w:t>
            </w:r>
          </w:p>
        </w:tc>
        <w:tc>
          <w:tcPr>
            <w:tcW w:w="1394" w:type="dxa"/>
            <w:vAlign w:val="top"/>
            <w:tcBorders>
              <w:left w:val="nil"/>
              <w:right w:val="nil"/>
            </w:tcBorders>
          </w:tcPr>
          <w:p>
            <w:pPr>
              <w:pStyle w:val="TableText"/>
              <w:ind w:left="381"/>
              <w:spacing w:before="148" w:line="182" w:lineRule="auto"/>
              <w:rPr/>
            </w:pPr>
            <w:r>
              <w:rPr>
                <w:spacing w:val="-2"/>
              </w:rPr>
              <w:t>Be</w:t>
            </w:r>
          </w:p>
        </w:tc>
        <w:tc>
          <w:tcPr>
            <w:tcW w:w="1977" w:type="dxa"/>
            <w:vAlign w:val="top"/>
            <w:tcBorders>
              <w:left w:val="nil"/>
            </w:tcBorders>
          </w:tcPr>
          <w:p>
            <w:pPr>
              <w:pStyle w:val="TableText"/>
              <w:ind w:left="787"/>
              <w:spacing w:before="96"/>
              <w:rPr>
                <w:rFonts w:ascii="MS Gothic" w:hAnsi="MS Gothic" w:eastAsia="MS Gothic" w:cs="MS Gothic"/>
              </w:rPr>
            </w:pPr>
            <w:r>
              <w:rPr>
                <w:spacing w:val="-4"/>
              </w:rPr>
              <w:t>3-5</w:t>
            </w:r>
            <w:r>
              <w:rPr>
                <w:rFonts w:ascii="MS Gothic" w:hAnsi="MS Gothic" w:eastAsia="MS Gothic" w:cs="MS Gothic"/>
                <w:spacing w:val="-4"/>
              </w:rPr>
              <w:t>↵</w:t>
            </w:r>
          </w:p>
        </w:tc>
      </w:tr>
      <w:tr>
        <w:trPr>
          <w:trHeight w:val="928" w:hRule="atLeast"/>
        </w:trPr>
        <w:tc>
          <w:tcPr>
            <w:tcW w:w="2182" w:type="dxa"/>
            <w:vAlign w:val="top"/>
            <w:vMerge w:val="continue"/>
            <w:tcBorders>
              <w:top w:val="nil"/>
            </w:tcBorders>
          </w:tcPr>
          <w:p>
            <w:pPr>
              <w:rPr>
                <w:rFonts w:ascii="Arial"/>
                <w:sz w:val="21"/>
              </w:rPr>
            </w:pPr>
            <w:r/>
          </w:p>
        </w:tc>
        <w:tc>
          <w:tcPr>
            <w:tcW w:w="2956" w:type="dxa"/>
            <w:vAlign w:val="top"/>
            <w:tcBorders>
              <w:right w:val="nil"/>
            </w:tcBorders>
          </w:tcPr>
          <w:p>
            <w:pPr>
              <w:pStyle w:val="TableText"/>
              <w:ind w:left="92" w:right="347"/>
              <w:spacing w:before="26" w:line="229" w:lineRule="auto"/>
              <w:rPr/>
            </w:pPr>
            <w:r>
              <w:rPr>
                <w:spacing w:val="1"/>
              </w:rPr>
              <w:t>若患者血清或尿中尿酸</w:t>
            </w:r>
            <w:r>
              <w:rPr/>
              <w:t xml:space="preserve"> </w:t>
            </w:r>
            <w:r>
              <w:rPr/>
              <w:t>浓度较高：</w:t>
            </w:r>
          </w:p>
          <w:p>
            <w:pPr>
              <w:pStyle w:val="TableText"/>
              <w:ind w:left="92"/>
              <w:spacing w:line="200" w:lineRule="auto"/>
              <w:rPr/>
            </w:pPr>
            <w:r>
              <w:rPr>
                <w:spacing w:val="2"/>
              </w:rPr>
              <w:t>别嘌呤醇300</w:t>
            </w:r>
            <w:r>
              <w:rPr/>
              <w:t>mg</w:t>
            </w:r>
            <w:r>
              <w:rPr>
                <w:spacing w:val="2"/>
              </w:rPr>
              <w:t>×1</w:t>
            </w:r>
          </w:p>
        </w:tc>
        <w:tc>
          <w:tcPr>
            <w:tcW w:w="1394" w:type="dxa"/>
            <w:vAlign w:val="top"/>
            <w:tcBorders>
              <w:left w:val="nil"/>
              <w:right w:val="nil"/>
            </w:tcBorders>
          </w:tcPr>
          <w:p>
            <w:pPr>
              <w:pStyle w:val="TableText"/>
              <w:ind w:left="361"/>
              <w:spacing w:before="79"/>
              <w:rPr>
                <w:rFonts w:ascii="MS Gothic" w:hAnsi="MS Gothic" w:eastAsia="MS Gothic" w:cs="MS Gothic"/>
              </w:rPr>
            </w:pPr>
            <w:r>
              <w:rPr>
                <w:spacing w:val="-3"/>
              </w:rPr>
              <w:t>B</w:t>
            </w:r>
            <w:r>
              <w:rPr>
                <w:rFonts w:ascii="MS Gothic" w:hAnsi="MS Gothic" w:eastAsia="MS Gothic" w:cs="MS Gothic"/>
                <w:spacing w:val="-3"/>
              </w:rPr>
              <w:t>↵</w:t>
            </w:r>
          </w:p>
        </w:tc>
        <w:tc>
          <w:tcPr>
            <w:tcW w:w="1977" w:type="dxa"/>
            <w:vAlign w:val="top"/>
            <w:tcBorders>
              <w:left w:val="nil"/>
            </w:tcBorders>
          </w:tcPr>
          <w:p>
            <w:pPr>
              <w:pStyle w:val="TableText"/>
              <w:ind w:left="878"/>
              <w:spacing w:before="79" w:line="241" w:lineRule="auto"/>
              <w:rPr>
                <w:rFonts w:ascii="MS Gothic" w:hAnsi="MS Gothic" w:eastAsia="MS Gothic" w:cs="MS Gothic"/>
              </w:rPr>
            </w:pPr>
            <w:r>
              <w:rPr>
                <w:spacing w:val="-15"/>
              </w:rPr>
              <w:t>1</w:t>
            </w:r>
            <w:r>
              <w:rPr>
                <w:rFonts w:ascii="MS Gothic" w:hAnsi="MS Gothic" w:eastAsia="MS Gothic" w:cs="MS Gothic"/>
                <w:spacing w:val="-15"/>
              </w:rPr>
              <w:t>↵</w:t>
            </w:r>
          </w:p>
        </w:tc>
      </w:tr>
      <w:tr>
        <w:trPr>
          <w:trHeight w:val="619" w:hRule="atLeast"/>
        </w:trPr>
        <w:tc>
          <w:tcPr>
            <w:tcW w:w="2182" w:type="dxa"/>
            <w:vAlign w:val="top"/>
            <w:vMerge w:val="restart"/>
            <w:tcBorders>
              <w:bottom w:val="nil"/>
            </w:tcBorders>
          </w:tcPr>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88"/>
              <w:spacing w:before="82" w:line="220" w:lineRule="auto"/>
              <w:rPr/>
            </w:pPr>
            <w:r>
              <w:rPr>
                <w:b/>
                <w:bCs/>
                <w:spacing w:val="-5"/>
              </w:rPr>
              <w:t>药物溶解尿酸结石</w:t>
            </w:r>
          </w:p>
        </w:tc>
        <w:tc>
          <w:tcPr>
            <w:tcW w:w="2956" w:type="dxa"/>
            <w:vAlign w:val="top"/>
            <w:tcBorders>
              <w:right w:val="nil"/>
            </w:tcBorders>
          </w:tcPr>
          <w:p>
            <w:pPr>
              <w:pStyle w:val="TableText"/>
              <w:ind w:left="92" w:right="333" w:firstLine="3"/>
              <w:spacing w:before="13" w:line="220" w:lineRule="auto"/>
              <w:rPr/>
            </w:pPr>
            <w:r>
              <w:rPr>
                <w:b/>
                <w:bCs/>
                <w:spacing w:val="-1"/>
              </w:rPr>
              <w:t>稀释尿液：</w:t>
            </w:r>
            <w:r>
              <w:rPr>
                <w:spacing w:val="-1"/>
              </w:rPr>
              <w:t>大量饮水使</w:t>
            </w:r>
            <w:r>
              <w:rPr>
                <w:spacing w:val="5"/>
              </w:rPr>
              <w:t xml:space="preserve"> </w:t>
            </w:r>
            <w:r>
              <w:rPr>
                <w:spacing w:val="2"/>
              </w:rPr>
              <w:t>24小时尿量超过2000</w:t>
            </w:r>
            <w:r>
              <w:rPr/>
              <w:t>ml</w:t>
            </w:r>
          </w:p>
        </w:tc>
        <w:tc>
          <w:tcPr>
            <w:tcW w:w="1394" w:type="dxa"/>
            <w:vAlign w:val="top"/>
            <w:tcBorders>
              <w:left w:val="nil"/>
              <w:right w:val="nil"/>
            </w:tcBorders>
          </w:tcPr>
          <w:p>
            <w:pPr>
              <w:pStyle w:val="TableText"/>
              <w:ind w:left="381"/>
              <w:spacing w:before="122" w:line="182" w:lineRule="auto"/>
              <w:rPr/>
            </w:pPr>
            <w:r>
              <w:rPr/>
              <w:t>B</w:t>
            </w:r>
          </w:p>
        </w:tc>
        <w:tc>
          <w:tcPr>
            <w:tcW w:w="1977" w:type="dxa"/>
            <w:vAlign w:val="top"/>
            <w:tcBorders>
              <w:left w:val="nil"/>
            </w:tcBorders>
          </w:tcPr>
          <w:p>
            <w:pPr>
              <w:pStyle w:val="TableText"/>
              <w:ind w:left="897"/>
              <w:spacing w:before="101" w:line="241" w:lineRule="auto"/>
              <w:rPr/>
            </w:pPr>
            <w:r>
              <w:rPr/>
              <w:t>1</w:t>
            </w:r>
          </w:p>
        </w:tc>
      </w:tr>
      <w:tr>
        <w:trPr>
          <w:trHeight w:val="1538" w:hRule="atLeast"/>
        </w:trPr>
        <w:tc>
          <w:tcPr>
            <w:tcW w:w="2182" w:type="dxa"/>
            <w:vAlign w:val="top"/>
            <w:vMerge w:val="continue"/>
            <w:tcBorders>
              <w:top w:val="nil"/>
            </w:tcBorders>
          </w:tcPr>
          <w:p>
            <w:pPr>
              <w:rPr>
                <w:rFonts w:ascii="Arial"/>
                <w:sz w:val="21"/>
              </w:rPr>
            </w:pPr>
            <w:r/>
          </w:p>
        </w:tc>
        <w:tc>
          <w:tcPr>
            <w:tcW w:w="2956" w:type="dxa"/>
            <w:vAlign w:val="top"/>
            <w:tcBorders>
              <w:right w:val="nil"/>
            </w:tcBorders>
          </w:tcPr>
          <w:p>
            <w:pPr>
              <w:pStyle w:val="TableText"/>
              <w:ind w:left="96"/>
              <w:spacing w:before="14" w:line="220" w:lineRule="auto"/>
              <w:rPr/>
            </w:pPr>
            <w:r>
              <w:rPr>
                <w:b/>
                <w:bCs/>
              </w:rPr>
              <w:t>碱化尿液：</w:t>
            </w:r>
            <w:r>
              <w:rPr/>
              <w:t>枸橼酸钾</w:t>
            </w:r>
          </w:p>
          <w:p>
            <w:pPr>
              <w:pStyle w:val="TableText"/>
              <w:ind w:left="92" w:right="467"/>
              <w:spacing w:before="35" w:line="207" w:lineRule="auto"/>
              <w:rPr/>
            </w:pPr>
            <w:r>
              <w:rPr>
                <w:spacing w:val="1"/>
              </w:rPr>
              <w:t>6-10</w:t>
            </w:r>
            <w:r>
              <w:rPr/>
              <w:t>mmol</w:t>
            </w:r>
            <w:r>
              <w:rPr>
                <w:spacing w:val="1"/>
              </w:rPr>
              <w:t>×2-3枸橼酸</w:t>
            </w:r>
            <w:r>
              <w:rPr>
                <w:spacing w:val="3"/>
              </w:rPr>
              <w:t xml:space="preserve"> </w:t>
            </w:r>
            <w:r>
              <w:rPr>
                <w:spacing w:val="2"/>
              </w:rPr>
              <w:t>钾钠9-18</w:t>
            </w:r>
            <w:r>
              <w:rPr/>
              <w:t>mmol</w:t>
            </w:r>
            <w:r>
              <w:rPr>
                <w:spacing w:val="2"/>
              </w:rPr>
              <w:t>×2-3</w:t>
            </w:r>
          </w:p>
          <w:p>
            <w:pPr>
              <w:pStyle w:val="TableText"/>
              <w:ind w:left="92" w:right="309"/>
              <w:spacing w:before="2" w:line="228" w:lineRule="auto"/>
              <w:rPr/>
            </w:pPr>
            <w:r>
              <w:rPr>
                <w:spacing w:val="4"/>
              </w:rPr>
              <w:t>枸橼酸钾钠9-18</w:t>
            </w:r>
            <w:r>
              <w:rPr/>
              <w:t>mmo</w:t>
            </w:r>
            <w:r>
              <w:rPr>
                <w:spacing w:val="4"/>
              </w:rPr>
              <w:t>1×</w:t>
            </w:r>
            <w:r>
              <w:rPr>
                <w:spacing w:val="3"/>
              </w:rPr>
              <w:t xml:space="preserve"> </w:t>
            </w:r>
            <w:r>
              <w:rPr>
                <w:spacing w:val="-5"/>
              </w:rPr>
              <w:t>2-3</w:t>
            </w:r>
          </w:p>
        </w:tc>
        <w:tc>
          <w:tcPr>
            <w:tcW w:w="1394" w:type="dxa"/>
            <w:vAlign w:val="top"/>
            <w:tcBorders>
              <w:left w:val="nil"/>
              <w:right w:val="nil"/>
            </w:tcBorders>
          </w:tcPr>
          <w:p>
            <w:pPr>
              <w:pStyle w:val="TableText"/>
              <w:ind w:left="372"/>
              <w:spacing w:before="143" w:line="182" w:lineRule="auto"/>
              <w:rPr/>
            </w:pPr>
            <w:r>
              <w:rPr/>
              <w:t>B</w:t>
            </w:r>
          </w:p>
        </w:tc>
        <w:tc>
          <w:tcPr>
            <w:tcW w:w="1977" w:type="dxa"/>
            <w:vAlign w:val="top"/>
            <w:tcBorders>
              <w:left w:val="nil"/>
            </w:tcBorders>
          </w:tcPr>
          <w:p>
            <w:pPr>
              <w:pStyle w:val="TableText"/>
              <w:ind w:left="808"/>
              <w:spacing w:before="102" w:line="241" w:lineRule="auto"/>
              <w:rPr>
                <w:rFonts w:ascii="MS Gothic" w:hAnsi="MS Gothic" w:eastAsia="MS Gothic" w:cs="MS Gothic"/>
              </w:rPr>
            </w:pPr>
            <w:r>
              <w:rPr>
                <w:spacing w:val="-8"/>
              </w:rPr>
              <w:t>1-4</w:t>
            </w:r>
            <w:r>
              <w:rPr>
                <w:rFonts w:ascii="MS Gothic" w:hAnsi="MS Gothic" w:eastAsia="MS Gothic" w:cs="MS Gothic"/>
                <w:spacing w:val="-8"/>
              </w:rPr>
              <w:t>↵</w:t>
            </w:r>
          </w:p>
        </w:tc>
      </w:tr>
      <w:tr>
        <w:trPr>
          <w:trHeight w:val="639" w:hRule="atLeast"/>
        </w:trPr>
        <w:tc>
          <w:tcPr>
            <w:tcW w:w="2182" w:type="dxa"/>
            <w:vAlign w:val="top"/>
            <w:tcBorders>
              <w:right w:val="nil"/>
            </w:tcBorders>
          </w:tcPr>
          <w:p>
            <w:pPr>
              <w:rPr>
                <w:rFonts w:ascii="Arial"/>
                <w:sz w:val="21"/>
              </w:rPr>
            </w:pPr>
            <w:r/>
          </w:p>
        </w:tc>
        <w:tc>
          <w:tcPr>
            <w:tcW w:w="2956" w:type="dxa"/>
            <w:vAlign w:val="top"/>
            <w:tcBorders>
              <w:left w:val="nil"/>
              <w:right w:val="nil"/>
            </w:tcBorders>
          </w:tcPr>
          <w:p>
            <w:pPr>
              <w:pStyle w:val="TableText"/>
              <w:ind w:left="107" w:right="363" w:hanging="10"/>
              <w:spacing w:before="20" w:line="221" w:lineRule="auto"/>
              <w:rPr/>
            </w:pPr>
            <w:r>
              <w:rPr>
                <w:spacing w:val="-1"/>
              </w:rPr>
              <w:t>始终减少尿酸的排泄：</w:t>
            </w:r>
            <w:r>
              <w:rPr>
                <w:spacing w:val="3"/>
              </w:rPr>
              <w:t xml:space="preserve"> </w:t>
            </w:r>
            <w:r>
              <w:rPr>
                <w:spacing w:val="2"/>
              </w:rPr>
              <w:t>别嘌呤醇300</w:t>
            </w:r>
            <w:r>
              <w:rPr/>
              <w:t>mg</w:t>
            </w:r>
            <w:r>
              <w:rPr>
                <w:spacing w:val="2"/>
              </w:rPr>
              <w:t>×1</w:t>
            </w:r>
          </w:p>
        </w:tc>
        <w:tc>
          <w:tcPr>
            <w:tcW w:w="1394" w:type="dxa"/>
            <w:vAlign w:val="top"/>
            <w:tcBorders>
              <w:left w:val="nil"/>
              <w:right w:val="nil"/>
            </w:tcBorders>
          </w:tcPr>
          <w:p>
            <w:pPr>
              <w:pStyle w:val="TableText"/>
              <w:ind w:left="372"/>
              <w:spacing w:before="99" w:line="182" w:lineRule="auto"/>
              <w:rPr>
                <w:rFonts w:ascii="Calibri" w:hAnsi="Calibri" w:eastAsia="Calibri" w:cs="Calibri"/>
              </w:rPr>
            </w:pPr>
            <w:r>
              <w:rPr>
                <w:spacing w:val="-3"/>
              </w:rPr>
              <w:t>B</w:t>
            </w:r>
            <w:r>
              <w:rPr>
                <w:rFonts w:ascii="Calibri" w:hAnsi="Calibri" w:eastAsia="Calibri" w:cs="Calibri"/>
                <w:spacing w:val="-3"/>
              </w:rPr>
              <w:t>₄</w:t>
            </w:r>
          </w:p>
        </w:tc>
        <w:tc>
          <w:tcPr>
            <w:tcW w:w="1977" w:type="dxa"/>
            <w:vAlign w:val="top"/>
            <w:tcBorders>
              <w:left w:val="nil"/>
            </w:tcBorders>
          </w:tcPr>
          <w:p>
            <w:pPr>
              <w:pStyle w:val="TableText"/>
              <w:ind w:left="787"/>
              <w:spacing w:before="114" w:line="241" w:lineRule="auto"/>
              <w:rPr/>
            </w:pPr>
            <w:r>
              <w:rPr>
                <w:spacing w:val="-10"/>
              </w:rPr>
              <w:t>1-4</w:t>
            </w:r>
          </w:p>
        </w:tc>
      </w:tr>
      <w:tr>
        <w:trPr>
          <w:trHeight w:val="305" w:hRule="atLeast"/>
        </w:trPr>
        <w:tc>
          <w:tcPr>
            <w:tcW w:w="8509" w:type="dxa"/>
            <w:vAlign w:val="top"/>
            <w:gridSpan w:val="4"/>
          </w:tcPr>
          <w:p>
            <w:pPr>
              <w:pStyle w:val="TableText"/>
              <w:ind w:left="84"/>
              <w:spacing w:before="39" w:line="189" w:lineRule="auto"/>
              <w:rPr/>
            </w:pPr>
            <w:r>
              <w:rPr>
                <w:spacing w:val="-1"/>
              </w:rPr>
              <w:t>GR=推荐等级</w:t>
            </w:r>
          </w:p>
        </w:tc>
      </w:tr>
    </w:tbl>
    <w:p>
      <w:pPr>
        <w:spacing w:line="331" w:lineRule="auto"/>
        <w:rPr>
          <w:rFonts w:ascii="Arial"/>
          <w:sz w:val="21"/>
        </w:rPr>
      </w:pPr>
      <w:r/>
    </w:p>
    <w:p>
      <w:pPr>
        <w:spacing w:line="332" w:lineRule="auto"/>
        <w:rPr>
          <w:rFonts w:ascii="Arial"/>
          <w:sz w:val="21"/>
        </w:rPr>
      </w:pPr>
      <w:r/>
    </w:p>
    <w:p>
      <w:pPr>
        <w:ind w:left="4949"/>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5"/>
          <w:w w:val="99"/>
        </w:rPr>
        <w:t>—250—</w:t>
      </w:r>
    </w:p>
    <w:p>
      <w:pPr>
        <w:spacing w:line="389"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headerReference w:type="default" r:id="rId14"/>
          <w:pgSz w:w="11850" w:h="16140"/>
          <w:pgMar w:top="400" w:right="669" w:bottom="0" w:left="400" w:header="0" w:footer="0" w:gutter="0"/>
        </w:sectPr>
        <w:rPr>
          <w:rFonts w:ascii="Times New Roman" w:hAnsi="Times New Roman" w:eastAsia="Times New Roman" w:cs="Times New Roman"/>
          <w:sz w:val="21"/>
          <w:szCs w:val="21"/>
        </w:rPr>
      </w:pPr>
    </w:p>
    <w:p>
      <w:pPr>
        <w:spacing w:line="328" w:lineRule="auto"/>
        <w:rPr>
          <w:rFonts w:ascii="Arial"/>
          <w:sz w:val="21"/>
        </w:rPr>
      </w:pPr>
      <w:r/>
    </w:p>
    <w:p>
      <w:pPr>
        <w:ind w:left="8389"/>
        <w:spacing w:before="72" w:line="293" w:lineRule="exact"/>
        <w:rPr>
          <w:rFonts w:ascii="STXingkai" w:hAnsi="STXingkai" w:eastAsia="STXingkai" w:cs="STXingkai"/>
          <w:sz w:val="21"/>
          <w:szCs w:val="21"/>
        </w:rPr>
      </w:pPr>
      <w:r>
        <w:drawing>
          <wp:anchor distT="0" distB="0" distL="0" distR="0" simplePos="0" relativeHeight="251710464" behindDoc="0" locked="0" layoutInCell="1" allowOverlap="1">
            <wp:simplePos x="0" y="0"/>
            <wp:positionH relativeFrom="column">
              <wp:posOffset>5048676</wp:posOffset>
            </wp:positionH>
            <wp:positionV relativeFrom="paragraph">
              <wp:posOffset>184659</wp:posOffset>
            </wp:positionV>
            <wp:extent cx="1568459" cy="6667"/>
            <wp:effectExtent l="0" t="0" r="0" b="0"/>
            <wp:wrapNone/>
            <wp:docPr id="70" name="IM 70"/>
            <wp:cNvGraphicFramePr/>
            <a:graphic>
              <a:graphicData uri="http://schemas.openxmlformats.org/drawingml/2006/picture">
                <pic:pic>
                  <pic:nvPicPr>
                    <pic:cNvPr id="70" name="IM 70"/>
                    <pic:cNvPicPr/>
                  </pic:nvPicPr>
                  <pic:blipFill>
                    <a:blip r:embed="rId168"/>
                    <a:stretch>
                      <a:fillRect/>
                    </a:stretch>
                  </pic:blipFill>
                  <pic:spPr>
                    <a:xfrm rot="0">
                      <a:off x="0" y="0"/>
                      <a:ext cx="1568459" cy="6667"/>
                    </a:xfrm>
                    <a:prstGeom prst="rect">
                      <a:avLst/>
                    </a:prstGeom>
                  </pic:spPr>
                </pic:pic>
              </a:graphicData>
            </a:graphic>
          </wp:anchor>
        </w:drawing>
      </w:r>
      <w:r>
        <w:drawing>
          <wp:anchor distT="0" distB="0" distL="0" distR="0" simplePos="0" relativeHeight="251711488" behindDoc="0" locked="0" layoutInCell="1" allowOverlap="1">
            <wp:simplePos x="0" y="0"/>
            <wp:positionH relativeFrom="column">
              <wp:posOffset>4909017</wp:posOffset>
            </wp:positionH>
            <wp:positionV relativeFrom="paragraph">
              <wp:posOffset>88851</wp:posOffset>
            </wp:positionV>
            <wp:extent cx="222205" cy="222298"/>
            <wp:effectExtent l="0" t="0" r="0" b="0"/>
            <wp:wrapNone/>
            <wp:docPr id="72" name="IM 72"/>
            <wp:cNvGraphicFramePr/>
            <a:graphic>
              <a:graphicData uri="http://schemas.openxmlformats.org/drawingml/2006/picture">
                <pic:pic>
                  <pic:nvPicPr>
                    <pic:cNvPr id="72" name="IM 72"/>
                    <pic:cNvPicPr/>
                  </pic:nvPicPr>
                  <pic:blipFill>
                    <a:blip r:embed="rId169"/>
                    <a:stretch>
                      <a:fillRect/>
                    </a:stretch>
                  </pic:blipFill>
                  <pic:spPr>
                    <a:xfrm rot="0">
                      <a:off x="0" y="0"/>
                      <a:ext cx="222205" cy="222298"/>
                    </a:xfrm>
                    <a:prstGeom prst="rect">
                      <a:avLst/>
                    </a:prstGeom>
                  </pic:spPr>
                </pic:pic>
              </a:graphicData>
            </a:graphic>
          </wp:anchor>
        </w:drawing>
      </w:r>
      <w:r>
        <w:rPr>
          <w:rFonts w:ascii="STXingkai" w:hAnsi="STXingkai" w:eastAsia="STXingkai" w:cs="STXingkai"/>
          <w:sz w:val="21"/>
          <w:szCs w:val="21"/>
          <w:spacing w:val="-24"/>
          <w:position w:val="3"/>
        </w:rPr>
        <w:t>附</w:t>
      </w:r>
      <w:r>
        <w:rPr>
          <w:rFonts w:ascii="STXingkai" w:hAnsi="STXingkai" w:eastAsia="STXingkai" w:cs="STXingkai"/>
          <w:sz w:val="21"/>
          <w:szCs w:val="21"/>
          <w:spacing w:val="12"/>
          <w:position w:val="3"/>
        </w:rPr>
        <w:t xml:space="preserve">   </w:t>
      </w:r>
      <w:r>
        <w:rPr>
          <w:rFonts w:ascii="STXingkai" w:hAnsi="STXingkai" w:eastAsia="STXingkai" w:cs="STXingkai"/>
          <w:sz w:val="21"/>
          <w:szCs w:val="21"/>
          <w:spacing w:val="-24"/>
          <w:position w:val="3"/>
        </w:rPr>
        <w:t>录</w:t>
      </w:r>
      <w:r>
        <w:rPr>
          <w:rFonts w:ascii="STXingkai" w:hAnsi="STXingkai" w:eastAsia="STXingkai" w:cs="STXingkai"/>
          <w:sz w:val="21"/>
          <w:szCs w:val="21"/>
          <w:spacing w:val="9"/>
          <w:position w:val="3"/>
        </w:rPr>
        <w:t xml:space="preserve">    </w:t>
      </w:r>
      <w:r>
        <w:rPr>
          <w:rFonts w:ascii="STXingkai" w:hAnsi="STXingkai" w:eastAsia="STXingkai" w:cs="STXingkai"/>
          <w:sz w:val="21"/>
          <w:szCs w:val="21"/>
          <w:spacing w:val="-24"/>
          <w:position w:val="3"/>
        </w:rPr>
        <w:t>·    指</w:t>
      </w:r>
      <w:r>
        <w:rPr>
          <w:rFonts w:ascii="STXingkai" w:hAnsi="STXingkai" w:eastAsia="STXingkai" w:cs="STXingkai"/>
          <w:sz w:val="21"/>
          <w:szCs w:val="21"/>
          <w:spacing w:val="9"/>
          <w:position w:val="3"/>
        </w:rPr>
        <w:t xml:space="preserve">   </w:t>
      </w:r>
      <w:r>
        <w:rPr>
          <w:rFonts w:ascii="STXingkai" w:hAnsi="STXingkai" w:eastAsia="STXingkai" w:cs="STXingkai"/>
          <w:sz w:val="21"/>
          <w:szCs w:val="21"/>
          <w:spacing w:val="-24"/>
          <w:position w:val="3"/>
        </w:rPr>
        <w:t>直</w:t>
      </w:r>
    </w:p>
    <w:p>
      <w:pPr>
        <w:pStyle w:val="BodyText"/>
        <w:ind w:left="1200"/>
        <w:spacing w:before="303" w:line="219" w:lineRule="auto"/>
        <w:rPr/>
      </w:pPr>
      <w:r>
        <w:rPr>
          <w:spacing w:val="-2"/>
        </w:rPr>
        <w:t>14.3.1参考文献</w:t>
      </w:r>
    </w:p>
    <w:p>
      <w:pPr>
        <w:ind w:left="800" w:right="19"/>
        <w:spacing w:before="138" w:line="28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1.Rodman  JS,Sosa  E,Lopez  ML.Diagnosis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and  treatment</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of  uri</w:t>
      </w:r>
      <w:r>
        <w:rPr>
          <w:rFonts w:ascii="Times New Roman" w:hAnsi="Times New Roman" w:eastAsia="Times New Roman" w:cs="Times New Roman"/>
          <w:sz w:val="21"/>
          <w:szCs w:val="21"/>
          <w:spacing w:val="-1"/>
        </w:rPr>
        <w:t>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acid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calculi.In:Kidney</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stones.medical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surgical   management.Coe   FL,Favus    MJ,Pak   CYC,Parks    JH   and    </w:t>
      </w:r>
      <w:r>
        <w:rPr>
          <w:rFonts w:ascii="Times New Roman" w:hAnsi="Times New Roman" w:eastAsia="Times New Roman" w:cs="Times New Roman"/>
          <w:sz w:val="21"/>
          <w:szCs w:val="21"/>
          <w:spacing w:val="-1"/>
        </w:rPr>
        <w:t>Preminger   GM(eds).Lippincott-Raven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Publishers,Philadelphia,</w:t>
      </w:r>
      <w:r>
        <w:rPr>
          <w:rFonts w:ascii="Times New Roman" w:hAnsi="Times New Roman" w:eastAsia="Times New Roman" w:cs="Times New Roman"/>
          <w:sz w:val="21"/>
          <w:szCs w:val="21"/>
          <w:spacing w:val="-1"/>
        </w:rPr>
        <w:t>1996,pp</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973-989.</w:t>
      </w:r>
    </w:p>
    <w:p>
      <w:pPr>
        <w:ind w:left="800"/>
        <w:spacing w:before="15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2.Low  RK,Stoller  ML.Uric  acid-related  nephrolithiasis.Urol  Clin  North  </w:t>
      </w:r>
      <w:r>
        <w:rPr>
          <w:rFonts w:ascii="Times New Roman" w:hAnsi="Times New Roman" w:eastAsia="Times New Roman" w:cs="Times New Roman"/>
          <w:sz w:val="21"/>
          <w:szCs w:val="21"/>
          <w:spacing w:val="-1"/>
        </w:rPr>
        <w:t>Am  1997;24:135-148.</w:t>
      </w:r>
    </w:p>
    <w:p>
      <w:pPr>
        <w:ind w:left="800"/>
        <w:spacing w:before="136" w:line="192" w:lineRule="auto"/>
        <w:rPr>
          <w:rFonts w:ascii="Times New Roman" w:hAnsi="Times New Roman" w:eastAsia="Times New Roman" w:cs="Times New Roman"/>
          <w:sz w:val="21"/>
          <w:szCs w:val="21"/>
        </w:rPr>
      </w:pPr>
      <w:r>
        <w:drawing>
          <wp:anchor distT="0" distB="0" distL="0" distR="0" simplePos="0" relativeHeight="251708416" behindDoc="1" locked="0" layoutInCell="1" allowOverlap="1">
            <wp:simplePos x="0" y="0"/>
            <wp:positionH relativeFrom="column">
              <wp:posOffset>0</wp:posOffset>
            </wp:positionH>
            <wp:positionV relativeFrom="paragraph">
              <wp:posOffset>259391</wp:posOffset>
            </wp:positionV>
            <wp:extent cx="122438" cy="699545"/>
            <wp:effectExtent l="0" t="0" r="0" b="0"/>
            <wp:wrapNone/>
            <wp:docPr id="74" name="IM 74"/>
            <wp:cNvGraphicFramePr/>
            <a:graphic>
              <a:graphicData uri="http://schemas.openxmlformats.org/drawingml/2006/picture">
                <pic:pic>
                  <pic:nvPicPr>
                    <pic:cNvPr id="74" name="IM 74"/>
                    <pic:cNvPicPr/>
                  </pic:nvPicPr>
                  <pic:blipFill>
                    <a:blip r:embed="rId170"/>
                    <a:stretch>
                      <a:fillRect/>
                    </a:stretch>
                  </pic:blipFill>
                  <pic:spPr>
                    <a:xfrm rot="0">
                      <a:off x="0" y="0"/>
                      <a:ext cx="122438" cy="699545"/>
                    </a:xfrm>
                    <a:prstGeom prst="rect">
                      <a:avLst/>
                    </a:prstGeom>
                  </pic:spPr>
                </pic:pic>
              </a:graphicData>
            </a:graphic>
          </wp:anchor>
        </w:drawing>
      </w:r>
      <w:hyperlink w:history="true" r:id="rId171">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ids=9048857</w:t>
        </w:r>
      </w:hyperlink>
    </w:p>
    <w:p>
      <w:pPr>
        <w:ind w:left="800" w:right="15"/>
        <w:spacing w:before="137" w:line="255"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rPr>
          <w:t>3.Shekarriz     B</w:t>
        </w:r>
      </w:hyperlink>
      <w:r>
        <w:rPr>
          <w:rFonts w:ascii="Times New Roman" w:hAnsi="Times New Roman" w:eastAsia="Times New Roman" w:cs="Times New Roman"/>
          <w:sz w:val="21"/>
          <w:szCs w:val="21"/>
        </w:rPr>
        <w:t>,</w:t>
      </w:r>
      <w:hyperlink w:history="true" r:id="rId172">
        <w:r>
          <w:rPr>
            <w:rFonts w:ascii="Times New Roman" w:hAnsi="Times New Roman" w:eastAsia="Times New Roman" w:cs="Times New Roman"/>
            <w:sz w:val="21"/>
            <w:szCs w:val="21"/>
          </w:rPr>
          <w:t>Stoller</w:t>
        </w:r>
      </w:hyperlink>
      <w:r>
        <w:rPr>
          <w:rFonts w:ascii="Times New Roman" w:hAnsi="Times New Roman" w:eastAsia="Times New Roman" w:cs="Times New Roman"/>
          <w:sz w:val="21"/>
          <w:szCs w:val="21"/>
        </w:rPr>
        <w:t xml:space="preserve">     ML.Uric      acid     nephrolithiasis:current      concepts     and    </w:t>
      </w:r>
      <w:r>
        <w:rPr>
          <w:rFonts w:ascii="Times New Roman" w:hAnsi="Times New Roman" w:eastAsia="Times New Roman" w:cs="Times New Roman"/>
          <w:sz w:val="21"/>
          <w:szCs w:val="21"/>
          <w:spacing w:val="-1"/>
        </w:rPr>
        <w:t xml:space="preserve">  controversies.J     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2002;168:1307-1314.</w:t>
      </w:r>
    </w:p>
    <w:p>
      <w:pPr>
        <w:ind w:left="800"/>
        <w:spacing w:before="167" w:line="192"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spacing w:val="-3"/>
          </w:rPr>
          <w:t>http://www.ncbi.nlm.nih.gov/entrez/query.fcgi?cmd=Retrieve&amp;db=pub</w:t>
        </w:r>
        <w:r>
          <w:rPr>
            <w:rFonts w:ascii="Times New Roman" w:hAnsi="Times New Roman" w:eastAsia="Times New Roman" w:cs="Times New Roman"/>
            <w:sz w:val="21"/>
            <w:szCs w:val="21"/>
            <w:spacing w:val="-4"/>
          </w:rPr>
          <w:t>med&amp;dopt=Abstract&amp;list_uids=12352383</w:t>
        </w:r>
      </w:hyperlink>
    </w:p>
    <w:p>
      <w:pPr>
        <w:ind w:left="800"/>
        <w:spacing w:before="147" w:line="292"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rPr>
          <w:t>4.Hesse  A</w:t>
        </w:r>
      </w:hyperlink>
      <w:r>
        <w:rPr>
          <w:rFonts w:ascii="Times New Roman" w:hAnsi="Times New Roman" w:eastAsia="Times New Roman" w:cs="Times New Roman"/>
          <w:sz w:val="21"/>
          <w:szCs w:val="21"/>
        </w:rPr>
        <w:t>,</w:t>
      </w:r>
      <w:hyperlink w:history="true" r:id="rId79">
        <w:r>
          <w:rPr>
            <w:rFonts w:ascii="Times New Roman" w:hAnsi="Times New Roman" w:eastAsia="Times New Roman" w:cs="Times New Roman"/>
            <w:sz w:val="21"/>
            <w:szCs w:val="21"/>
          </w:rPr>
          <w:t>Tiselius</w:t>
        </w:r>
      </w:hyperlink>
      <w:r>
        <w:rPr>
          <w:rFonts w:ascii="Times New Roman" w:hAnsi="Times New Roman" w:eastAsia="Times New Roman" w:cs="Times New Roman"/>
          <w:sz w:val="21"/>
          <w:szCs w:val="21"/>
        </w:rPr>
        <w:t xml:space="preserve">  HG,Jahnen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A.Uric</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acid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atones.In:Urinary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stones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diagnosis,treatment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and  prevention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recurrence.Karger,Basel,2002,pp        73-91.</w:t>
      </w:r>
    </w:p>
    <w:p>
      <w:pPr>
        <w:ind w:left="800" w:right="5"/>
        <w:spacing w:before="72" w:line="2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5.Pak  CY,Sakhaee  K,Fuller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C.Successful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  uric   acid  nephrolithiasis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potassium</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citra</w:t>
      </w:r>
      <w:r>
        <w:rPr>
          <w:rFonts w:ascii="Times New Roman" w:hAnsi="Times New Roman" w:eastAsia="Times New Roman" w:cs="Times New Roman"/>
          <w:sz w:val="21"/>
          <w:szCs w:val="21"/>
          <w:spacing w:val="-1"/>
        </w:rPr>
        <w:t>te.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Kidney     Int.1986;30:422-428.</w:t>
      </w:r>
    </w:p>
    <w:p>
      <w:pPr>
        <w:ind w:left="800"/>
        <w:spacing w:before="82" w:line="192"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ids=3784284</w:t>
        </w:r>
      </w:hyperlink>
    </w:p>
    <w:p>
      <w:pPr>
        <w:ind w:left="800" w:right="18"/>
        <w:spacing w:before="137" w:line="260"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rPr>
          <w:t>6.Pak</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CY</w:t>
        </w:r>
      </w:hyperlink>
      <w:r>
        <w:rPr>
          <w:rFonts w:ascii="Times New Roman" w:hAnsi="Times New Roman" w:eastAsia="Times New Roman" w:cs="Times New Roman"/>
          <w:sz w:val="21"/>
          <w:szCs w:val="21"/>
        </w:rPr>
        <w:t>,</w:t>
      </w:r>
      <w:hyperlink w:history="true" r:id="rId173">
        <w:r>
          <w:rPr>
            <w:rFonts w:ascii="Times New Roman" w:hAnsi="Times New Roman" w:eastAsia="Times New Roman" w:cs="Times New Roman"/>
            <w:sz w:val="21"/>
            <w:szCs w:val="21"/>
          </w:rPr>
          <w:t>Waters</w:t>
        </w:r>
      </w:hyperlink>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0,Arnold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L,Holt</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K,Cox</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C,Baro</w:t>
      </w:r>
      <w:r>
        <w:rPr>
          <w:rFonts w:ascii="Times New Roman" w:hAnsi="Times New Roman" w:eastAsia="Times New Roman" w:cs="Times New Roman"/>
          <w:sz w:val="21"/>
          <w:szCs w:val="21"/>
          <w:spacing w:val="-1"/>
        </w:rPr>
        <w:t>lla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D.Mechanism</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calcium</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urolithiasis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among</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patients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hyperuricosuria:supersaturation of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urine with respect to monosodium urate.J Clin Invest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1977;</w:t>
      </w:r>
      <w:r>
        <w:rPr>
          <w:rFonts w:ascii="Times New Roman" w:hAnsi="Times New Roman" w:eastAsia="Times New Roman" w:cs="Times New Roman"/>
          <w:sz w:val="21"/>
          <w:szCs w:val="21"/>
          <w:spacing w:val="-2"/>
        </w:rPr>
        <w:t>59:426-431</w:t>
      </w:r>
    </w:p>
    <w:p>
      <w:pPr>
        <w:ind w:left="800"/>
        <w:spacing w:before="137" w:line="192"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rPr>
          <w:t>http://www.ncbi.nlm.nih.gov/entrez/query.fcgi?cmd=Retrieve&amp;db=pubmed&amp;dopt=Abstract&amp;list</w:t>
        </w:r>
        <w:r>
          <w:rPr>
            <w:rFonts w:ascii="Times New Roman" w:hAnsi="Times New Roman" w:eastAsia="Times New Roman" w:cs="Times New Roman"/>
            <w:sz w:val="21"/>
            <w:szCs w:val="21"/>
            <w:spacing w:val="-1"/>
          </w:rPr>
          <w:t>_uids=14173</w:t>
        </w:r>
      </w:hyperlink>
    </w:p>
    <w:p>
      <w:pPr>
        <w:ind w:left="800" w:right="32"/>
        <w:spacing w:before="151" w:line="258"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spacing w:val="-1"/>
          </w:rPr>
          <w:t>7</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b/>
          <w:bCs/>
          <w:spacing w:val="-1"/>
        </w:rPr>
        <w:t>Wilcox WR,KhalafA,Weinberger A,Kippen I,Klineberg JR.Solubility of</w:t>
      </w:r>
      <w:r>
        <w:rPr>
          <w:rFonts w:ascii="Times New Roman" w:hAnsi="Times New Roman" w:eastAsia="Times New Roman" w:cs="Times New Roman"/>
          <w:sz w:val="21"/>
          <w:szCs w:val="21"/>
          <w:b/>
          <w:bCs/>
          <w:spacing w:val="-10"/>
        </w:rPr>
        <w:t xml:space="preserve"> </w:t>
      </w:r>
      <w:r>
        <w:rPr>
          <w:rFonts w:ascii="Times New Roman" w:hAnsi="Times New Roman" w:eastAsia="Times New Roman" w:cs="Times New Roman"/>
          <w:sz w:val="21"/>
          <w:szCs w:val="21"/>
          <w:b/>
          <w:bCs/>
          <w:spacing w:val="-1"/>
        </w:rPr>
        <w:t>uric acid and </w:t>
      </w:r>
      <w:r>
        <w:rPr>
          <w:rFonts w:ascii="Times New Roman" w:hAnsi="Times New Roman" w:eastAsia="Times New Roman" w:cs="Times New Roman"/>
          <w:sz w:val="21"/>
          <w:szCs w:val="21"/>
          <w:b/>
          <w:bCs/>
          <w:spacing w:val="-2"/>
        </w:rPr>
        <w:t>monosodium urate</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Biol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Eng</w:t>
      </w:r>
      <w:r>
        <w:rPr>
          <w:rFonts w:ascii="Times New Roman" w:hAnsi="Times New Roman" w:eastAsia="Times New Roman" w:cs="Times New Roman"/>
          <w:sz w:val="21"/>
          <w:szCs w:val="21"/>
          <w:spacing w:val="50"/>
          <w:w w:val="101"/>
        </w:rPr>
        <w:t xml:space="preserve"> </w:t>
      </w:r>
      <w:r>
        <w:rPr>
          <w:rFonts w:ascii="Times New Roman" w:hAnsi="Times New Roman" w:eastAsia="Times New Roman" w:cs="Times New Roman"/>
          <w:sz w:val="21"/>
          <w:szCs w:val="21"/>
          <w:spacing w:val="-1"/>
        </w:rPr>
        <w:t>1972;10:522-531.</w:t>
      </w:r>
    </w:p>
    <w:p>
      <w:pPr>
        <w:ind w:left="800"/>
        <w:spacing w:before="146" w:line="192"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spacing w:val="-4"/>
          </w:rPr>
          <w:t>http:/</w:t>
        </w:r>
        <w:r>
          <w:rPr>
            <w:rFonts w:ascii="Times New Roman" w:hAnsi="Times New Roman" w:eastAsia="Times New Roman" w:cs="Times New Roman"/>
            <w:sz w:val="21"/>
            <w:szCs w:val="21"/>
            <w:b/>
            <w:bCs/>
            <w:spacing w:val="-4"/>
          </w:rPr>
          <w:t>/www.ncbi.nlm.nih.gov/entrez/query.</w:t>
        </w:r>
        <w:r>
          <w:rPr>
            <w:rFonts w:ascii="Times New Roman" w:hAnsi="Times New Roman" w:eastAsia="Times New Roman" w:cs="Times New Roman"/>
            <w:sz w:val="21"/>
            <w:szCs w:val="21"/>
            <w:b/>
            <w:bCs/>
            <w:spacing w:val="-5"/>
          </w:rPr>
          <w:t>fcgi?cmd=Retrieve&amp;db=pubmed&amp;dopt=Abstract&amp;list_uids=5074854</w:t>
        </w:r>
      </w:hyperlink>
    </w:p>
    <w:p>
      <w:pPr>
        <w:pStyle w:val="BodyText"/>
        <w:ind w:left="1200"/>
        <w:spacing w:before="120" w:line="220" w:lineRule="auto"/>
        <w:rPr/>
      </w:pPr>
      <w:hyperlink w:history="true" r:id="rId171">
        <w:r>
          <w:rPr>
            <w:spacing w:val="-2"/>
          </w:rPr>
          <w:t>14.4</w:t>
        </w:r>
      </w:hyperlink>
      <w:r>
        <w:rPr>
          <w:spacing w:val="-2"/>
        </w:rPr>
        <w:t>胱氨酸结石的药物治疗</w:t>
      </w:r>
    </w:p>
    <w:p>
      <w:pPr>
        <w:pStyle w:val="BodyText"/>
        <w:ind w:left="1283"/>
        <w:spacing w:before="86" w:line="219" w:lineRule="auto"/>
        <w:rPr/>
      </w:pPr>
      <w:r>
        <w:rPr>
          <w:b/>
          <w:bCs/>
          <w:spacing w:val="1"/>
        </w:rPr>
        <w:t>胱氨酸结石病的药物治疗方案见表28</w:t>
      </w:r>
    </w:p>
    <w:p>
      <w:pPr>
        <w:spacing w:before="78"/>
        <w:rPr/>
      </w:pPr>
      <w:r/>
    </w:p>
    <w:tbl>
      <w:tblPr>
        <w:tblStyle w:val="TableNormal"/>
        <w:tblW w:w="7599" w:type="dxa"/>
        <w:tblInd w:w="1490" w:type="dxa"/>
        <w:tblLayout w:type="fixed"/>
        <w:tblBorders>
          <w:left w:val="single" w:color="000000" w:sz="4" w:space="0"/>
          <w:bottom w:val="single" w:color="000000" w:sz="4" w:space="0"/>
          <w:right w:val="single" w:color="000000" w:sz="4" w:space="0"/>
          <w:top w:val="single" w:color="000000" w:sz="4" w:space="0"/>
        </w:tblBorders>
      </w:tblPr>
      <w:tblGrid>
        <w:gridCol w:w="7599"/>
      </w:tblGrid>
      <w:tr>
        <w:trPr>
          <w:trHeight w:val="290" w:hRule="atLeast"/>
        </w:trPr>
        <w:tc>
          <w:tcPr>
            <w:tcW w:w="7599" w:type="dxa"/>
            <w:vAlign w:val="top"/>
          </w:tcPr>
          <w:p>
            <w:pPr>
              <w:pStyle w:val="TableText"/>
              <w:ind w:left="164"/>
              <w:spacing w:before="44" w:line="207" w:lineRule="auto"/>
              <w:rPr>
                <w:sz w:val="21"/>
                <w:szCs w:val="21"/>
              </w:rPr>
            </w:pPr>
            <w:r>
              <w:rPr>
                <w:sz w:val="21"/>
                <w:szCs w:val="21"/>
                <w:spacing w:val="-1"/>
              </w:rPr>
              <w:t>表28胱氨酸结石的药物治疗</w:t>
            </w:r>
          </w:p>
        </w:tc>
      </w:tr>
    </w:tbl>
    <w:p>
      <w:pPr>
        <w:pStyle w:val="BodyText"/>
        <w:ind w:left="1670"/>
        <w:spacing w:before="11" w:line="200" w:lineRule="auto"/>
        <w:rPr>
          <w:sz w:val="23"/>
          <w:szCs w:val="23"/>
        </w:rPr>
      </w:pPr>
      <w:r>
        <w:drawing>
          <wp:anchor distT="0" distB="0" distL="0" distR="0" simplePos="0" relativeHeight="251709440" behindDoc="0" locked="0" layoutInCell="1" allowOverlap="1">
            <wp:simplePos x="0" y="0"/>
            <wp:positionH relativeFrom="column">
              <wp:posOffset>85959</wp:posOffset>
            </wp:positionH>
            <wp:positionV relativeFrom="paragraph">
              <wp:posOffset>1742488</wp:posOffset>
            </wp:positionV>
            <wp:extent cx="61376" cy="61864"/>
            <wp:effectExtent l="0" t="0" r="0" b="0"/>
            <wp:wrapNone/>
            <wp:docPr id="76" name="IM 76"/>
            <wp:cNvGraphicFramePr/>
            <a:graphic>
              <a:graphicData uri="http://schemas.openxmlformats.org/drawingml/2006/picture">
                <pic:pic>
                  <pic:nvPicPr>
                    <pic:cNvPr id="76" name="IM 76"/>
                    <pic:cNvPicPr/>
                  </pic:nvPicPr>
                  <pic:blipFill>
                    <a:blip r:embed="rId174"/>
                    <a:stretch>
                      <a:fillRect/>
                    </a:stretch>
                  </pic:blipFill>
                  <pic:spPr>
                    <a:xfrm rot="0">
                      <a:off x="0" y="0"/>
                      <a:ext cx="61376" cy="61864"/>
                    </a:xfrm>
                    <a:prstGeom prst="rect">
                      <a:avLst/>
                    </a:prstGeom>
                  </pic:spPr>
                </pic:pic>
              </a:graphicData>
            </a:graphic>
          </wp:anchor>
        </w:drawing>
      </w:r>
      <w:r>
        <w:rPr>
          <w:sz w:val="23"/>
          <w:szCs w:val="23"/>
          <w:spacing w:val="-2"/>
          <w:position w:val="-1"/>
        </w:rPr>
        <w:t>治疗措施</w:t>
      </w:r>
      <w:r>
        <w:rPr>
          <w:sz w:val="23"/>
          <w:szCs w:val="23"/>
          <w:spacing w:val="3"/>
          <w:position w:val="-1"/>
        </w:rPr>
        <w:t xml:space="preserve">                                 </w:t>
      </w:r>
      <w:r>
        <w:rPr>
          <w:sz w:val="17"/>
          <w:szCs w:val="17"/>
          <w:spacing w:val="-2"/>
        </w:rPr>
        <w:t>GR</w:t>
      </w:r>
      <w:r>
        <w:rPr>
          <w:sz w:val="17"/>
          <w:szCs w:val="17"/>
          <w:spacing w:val="2"/>
        </w:rPr>
        <w:t xml:space="preserve">             </w:t>
      </w:r>
      <w:r>
        <w:rPr>
          <w:sz w:val="23"/>
          <w:szCs w:val="23"/>
          <w:b/>
          <w:bCs/>
          <w:spacing w:val="-2"/>
          <w:position w:val="1"/>
        </w:rPr>
        <w:t>参考文献</w:t>
      </w:r>
    </w:p>
    <w:tbl>
      <w:tblPr>
        <w:tblStyle w:val="TableNormal"/>
        <w:tblW w:w="7499" w:type="dxa"/>
        <w:tblInd w:w="16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10"/>
        <w:gridCol w:w="1233"/>
        <w:gridCol w:w="1656"/>
      </w:tblGrid>
      <w:tr>
        <w:trPr>
          <w:trHeight w:val="812" w:hRule="atLeast"/>
        </w:trPr>
        <w:tc>
          <w:tcPr>
            <w:tcW w:w="4610" w:type="dxa"/>
            <w:vAlign w:val="top"/>
            <w:tcBorders>
              <w:right w:val="nil"/>
            </w:tcBorders>
          </w:tcPr>
          <w:p>
            <w:pPr>
              <w:pStyle w:val="TableText"/>
              <w:ind w:left="74"/>
              <w:spacing w:before="24" w:line="219" w:lineRule="auto"/>
              <w:rPr>
                <w:sz w:val="22"/>
                <w:szCs w:val="22"/>
              </w:rPr>
            </w:pPr>
            <w:r>
              <w:rPr>
                <w:sz w:val="22"/>
                <w:szCs w:val="22"/>
                <w:spacing w:val="-2"/>
              </w:rPr>
              <w:t>稀释尿液</w:t>
            </w:r>
          </w:p>
          <w:p>
            <w:pPr>
              <w:pStyle w:val="TableText"/>
              <w:ind w:left="74" w:right="392"/>
              <w:spacing w:before="4" w:line="215" w:lineRule="auto"/>
              <w:rPr>
                <w:sz w:val="22"/>
                <w:szCs w:val="22"/>
              </w:rPr>
            </w:pPr>
            <w:r>
              <w:rPr>
                <w:sz w:val="22"/>
                <w:szCs w:val="22"/>
                <w:spacing w:val="3"/>
              </w:rPr>
              <w:t>推荐大量饮水以使24小时尿量</w:t>
            </w:r>
            <w:r>
              <w:rPr>
                <w:sz w:val="22"/>
                <w:szCs w:val="22"/>
                <w:u w:val="single" w:color="auto"/>
                <w:spacing w:val="3"/>
              </w:rPr>
              <w:t>超</w:t>
            </w:r>
            <w:r>
              <w:rPr>
                <w:sz w:val="22"/>
                <w:szCs w:val="22"/>
                <w:spacing w:val="3"/>
              </w:rPr>
              <w:t>过3000</w:t>
            </w:r>
            <w:r>
              <w:rPr>
                <w:sz w:val="22"/>
                <w:szCs w:val="22"/>
              </w:rPr>
              <w:t>ml</w:t>
            </w:r>
            <w:r>
              <w:rPr>
                <w:sz w:val="22"/>
                <w:szCs w:val="22"/>
                <w:spacing w:val="3"/>
              </w:rPr>
              <w:t>,</w:t>
            </w:r>
            <w:r>
              <w:rPr>
                <w:sz w:val="22"/>
                <w:szCs w:val="22"/>
                <w:spacing w:val="4"/>
              </w:rPr>
              <w:t xml:space="preserve"> </w:t>
            </w:r>
            <w:r>
              <w:rPr>
                <w:sz w:val="22"/>
                <w:szCs w:val="22"/>
              </w:rPr>
              <w:t>为达此要求，饮水量至少应达150ml每小时</w:t>
            </w:r>
          </w:p>
        </w:tc>
        <w:tc>
          <w:tcPr>
            <w:tcW w:w="1233" w:type="dxa"/>
            <w:vAlign w:val="top"/>
            <w:tcBorders>
              <w:left w:val="nil"/>
              <w:right w:val="nil"/>
            </w:tcBorders>
          </w:tcPr>
          <w:p>
            <w:pPr>
              <w:pStyle w:val="TableText"/>
              <w:ind w:left="380"/>
              <w:spacing w:before="92" w:line="182" w:lineRule="auto"/>
              <w:rPr>
                <w:sz w:val="22"/>
                <w:szCs w:val="22"/>
              </w:rPr>
            </w:pPr>
            <w:r>
              <w:rPr>
                <w:sz w:val="22"/>
                <w:szCs w:val="22"/>
                <w:spacing w:val="-2"/>
              </w:rPr>
              <w:t>B.</w:t>
            </w:r>
          </w:p>
        </w:tc>
        <w:tc>
          <w:tcPr>
            <w:tcW w:w="1656" w:type="dxa"/>
            <w:vAlign w:val="top"/>
            <w:tcBorders>
              <w:left w:val="nil"/>
            </w:tcBorders>
          </w:tcPr>
          <w:p>
            <w:pPr>
              <w:pStyle w:val="TableText"/>
              <w:ind w:left="667"/>
              <w:spacing w:before="85"/>
              <w:rPr>
                <w:sz w:val="22"/>
                <w:szCs w:val="22"/>
              </w:rPr>
            </w:pPr>
            <w:r>
              <w:rPr>
                <w:sz w:val="22"/>
                <w:szCs w:val="22"/>
                <w:spacing w:val="-9"/>
              </w:rPr>
              <w:t>1-3</w:t>
            </w:r>
          </w:p>
        </w:tc>
      </w:tr>
      <w:tr>
        <w:trPr>
          <w:trHeight w:val="827" w:hRule="atLeast"/>
        </w:trPr>
        <w:tc>
          <w:tcPr>
            <w:tcW w:w="4610" w:type="dxa"/>
            <w:vAlign w:val="top"/>
            <w:tcBorders>
              <w:right w:val="nil"/>
            </w:tcBorders>
          </w:tcPr>
          <w:p>
            <w:pPr>
              <w:pStyle w:val="TableText"/>
              <w:ind w:left="78"/>
              <w:spacing w:before="29" w:line="220" w:lineRule="auto"/>
              <w:rPr>
                <w:sz w:val="22"/>
                <w:szCs w:val="22"/>
              </w:rPr>
            </w:pPr>
            <w:r>
              <w:rPr>
                <w:sz w:val="22"/>
                <w:szCs w:val="22"/>
                <w:b/>
                <w:bCs/>
                <w:spacing w:val="-4"/>
              </w:rPr>
              <w:t>碱化尿液</w:t>
            </w:r>
          </w:p>
          <w:p>
            <w:pPr>
              <w:pStyle w:val="TableText"/>
              <w:ind w:left="74"/>
              <w:spacing w:before="21" w:line="220" w:lineRule="auto"/>
              <w:rPr>
                <w:sz w:val="22"/>
                <w:szCs w:val="22"/>
              </w:rPr>
            </w:pPr>
            <w:r>
              <w:rPr>
                <w:sz w:val="22"/>
                <w:szCs w:val="22"/>
                <w:spacing w:val="2"/>
              </w:rPr>
              <w:t>患者胱氨酸排泄量低于3</w:t>
            </w:r>
            <w:r>
              <w:rPr>
                <w:sz w:val="22"/>
                <w:szCs w:val="22"/>
              </w:rPr>
              <w:t>mmol</w:t>
            </w:r>
            <w:r>
              <w:rPr>
                <w:sz w:val="22"/>
                <w:szCs w:val="22"/>
                <w:spacing w:val="2"/>
              </w:rPr>
              <w:t>/24h:</w:t>
            </w:r>
          </w:p>
          <w:p>
            <w:pPr>
              <w:pStyle w:val="TableText"/>
              <w:ind w:left="74"/>
              <w:spacing w:before="16" w:line="189" w:lineRule="auto"/>
              <w:rPr>
                <w:sz w:val="22"/>
                <w:szCs w:val="22"/>
              </w:rPr>
            </w:pPr>
            <w:r>
              <w:rPr>
                <w:sz w:val="22"/>
                <w:szCs w:val="22"/>
              </w:rPr>
              <w:t>枸橼酸钾3-10mmol×2-3使尿液PH大于7.5</w:t>
            </w:r>
          </w:p>
        </w:tc>
        <w:tc>
          <w:tcPr>
            <w:tcW w:w="1233" w:type="dxa"/>
            <w:vAlign w:val="top"/>
            <w:tcBorders>
              <w:left w:val="nil"/>
              <w:right w:val="nil"/>
            </w:tcBorders>
          </w:tcPr>
          <w:p>
            <w:pPr>
              <w:pStyle w:val="TableText"/>
              <w:ind w:left="380"/>
              <w:spacing w:before="110" w:line="182" w:lineRule="auto"/>
              <w:rPr>
                <w:sz w:val="22"/>
                <w:szCs w:val="22"/>
              </w:rPr>
            </w:pPr>
            <w:r>
              <w:rPr>
                <w:sz w:val="22"/>
                <w:szCs w:val="22"/>
                <w:spacing w:val="-1"/>
              </w:rPr>
              <w:t>Be</w:t>
            </w:r>
          </w:p>
        </w:tc>
        <w:tc>
          <w:tcPr>
            <w:tcW w:w="1656" w:type="dxa"/>
            <w:vAlign w:val="top"/>
            <w:tcBorders>
              <w:left w:val="nil"/>
            </w:tcBorders>
          </w:tcPr>
          <w:p>
            <w:pPr>
              <w:pStyle w:val="TableText"/>
              <w:ind w:left="667"/>
              <w:spacing w:before="83"/>
              <w:rPr>
                <w:sz w:val="22"/>
                <w:szCs w:val="22"/>
              </w:rPr>
            </w:pPr>
            <w:r>
              <w:rPr>
                <w:sz w:val="22"/>
                <w:szCs w:val="22"/>
                <w:spacing w:val="-9"/>
              </w:rPr>
              <w:t>1-3</w:t>
            </w:r>
          </w:p>
        </w:tc>
      </w:tr>
      <w:tr>
        <w:trPr>
          <w:trHeight w:val="1097" w:hRule="atLeast"/>
        </w:trPr>
        <w:tc>
          <w:tcPr>
            <w:tcW w:w="4610" w:type="dxa"/>
            <w:vAlign w:val="top"/>
            <w:tcBorders>
              <w:right w:val="nil"/>
            </w:tcBorders>
          </w:tcPr>
          <w:p>
            <w:pPr>
              <w:pStyle w:val="TableText"/>
              <w:ind w:left="78"/>
              <w:spacing w:before="32" w:line="219" w:lineRule="auto"/>
              <w:rPr>
                <w:sz w:val="22"/>
                <w:szCs w:val="22"/>
              </w:rPr>
            </w:pPr>
            <w:r>
              <w:rPr>
                <w:sz w:val="22"/>
                <w:szCs w:val="22"/>
                <w:b/>
                <w:bCs/>
                <w:spacing w:val="-4"/>
              </w:rPr>
              <w:t>含胱氨酸的混合型结石</w:t>
            </w:r>
          </w:p>
          <w:p>
            <w:pPr>
              <w:pStyle w:val="TableText"/>
              <w:ind w:left="74"/>
              <w:spacing w:before="22" w:line="219" w:lineRule="auto"/>
              <w:rPr>
                <w:sz w:val="22"/>
                <w:szCs w:val="22"/>
              </w:rPr>
            </w:pPr>
            <w:r>
              <w:rPr>
                <w:sz w:val="22"/>
                <w:szCs w:val="22"/>
                <w:spacing w:val="2"/>
              </w:rPr>
              <w:t>患者胱氨酸排泄量高于3</w:t>
            </w:r>
            <w:r>
              <w:rPr>
                <w:sz w:val="22"/>
                <w:szCs w:val="22"/>
              </w:rPr>
              <w:t>mmol</w:t>
            </w:r>
            <w:r>
              <w:rPr>
                <w:sz w:val="22"/>
                <w:szCs w:val="22"/>
                <w:spacing w:val="2"/>
              </w:rPr>
              <w:t>/24h:</w:t>
            </w:r>
          </w:p>
          <w:p>
            <w:pPr>
              <w:pStyle w:val="TableText"/>
              <w:ind w:left="74" w:right="357"/>
              <w:spacing w:before="2" w:line="207" w:lineRule="auto"/>
              <w:rPr>
                <w:sz w:val="22"/>
                <w:szCs w:val="22"/>
              </w:rPr>
            </w:pPr>
            <w:r>
              <w:rPr>
                <w:sz w:val="22"/>
                <w:szCs w:val="22"/>
                <w:spacing w:val="-1"/>
              </w:rPr>
              <w:t>硫普罗宁(α巯基丙酰甘氨酸)(250-2000mg/</w:t>
            </w:r>
            <w:r>
              <w:rPr>
                <w:sz w:val="22"/>
                <w:szCs w:val="22"/>
                <w:spacing w:val="17"/>
              </w:rPr>
              <w:t xml:space="preserve"> </w:t>
            </w:r>
            <w:r>
              <w:rPr>
                <w:sz w:val="22"/>
                <w:szCs w:val="22"/>
                <w:spacing w:val="3"/>
              </w:rPr>
              <w:t>日)或卡托普利(75-150</w:t>
            </w:r>
            <w:r>
              <w:rPr>
                <w:sz w:val="22"/>
                <w:szCs w:val="22"/>
              </w:rPr>
              <w:t>mg</w:t>
            </w:r>
            <w:r>
              <w:rPr>
                <w:sz w:val="22"/>
                <w:szCs w:val="22"/>
                <w:spacing w:val="3"/>
              </w:rPr>
              <w:t>)</w:t>
            </w:r>
          </w:p>
        </w:tc>
        <w:tc>
          <w:tcPr>
            <w:tcW w:w="1233" w:type="dxa"/>
            <w:vAlign w:val="top"/>
            <w:tcBorders>
              <w:left w:val="nil"/>
              <w:right w:val="nil"/>
            </w:tcBorders>
          </w:tcPr>
          <w:p>
            <w:pPr>
              <w:pStyle w:val="TableText"/>
              <w:ind w:left="369"/>
              <w:spacing w:before="123" w:line="182" w:lineRule="auto"/>
              <w:rPr>
                <w:sz w:val="22"/>
                <w:szCs w:val="22"/>
              </w:rPr>
            </w:pPr>
            <w:r>
              <w:rPr>
                <w:sz w:val="22"/>
                <w:szCs w:val="22"/>
                <w:spacing w:val="-1"/>
              </w:rPr>
              <w:t>Be</w:t>
            </w:r>
          </w:p>
        </w:tc>
        <w:tc>
          <w:tcPr>
            <w:tcW w:w="1656" w:type="dxa"/>
            <w:vAlign w:val="top"/>
            <w:tcBorders>
              <w:left w:val="nil"/>
            </w:tcBorders>
          </w:tcPr>
          <w:p>
            <w:pPr>
              <w:pStyle w:val="TableText"/>
              <w:ind w:left="656"/>
              <w:spacing w:before="87" w:line="241" w:lineRule="auto"/>
              <w:rPr>
                <w:sz w:val="22"/>
                <w:szCs w:val="22"/>
              </w:rPr>
            </w:pPr>
            <w:r>
              <w:rPr>
                <w:sz w:val="22"/>
                <w:szCs w:val="22"/>
                <w:spacing w:val="-9"/>
              </w:rPr>
              <w:t>1-4</w:t>
            </w:r>
          </w:p>
        </w:tc>
      </w:tr>
      <w:tr>
        <w:trPr>
          <w:trHeight w:val="284" w:hRule="atLeast"/>
        </w:trPr>
        <w:tc>
          <w:tcPr>
            <w:tcW w:w="7499" w:type="dxa"/>
            <w:vAlign w:val="top"/>
            <w:gridSpan w:val="3"/>
          </w:tcPr>
          <w:p>
            <w:pPr>
              <w:pStyle w:val="TableText"/>
              <w:ind w:left="74"/>
              <w:spacing w:before="36" w:line="199" w:lineRule="auto"/>
              <w:rPr>
                <w:sz w:val="22"/>
                <w:szCs w:val="22"/>
              </w:rPr>
            </w:pPr>
            <w:r>
              <w:rPr>
                <w:sz w:val="22"/>
                <w:szCs w:val="22"/>
                <w:spacing w:val="-1"/>
              </w:rPr>
              <w:t>GR=维荐等级</w:t>
            </w:r>
          </w:p>
        </w:tc>
      </w:tr>
    </w:tbl>
    <w:p>
      <w:pPr>
        <w:pStyle w:val="BodyText"/>
        <w:ind w:left="1200"/>
        <w:spacing w:before="204" w:line="219" w:lineRule="auto"/>
        <w:rPr/>
      </w:pPr>
      <w:r>
        <w:rPr>
          <w:spacing w:val="-2"/>
        </w:rPr>
        <w:t>14.4.1参考文献</w:t>
      </w:r>
    </w:p>
    <w:p>
      <w:pPr>
        <w:ind w:left="800" w:right="14"/>
        <w:spacing w:before="123" w:line="33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1.</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b/>
          <w:bCs/>
          <w:spacing w:val="-4"/>
        </w:rPr>
        <w:t>Chow GK,Streem SB.Contemporary urological intervention for cystinuric</w:t>
      </w:r>
      <w:r>
        <w:rPr>
          <w:rFonts w:ascii="Times New Roman" w:hAnsi="Times New Roman" w:eastAsia="Times New Roman" w:cs="Times New Roman"/>
          <w:sz w:val="21"/>
          <w:szCs w:val="21"/>
          <w:b/>
          <w:bCs/>
          <w:spacing w:val="2"/>
        </w:rPr>
        <w:t xml:space="preserve"> </w:t>
      </w:r>
      <w:r>
        <w:rPr>
          <w:rFonts w:ascii="Times New Roman" w:hAnsi="Times New Roman" w:eastAsia="Times New Roman" w:cs="Times New Roman"/>
          <w:sz w:val="21"/>
          <w:szCs w:val="21"/>
          <w:b/>
          <w:bCs/>
          <w:spacing w:val="-4"/>
        </w:rPr>
        <w:t>patients:immediate</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4"/>
        </w:rPr>
        <w:t>and</w:t>
      </w:r>
      <w:r>
        <w:rPr>
          <w:rFonts w:ascii="Times New Roman" w:hAnsi="Times New Roman" w:eastAsia="Times New Roman" w:cs="Times New Roman"/>
          <w:sz w:val="21"/>
          <w:szCs w:val="21"/>
          <w:b/>
          <w:bCs/>
          <w:spacing w:val="3"/>
        </w:rPr>
        <w:t xml:space="preserve"> </w:t>
      </w:r>
      <w:r>
        <w:rPr>
          <w:rFonts w:ascii="Times New Roman" w:hAnsi="Times New Roman" w:eastAsia="Times New Roman" w:cs="Times New Roman"/>
          <w:sz w:val="21"/>
          <w:szCs w:val="21"/>
          <w:b/>
          <w:bCs/>
          <w:spacing w:val="-4"/>
        </w:rPr>
        <w:t>long-term</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rPr>
        <w:t>impact  and  implications.J  Urol  1998;160:341-344.</w:t>
      </w:r>
    </w:p>
    <w:p>
      <w:pPr>
        <w:ind w:left="800" w:right="13"/>
        <w:spacing w:before="22" w:line="333" w:lineRule="auto"/>
        <w:rPr>
          <w:rFonts w:ascii="Times New Roman" w:hAnsi="Times New Roman" w:eastAsia="Times New Roman" w:cs="Times New Roman"/>
          <w:sz w:val="21"/>
          <w:szCs w:val="21"/>
        </w:rPr>
      </w:pPr>
      <w:hyperlink w:history="true" r:id="rId171">
        <w:r>
          <w:rPr>
            <w:rFonts w:ascii="Times New Roman" w:hAnsi="Times New Roman" w:eastAsia="Times New Roman" w:cs="Times New Roman"/>
            <w:sz w:val="21"/>
            <w:szCs w:val="21"/>
            <w:b/>
            <w:bCs/>
            <w:spacing w:val="-5"/>
          </w:rPr>
          <w:t>http://www.ncbi.nlm.nih.govlentrez/query.fcgi?cmd=Retrieve&amp;db=pubmed&amp;dopt=Abstract&amp;list_uids=9679873</w:t>
        </w:r>
      </w:hyperlink>
      <w:r>
        <w:rPr>
          <w:rFonts w:ascii="Times New Roman" w:hAnsi="Times New Roman" w:eastAsia="Times New Roman" w:cs="Times New Roman"/>
          <w:sz w:val="21"/>
          <w:szCs w:val="21"/>
          <w:b/>
          <w:bCs/>
          <w:spacing w:val="5"/>
        </w:rPr>
        <w:t xml:space="preserve">  </w:t>
      </w:r>
      <w:hyperlink w:history="true" r:id="rId171">
        <w:r>
          <w:rPr>
            <w:rFonts w:ascii="Times New Roman" w:hAnsi="Times New Roman" w:eastAsia="Times New Roman" w:cs="Times New Roman"/>
            <w:sz w:val="21"/>
            <w:szCs w:val="21"/>
            <w:b/>
            <w:bCs/>
          </w:rPr>
          <w:t>2.Akakura K</w:t>
        </w:r>
      </w:hyperlink>
      <w:r>
        <w:rPr>
          <w:rFonts w:ascii="Times New Roman" w:hAnsi="Times New Roman" w:eastAsia="Times New Roman" w:cs="Times New Roman"/>
          <w:sz w:val="21"/>
          <w:szCs w:val="21"/>
          <w:b/>
          <w:bCs/>
        </w:rPr>
        <w:t>,</w:t>
      </w:r>
      <w:hyperlink w:history="true" r:id="rId175">
        <w:r>
          <w:rPr>
            <w:rFonts w:ascii="Times New Roman" w:hAnsi="Times New Roman" w:eastAsia="Times New Roman" w:cs="Times New Roman"/>
            <w:sz w:val="21"/>
            <w:szCs w:val="21"/>
            <w:b/>
            <w:bCs/>
          </w:rPr>
          <w:t>Egoshi K</w:t>
        </w:r>
      </w:hyperlink>
      <w:r>
        <w:rPr>
          <w:rFonts w:ascii="Times New Roman" w:hAnsi="Times New Roman" w:eastAsia="Times New Roman" w:cs="Times New Roman"/>
          <w:sz w:val="21"/>
          <w:szCs w:val="21"/>
          <w:b/>
          <w:bCs/>
        </w:rPr>
        <w:t>,</w:t>
      </w:r>
      <w:hyperlink w:history="true" r:id="rId176">
        <w:r>
          <w:rPr>
            <w:rFonts w:ascii="Times New Roman" w:hAnsi="Times New Roman" w:eastAsia="Times New Roman" w:cs="Times New Roman"/>
            <w:sz w:val="21"/>
            <w:szCs w:val="21"/>
            <w:b/>
            <w:bCs/>
          </w:rPr>
          <w:t>Ueda T</w:t>
        </w:r>
      </w:hyperlink>
      <w:r>
        <w:rPr>
          <w:rFonts w:ascii="Times New Roman" w:hAnsi="Times New Roman" w:eastAsia="Times New Roman" w:cs="Times New Roman"/>
          <w:sz w:val="21"/>
          <w:szCs w:val="21"/>
          <w:b/>
          <w:bCs/>
        </w:rPr>
        <w:t>,</w:t>
      </w:r>
      <w:hyperlink w:history="true" r:id="rId177">
        <w:r>
          <w:rPr>
            <w:rFonts w:ascii="Times New Roman" w:hAnsi="Times New Roman" w:eastAsia="Times New Roman" w:cs="Times New Roman"/>
            <w:sz w:val="21"/>
            <w:szCs w:val="21"/>
            <w:b/>
            <w:bCs/>
          </w:rPr>
          <w:t>Nozumi K</w:t>
        </w:r>
      </w:hyperlink>
      <w:r>
        <w:rPr>
          <w:rFonts w:ascii="Times New Roman" w:hAnsi="Times New Roman" w:eastAsia="Times New Roman" w:cs="Times New Roman"/>
          <w:sz w:val="21"/>
          <w:szCs w:val="21"/>
          <w:b/>
          <w:bCs/>
        </w:rPr>
        <w:t>,</w:t>
      </w:r>
      <w:hyperlink w:history="true" r:id="rId178">
        <w:r>
          <w:rPr>
            <w:rFonts w:ascii="Times New Roman" w:hAnsi="Times New Roman" w:eastAsia="Times New Roman" w:cs="Times New Roman"/>
            <w:sz w:val="21"/>
            <w:szCs w:val="21"/>
            <w:b/>
            <w:bCs/>
          </w:rPr>
          <w:t>Kotake T</w:t>
        </w:r>
      </w:hyperlink>
      <w:r>
        <w:rPr>
          <w:rFonts w:ascii="Times New Roman" w:hAnsi="Times New Roman" w:eastAsia="Times New Roman" w:cs="Times New Roman"/>
          <w:sz w:val="21"/>
          <w:szCs w:val="21"/>
          <w:b/>
          <w:bCs/>
        </w:rPr>
        <w:t>,</w:t>
      </w:r>
      <w:hyperlink w:history="true" r:id="rId179">
        <w:r>
          <w:rPr>
            <w:rFonts w:ascii="Times New Roman" w:hAnsi="Times New Roman" w:eastAsia="Times New Roman" w:cs="Times New Roman"/>
            <w:sz w:val="21"/>
            <w:szCs w:val="21"/>
            <w:b/>
            <w:bCs/>
          </w:rPr>
          <w:t>Masai</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rPr>
          <w:t>M</w:t>
        </w:r>
      </w:hyperlink>
      <w:r>
        <w:rPr>
          <w:rFonts w:ascii="Times New Roman" w:hAnsi="Times New Roman" w:eastAsia="Times New Roman" w:cs="Times New Roman"/>
          <w:sz w:val="21"/>
          <w:szCs w:val="21"/>
          <w:b/>
          <w:bCs/>
        </w:rPr>
        <w:t>,</w:t>
      </w:r>
      <w:hyperlink w:history="true" r:id="rId180">
        <w:r>
          <w:rPr>
            <w:rFonts w:ascii="Times New Roman" w:hAnsi="Times New Roman" w:eastAsia="Times New Roman" w:cs="Times New Roman"/>
            <w:sz w:val="21"/>
            <w:szCs w:val="21"/>
            <w:b/>
            <w:bCs/>
          </w:rPr>
          <w:t>Ito</w:t>
        </w:r>
        <w:r>
          <w:rPr>
            <w:rFonts w:ascii="Times New Roman" w:hAnsi="Times New Roman" w:eastAsia="Times New Roman" w:cs="Times New Roman"/>
            <w:sz w:val="21"/>
            <w:szCs w:val="21"/>
            <w:b/>
            <w:bCs/>
            <w:spacing w:val="8"/>
          </w:rPr>
          <w:t xml:space="preserve"> </w:t>
        </w:r>
        <w:r>
          <w:rPr>
            <w:rFonts w:ascii="Times New Roman" w:hAnsi="Times New Roman" w:eastAsia="Times New Roman" w:cs="Times New Roman"/>
            <w:sz w:val="21"/>
            <w:szCs w:val="21"/>
            <w:b/>
            <w:bCs/>
          </w:rPr>
          <w:t>H.The</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rPr>
          <w:t>long-term</w:t>
        </w:r>
      </w:hyperlink>
      <w:r>
        <w:rPr>
          <w:rFonts w:ascii="Times New Roman" w:hAnsi="Times New Roman" w:eastAsia="Times New Roman" w:cs="Times New Roman"/>
          <w:sz w:val="21"/>
          <w:szCs w:val="21"/>
          <w:b/>
          <w:bCs/>
          <w:spacing w:val="12"/>
        </w:rPr>
        <w:t xml:space="preserve"> </w:t>
      </w:r>
      <w:r>
        <w:rPr>
          <w:rFonts w:ascii="Times New Roman" w:hAnsi="Times New Roman" w:eastAsia="Times New Roman" w:cs="Times New Roman"/>
          <w:sz w:val="21"/>
          <w:szCs w:val="21"/>
          <w:b/>
          <w:bCs/>
        </w:rPr>
        <w:t>ou</w:t>
      </w:r>
      <w:r>
        <w:rPr>
          <w:rFonts w:ascii="Times New Roman" w:hAnsi="Times New Roman" w:eastAsia="Times New Roman" w:cs="Times New Roman"/>
          <w:sz w:val="21"/>
          <w:szCs w:val="21"/>
          <w:b/>
          <w:bCs/>
          <w:spacing w:val="-1"/>
        </w:rPr>
        <w:t>tcome</w:t>
      </w:r>
      <w:r>
        <w:rPr>
          <w:rFonts w:ascii="Times New Roman" w:hAnsi="Times New Roman" w:eastAsia="Times New Roman" w:cs="Times New Roman"/>
          <w:sz w:val="21"/>
          <w:szCs w:val="21"/>
          <w:b/>
          <w:bCs/>
          <w:spacing w:val="11"/>
        </w:rPr>
        <w:t xml:space="preserve"> </w:t>
      </w:r>
      <w:r>
        <w:rPr>
          <w:rFonts w:ascii="Times New Roman" w:hAnsi="Times New Roman" w:eastAsia="Times New Roman" w:cs="Times New Roman"/>
          <w:sz w:val="21"/>
          <w:szCs w:val="21"/>
          <w:b/>
          <w:bCs/>
          <w:spacing w:val="-1"/>
        </w:rPr>
        <w:t>of cystinuria</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in</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rPr>
        <w:t>Japan.Urol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Int   1998;</w:t>
      </w:r>
      <w:r>
        <w:rPr>
          <w:rFonts w:ascii="Times New Roman" w:hAnsi="Times New Roman" w:eastAsia="Times New Roman" w:cs="Times New Roman"/>
          <w:sz w:val="21"/>
          <w:szCs w:val="21"/>
          <w:spacing w:val="-1"/>
        </w:rPr>
        <w:t>61:86-89.</w:t>
      </w:r>
    </w:p>
    <w:p>
      <w:pPr>
        <w:ind w:left="5470"/>
        <w:spacing w:before="15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7"/>
        </w:rPr>
        <w:t>—251—</w:t>
      </w:r>
    </w:p>
    <w:p>
      <w:pPr>
        <w:spacing w:line="270" w:lineRule="auto"/>
        <w:rPr>
          <w:rFonts w:ascii="Arial"/>
          <w:sz w:val="21"/>
        </w:rPr>
      </w:pPr>
      <w:r/>
    </w:p>
    <w:p>
      <w:pPr>
        <w:ind w:left="36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1410" w:bottom="0" w:left="19" w:header="0" w:footer="0" w:gutter="0"/>
        </w:sectPr>
        <w:rPr>
          <w:rFonts w:ascii="Times New Roman" w:hAnsi="Times New Roman" w:eastAsia="Times New Roman" w:cs="Times New Roman"/>
          <w:sz w:val="21"/>
          <w:szCs w:val="21"/>
        </w:rPr>
      </w:pPr>
    </w:p>
    <w:p>
      <w:pPr>
        <w:spacing w:line="248" w:lineRule="auto"/>
        <w:rPr>
          <w:rFonts w:ascii="Arial"/>
          <w:sz w:val="21"/>
        </w:rPr>
      </w:pPr>
      <w:r/>
    </w:p>
    <w:p>
      <w:pPr>
        <w:ind w:firstLine="509"/>
        <w:spacing w:line="510" w:lineRule="exact"/>
        <w:rPr/>
      </w:pPr>
      <w:r>
        <w:rPr>
          <w:position w:val="-10"/>
        </w:rPr>
        <w:drawing>
          <wp:inline distT="0" distB="0" distL="0" distR="0">
            <wp:extent cx="1720910" cy="323865"/>
            <wp:effectExtent l="0" t="0" r="0" b="0"/>
            <wp:docPr id="78" name="IM 78"/>
            <wp:cNvGraphicFramePr/>
            <a:graphic>
              <a:graphicData uri="http://schemas.openxmlformats.org/drawingml/2006/picture">
                <pic:pic>
                  <pic:nvPicPr>
                    <pic:cNvPr id="78" name="IM 78"/>
                    <pic:cNvPicPr/>
                  </pic:nvPicPr>
                  <pic:blipFill>
                    <a:blip r:embed="rId181"/>
                    <a:stretch>
                      <a:fillRect/>
                    </a:stretch>
                  </pic:blipFill>
                  <pic:spPr>
                    <a:xfrm rot="0">
                      <a:off x="0" y="0"/>
                      <a:ext cx="1720910" cy="323865"/>
                    </a:xfrm>
                    <a:prstGeom prst="rect">
                      <a:avLst/>
                    </a:prstGeom>
                  </pic:spPr>
                </pic:pic>
              </a:graphicData>
            </a:graphic>
          </wp:inline>
        </w:drawing>
      </w:r>
    </w:p>
    <w:p>
      <w:pPr>
        <w:ind w:left="509"/>
        <w:spacing w:before="229" w:line="189"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b/>
            <w:bCs/>
            <w:spacing w:val="-5"/>
          </w:rPr>
          <w:t>http://www.ncbi.nlm.nih.gov/ent</w:t>
        </w:r>
        <w:r>
          <w:rPr>
            <w:rFonts w:ascii="Times New Roman" w:hAnsi="Times New Roman" w:eastAsia="Times New Roman" w:cs="Times New Roman"/>
            <w:sz w:val="21"/>
            <w:szCs w:val="21"/>
            <w:b/>
            <w:bCs/>
            <w:spacing w:val="-6"/>
          </w:rPr>
          <w:t>rezlquery.fcgi?cmd=Retrieve&amp;db=pubmed&amp;dopt=Abstract&amp;list_uids=9873246</w:t>
        </w:r>
      </w:hyperlink>
    </w:p>
    <w:p>
      <w:pPr>
        <w:ind w:left="509"/>
        <w:spacing w:before="136" w:line="333"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rPr>
          <w:t>3</w:t>
        </w:r>
      </w:hyperlink>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b/>
          <w:bCs/>
        </w:rPr>
        <w:t>Barbey</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F,Joly  D,Rieu   P,Mejean  A,Daudon   M,Jungers</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rPr>
        <w:t>P.Medical</w:t>
      </w:r>
      <w:r>
        <w:rPr>
          <w:rFonts w:ascii="Times New Roman" w:hAnsi="Times New Roman" w:eastAsia="Times New Roman" w:cs="Times New Roman"/>
          <w:sz w:val="21"/>
          <w:szCs w:val="21"/>
          <w:b/>
          <w:bCs/>
          <w:spacing w:val="13"/>
          <w:w w:val="101"/>
        </w:rPr>
        <w:t xml:space="preserve">  </w:t>
      </w:r>
      <w:r>
        <w:rPr>
          <w:rFonts w:ascii="Times New Roman" w:hAnsi="Times New Roman" w:eastAsia="Times New Roman" w:cs="Times New Roman"/>
          <w:sz w:val="21"/>
          <w:szCs w:val="21"/>
          <w:b/>
          <w:bCs/>
        </w:rPr>
        <w:t>treatment</w:t>
      </w:r>
      <w:r>
        <w:rPr>
          <w:rFonts w:ascii="Times New Roman" w:hAnsi="Times New Roman" w:eastAsia="Times New Roman" w:cs="Times New Roman"/>
          <w:sz w:val="21"/>
          <w:szCs w:val="21"/>
          <w:b/>
          <w:bCs/>
          <w:spacing w:val="15"/>
          <w:w w:val="101"/>
        </w:rPr>
        <w:t xml:space="preserve">  </w:t>
      </w:r>
      <w:r>
        <w:rPr>
          <w:rFonts w:ascii="Times New Roman" w:hAnsi="Times New Roman" w:eastAsia="Times New Roman" w:cs="Times New Roman"/>
          <w:sz w:val="21"/>
          <w:szCs w:val="21"/>
          <w:b/>
          <w:bCs/>
        </w:rPr>
        <w:t>o</w:t>
      </w:r>
      <w:r>
        <w:rPr>
          <w:rFonts w:ascii="Times New Roman" w:hAnsi="Times New Roman" w:eastAsia="Times New Roman" w:cs="Times New Roman"/>
          <w:sz w:val="21"/>
          <w:szCs w:val="21"/>
          <w:b/>
          <w:bCs/>
          <w:spacing w:val="-1"/>
        </w:rPr>
        <w:t>f  cystinuria:critica</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reappraisal  of</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long-term</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results.J</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Urol</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rPr>
        <w:t>2000;163:1419-1423.</w:t>
      </w:r>
    </w:p>
    <w:p>
      <w:pPr>
        <w:ind w:left="509"/>
        <w:spacing w:before="1" w:line="191"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spacing w:val="-9"/>
          </w:rPr>
          <w:t>htt</w:t>
        </w:r>
        <w:r>
          <w:rPr>
            <w:rFonts w:ascii="Times New Roman" w:hAnsi="Times New Roman" w:eastAsia="Times New Roman" w:cs="Times New Roman"/>
            <w:sz w:val="21"/>
            <w:szCs w:val="21"/>
            <w:b/>
            <w:bCs/>
            <w:spacing w:val="-9"/>
          </w:rPr>
          <w:t>p://www.ncbi.nlm.nih.govlentrez/query.fcgi?cmd=Retrieve&amp;db=pubm</w:t>
        </w:r>
        <w:r>
          <w:rPr>
            <w:rFonts w:ascii="Times New Roman" w:hAnsi="Times New Roman" w:eastAsia="Times New Roman" w:cs="Times New Roman"/>
            <w:sz w:val="21"/>
            <w:szCs w:val="21"/>
            <w:b/>
            <w:bCs/>
            <w:spacing w:val="-10"/>
          </w:rPr>
          <w:t>ed&amp;dopt=Abstract&amp;list_uids=10751848</w:t>
        </w:r>
      </w:hyperlink>
    </w:p>
    <w:p>
      <w:pPr>
        <w:ind w:left="509" w:right="7"/>
        <w:spacing w:before="150" w:line="320"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spacing w:val="-1"/>
          </w:rPr>
          <w:t>4</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b/>
          <w:bCs/>
          <w:spacing w:val="-1"/>
        </w:rPr>
        <w:t>Freed SZ.The alternating use of an alkalinizing salt</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and</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1"/>
        </w:rPr>
        <w:t>acetazolamide</w:t>
      </w:r>
      <w:r>
        <w:rPr>
          <w:rFonts w:ascii="Times New Roman" w:hAnsi="Times New Roman" w:eastAsia="Times New Roman" w:cs="Times New Roman"/>
          <w:sz w:val="21"/>
          <w:szCs w:val="21"/>
          <w:b/>
          <w:bCs/>
          <w:spacing w:val="4"/>
        </w:rPr>
        <w:t xml:space="preserve"> </w:t>
      </w:r>
      <w:r>
        <w:rPr>
          <w:rFonts w:ascii="Times New Roman" w:hAnsi="Times New Roman" w:eastAsia="Times New Roman" w:cs="Times New Roman"/>
          <w:sz w:val="21"/>
          <w:szCs w:val="21"/>
          <w:b/>
          <w:bCs/>
          <w:spacing w:val="-1"/>
        </w:rPr>
        <w:t>in</w:t>
      </w:r>
      <w:r>
        <w:rPr>
          <w:rFonts w:ascii="Times New Roman" w:hAnsi="Times New Roman" w:eastAsia="Times New Roman" w:cs="Times New Roman"/>
          <w:sz w:val="21"/>
          <w:szCs w:val="21"/>
          <w:b/>
          <w:bCs/>
          <w:spacing w:val="4"/>
        </w:rPr>
        <w:t xml:space="preserve"> </w:t>
      </w:r>
      <w:r>
        <w:rPr>
          <w:rFonts w:ascii="Times New Roman" w:hAnsi="Times New Roman" w:eastAsia="Times New Roman" w:cs="Times New Roman"/>
          <w:sz w:val="21"/>
          <w:szCs w:val="21"/>
          <w:b/>
          <w:bCs/>
          <w:spacing w:val="-1"/>
        </w:rPr>
        <w:t>the</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1"/>
        </w:rPr>
        <w:t>man</w:t>
      </w:r>
      <w:r>
        <w:rPr>
          <w:rFonts w:ascii="Times New Roman" w:hAnsi="Times New Roman" w:eastAsia="Times New Roman" w:cs="Times New Roman"/>
          <w:sz w:val="21"/>
          <w:szCs w:val="21"/>
          <w:b/>
          <w:bCs/>
          <w:spacing w:val="-2"/>
        </w:rPr>
        <w:t>agement</w:t>
      </w:r>
      <w:r>
        <w:rPr>
          <w:rFonts w:ascii="Times New Roman" w:hAnsi="Times New Roman" w:eastAsia="Times New Roman" w:cs="Times New Roman"/>
          <w:sz w:val="21"/>
          <w:szCs w:val="21"/>
          <w:b/>
          <w:bCs/>
          <w:spacing w:val="7"/>
        </w:rPr>
        <w:t xml:space="preserve"> </w:t>
      </w:r>
      <w:r>
        <w:rPr>
          <w:rFonts w:ascii="Times New Roman" w:hAnsi="Times New Roman" w:eastAsia="Times New Roman" w:cs="Times New Roman"/>
          <w:sz w:val="21"/>
          <w:szCs w:val="21"/>
          <w:b/>
          <w:bCs/>
          <w:spacing w:val="-2"/>
        </w:rPr>
        <w:t>of cystine</w:t>
      </w:r>
      <w:r>
        <w:rPr>
          <w:rFonts w:ascii="Times New Roman" w:hAnsi="Times New Roman" w:eastAsia="Times New Roman" w:cs="Times New Roman"/>
          <w:sz w:val="21"/>
          <w:szCs w:val="21"/>
          <w:b/>
          <w:bCs/>
          <w:spacing w:val="9"/>
        </w:rPr>
        <w:t xml:space="preserve"> </w:t>
      </w:r>
      <w:r>
        <w:rPr>
          <w:rFonts w:ascii="Times New Roman" w:hAnsi="Times New Roman" w:eastAsia="Times New Roman" w:cs="Times New Roman"/>
          <w:sz w:val="21"/>
          <w:szCs w:val="21"/>
          <w:b/>
          <w:bCs/>
          <w:spacing w:val="-2"/>
        </w:rPr>
        <w:t>and</w:t>
      </w:r>
      <w:r>
        <w:rPr>
          <w:rFonts w:ascii="Times New Roman" w:hAnsi="Times New Roman" w:eastAsia="Times New Roman" w:cs="Times New Roman"/>
          <w:sz w:val="21"/>
          <w:szCs w:val="21"/>
          <w:b/>
          <w:bCs/>
        </w:rPr>
        <w:t xml:space="preserve"> </w:t>
      </w:r>
      <w:r>
        <w:rPr>
          <w:rFonts w:ascii="Times New Roman" w:hAnsi="Times New Roman" w:eastAsia="Times New Roman" w:cs="Times New Roman"/>
          <w:sz w:val="21"/>
          <w:szCs w:val="21"/>
        </w:rPr>
        <w:t>uric  acid  stones.J  Urol </w:t>
      </w:r>
      <w:r>
        <w:rPr>
          <w:rFonts w:ascii="Times New Roman" w:hAnsi="Times New Roman" w:eastAsia="Times New Roman" w:cs="Times New Roman"/>
          <w:sz w:val="21"/>
          <w:szCs w:val="21"/>
          <w:spacing w:val="-1"/>
        </w:rPr>
        <w:t xml:space="preserve"> 1975;113:96-99.</w:t>
      </w:r>
    </w:p>
    <w:p>
      <w:pPr>
        <w:ind w:left="509"/>
        <w:spacing w:before="13" w:line="192" w:lineRule="auto"/>
        <w:rPr>
          <w:rFonts w:ascii="Times New Roman" w:hAnsi="Times New Roman" w:eastAsia="Times New Roman" w:cs="Times New Roman"/>
          <w:sz w:val="21"/>
          <w:szCs w:val="21"/>
        </w:rPr>
      </w:pPr>
      <w:hyperlink w:history="true" r:id="rId183">
        <w:r>
          <w:rPr>
            <w:rFonts w:ascii="Times New Roman" w:hAnsi="Times New Roman" w:eastAsia="Times New Roman" w:cs="Times New Roman"/>
            <w:sz w:val="21"/>
            <w:szCs w:val="21"/>
            <w:spacing w:val="-5"/>
          </w:rPr>
          <w:t>http</w:t>
        </w:r>
        <w:r>
          <w:rPr>
            <w:rFonts w:ascii="Times New Roman" w:hAnsi="Times New Roman" w:eastAsia="Times New Roman" w:cs="Times New Roman"/>
            <w:sz w:val="21"/>
            <w:szCs w:val="21"/>
            <w:b/>
            <w:bCs/>
            <w:spacing w:val="-5"/>
          </w:rPr>
          <w:t>://www.ncbi.nlm.nih.gov/entrez/query.fcgi?cmd=Retrieve&amp;db=pubmed&amp;dopt=Abstract&amp;list_</w:t>
        </w:r>
        <w:r>
          <w:rPr>
            <w:rFonts w:ascii="Times New Roman" w:hAnsi="Times New Roman" w:eastAsia="Times New Roman" w:cs="Times New Roman"/>
            <w:sz w:val="21"/>
            <w:szCs w:val="21"/>
            <w:b/>
            <w:bCs/>
            <w:spacing w:val="-6"/>
          </w:rPr>
          <w:t>uids=111340</w:t>
        </w:r>
        <w:r>
          <w:rPr>
            <w:rFonts w:ascii="Times New Roman" w:hAnsi="Times New Roman" w:eastAsia="Times New Roman" w:cs="Times New Roman"/>
            <w:sz w:val="21"/>
            <w:szCs w:val="21"/>
            <w:spacing w:val="-6"/>
          </w:rPr>
          <w:t>5</w:t>
        </w:r>
      </w:hyperlink>
    </w:p>
    <w:p>
      <w:pPr>
        <w:pStyle w:val="BodyText"/>
        <w:ind w:left="979"/>
        <w:spacing w:before="139" w:line="220" w:lineRule="auto"/>
        <w:rPr/>
      </w:pPr>
      <w:r>
        <w:rPr>
          <w:spacing w:val="-2"/>
        </w:rPr>
        <w:t>14.5感染性结石的药物治疗</w:t>
      </w:r>
    </w:p>
    <w:p>
      <w:pPr>
        <w:pStyle w:val="BodyText"/>
        <w:ind w:right="26"/>
        <w:spacing w:before="36" w:line="219" w:lineRule="auto"/>
        <w:jc w:val="right"/>
        <w:rPr/>
      </w:pPr>
      <w:r>
        <w:rPr>
          <w:b/>
          <w:bCs/>
          <w:spacing w:val="-5"/>
        </w:rPr>
        <w:t>感染性结石的药物治疗方案见表29。感染性结石</w:t>
      </w:r>
      <w:r>
        <w:rPr>
          <w:b/>
          <w:bCs/>
          <w:spacing w:val="-6"/>
        </w:rPr>
        <w:t>的定义为：由可产生尿素酶的微生物的感染所引起，</w:t>
      </w:r>
    </w:p>
    <w:p>
      <w:pPr>
        <w:pStyle w:val="BodyText"/>
        <w:ind w:left="509"/>
        <w:spacing w:before="114" w:line="219" w:lineRule="auto"/>
        <w:rPr/>
      </w:pPr>
      <w:r>
        <w:rPr/>
        <w:t>由磷酸镁铵和碳磷灰石组成的结石。</w:t>
      </w:r>
    </w:p>
    <w:p>
      <w:pPr>
        <w:pStyle w:val="BodyText"/>
        <w:ind w:left="3329"/>
        <w:spacing w:before="221" w:line="190" w:lineRule="auto"/>
        <w:rPr/>
      </w:pPr>
      <w:r>
        <w:rPr>
          <w:spacing w:val="-1"/>
        </w:rPr>
        <w:t>表29感染性结石的药物治疗</w:t>
      </w:r>
    </w:p>
    <w:tbl>
      <w:tblPr>
        <w:tblStyle w:val="TableNormal"/>
        <w:tblW w:w="6909" w:type="dxa"/>
        <w:tblInd w:w="11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05"/>
        <w:gridCol w:w="814"/>
        <w:gridCol w:w="1290"/>
      </w:tblGrid>
      <w:tr>
        <w:trPr>
          <w:trHeight w:val="254" w:hRule="atLeast"/>
        </w:trPr>
        <w:tc>
          <w:tcPr>
            <w:tcW w:w="4805" w:type="dxa"/>
            <w:vAlign w:val="top"/>
            <w:tcBorders>
              <w:right w:val="nil"/>
            </w:tcBorders>
          </w:tcPr>
          <w:p>
            <w:pPr>
              <w:pStyle w:val="TableText"/>
              <w:ind w:left="74"/>
              <w:spacing w:before="13" w:line="213" w:lineRule="auto"/>
              <w:rPr>
                <w:sz w:val="20"/>
                <w:szCs w:val="20"/>
              </w:rPr>
            </w:pPr>
            <w:r>
              <w:rPr>
                <w:sz w:val="20"/>
                <w:szCs w:val="20"/>
                <w:spacing w:val="2"/>
              </w:rPr>
              <w:t>治疗措施</w:t>
            </w:r>
          </w:p>
        </w:tc>
        <w:tc>
          <w:tcPr>
            <w:tcW w:w="814" w:type="dxa"/>
            <w:vAlign w:val="top"/>
            <w:tcBorders>
              <w:left w:val="nil"/>
              <w:right w:val="nil"/>
            </w:tcBorders>
          </w:tcPr>
          <w:p>
            <w:pPr>
              <w:pStyle w:val="TableText"/>
              <w:ind w:left="244"/>
              <w:spacing w:before="94" w:line="150" w:lineRule="exact"/>
              <w:rPr>
                <w:sz w:val="20"/>
                <w:szCs w:val="20"/>
              </w:rPr>
            </w:pPr>
            <w:r>
              <w:rPr>
                <w:sz w:val="20"/>
                <w:szCs w:val="20"/>
                <w:spacing w:val="-2"/>
                <w:position w:val="-3"/>
              </w:rPr>
              <w:t>GR</w:t>
            </w:r>
          </w:p>
        </w:tc>
        <w:tc>
          <w:tcPr>
            <w:tcW w:w="1290" w:type="dxa"/>
            <w:vAlign w:val="top"/>
            <w:tcBorders>
              <w:left w:val="nil"/>
            </w:tcBorders>
          </w:tcPr>
          <w:p>
            <w:pPr>
              <w:pStyle w:val="TableText"/>
              <w:ind w:left="331"/>
              <w:spacing w:before="13" w:line="213" w:lineRule="auto"/>
              <w:rPr>
                <w:sz w:val="20"/>
                <w:szCs w:val="20"/>
              </w:rPr>
            </w:pPr>
            <w:r>
              <w:rPr>
                <w:sz w:val="20"/>
                <w:szCs w:val="20"/>
                <w:spacing w:val="-2"/>
              </w:rPr>
              <w:t>参考文献</w:t>
            </w:r>
          </w:p>
        </w:tc>
      </w:tr>
      <w:tr>
        <w:trPr>
          <w:trHeight w:val="498" w:hRule="atLeast"/>
        </w:trPr>
        <w:tc>
          <w:tcPr>
            <w:tcW w:w="4805" w:type="dxa"/>
            <w:vAlign w:val="top"/>
            <w:tcBorders>
              <w:right w:val="nil"/>
            </w:tcBorders>
          </w:tcPr>
          <w:p>
            <w:pPr>
              <w:pStyle w:val="TableText"/>
              <w:ind w:left="74"/>
              <w:spacing w:before="19" w:line="219" w:lineRule="auto"/>
              <w:rPr>
                <w:sz w:val="20"/>
                <w:szCs w:val="20"/>
              </w:rPr>
            </w:pPr>
            <w:r>
              <w:rPr>
                <w:sz w:val="20"/>
                <w:szCs w:val="20"/>
                <w:spacing w:val="2"/>
              </w:rPr>
              <w:t>去除结石</w:t>
            </w:r>
          </w:p>
          <w:p>
            <w:pPr>
              <w:pStyle w:val="TableText"/>
              <w:ind w:left="74"/>
              <w:spacing w:before="2" w:line="211" w:lineRule="auto"/>
              <w:rPr>
                <w:sz w:val="20"/>
                <w:szCs w:val="20"/>
              </w:rPr>
            </w:pPr>
            <w:r>
              <w:rPr>
                <w:sz w:val="20"/>
                <w:szCs w:val="20"/>
                <w:spacing w:val="-1"/>
              </w:rPr>
              <w:t>通过手术尽可能完全地移除结石</w:t>
            </w:r>
          </w:p>
        </w:tc>
        <w:tc>
          <w:tcPr>
            <w:tcW w:w="814" w:type="dxa"/>
            <w:vAlign w:val="top"/>
            <w:tcBorders>
              <w:left w:val="nil"/>
              <w:right w:val="nil"/>
            </w:tcBorders>
          </w:tcPr>
          <w:p>
            <w:pPr>
              <w:rPr>
                <w:rFonts w:ascii="Arial"/>
                <w:sz w:val="21"/>
              </w:rPr>
            </w:pPr>
            <w:r/>
          </w:p>
        </w:tc>
        <w:tc>
          <w:tcPr>
            <w:tcW w:w="1290" w:type="dxa"/>
            <w:vAlign w:val="top"/>
            <w:tcBorders>
              <w:left w:val="nil"/>
            </w:tcBorders>
          </w:tcPr>
          <w:p>
            <w:pPr>
              <w:pStyle w:val="TableText"/>
              <w:ind w:left="670"/>
              <w:spacing w:before="69" w:line="241" w:lineRule="auto"/>
              <w:rPr>
                <w:sz w:val="20"/>
                <w:szCs w:val="20"/>
              </w:rPr>
            </w:pPr>
            <w:r>
              <w:rPr>
                <w:sz w:val="20"/>
                <w:szCs w:val="20"/>
              </w:rPr>
              <w:t>1</w:t>
            </w:r>
          </w:p>
        </w:tc>
      </w:tr>
      <w:tr>
        <w:trPr>
          <w:trHeight w:val="758" w:hRule="atLeast"/>
        </w:trPr>
        <w:tc>
          <w:tcPr>
            <w:tcW w:w="4805" w:type="dxa"/>
            <w:vAlign w:val="top"/>
            <w:tcBorders>
              <w:right w:val="nil"/>
            </w:tcBorders>
          </w:tcPr>
          <w:p>
            <w:pPr>
              <w:pStyle w:val="TableText"/>
              <w:ind w:left="74"/>
              <w:spacing w:before="21" w:line="219" w:lineRule="auto"/>
              <w:rPr>
                <w:sz w:val="20"/>
                <w:szCs w:val="20"/>
              </w:rPr>
            </w:pPr>
            <w:r>
              <w:rPr>
                <w:sz w:val="20"/>
                <w:szCs w:val="20"/>
                <w:spacing w:val="-2"/>
              </w:rPr>
              <w:t>抗生素治疗</w:t>
            </w:r>
          </w:p>
          <w:p>
            <w:pPr>
              <w:pStyle w:val="TableText"/>
              <w:ind w:left="74" w:right="3133"/>
              <w:spacing w:before="21" w:line="216" w:lineRule="auto"/>
              <w:rPr>
                <w:sz w:val="20"/>
                <w:szCs w:val="20"/>
              </w:rPr>
            </w:pPr>
            <w:r>
              <w:rPr>
                <w:sz w:val="20"/>
                <w:szCs w:val="20"/>
                <w:spacing w:val="-2"/>
              </w:rPr>
              <w:t>短期的抗生素治疗</w:t>
            </w:r>
            <w:r>
              <w:rPr>
                <w:sz w:val="20"/>
                <w:szCs w:val="20"/>
                <w:spacing w:val="4"/>
              </w:rPr>
              <w:t xml:space="preserve"> </w:t>
            </w:r>
            <w:r>
              <w:rPr>
                <w:sz w:val="20"/>
                <w:szCs w:val="20"/>
                <w:spacing w:val="-2"/>
              </w:rPr>
              <w:t>长期的抗生素治疗</w:t>
            </w:r>
          </w:p>
        </w:tc>
        <w:tc>
          <w:tcPr>
            <w:tcW w:w="814" w:type="dxa"/>
            <w:vAlign w:val="top"/>
            <w:tcBorders>
              <w:left w:val="nil"/>
              <w:right w:val="nil"/>
            </w:tcBorders>
          </w:tcPr>
          <w:p>
            <w:pPr>
              <w:spacing w:line="278" w:lineRule="auto"/>
              <w:rPr>
                <w:rFonts w:ascii="Arial"/>
                <w:sz w:val="21"/>
              </w:rPr>
            </w:pPr>
            <w:r/>
          </w:p>
          <w:p>
            <w:pPr>
              <w:pStyle w:val="TableText"/>
              <w:ind w:left="304" w:right="292" w:firstLine="20"/>
              <w:spacing w:before="65" w:line="186" w:lineRule="auto"/>
              <w:rPr>
                <w:sz w:val="20"/>
                <w:szCs w:val="20"/>
              </w:rPr>
            </w:pPr>
            <w:r>
              <w:rPr>
                <w:sz w:val="20"/>
                <w:szCs w:val="20"/>
                <w:spacing w:val="-2"/>
              </w:rPr>
              <w:t>B.</w:t>
            </w:r>
            <w:r>
              <w:rPr>
                <w:sz w:val="20"/>
                <w:szCs w:val="20"/>
              </w:rPr>
              <w:t xml:space="preserve"> </w:t>
            </w:r>
            <w:r>
              <w:rPr>
                <w:sz w:val="20"/>
                <w:szCs w:val="20"/>
                <w:spacing w:val="-1"/>
              </w:rPr>
              <w:t>Be</w:t>
            </w:r>
          </w:p>
        </w:tc>
        <w:tc>
          <w:tcPr>
            <w:tcW w:w="1290" w:type="dxa"/>
            <w:vAlign w:val="top"/>
            <w:tcBorders>
              <w:left w:val="nil"/>
            </w:tcBorders>
          </w:tcPr>
          <w:p>
            <w:pPr>
              <w:spacing w:line="244" w:lineRule="auto"/>
              <w:rPr>
                <w:rFonts w:ascii="Arial"/>
                <w:sz w:val="21"/>
              </w:rPr>
            </w:pPr>
            <w:r/>
          </w:p>
          <w:p>
            <w:pPr>
              <w:pStyle w:val="TableText"/>
              <w:ind w:left="670"/>
              <w:spacing w:before="65"/>
              <w:rPr>
                <w:sz w:val="20"/>
                <w:szCs w:val="20"/>
              </w:rPr>
            </w:pPr>
            <w:r>
              <w:rPr>
                <w:sz w:val="20"/>
                <w:szCs w:val="20"/>
              </w:rPr>
              <w:t>2</w:t>
            </w:r>
          </w:p>
          <w:p>
            <w:pPr>
              <w:pStyle w:val="TableText"/>
              <w:ind w:left="661"/>
              <w:spacing w:line="163" w:lineRule="auto"/>
              <w:rPr>
                <w:sz w:val="20"/>
                <w:szCs w:val="20"/>
              </w:rPr>
            </w:pPr>
            <w:r>
              <w:rPr>
                <w:sz w:val="20"/>
                <w:szCs w:val="20"/>
              </w:rPr>
              <w:t>2</w:t>
            </w:r>
          </w:p>
        </w:tc>
      </w:tr>
      <w:tr>
        <w:trPr>
          <w:trHeight w:val="758" w:hRule="atLeast"/>
        </w:trPr>
        <w:tc>
          <w:tcPr>
            <w:tcW w:w="4805" w:type="dxa"/>
            <w:vAlign w:val="top"/>
            <w:tcBorders>
              <w:right w:val="nil"/>
            </w:tcBorders>
          </w:tcPr>
          <w:p>
            <w:pPr>
              <w:pStyle w:val="TableText"/>
              <w:ind w:left="74"/>
              <w:spacing w:before="33" w:line="220" w:lineRule="auto"/>
              <w:rPr>
                <w:sz w:val="20"/>
                <w:szCs w:val="20"/>
              </w:rPr>
            </w:pPr>
            <w:r>
              <w:rPr>
                <w:sz w:val="20"/>
                <w:szCs w:val="20"/>
                <w:spacing w:val="-2"/>
              </w:rPr>
              <w:t>酸化尿液</w:t>
            </w:r>
          </w:p>
          <w:p>
            <w:pPr>
              <w:pStyle w:val="TableText"/>
              <w:ind w:left="74"/>
              <w:spacing w:before="24" w:line="203" w:lineRule="auto"/>
              <w:rPr>
                <w:sz w:val="20"/>
                <w:szCs w:val="20"/>
              </w:rPr>
            </w:pPr>
            <w:r>
              <w:rPr>
                <w:sz w:val="20"/>
                <w:szCs w:val="20"/>
                <w:spacing w:val="1"/>
              </w:rPr>
              <w:t>氯化铵1g×2-3</w:t>
            </w:r>
          </w:p>
          <w:p>
            <w:pPr>
              <w:pStyle w:val="TableText"/>
              <w:ind w:left="84"/>
              <w:spacing w:line="213" w:lineRule="auto"/>
              <w:rPr>
                <w:sz w:val="20"/>
                <w:szCs w:val="20"/>
              </w:rPr>
            </w:pPr>
            <w:r>
              <w:rPr>
                <w:sz w:val="20"/>
                <w:szCs w:val="20"/>
                <w:spacing w:val="1"/>
              </w:rPr>
              <w:t>甲硫氨酸500</w:t>
            </w:r>
            <w:r>
              <w:rPr>
                <w:sz w:val="20"/>
                <w:szCs w:val="20"/>
              </w:rPr>
              <w:t>mg</w:t>
            </w:r>
            <w:r>
              <w:rPr>
                <w:sz w:val="20"/>
                <w:szCs w:val="20"/>
                <w:spacing w:val="1"/>
              </w:rPr>
              <w:t>×2-3</w:t>
            </w:r>
          </w:p>
        </w:tc>
        <w:tc>
          <w:tcPr>
            <w:tcW w:w="814" w:type="dxa"/>
            <w:vAlign w:val="top"/>
            <w:tcBorders>
              <w:left w:val="nil"/>
              <w:right w:val="nil"/>
            </w:tcBorders>
          </w:tcPr>
          <w:p>
            <w:pPr>
              <w:rPr>
                <w:rFonts w:ascii="Arial"/>
                <w:sz w:val="21"/>
              </w:rPr>
            </w:pPr>
            <w:r/>
          </w:p>
        </w:tc>
        <w:tc>
          <w:tcPr>
            <w:tcW w:w="1290" w:type="dxa"/>
            <w:vAlign w:val="top"/>
            <w:tcBorders>
              <w:left w:val="nil"/>
            </w:tcBorders>
          </w:tcPr>
          <w:p>
            <w:pPr>
              <w:rPr>
                <w:rFonts w:ascii="Arial"/>
                <w:sz w:val="21"/>
              </w:rPr>
            </w:pPr>
            <w:r/>
          </w:p>
        </w:tc>
      </w:tr>
      <w:tr>
        <w:trPr>
          <w:trHeight w:val="748" w:hRule="atLeast"/>
        </w:trPr>
        <w:tc>
          <w:tcPr>
            <w:tcW w:w="4805" w:type="dxa"/>
            <w:vAlign w:val="top"/>
            <w:tcBorders>
              <w:right w:val="nil"/>
            </w:tcBorders>
          </w:tcPr>
          <w:p>
            <w:pPr>
              <w:pStyle w:val="TableText"/>
              <w:ind w:left="74"/>
              <w:spacing w:before="33" w:line="219" w:lineRule="auto"/>
              <w:rPr>
                <w:sz w:val="20"/>
                <w:szCs w:val="20"/>
              </w:rPr>
            </w:pPr>
            <w:r>
              <w:rPr>
                <w:sz w:val="20"/>
                <w:szCs w:val="20"/>
                <w:spacing w:val="-1"/>
              </w:rPr>
              <w:t>尿素酶抑制剂</w:t>
            </w:r>
          </w:p>
          <w:p>
            <w:pPr>
              <w:pStyle w:val="TableText"/>
              <w:ind w:left="74" w:right="232"/>
              <w:spacing w:before="22" w:line="205" w:lineRule="auto"/>
              <w:rPr>
                <w:sz w:val="20"/>
                <w:szCs w:val="20"/>
              </w:rPr>
            </w:pPr>
            <w:r>
              <w:rPr>
                <w:sz w:val="20"/>
                <w:szCs w:val="20"/>
                <w:spacing w:val="-1"/>
              </w:rPr>
              <w:t>对于严重感染的患者，可以选用乙酰氧肟酸(醋羟胺</w:t>
            </w:r>
            <w:r>
              <w:rPr>
                <w:sz w:val="20"/>
                <w:szCs w:val="20"/>
                <w:spacing w:val="15"/>
              </w:rPr>
              <w:t xml:space="preserve"> </w:t>
            </w:r>
            <w:r>
              <w:rPr>
                <w:sz w:val="20"/>
                <w:szCs w:val="20"/>
                <w:spacing w:val="-5"/>
              </w:rPr>
              <w:t>酸</w:t>
            </w:r>
            <w:r>
              <w:rPr>
                <w:sz w:val="20"/>
                <w:szCs w:val="20"/>
                <w:spacing w:val="20"/>
              </w:rPr>
              <w:t xml:space="preserve">  </w:t>
            </w:r>
            <w:r>
              <w:rPr>
                <w:sz w:val="20"/>
                <w:szCs w:val="20"/>
                <w:spacing w:val="-5"/>
              </w:rPr>
              <w:t>)</w:t>
            </w:r>
          </w:p>
        </w:tc>
        <w:tc>
          <w:tcPr>
            <w:tcW w:w="814" w:type="dxa"/>
            <w:vAlign w:val="top"/>
            <w:tcBorders>
              <w:left w:val="nil"/>
              <w:right w:val="nil"/>
            </w:tcBorders>
          </w:tcPr>
          <w:p>
            <w:pPr>
              <w:spacing w:line="291" w:lineRule="auto"/>
              <w:rPr>
                <w:rFonts w:ascii="Arial"/>
                <w:sz w:val="21"/>
              </w:rPr>
            </w:pPr>
            <w:r/>
          </w:p>
          <w:p>
            <w:pPr>
              <w:pStyle w:val="TableText"/>
              <w:ind w:left="304"/>
              <w:spacing w:before="65" w:line="182" w:lineRule="auto"/>
              <w:rPr>
                <w:sz w:val="20"/>
                <w:szCs w:val="20"/>
              </w:rPr>
            </w:pPr>
            <w:r>
              <w:rPr>
                <w:sz w:val="20"/>
                <w:szCs w:val="20"/>
                <w:spacing w:val="-1"/>
              </w:rPr>
              <w:t>Be</w:t>
            </w:r>
          </w:p>
        </w:tc>
        <w:tc>
          <w:tcPr>
            <w:tcW w:w="1290" w:type="dxa"/>
            <w:vAlign w:val="top"/>
            <w:tcBorders>
              <w:left w:val="nil"/>
            </w:tcBorders>
          </w:tcPr>
          <w:p>
            <w:pPr>
              <w:spacing w:line="258" w:lineRule="auto"/>
              <w:rPr>
                <w:rFonts w:ascii="Arial"/>
                <w:sz w:val="21"/>
              </w:rPr>
            </w:pPr>
            <w:r/>
          </w:p>
          <w:p>
            <w:pPr>
              <w:pStyle w:val="TableText"/>
              <w:ind w:left="570"/>
              <w:spacing w:before="65"/>
              <w:rPr>
                <w:sz w:val="20"/>
                <w:szCs w:val="20"/>
              </w:rPr>
            </w:pPr>
            <w:r>
              <w:rPr>
                <w:sz w:val="20"/>
                <w:szCs w:val="20"/>
                <w:spacing w:val="-2"/>
              </w:rPr>
              <w:t>4-50</w:t>
            </w:r>
          </w:p>
        </w:tc>
      </w:tr>
      <w:tr>
        <w:trPr>
          <w:trHeight w:val="254" w:hRule="atLeast"/>
        </w:trPr>
        <w:tc>
          <w:tcPr>
            <w:tcW w:w="6909" w:type="dxa"/>
            <w:vAlign w:val="top"/>
            <w:gridSpan w:val="3"/>
          </w:tcPr>
          <w:p>
            <w:pPr>
              <w:pStyle w:val="TableText"/>
              <w:ind w:left="74"/>
              <w:spacing w:before="36" w:line="192" w:lineRule="auto"/>
              <w:rPr>
                <w:sz w:val="20"/>
                <w:szCs w:val="20"/>
              </w:rPr>
            </w:pPr>
            <w:r>
              <w:rPr>
                <w:sz w:val="20"/>
                <w:szCs w:val="20"/>
                <w:spacing w:val="-1"/>
              </w:rPr>
              <w:t>GR=摊荐等级</w:t>
            </w:r>
          </w:p>
        </w:tc>
      </w:tr>
    </w:tbl>
    <w:p>
      <w:pPr>
        <w:spacing w:line="273" w:lineRule="auto"/>
        <w:rPr>
          <w:rFonts w:ascii="Arial"/>
          <w:sz w:val="21"/>
        </w:rPr>
      </w:pPr>
      <w:r/>
    </w:p>
    <w:p>
      <w:pPr>
        <w:pStyle w:val="BodyText"/>
        <w:ind w:left="939"/>
        <w:spacing w:before="69" w:line="219" w:lineRule="auto"/>
        <w:rPr/>
      </w:pPr>
      <w:r>
        <w:rPr>
          <w:spacing w:val="-2"/>
        </w:rPr>
        <w:t>14.5.1参考文献</w:t>
      </w:r>
    </w:p>
    <w:p>
      <w:pPr>
        <w:ind w:left="509" w:right="98"/>
        <w:spacing w:before="109"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1.Wilson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DM.Clinical</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laboratory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approaches</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evaluation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nephrolithiasis.J</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Urol  1989;141:770-774.</w:t>
      </w:r>
      <w:r>
        <w:rPr>
          <w:rFonts w:ascii="Times New Roman" w:hAnsi="Times New Roman" w:eastAsia="Times New Roman" w:cs="Times New Roman"/>
          <w:sz w:val="21"/>
          <w:szCs w:val="21"/>
        </w:rPr>
        <w:t xml:space="preserve"> </w:t>
      </w:r>
      <w:hyperlink w:history="true" r:id="rId182">
        <w:r>
          <w:rPr>
            <w:rFonts w:ascii="Times New Roman" w:hAnsi="Times New Roman" w:eastAsia="Times New Roman" w:cs="Times New Roman"/>
            <w:sz w:val="21"/>
            <w:szCs w:val="21"/>
          </w:rPr>
          <w:t>http://www.ncbi.nlm.nih.govlentrez/query.fcgi?cmd=Retrieve&amp;db=pubmed&amp;dopt=Abstract&amp;list_u</w:t>
        </w:r>
        <w:r>
          <w:rPr>
            <w:rFonts w:ascii="Times New Roman" w:hAnsi="Times New Roman" w:eastAsia="Times New Roman" w:cs="Times New Roman"/>
            <w:sz w:val="21"/>
            <w:szCs w:val="21"/>
            <w:spacing w:val="-1"/>
          </w:rPr>
          <w:t>ids=2918617</w:t>
        </w:r>
      </w:hyperlink>
    </w:p>
    <w:p>
      <w:pPr>
        <w:ind w:left="509" w:right="3"/>
        <w:spacing w:before="127" w:line="296"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rPr>
          <w:t>2.Wong</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rPr>
          <w:t>HY</w:t>
        </w:r>
      </w:hyperlink>
      <w:r>
        <w:rPr>
          <w:rFonts w:ascii="Times New Roman" w:hAnsi="Times New Roman" w:eastAsia="Times New Roman" w:cs="Times New Roman"/>
          <w:sz w:val="21"/>
          <w:szCs w:val="21"/>
        </w:rPr>
        <w:t>,</w:t>
      </w:r>
      <w:hyperlink w:history="true" r:id="rId184">
        <w:r>
          <w:rPr>
            <w:rFonts w:ascii="Times New Roman" w:hAnsi="Times New Roman" w:eastAsia="Times New Roman" w:cs="Times New Roman"/>
            <w:sz w:val="21"/>
            <w:szCs w:val="21"/>
          </w:rPr>
          <w:t>Riedl</w:t>
        </w:r>
      </w:hyperlink>
      <w:r>
        <w:rPr>
          <w:rFonts w:ascii="Times New Roman" w:hAnsi="Times New Roman" w:eastAsia="Times New Roman" w:cs="Times New Roman"/>
          <w:sz w:val="21"/>
          <w:szCs w:val="21"/>
        </w:rPr>
        <w:t xml:space="preserve">  CR,Griffith  DP.Medical  management  and</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prevention </w:t>
      </w:r>
      <w:r>
        <w:rPr>
          <w:rFonts w:ascii="Times New Roman" w:hAnsi="Times New Roman" w:eastAsia="Times New Roman" w:cs="Times New Roman"/>
          <w:sz w:val="21"/>
          <w:szCs w:val="21"/>
          <w:spacing w:val="-1"/>
        </w:rPr>
        <w:t xml:space="preserve"> of</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struvite  stones.In:Kidney  stones: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medical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surgical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management.Coe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1"/>
        </w:rPr>
        <w:t>L,Favus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MJ,Pak</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CYC,Parks</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JH,Preminger</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GM(eds).Lippincott-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Raven    Publishers,Philadelphia     1</w:t>
      </w:r>
      <w:r>
        <w:rPr>
          <w:rFonts w:ascii="Times New Roman" w:hAnsi="Times New Roman" w:eastAsia="Times New Roman" w:cs="Times New Roman"/>
          <w:sz w:val="21"/>
          <w:szCs w:val="21"/>
          <w:spacing w:val="-1"/>
        </w:rPr>
        <w:t>996,pp.941-950.</w:t>
      </w:r>
    </w:p>
    <w:p>
      <w:pPr>
        <w:ind w:left="509" w:right="7"/>
        <w:spacing w:before="156" w:line="26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3.Jarrar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K,Boedeker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RH,Weidner</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W.Struvite   stones:long   </w:t>
      </w:r>
      <w:r>
        <w:rPr>
          <w:rFonts w:ascii="Times New Roman" w:hAnsi="Times New Roman" w:eastAsia="Times New Roman" w:cs="Times New Roman"/>
          <w:sz w:val="21"/>
          <w:szCs w:val="21"/>
          <w:spacing w:val="-1"/>
        </w:rPr>
        <w:t>term   follow-up   under   metaphylaxis.Ann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(Paris)1996;30:112-117.</w:t>
      </w:r>
    </w:p>
    <w:p>
      <w:pPr>
        <w:ind w:left="509" w:right="98"/>
        <w:spacing w:before="157" w:line="302"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rPr>
          <w:t>http://www.ncbi.nlm.nih.gov/entrez/query.fegi?cmd=Retrieve&amp;db=pubmed&amp;dopt=Abstract&amp;list_u</w:t>
        </w:r>
        <w:r>
          <w:rPr>
            <w:rFonts w:ascii="Times New Roman" w:hAnsi="Times New Roman" w:eastAsia="Times New Roman" w:cs="Times New Roman"/>
            <w:sz w:val="21"/>
            <w:szCs w:val="21"/>
            <w:spacing w:val="-1"/>
          </w:rPr>
          <w:t>ids=8766146</w:t>
        </w:r>
      </w:hyperlink>
      <w:r>
        <w:rPr>
          <w:rFonts w:ascii="Times New Roman" w:hAnsi="Times New Roman" w:eastAsia="Times New Roman" w:cs="Times New Roman"/>
          <w:sz w:val="21"/>
          <w:szCs w:val="21"/>
        </w:rPr>
        <w:t xml:space="preserve"> </w:t>
      </w:r>
      <w:hyperlink w:history="true" r:id="rId182">
        <w:r>
          <w:rPr>
            <w:rFonts w:ascii="Times New Roman" w:hAnsi="Times New Roman" w:eastAsia="Times New Roman" w:cs="Times New Roman"/>
            <w:sz w:val="21"/>
            <w:szCs w:val="21"/>
            <w:spacing w:val="-1"/>
          </w:rPr>
          <w:t>&amp;query_hl=21</w:t>
        </w:r>
      </w:hyperlink>
    </w:p>
    <w:p>
      <w:pPr>
        <w:ind w:left="509" w:right="3"/>
        <w:spacing w:before="63" w:line="323"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rPr>
        <w:t>Griffith</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DP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Gleeson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MJ</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Lee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Longuet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Deman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Earle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Randomized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double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blind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trial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Lithostat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(acetohydroxamic</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acid)in</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palliative</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treatment</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infect</w:t>
      </w:r>
      <w:r>
        <w:rPr>
          <w:rFonts w:ascii="Times New Roman" w:hAnsi="Times New Roman" w:eastAsia="Times New Roman" w:cs="Times New Roman"/>
          <w:sz w:val="21"/>
          <w:szCs w:val="21"/>
          <w:spacing w:val="-1"/>
        </w:rPr>
        <w:t>ion</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induced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urinary</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calculi.Eur</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Urol  1991;20:243-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247.</w:t>
      </w:r>
    </w:p>
    <w:p>
      <w:pPr>
        <w:ind w:left="509" w:right="98"/>
        <w:spacing w:before="54" w:line="322" w:lineRule="auto"/>
        <w:rPr>
          <w:rFonts w:ascii="Times New Roman" w:hAnsi="Times New Roman" w:eastAsia="Times New Roman" w:cs="Times New Roman"/>
          <w:sz w:val="21"/>
          <w:szCs w:val="21"/>
        </w:rPr>
      </w:pPr>
      <w:hyperlink w:history="true" r:id="rId182">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ids=1726639</w:t>
        </w:r>
      </w:hyperlink>
      <w:r>
        <w:rPr>
          <w:rFonts w:ascii="Times New Roman" w:hAnsi="Times New Roman" w:eastAsia="Times New Roman" w:cs="Times New Roman"/>
          <w:sz w:val="21"/>
          <w:szCs w:val="21"/>
        </w:rPr>
        <w:t xml:space="preserve"> </w:t>
      </w:r>
      <w:hyperlink w:history="true" r:id="rId182">
        <w:r>
          <w:rPr>
            <w:rFonts w:ascii="Times New Roman" w:hAnsi="Times New Roman" w:eastAsia="Times New Roman" w:cs="Times New Roman"/>
            <w:sz w:val="21"/>
            <w:szCs w:val="21"/>
            <w:spacing w:val="-1"/>
          </w:rPr>
          <w:t>&amp;query_hl=23</w:t>
        </w:r>
      </w:hyperlink>
    </w:p>
    <w:p>
      <w:pPr>
        <w:ind w:left="509" w:right="6"/>
        <w:spacing w:before="32"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5.Williams</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JJ,Rodman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JS,Peterson</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CM</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randomized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double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blind</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study</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acetohydroxamic</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acid</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instruvite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nephrolithiasis.N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En</w:t>
      </w:r>
      <w:r>
        <w:rPr>
          <w:rFonts w:ascii="Times New Roman" w:hAnsi="Times New Roman" w:eastAsia="Times New Roman" w:cs="Times New Roman"/>
          <w:sz w:val="21"/>
          <w:szCs w:val="21"/>
          <w:spacing w:val="-1"/>
        </w:rPr>
        <w:t>gJ</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Med</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1984;311:760-764.</w:t>
      </w:r>
    </w:p>
    <w:p>
      <w:pPr>
        <w:ind w:left="509"/>
        <w:spacing w:before="32" w:line="192" w:lineRule="auto"/>
        <w:rPr>
          <w:rFonts w:ascii="Times New Roman" w:hAnsi="Times New Roman" w:eastAsia="Times New Roman" w:cs="Times New Roman"/>
          <w:sz w:val="21"/>
          <w:szCs w:val="21"/>
        </w:rPr>
      </w:pPr>
      <w:hyperlink w:history="true" r:id="rId185">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ids=6472365</w:t>
        </w:r>
      </w:hyperlink>
    </w:p>
    <w:p>
      <w:pPr>
        <w:spacing w:line="250" w:lineRule="auto"/>
        <w:rPr>
          <w:rFonts w:ascii="Arial"/>
          <w:sz w:val="21"/>
        </w:rPr>
      </w:pPr>
      <w:r/>
    </w:p>
    <w:p>
      <w:pPr>
        <w:ind w:left="484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—252—</w:t>
      </w:r>
    </w:p>
    <w:p>
      <w:pPr>
        <w:spacing w:line="34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House.Allrights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http://www.c</w:t>
        </w:r>
        <w:r>
          <w:rPr>
            <w:rFonts w:ascii="Times New Roman" w:hAnsi="Times New Roman" w:eastAsia="Times New Roman" w:cs="Times New Roman"/>
            <w:sz w:val="21"/>
            <w:szCs w:val="21"/>
            <w:spacing w:val="-1"/>
          </w:rPr>
          <w:t>nki.net</w:t>
        </w:r>
      </w:hyperlink>
    </w:p>
    <w:p>
      <w:pPr>
        <w:spacing w:line="192" w:lineRule="auto"/>
        <w:sectPr>
          <w:pgSz w:w="11850" w:h="16140"/>
          <w:pgMar w:top="400" w:right="1378" w:bottom="0" w:left="400" w:header="0" w:footer="0" w:gutter="0"/>
        </w:sectPr>
        <w:rPr>
          <w:rFonts w:ascii="Times New Roman" w:hAnsi="Times New Roman" w:eastAsia="Times New Roman" w:cs="Times New Roman"/>
          <w:sz w:val="21"/>
          <w:szCs w:val="21"/>
        </w:rPr>
      </w:pPr>
    </w:p>
    <w:p>
      <w:pPr>
        <w:spacing w:line="312" w:lineRule="auto"/>
        <w:rPr>
          <w:rFonts w:ascii="Arial"/>
          <w:sz w:val="21"/>
        </w:rPr>
      </w:pPr>
      <w:r/>
    </w:p>
    <w:p>
      <w:pPr>
        <w:ind w:left="7757"/>
        <w:spacing w:before="68" w:line="211" w:lineRule="auto"/>
        <w:rPr>
          <w:rFonts w:ascii="STXingkai" w:hAnsi="STXingkai" w:eastAsia="STXingkai" w:cs="STXingkai"/>
          <w:sz w:val="20"/>
          <w:szCs w:val="20"/>
        </w:rPr>
      </w:pPr>
      <w:r>
        <w:rPr>
          <w:rFonts w:ascii="STXingkai" w:hAnsi="STXingkai" w:eastAsia="STXingkai" w:cs="STXingkai"/>
          <w:sz w:val="20"/>
          <w:szCs w:val="20"/>
          <w:spacing w:val="-21"/>
        </w:rPr>
        <w:t>附</w:t>
      </w:r>
      <w:r>
        <w:rPr>
          <w:rFonts w:ascii="STXingkai" w:hAnsi="STXingkai" w:eastAsia="STXingkai" w:cs="STXingkai"/>
          <w:sz w:val="20"/>
          <w:szCs w:val="20"/>
          <w:spacing w:val="7"/>
        </w:rPr>
        <w:t xml:space="preserve">    </w:t>
      </w:r>
      <w:r>
        <w:rPr>
          <w:rFonts w:ascii="STXingkai" w:hAnsi="STXingkai" w:eastAsia="STXingkai" w:cs="STXingkai"/>
          <w:sz w:val="20"/>
          <w:szCs w:val="20"/>
          <w:spacing w:val="-21"/>
        </w:rPr>
        <w:t>灵</w:t>
      </w:r>
      <w:r>
        <w:rPr>
          <w:rFonts w:ascii="STXingkai" w:hAnsi="STXingkai" w:eastAsia="STXingkai" w:cs="STXingkai"/>
          <w:sz w:val="20"/>
          <w:szCs w:val="20"/>
          <w:spacing w:val="5"/>
        </w:rPr>
        <w:t xml:space="preserve">     </w:t>
      </w:r>
      <w:r>
        <w:rPr>
          <w:rFonts w:ascii="STXingkai" w:hAnsi="STXingkai" w:eastAsia="STXingkai" w:cs="STXingkai"/>
          <w:sz w:val="20"/>
          <w:szCs w:val="20"/>
          <w:spacing w:val="-21"/>
        </w:rPr>
        <w:t>·     指</w:t>
      </w:r>
      <w:r>
        <w:rPr>
          <w:rFonts w:ascii="STXingkai" w:hAnsi="STXingkai" w:eastAsia="STXingkai" w:cs="STXingkai"/>
          <w:sz w:val="20"/>
          <w:szCs w:val="20"/>
          <w:spacing w:val="9"/>
        </w:rPr>
        <w:t xml:space="preserve">    </w:t>
      </w:r>
      <w:r>
        <w:rPr>
          <w:rFonts w:ascii="STXingkai" w:hAnsi="STXingkai" w:eastAsia="STXingkai" w:cs="STXingkai"/>
          <w:sz w:val="20"/>
          <w:szCs w:val="20"/>
          <w:spacing w:val="-21"/>
        </w:rPr>
        <w:t>南</w:t>
      </w:r>
    </w:p>
    <w:p>
      <w:pPr>
        <w:spacing w:line="314" w:lineRule="auto"/>
        <w:rPr>
          <w:rFonts w:ascii="Arial"/>
          <w:sz w:val="21"/>
        </w:rPr>
      </w:pPr>
      <w:r/>
    </w:p>
    <w:p>
      <w:pPr>
        <w:ind w:left="36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&amp;query_hl=25</w:t>
      </w:r>
    </w:p>
    <w:p>
      <w:pPr>
        <w:pStyle w:val="BodyText"/>
        <w:ind w:left="759"/>
        <w:spacing w:before="117" w:line="219" w:lineRule="auto"/>
        <w:rPr>
          <w:sz w:val="22"/>
          <w:szCs w:val="22"/>
        </w:rPr>
      </w:pPr>
      <w:r>
        <w:rPr>
          <w:sz w:val="22"/>
          <w:szCs w:val="22"/>
          <w:spacing w:val="-7"/>
        </w:rPr>
        <w:t>15.指南中使用的缩略语</w:t>
      </w:r>
    </w:p>
    <w:p>
      <w:pPr>
        <w:pStyle w:val="BodyText"/>
        <w:ind w:left="360"/>
        <w:spacing w:before="67" w:line="219" w:lineRule="auto"/>
        <w:rPr>
          <w:sz w:val="22"/>
          <w:szCs w:val="22"/>
        </w:rPr>
      </w:pPr>
      <w:r>
        <w:rPr>
          <w:rFonts w:ascii="Times New Roman" w:hAnsi="Times New Roman" w:eastAsia="Times New Roman" w:cs="Times New Roman"/>
          <w:sz w:val="22"/>
          <w:szCs w:val="22"/>
          <w:spacing w:val="-10"/>
        </w:rPr>
        <w:t>APCaOx</w:t>
      </w:r>
      <w:r>
        <w:rPr>
          <w:rFonts w:ascii="Times New Roman" w:hAnsi="Times New Roman" w:eastAsia="Times New Roman" w:cs="Times New Roman"/>
          <w:sz w:val="22"/>
          <w:szCs w:val="22"/>
          <w:spacing w:val="2"/>
        </w:rPr>
        <w:t xml:space="preserve">           </w:t>
      </w:r>
      <w:r>
        <w:rPr>
          <w:sz w:val="22"/>
          <w:szCs w:val="22"/>
          <w:b/>
          <w:bCs/>
          <w:spacing w:val="-10"/>
        </w:rPr>
        <w:t>草酸钙离子活度积</w:t>
      </w:r>
    </w:p>
    <w:p>
      <w:pPr>
        <w:pStyle w:val="BodyText"/>
        <w:ind w:left="360"/>
        <w:spacing w:before="69" w:line="219" w:lineRule="auto"/>
        <w:rPr>
          <w:sz w:val="22"/>
          <w:szCs w:val="22"/>
        </w:rPr>
      </w:pPr>
      <w:r>
        <w:rPr>
          <w:rFonts w:ascii="Times New Roman" w:hAnsi="Times New Roman" w:eastAsia="Times New Roman" w:cs="Times New Roman"/>
          <w:sz w:val="22"/>
          <w:szCs w:val="22"/>
          <w:spacing w:val="-9"/>
        </w:rPr>
        <w:t>APCaP</w:t>
      </w:r>
      <w:r>
        <w:rPr>
          <w:rFonts w:ascii="Times New Roman" w:hAnsi="Times New Roman" w:eastAsia="Times New Roman" w:cs="Times New Roman"/>
          <w:sz w:val="22"/>
          <w:szCs w:val="22"/>
          <w:spacing w:val="2"/>
        </w:rPr>
        <w:t xml:space="preserve">            </w:t>
      </w:r>
      <w:r>
        <w:rPr>
          <w:sz w:val="22"/>
          <w:szCs w:val="22"/>
          <w:b/>
          <w:bCs/>
          <w:spacing w:val="-9"/>
        </w:rPr>
        <w:t>磷酸钙离子活度积</w:t>
      </w:r>
    </w:p>
    <w:p>
      <w:pPr>
        <w:pStyle w:val="BodyText"/>
        <w:ind w:left="360" w:right="6239" w:firstLine="3"/>
        <w:spacing w:before="66" w:line="272" w:lineRule="auto"/>
        <w:rPr>
          <w:sz w:val="22"/>
          <w:szCs w:val="22"/>
        </w:rPr>
      </w:pPr>
      <w:r>
        <w:rPr>
          <w:sz w:val="22"/>
          <w:szCs w:val="22"/>
          <w:b/>
          <w:bCs/>
          <w:spacing w:val="-4"/>
        </w:rPr>
        <w:t>P(CaP)index</w:t>
      </w:r>
      <w:r>
        <w:rPr>
          <w:sz w:val="22"/>
          <w:szCs w:val="22"/>
          <w:spacing w:val="20"/>
        </w:rPr>
        <w:t xml:space="preserve">  </w:t>
      </w:r>
      <w:r>
        <w:rPr>
          <w:sz w:val="22"/>
          <w:szCs w:val="22"/>
          <w:b/>
          <w:bCs/>
          <w:spacing w:val="-4"/>
        </w:rPr>
        <w:t>APCaOx的近似估计值</w:t>
      </w:r>
      <w:r>
        <w:rPr>
          <w:sz w:val="22"/>
          <w:szCs w:val="22"/>
          <w:spacing w:val="1"/>
        </w:rPr>
        <w:t xml:space="preserve"> </w:t>
      </w:r>
      <w:r>
        <w:rPr>
          <w:sz w:val="22"/>
          <w:szCs w:val="22"/>
          <w:b/>
          <w:bCs/>
          <w:spacing w:val="-4"/>
        </w:rPr>
        <w:t>AP(CaOx)index</w:t>
      </w:r>
      <w:r>
        <w:rPr>
          <w:sz w:val="22"/>
          <w:szCs w:val="22"/>
          <w:spacing w:val="35"/>
        </w:rPr>
        <w:t xml:space="preserve"> </w:t>
      </w:r>
      <w:r>
        <w:rPr>
          <w:sz w:val="22"/>
          <w:szCs w:val="22"/>
          <w:b/>
          <w:bCs/>
          <w:spacing w:val="-4"/>
        </w:rPr>
        <w:t>APCaP的近似估计值</w:t>
      </w:r>
      <w:r>
        <w:rPr>
          <w:sz w:val="22"/>
          <w:szCs w:val="22"/>
        </w:rPr>
        <w:t xml:space="preserve"> </w:t>
      </w:r>
      <w:r>
        <w:rPr>
          <w:rFonts w:ascii="Times New Roman" w:hAnsi="Times New Roman" w:eastAsia="Times New Roman" w:cs="Times New Roman"/>
          <w:sz w:val="22"/>
          <w:szCs w:val="22"/>
          <w:spacing w:val="-4"/>
        </w:rPr>
        <w:t>Ca</w:t>
      </w:r>
      <w:r>
        <w:rPr>
          <w:rFonts w:ascii="Times New Roman" w:hAnsi="Times New Roman" w:eastAsia="Times New Roman" w:cs="Times New Roman"/>
          <w:sz w:val="22"/>
          <w:szCs w:val="22"/>
        </w:rPr>
        <w:t xml:space="preserve">               </w:t>
      </w:r>
      <w:r>
        <w:rPr>
          <w:sz w:val="22"/>
          <w:szCs w:val="22"/>
          <w:b/>
          <w:bCs/>
          <w:spacing w:val="-4"/>
        </w:rPr>
        <w:t>钙</w:t>
      </w:r>
    </w:p>
    <w:p>
      <w:pPr>
        <w:pStyle w:val="BodyText"/>
        <w:ind w:left="360"/>
        <w:spacing w:line="219" w:lineRule="auto"/>
        <w:rPr>
          <w:sz w:val="22"/>
          <w:szCs w:val="22"/>
        </w:rPr>
      </w:pPr>
      <w:r>
        <w:rPr>
          <w:rFonts w:ascii="Times New Roman" w:hAnsi="Times New Roman" w:eastAsia="Times New Roman" w:cs="Times New Roman"/>
          <w:sz w:val="22"/>
          <w:szCs w:val="22"/>
          <w:b/>
          <w:bCs/>
          <w:spacing w:val="-4"/>
        </w:rPr>
        <w:t>CaHP042H20</w:t>
      </w:r>
      <w:r>
        <w:rPr>
          <w:rFonts w:ascii="Times New Roman" w:hAnsi="Times New Roman" w:eastAsia="Times New Roman" w:cs="Times New Roman"/>
          <w:sz w:val="22"/>
          <w:szCs w:val="22"/>
          <w:b/>
          <w:bCs/>
          <w:spacing w:val="7"/>
        </w:rPr>
        <w:t xml:space="preserve">      </w:t>
      </w:r>
      <w:r>
        <w:rPr>
          <w:sz w:val="22"/>
          <w:szCs w:val="22"/>
          <w:b/>
          <w:bCs/>
          <w:spacing w:val="-4"/>
        </w:rPr>
        <w:t>磷酸氢钙</w:t>
      </w:r>
    </w:p>
    <w:p>
      <w:pPr>
        <w:pStyle w:val="BodyText"/>
        <w:ind w:left="360"/>
        <w:spacing w:before="72" w:line="219" w:lineRule="auto"/>
        <w:rPr>
          <w:sz w:val="22"/>
          <w:szCs w:val="22"/>
        </w:rPr>
      </w:pPr>
      <w:r>
        <w:rPr>
          <w:rFonts w:ascii="Times New Roman" w:hAnsi="Times New Roman" w:eastAsia="Times New Roman" w:cs="Times New Roman"/>
          <w:sz w:val="22"/>
          <w:szCs w:val="22"/>
          <w:spacing w:val="-10"/>
        </w:rPr>
        <w:t>CaOx</w:t>
      </w:r>
      <w:r>
        <w:rPr>
          <w:rFonts w:ascii="Times New Roman" w:hAnsi="Times New Roman" w:eastAsia="Times New Roman" w:cs="Times New Roman"/>
          <w:sz w:val="22"/>
          <w:szCs w:val="22"/>
        </w:rPr>
        <w:t xml:space="preserve">             </w:t>
      </w:r>
      <w:r>
        <w:rPr>
          <w:sz w:val="22"/>
          <w:szCs w:val="22"/>
          <w:spacing w:val="-10"/>
        </w:rPr>
        <w:t>草酸钙</w:t>
      </w:r>
    </w:p>
    <w:p>
      <w:pPr>
        <w:pStyle w:val="BodyText"/>
        <w:ind w:left="360"/>
        <w:spacing w:before="70" w:line="219" w:lineRule="auto"/>
        <w:rPr>
          <w:sz w:val="22"/>
          <w:szCs w:val="22"/>
        </w:rPr>
      </w:pPr>
      <w:r>
        <w:rPr>
          <w:rFonts w:ascii="Times New Roman" w:hAnsi="Times New Roman" w:eastAsia="Times New Roman" w:cs="Times New Roman"/>
          <w:sz w:val="22"/>
          <w:szCs w:val="22"/>
          <w:spacing w:val="-8"/>
        </w:rPr>
        <w:t>CaP</w:t>
      </w:r>
      <w:r>
        <w:rPr>
          <w:rFonts w:ascii="Times New Roman" w:hAnsi="Times New Roman" w:eastAsia="Times New Roman" w:cs="Times New Roman"/>
          <w:sz w:val="22"/>
          <w:szCs w:val="22"/>
          <w:spacing w:val="1"/>
        </w:rPr>
        <w:t xml:space="preserve">              </w:t>
      </w:r>
      <w:r>
        <w:rPr>
          <w:sz w:val="22"/>
          <w:szCs w:val="22"/>
          <w:spacing w:val="-8"/>
        </w:rPr>
        <w:t>磷酸钙</w:t>
      </w:r>
    </w:p>
    <w:p>
      <w:pPr>
        <w:pStyle w:val="BodyText"/>
        <w:ind w:left="360" w:right="6319"/>
        <w:spacing w:before="68" w:line="261" w:lineRule="auto"/>
        <w:rPr>
          <w:sz w:val="22"/>
          <w:szCs w:val="22"/>
        </w:rPr>
      </w:pPr>
      <w:r>
        <w:rPr>
          <w:rFonts w:ascii="Times New Roman" w:hAnsi="Times New Roman" w:eastAsia="Times New Roman" w:cs="Times New Roman"/>
          <w:sz w:val="20"/>
          <w:szCs w:val="20"/>
          <w:spacing w:val="-2"/>
          <w:position w:val="-4"/>
        </w:rPr>
        <w:t>CIRF               </w:t>
      </w:r>
      <w:r>
        <w:rPr>
          <w:sz w:val="22"/>
          <w:szCs w:val="22"/>
          <w:spacing w:val="-2"/>
        </w:rPr>
        <w:t>无临床意义的残石碎片</w:t>
      </w:r>
      <w:r>
        <w:rPr>
          <w:sz w:val="22"/>
          <w:szCs w:val="22"/>
        </w:rPr>
        <w:t xml:space="preserve"> </w:t>
      </w:r>
      <w:r>
        <w:rPr>
          <w:rFonts w:ascii="Times New Roman" w:hAnsi="Times New Roman" w:eastAsia="Times New Roman" w:cs="Times New Roman"/>
          <w:sz w:val="20"/>
          <w:szCs w:val="20"/>
          <w:position w:val="-4"/>
        </w:rPr>
        <w:t>Cit</w:t>
      </w:r>
      <w:r>
        <w:rPr>
          <w:rFonts w:ascii="Times New Roman" w:hAnsi="Times New Roman" w:eastAsia="Times New Roman" w:cs="Times New Roman"/>
          <w:sz w:val="20"/>
          <w:szCs w:val="20"/>
          <w:spacing w:val="3"/>
          <w:position w:val="-4"/>
        </w:rPr>
        <w:t xml:space="preserve">               </w:t>
      </w:r>
      <w:r>
        <w:rPr>
          <w:sz w:val="22"/>
          <w:szCs w:val="22"/>
          <w:spacing w:val="21"/>
        </w:rPr>
        <w:t>枸橼酸(盐)</w:t>
      </w:r>
    </w:p>
    <w:p>
      <w:pPr>
        <w:pStyle w:val="BodyText"/>
        <w:ind w:left="360"/>
        <w:spacing w:before="1" w:line="219" w:lineRule="auto"/>
        <w:rPr>
          <w:sz w:val="22"/>
          <w:szCs w:val="22"/>
        </w:rPr>
      </w:pPr>
      <w:r>
        <w:rPr>
          <w:rFonts w:ascii="Times New Roman" w:hAnsi="Times New Roman" w:eastAsia="Times New Roman" w:cs="Times New Roman"/>
          <w:sz w:val="20"/>
          <w:szCs w:val="20"/>
          <w:spacing w:val="-3"/>
          <w:position w:val="-4"/>
        </w:rPr>
        <w:t>CRP</w:t>
      </w:r>
      <w:r>
        <w:rPr>
          <w:rFonts w:ascii="Times New Roman" w:hAnsi="Times New Roman" w:eastAsia="Times New Roman" w:cs="Times New Roman"/>
          <w:sz w:val="20"/>
          <w:szCs w:val="20"/>
          <w:position w:val="-4"/>
        </w:rPr>
        <w:t xml:space="preserve">                </w:t>
      </w:r>
      <w:r>
        <w:rPr>
          <w:rFonts w:ascii="Times New Roman" w:hAnsi="Times New Roman" w:eastAsia="Times New Roman" w:cs="Times New Roman"/>
          <w:sz w:val="22"/>
          <w:szCs w:val="22"/>
          <w:spacing w:val="-3"/>
          <w:position w:val="1"/>
        </w:rPr>
        <w:t>C-</w:t>
      </w:r>
      <w:r>
        <w:rPr>
          <w:rFonts w:ascii="Times New Roman" w:hAnsi="Times New Roman" w:eastAsia="Times New Roman" w:cs="Times New Roman"/>
          <w:sz w:val="22"/>
          <w:szCs w:val="22"/>
          <w:spacing w:val="-5"/>
          <w:position w:val="1"/>
        </w:rPr>
        <w:t xml:space="preserve"> </w:t>
      </w:r>
      <w:r>
        <w:rPr>
          <w:sz w:val="22"/>
          <w:szCs w:val="22"/>
          <w:spacing w:val="-3"/>
          <w:position w:val="1"/>
        </w:rPr>
        <w:t>反应蛋白</w:t>
      </w:r>
    </w:p>
    <w:p>
      <w:pPr>
        <w:pStyle w:val="BodyText"/>
        <w:ind w:left="360" w:right="6620"/>
        <w:spacing w:before="38" w:line="247" w:lineRule="auto"/>
        <w:rPr>
          <w:sz w:val="22"/>
          <w:szCs w:val="22"/>
        </w:rPr>
      </w:pPr>
      <w:r>
        <w:rPr>
          <w:rFonts w:ascii="Times New Roman" w:hAnsi="Times New Roman" w:eastAsia="Times New Roman" w:cs="Times New Roman"/>
          <w:sz w:val="20"/>
          <w:szCs w:val="20"/>
          <w:spacing w:val="-2"/>
          <w:position w:val="-6"/>
        </w:rPr>
        <w:t>CT                 </w:t>
      </w:r>
      <w:r>
        <w:rPr>
          <w:sz w:val="22"/>
          <w:szCs w:val="22"/>
          <w:spacing w:val="-2"/>
        </w:rPr>
        <w:t>电子计算机断层摄影</w:t>
      </w:r>
      <w:r>
        <w:rPr>
          <w:sz w:val="22"/>
          <w:szCs w:val="22"/>
          <w:spacing w:val="5"/>
        </w:rPr>
        <w:t xml:space="preserve"> </w:t>
      </w:r>
      <w:r>
        <w:rPr>
          <w:sz w:val="22"/>
          <w:szCs w:val="22"/>
          <w:spacing w:val="-6"/>
        </w:rPr>
        <w:t>CY</w:t>
      </w:r>
      <w:r>
        <w:rPr>
          <w:sz w:val="22"/>
          <w:szCs w:val="22"/>
          <w:spacing w:val="1"/>
        </w:rPr>
        <w:t xml:space="preserve">        </w:t>
      </w:r>
      <w:r>
        <w:rPr>
          <w:sz w:val="22"/>
          <w:szCs w:val="22"/>
          <w:spacing w:val="-6"/>
        </w:rPr>
        <w:t>胱氨酸结石</w:t>
      </w:r>
    </w:p>
    <w:p>
      <w:pPr>
        <w:pStyle w:val="BodyText"/>
        <w:ind w:left="360"/>
        <w:spacing w:before="33" w:line="219" w:lineRule="auto"/>
        <w:rPr>
          <w:sz w:val="22"/>
          <w:szCs w:val="22"/>
        </w:rPr>
      </w:pPr>
      <w:r>
        <w:rPr>
          <w:sz w:val="22"/>
          <w:szCs w:val="22"/>
          <w:spacing w:val="-2"/>
        </w:rPr>
        <w:t>EHL</w:t>
      </w:r>
      <w:r>
        <w:rPr>
          <w:sz w:val="22"/>
          <w:szCs w:val="22"/>
          <w:spacing w:val="12"/>
        </w:rPr>
        <w:t xml:space="preserve">       </w:t>
      </w:r>
      <w:r>
        <w:rPr>
          <w:sz w:val="22"/>
          <w:szCs w:val="22"/>
          <w:spacing w:val="-2"/>
        </w:rPr>
        <w:t>液电碎石术</w:t>
      </w:r>
    </w:p>
    <w:p>
      <w:pPr>
        <w:spacing w:line="137" w:lineRule="exact"/>
        <w:rPr/>
      </w:pPr>
      <w:r/>
    </w:p>
    <w:p>
      <w:pPr>
        <w:spacing w:line="137" w:lineRule="exact"/>
        <w:sectPr>
          <w:pgSz w:w="11850" w:h="16140"/>
          <w:pgMar w:top="400" w:right="1454" w:bottom="0" w:left="380" w:header="0" w:footer="0" w:gutter="0"/>
          <w:cols w:equalWidth="0" w:num="1">
            <w:col w:w="10016" w:space="0"/>
          </w:cols>
        </w:sectPr>
        <w:rPr/>
      </w:pPr>
    </w:p>
    <w:p>
      <w:pPr>
        <w:pStyle w:val="BodyText"/>
        <w:ind w:left="360"/>
        <w:spacing w:before="72" w:line="183" w:lineRule="auto"/>
        <w:rPr>
          <w:sz w:val="20"/>
          <w:szCs w:val="20"/>
        </w:rPr>
      </w:pPr>
      <w:r>
        <w:rPr>
          <w:sz w:val="20"/>
          <w:szCs w:val="20"/>
          <w:spacing w:val="-2"/>
        </w:rPr>
        <w:t>ESWL</w:t>
      </w:r>
    </w:p>
    <w:p>
      <w:pPr>
        <w:ind w:left="360"/>
        <w:spacing w:before="122"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GAG</w:t>
      </w:r>
    </w:p>
    <w:p>
      <w:pPr>
        <w:ind w:left="360"/>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GFR</w:t>
      </w:r>
    </w:p>
    <w:p>
      <w:pPr>
        <w:ind w:left="360"/>
        <w:spacing w:before="16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GR</w:t>
      </w:r>
    </w:p>
    <w:p>
      <w:pPr>
        <w:ind w:left="360"/>
        <w:spacing w:before="17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HCL</w:t>
      </w:r>
    </w:p>
    <w:p>
      <w:pPr>
        <w:ind w:left="360"/>
        <w:spacing w:before="17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Ho:YAG</w:t>
      </w:r>
    </w:p>
    <w:p>
      <w:pPr>
        <w:ind w:left="360"/>
        <w:spacing w:before="155"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HPT</w:t>
      </w:r>
    </w:p>
    <w:p>
      <w:pPr>
        <w:ind w:left="360"/>
        <w:spacing w:before="161"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INF</w:t>
      </w:r>
    </w:p>
    <w:p>
      <w:pPr>
        <w:ind w:left="360"/>
        <w:spacing w:before="162"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IVP</w:t>
      </w:r>
    </w:p>
    <w:p>
      <w:pPr>
        <w:ind w:left="360"/>
        <w:spacing w:before="162"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KUB</w:t>
      </w:r>
    </w:p>
    <w:p>
      <w:pPr>
        <w:ind w:left="360"/>
        <w:spacing w:before="166"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LE</w:t>
      </w:r>
    </w:p>
    <w:p>
      <w:pPr>
        <w:ind w:left="360"/>
        <w:spacing w:before="15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w:t>
      </w:r>
    </w:p>
    <w:p>
      <w:pPr>
        <w:ind w:left="360"/>
        <w:spacing w:before="155"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Mg</w:t>
      </w:r>
    </w:p>
    <w:p>
      <w:pPr>
        <w:ind w:left="360"/>
        <w:spacing w:before="17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Nd</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YAG</w:t>
      </w:r>
    </w:p>
    <w:p>
      <w:pPr>
        <w:ind w:left="360"/>
        <w:spacing w:before="13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NH</w:t>
      </w:r>
      <w:r>
        <w:rPr>
          <w:rFonts w:ascii="Times New Roman" w:hAnsi="Times New Roman" w:eastAsia="Times New Roman" w:cs="Times New Roman"/>
          <w:sz w:val="20"/>
          <w:szCs w:val="20"/>
          <w:spacing w:val="1"/>
        </w:rPr>
        <w:t>4</w:t>
      </w:r>
      <w:r>
        <w:rPr>
          <w:rFonts w:ascii="Times New Roman" w:hAnsi="Times New Roman" w:eastAsia="Times New Roman" w:cs="Times New Roman"/>
          <w:sz w:val="20"/>
          <w:szCs w:val="20"/>
        </w:rPr>
        <w:t>Cl</w:t>
      </w:r>
    </w:p>
    <w:p>
      <w:pPr>
        <w:ind w:left="360"/>
        <w:spacing w:before="19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NSAID</w:t>
      </w:r>
    </w:p>
    <w:p>
      <w:pPr>
        <w:ind w:left="360"/>
        <w:spacing w:before="150"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Ox</w:t>
      </w:r>
    </w:p>
    <w:p>
      <w:pPr>
        <w:ind w:left="360"/>
        <w:spacing w:before="15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PCNL</w:t>
      </w:r>
    </w:p>
    <w:p>
      <w:pPr>
        <w:ind w:left="360"/>
        <w:spacing w:before="164"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PN</w:t>
      </w:r>
    </w:p>
    <w:p>
      <w:pPr>
        <w:ind w:left="360"/>
        <w:spacing w:before="153"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PNL</w:t>
      </w:r>
    </w:p>
    <w:p>
      <w:pPr>
        <w:ind w:left="360"/>
        <w:spacing w:before="165"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PTH</w:t>
      </w:r>
    </w:p>
    <w:p>
      <w:pPr>
        <w:ind w:left="360"/>
        <w:spacing w:before="160"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Rmo</w:t>
      </w:r>
    </w:p>
    <w:p>
      <w:pPr>
        <w:ind w:left="360"/>
        <w:spacing w:before="149"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Rm-res</w:t>
      </w:r>
    </w:p>
    <w:p>
      <w:pPr>
        <w:ind w:left="360"/>
        <w:spacing w:before="14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Rs</w:t>
      </w:r>
    </w:p>
    <w:p>
      <w:pPr>
        <w:spacing w:line="14" w:lineRule="auto"/>
        <w:rPr>
          <w:rFonts w:ascii="Arial"/>
          <w:sz w:val="2"/>
        </w:rPr>
      </w:pPr>
      <w:r>
        <w:rPr>
          <w:rFonts w:ascii="Arial" w:hAnsi="Arial" w:eastAsia="Arial" w:cs="Arial"/>
          <w:sz w:val="2"/>
          <w:szCs w:val="2"/>
        </w:rPr>
        <w:br w:type="column"/>
      </w:r>
    </w:p>
    <w:p>
      <w:pPr>
        <w:pStyle w:val="BodyText"/>
        <w:ind w:left="240"/>
        <w:spacing w:before="39" w:line="219" w:lineRule="auto"/>
        <w:rPr>
          <w:sz w:val="20"/>
          <w:szCs w:val="20"/>
        </w:rPr>
      </w:pPr>
      <w:r>
        <w:rPr>
          <w:sz w:val="20"/>
          <w:szCs w:val="20"/>
          <w:spacing w:val="13"/>
        </w:rPr>
        <w:t>体外冲击波碎石术，也包括压电碎石</w:t>
      </w:r>
    </w:p>
    <w:p>
      <w:pPr>
        <w:pStyle w:val="BodyText"/>
        <w:ind w:left="160"/>
        <w:spacing w:before="94" w:line="220" w:lineRule="auto"/>
        <w:rPr>
          <w:sz w:val="20"/>
          <w:szCs w:val="20"/>
        </w:rPr>
      </w:pPr>
      <w:r>
        <w:rPr>
          <w:sz w:val="20"/>
          <w:szCs w:val="20"/>
          <w:spacing w:val="13"/>
        </w:rPr>
        <w:t>氨基葡聚糖</w:t>
      </w:r>
    </w:p>
    <w:p>
      <w:pPr>
        <w:pStyle w:val="BodyText"/>
        <w:ind w:left="70" w:right="7196" w:firstLine="90"/>
        <w:spacing w:before="100" w:line="310" w:lineRule="auto"/>
        <w:rPr>
          <w:sz w:val="20"/>
          <w:szCs w:val="20"/>
        </w:rPr>
      </w:pPr>
      <w:r>
        <w:rPr>
          <w:sz w:val="20"/>
          <w:szCs w:val="20"/>
          <w:spacing w:val="13"/>
        </w:rPr>
        <w:t>肾小球滤过率</w:t>
      </w:r>
      <w:r>
        <w:rPr>
          <w:sz w:val="20"/>
          <w:szCs w:val="20"/>
        </w:rPr>
        <w:t xml:space="preserve"> </w:t>
      </w:r>
      <w:r>
        <w:rPr>
          <w:sz w:val="20"/>
          <w:szCs w:val="20"/>
          <w:spacing w:val="16"/>
        </w:rPr>
        <w:t>推荐级别</w:t>
      </w:r>
    </w:p>
    <w:p>
      <w:pPr>
        <w:pStyle w:val="BodyText"/>
        <w:ind w:left="160"/>
        <w:spacing w:before="1" w:line="220" w:lineRule="auto"/>
        <w:rPr>
          <w:sz w:val="20"/>
          <w:szCs w:val="20"/>
        </w:rPr>
      </w:pPr>
      <w:r>
        <w:rPr>
          <w:sz w:val="20"/>
          <w:szCs w:val="20"/>
          <w:spacing w:val="23"/>
        </w:rPr>
        <w:t>盐酸</w:t>
      </w:r>
    </w:p>
    <w:p>
      <w:pPr>
        <w:pStyle w:val="BodyText"/>
        <w:ind w:left="160" w:right="6056" w:firstLine="269"/>
        <w:spacing w:before="100" w:line="286" w:lineRule="auto"/>
        <w:rPr>
          <w:sz w:val="22"/>
          <w:szCs w:val="22"/>
        </w:rPr>
      </w:pPr>
      <w:r>
        <w:rPr>
          <w:sz w:val="22"/>
          <w:szCs w:val="22"/>
          <w:spacing w:val="-6"/>
        </w:rPr>
        <w:t>钬：钇铝石榴石激光器</w:t>
      </w:r>
      <w:r>
        <w:rPr>
          <w:sz w:val="22"/>
          <w:szCs w:val="22"/>
          <w:spacing w:val="8"/>
        </w:rPr>
        <w:t xml:space="preserve"> </w:t>
      </w:r>
      <w:r>
        <w:rPr>
          <w:sz w:val="22"/>
          <w:szCs w:val="22"/>
          <w:spacing w:val="-5"/>
        </w:rPr>
        <w:t>甲状旁腺功能亢进</w:t>
      </w:r>
    </w:p>
    <w:p>
      <w:pPr>
        <w:pStyle w:val="BodyText"/>
        <w:ind w:left="70"/>
        <w:spacing w:line="220" w:lineRule="auto"/>
        <w:rPr>
          <w:sz w:val="22"/>
          <w:szCs w:val="22"/>
        </w:rPr>
      </w:pPr>
      <w:r>
        <w:rPr>
          <w:sz w:val="22"/>
          <w:szCs w:val="22"/>
          <w:spacing w:val="-2"/>
        </w:rPr>
        <w:t>感染性结石</w:t>
      </w:r>
    </w:p>
    <w:p>
      <w:pPr>
        <w:pStyle w:val="BodyText"/>
        <w:ind w:left="70"/>
        <w:spacing w:before="75" w:line="219" w:lineRule="auto"/>
        <w:rPr>
          <w:sz w:val="22"/>
          <w:szCs w:val="22"/>
        </w:rPr>
      </w:pPr>
      <w:r>
        <w:rPr>
          <w:sz w:val="22"/>
          <w:szCs w:val="22"/>
          <w:spacing w:val="-4"/>
        </w:rPr>
        <w:t>静脉肾盂造影术</w:t>
      </w:r>
    </w:p>
    <w:p>
      <w:pPr>
        <w:pStyle w:val="BodyText"/>
        <w:ind w:left="160"/>
        <w:spacing w:before="89" w:line="219" w:lineRule="auto"/>
        <w:rPr>
          <w:sz w:val="22"/>
          <w:szCs w:val="22"/>
        </w:rPr>
      </w:pPr>
      <w:r>
        <w:rPr>
          <w:sz w:val="22"/>
          <w:szCs w:val="22"/>
          <w:spacing w:val="5"/>
        </w:rPr>
        <w:t>腹部平片(包括肾、输尿管和膀胱)</w:t>
      </w:r>
    </w:p>
    <w:p>
      <w:pPr>
        <w:pStyle w:val="BodyText"/>
        <w:ind w:right="7694" w:firstLine="70"/>
        <w:spacing w:before="71" w:line="280" w:lineRule="auto"/>
        <w:jc w:val="both"/>
        <w:rPr>
          <w:sz w:val="22"/>
          <w:szCs w:val="22"/>
        </w:rPr>
      </w:pPr>
      <w:r>
        <w:rPr>
          <w:sz w:val="22"/>
          <w:szCs w:val="22"/>
          <w:spacing w:val="-3"/>
        </w:rPr>
        <w:t>证据水平</w:t>
      </w:r>
      <w:r>
        <w:rPr>
          <w:sz w:val="22"/>
          <w:szCs w:val="22"/>
          <w:spacing w:val="2"/>
        </w:rPr>
        <w:t xml:space="preserve"> </w:t>
      </w:r>
      <w:r>
        <w:rPr>
          <w:sz w:val="22"/>
          <w:szCs w:val="22"/>
          <w:spacing w:val="-4"/>
        </w:rPr>
        <w:t>结石长度</w:t>
      </w:r>
      <w:r>
        <w:rPr>
          <w:sz w:val="22"/>
          <w:szCs w:val="22"/>
          <w:spacing w:val="1"/>
        </w:rPr>
        <w:t xml:space="preserve"> </w:t>
      </w:r>
      <w:r>
        <w:rPr>
          <w:sz w:val="22"/>
          <w:szCs w:val="22"/>
          <w:spacing w:val="16"/>
          <w:w w:val="121"/>
        </w:rPr>
        <w:t>镁</w:t>
      </w:r>
    </w:p>
    <w:p>
      <w:pPr>
        <w:pStyle w:val="BodyText"/>
        <w:ind w:left="270" w:right="6245" w:firstLine="189"/>
        <w:spacing w:before="19" w:line="285" w:lineRule="auto"/>
        <w:rPr>
          <w:sz w:val="22"/>
          <w:szCs w:val="22"/>
        </w:rPr>
      </w:pPr>
      <w:r>
        <w:rPr>
          <w:sz w:val="22"/>
          <w:szCs w:val="22"/>
          <w:spacing w:val="6"/>
        </w:rPr>
        <w:t>钕-钇铝石榴石激光</w:t>
      </w:r>
      <w:r>
        <w:rPr>
          <w:sz w:val="22"/>
          <w:szCs w:val="22"/>
          <w:spacing w:val="5"/>
        </w:rPr>
        <w:t xml:space="preserve"> </w:t>
      </w:r>
      <w:r>
        <w:rPr>
          <w:sz w:val="22"/>
          <w:szCs w:val="22"/>
          <w:spacing w:val="-3"/>
        </w:rPr>
        <w:t>氯化铵</w:t>
      </w:r>
    </w:p>
    <w:p>
      <w:pPr>
        <w:pStyle w:val="BodyText"/>
        <w:ind w:left="70" w:right="6818" w:firstLine="220"/>
        <w:spacing w:before="1" w:line="289" w:lineRule="auto"/>
        <w:rPr>
          <w:sz w:val="22"/>
          <w:szCs w:val="22"/>
        </w:rPr>
      </w:pPr>
      <w:r>
        <w:rPr>
          <w:sz w:val="22"/>
          <w:szCs w:val="22"/>
          <w:spacing w:val="-2"/>
        </w:rPr>
        <w:t>非甾体类消炎药</w:t>
      </w:r>
      <w:r>
        <w:rPr>
          <w:sz w:val="22"/>
          <w:szCs w:val="22"/>
        </w:rPr>
        <w:t xml:space="preserve"> </w:t>
      </w:r>
      <w:r>
        <w:rPr>
          <w:sz w:val="22"/>
          <w:szCs w:val="22"/>
          <w:spacing w:val="29"/>
        </w:rPr>
        <w:t>草酸(盐)</w:t>
      </w:r>
    </w:p>
    <w:p>
      <w:pPr>
        <w:pStyle w:val="BodyText"/>
        <w:ind w:left="70" w:right="6816" w:firstLine="90"/>
        <w:spacing w:before="1" w:line="285" w:lineRule="auto"/>
        <w:rPr>
          <w:sz w:val="22"/>
          <w:szCs w:val="22"/>
        </w:rPr>
      </w:pPr>
      <w:r>
        <w:rPr>
          <w:sz w:val="22"/>
          <w:szCs w:val="22"/>
          <w:spacing w:val="-2"/>
        </w:rPr>
        <w:t>经皮肾镜取石术</w:t>
      </w:r>
      <w:r>
        <w:rPr>
          <w:sz w:val="22"/>
          <w:szCs w:val="22"/>
          <w:spacing w:val="1"/>
        </w:rPr>
        <w:t xml:space="preserve">  </w:t>
      </w:r>
      <w:r>
        <w:rPr>
          <w:sz w:val="22"/>
          <w:szCs w:val="22"/>
          <w:spacing w:val="-2"/>
        </w:rPr>
        <w:t>经皮穿刺肾造瘘术</w:t>
      </w:r>
    </w:p>
    <w:p>
      <w:pPr>
        <w:pStyle w:val="BodyText"/>
        <w:ind w:left="160" w:right="5087"/>
        <w:spacing w:before="2" w:line="297" w:lineRule="auto"/>
        <w:rPr>
          <w:sz w:val="20"/>
          <w:szCs w:val="20"/>
        </w:rPr>
      </w:pPr>
      <w:r>
        <w:rPr>
          <w:sz w:val="22"/>
          <w:szCs w:val="22"/>
          <w:spacing w:val="5"/>
        </w:rPr>
        <w:t>经皮肾镜取石术(伴或不伴碎石术)</w:t>
      </w:r>
      <w:r>
        <w:rPr>
          <w:sz w:val="22"/>
          <w:szCs w:val="22"/>
          <w:spacing w:val="7"/>
        </w:rPr>
        <w:t xml:space="preserve"> </w:t>
      </w:r>
      <w:r>
        <w:rPr>
          <w:sz w:val="20"/>
          <w:szCs w:val="20"/>
          <w:spacing w:val="13"/>
        </w:rPr>
        <w:t>甲状旁腺激素</w:t>
      </w:r>
    </w:p>
    <w:p>
      <w:pPr>
        <w:pStyle w:val="BodyText"/>
        <w:ind w:left="329" w:right="4615" w:hanging="169"/>
        <w:spacing w:before="13" w:line="321" w:lineRule="auto"/>
        <w:rPr>
          <w:sz w:val="20"/>
          <w:szCs w:val="20"/>
        </w:rPr>
      </w:pPr>
      <w:r>
        <w:rPr>
          <w:sz w:val="20"/>
          <w:szCs w:val="20"/>
          <w:spacing w:val="14"/>
        </w:rPr>
        <w:t>复发性结石患者，病情轻度，无残余结石</w:t>
      </w:r>
      <w:r>
        <w:rPr>
          <w:sz w:val="20"/>
          <w:szCs w:val="20"/>
          <w:spacing w:val="7"/>
        </w:rPr>
        <w:t xml:space="preserve"> </w:t>
      </w:r>
      <w:r>
        <w:rPr>
          <w:sz w:val="20"/>
          <w:szCs w:val="20"/>
          <w:spacing w:val="14"/>
        </w:rPr>
        <w:t>复发结石患者，病情轻度有残余结石</w:t>
      </w:r>
    </w:p>
    <w:p>
      <w:pPr>
        <w:pStyle w:val="BodyText"/>
        <w:spacing w:line="218" w:lineRule="auto"/>
        <w:jc w:val="right"/>
        <w:rPr>
          <w:sz w:val="20"/>
          <w:szCs w:val="20"/>
        </w:rPr>
      </w:pPr>
      <w:r>
        <w:rPr>
          <w:sz w:val="20"/>
          <w:szCs w:val="20"/>
          <w:b/>
          <w:bCs/>
          <w:spacing w:val="15"/>
        </w:rPr>
        <w:t>复发结石患者，病情重度，有或无残余结石，或者有特殊危险因素的结石患者，不考虑其</w:t>
      </w:r>
    </w:p>
    <w:p>
      <w:pPr>
        <w:ind w:left="3590"/>
        <w:spacing w:before="240"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w w:val="88"/>
        </w:rPr>
        <w:t>—253—</w:t>
      </w:r>
    </w:p>
    <w:p>
      <w:pPr>
        <w:spacing w:line="177" w:lineRule="auto"/>
        <w:sectPr>
          <w:type w:val="continuous"/>
          <w:pgSz w:w="11850" w:h="16140"/>
          <w:pgMar w:top="400" w:right="1454" w:bottom="0" w:left="380" w:header="0" w:footer="0" w:gutter="0"/>
          <w:cols w:equalWidth="0" w:num="2">
            <w:col w:w="1280" w:space="100"/>
            <w:col w:w="8637" w:space="0"/>
          </w:cols>
        </w:sectPr>
        <w:rPr>
          <w:rFonts w:ascii="Times New Roman" w:hAnsi="Times New Roman" w:eastAsia="Times New Roman" w:cs="Times New Roman"/>
          <w:sz w:val="20"/>
          <w:szCs w:val="20"/>
        </w:rPr>
      </w:pPr>
    </w:p>
    <w:p>
      <w:pPr>
        <w:spacing w:line="326" w:lineRule="auto"/>
        <w:rPr>
          <w:rFonts w:ascii="Arial"/>
          <w:sz w:val="21"/>
        </w:rPr>
      </w:pPr>
      <w:r>
        <w:drawing>
          <wp:anchor distT="0" distB="0" distL="0" distR="0" simplePos="0" relativeHeight="251717632" behindDoc="0" locked="0" layoutInCell="1" allowOverlap="1">
            <wp:simplePos x="0" y="0"/>
            <wp:positionH relativeFrom="column">
              <wp:posOffset>4756169</wp:posOffset>
            </wp:positionH>
            <wp:positionV relativeFrom="paragraph">
              <wp:posOffset>-9041838</wp:posOffset>
            </wp:positionV>
            <wp:extent cx="1562062" cy="6350"/>
            <wp:effectExtent l="0" t="0" r="0" b="0"/>
            <wp:wrapNone/>
            <wp:docPr id="80" name="IM 80"/>
            <wp:cNvGraphicFramePr/>
            <a:graphic>
              <a:graphicData uri="http://schemas.openxmlformats.org/drawingml/2006/picture">
                <pic:pic>
                  <pic:nvPicPr>
                    <pic:cNvPr id="80" name="IM 80"/>
                    <pic:cNvPicPr/>
                  </pic:nvPicPr>
                  <pic:blipFill>
                    <a:blip r:embed="rId186"/>
                    <a:stretch>
                      <a:fillRect/>
                    </a:stretch>
                  </pic:blipFill>
                  <pic:spPr>
                    <a:xfrm rot="0">
                      <a:off x="0" y="0"/>
                      <a:ext cx="1562062" cy="6350"/>
                    </a:xfrm>
                    <a:prstGeom prst="rect">
                      <a:avLst/>
                    </a:prstGeom>
                  </pic:spPr>
                </pic:pic>
              </a:graphicData>
            </a:graphic>
          </wp:anchor>
        </w:drawing>
      </w:r>
      <w:r>
        <w:drawing>
          <wp:anchor distT="0" distB="0" distL="0" distR="0" simplePos="0" relativeHeight="251718656" behindDoc="0" locked="0" layoutInCell="1" allowOverlap="1">
            <wp:simplePos x="0" y="0"/>
            <wp:positionH relativeFrom="column">
              <wp:posOffset>4616434</wp:posOffset>
            </wp:positionH>
            <wp:positionV relativeFrom="paragraph">
              <wp:posOffset>-9131552</wp:posOffset>
            </wp:positionV>
            <wp:extent cx="222281" cy="209590"/>
            <wp:effectExtent l="0" t="0" r="0" b="0"/>
            <wp:wrapNone/>
            <wp:docPr id="82" name="IM 82"/>
            <wp:cNvGraphicFramePr/>
            <a:graphic>
              <a:graphicData uri="http://schemas.openxmlformats.org/drawingml/2006/picture">
                <pic:pic>
                  <pic:nvPicPr>
                    <pic:cNvPr id="82" name="IM 82"/>
                    <pic:cNvPicPr/>
                  </pic:nvPicPr>
                  <pic:blipFill>
                    <a:blip r:embed="rId187"/>
                    <a:stretch>
                      <a:fillRect/>
                    </a:stretch>
                  </pic:blipFill>
                  <pic:spPr>
                    <a:xfrm rot="0">
                      <a:off x="0" y="0"/>
                      <a:ext cx="222281" cy="209590"/>
                    </a:xfrm>
                    <a:prstGeom prst="rect">
                      <a:avLst/>
                    </a:prstGeom>
                  </pic:spPr>
                </pic:pic>
              </a:graphicData>
            </a:graphic>
          </wp:anchor>
        </w:drawing>
      </w:r>
      <w:r/>
    </w:p>
    <w:p>
      <w:pPr>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(C)1994-2023  China  Academic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Electronic</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House.All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rights</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reserved.    </w:t>
      </w:r>
      <w:hyperlink w:history="true" r:id="rId3">
        <w:r>
          <w:rPr>
            <w:rFonts w:ascii="Times New Roman" w:hAnsi="Times New Roman" w:eastAsia="Times New Roman" w:cs="Times New Roman"/>
            <w:sz w:val="20"/>
            <w:szCs w:val="20"/>
          </w:rPr>
          <w:t>http://www.c</w:t>
        </w:r>
        <w:r>
          <w:rPr>
            <w:rFonts w:ascii="Times New Roman" w:hAnsi="Times New Roman" w:eastAsia="Times New Roman" w:cs="Times New Roman"/>
            <w:sz w:val="20"/>
            <w:szCs w:val="20"/>
            <w:spacing w:val="-1"/>
          </w:rPr>
          <w:t>nki.net</w:t>
        </w:r>
      </w:hyperlink>
    </w:p>
    <w:p>
      <w:pPr>
        <w:spacing w:line="192" w:lineRule="auto"/>
        <w:sectPr>
          <w:type w:val="continuous"/>
          <w:pgSz w:w="11850" w:h="16140"/>
          <w:pgMar w:top="400" w:right="1454" w:bottom="0" w:left="380" w:header="0" w:footer="0" w:gutter="0"/>
          <w:cols w:equalWidth="0" w:num="1">
            <w:col w:w="10016" w:space="0"/>
          </w:cols>
        </w:sectPr>
        <w:rPr>
          <w:rFonts w:ascii="Times New Roman" w:hAnsi="Times New Roman" w:eastAsia="Times New Roman" w:cs="Times New Roman"/>
          <w:sz w:val="20"/>
          <w:szCs w:val="20"/>
        </w:rPr>
      </w:pPr>
    </w:p>
    <w:p>
      <w:pPr>
        <w:ind w:firstLine="449"/>
        <w:spacing w:before="180" w:line="509" w:lineRule="exact"/>
        <w:rPr/>
      </w:pPr>
      <w:r>
        <w:rPr>
          <w:position w:val="-10"/>
        </w:rPr>
        <w:drawing>
          <wp:inline distT="0" distB="0" distL="0" distR="0">
            <wp:extent cx="1727231" cy="323762"/>
            <wp:effectExtent l="0" t="0" r="0" b="0"/>
            <wp:docPr id="84" name="IM 84"/>
            <wp:cNvGraphicFramePr/>
            <a:graphic>
              <a:graphicData uri="http://schemas.openxmlformats.org/drawingml/2006/picture">
                <pic:pic>
                  <pic:nvPicPr>
                    <pic:cNvPr id="84" name="IM 84"/>
                    <pic:cNvPicPr/>
                  </pic:nvPicPr>
                  <pic:blipFill>
                    <a:blip r:embed="rId188"/>
                    <a:stretch>
                      <a:fillRect/>
                    </a:stretch>
                  </pic:blipFill>
                  <pic:spPr>
                    <a:xfrm rot="0">
                      <a:off x="0" y="0"/>
                      <a:ext cx="1727231" cy="323762"/>
                    </a:xfrm>
                    <a:prstGeom prst="rect">
                      <a:avLst/>
                    </a:prstGeom>
                  </pic:spPr>
                </pic:pic>
              </a:graphicData>
            </a:graphic>
          </wp:inline>
        </w:drawing>
      </w:r>
    </w:p>
    <w:p>
      <w:pPr>
        <w:pStyle w:val="BodyText"/>
        <w:ind w:left="469"/>
        <w:spacing w:before="208" w:line="219" w:lineRule="auto"/>
        <w:rPr/>
      </w:pPr>
      <w:r>
        <w:rPr>
          <w:spacing w:val="2"/>
        </w:rPr>
        <w:t>他已定义类别</w:t>
      </w:r>
    </w:p>
    <w:p>
      <w:pPr>
        <w:pStyle w:val="BodyText"/>
        <w:ind w:left="469"/>
        <w:spacing w:before="80" w:line="219" w:lineRule="auto"/>
        <w:rPr/>
      </w:pPr>
      <w:r>
        <w:rPr/>
        <w:t>RTA</w:t>
      </w:r>
      <w:r>
        <w:rPr>
          <w:spacing w:val="5"/>
        </w:rPr>
        <w:t xml:space="preserve">        </w:t>
      </w:r>
      <w:r>
        <w:rPr/>
        <w:t>肾小管性酸中毒</w:t>
      </w:r>
    </w:p>
    <w:p>
      <w:pPr>
        <w:pStyle w:val="BodyText"/>
        <w:ind w:left="469"/>
        <w:spacing w:before="92" w:line="220" w:lineRule="auto"/>
        <w:rPr/>
      </w:pPr>
      <w:r>
        <w:rPr>
          <w:rFonts w:ascii="Times New Roman" w:hAnsi="Times New Roman" w:eastAsia="Times New Roman" w:cs="Times New Roman"/>
        </w:rPr>
        <w:t>SA               </w:t>
      </w:r>
      <w:r>
        <w:rPr>
          <w:spacing w:val="4"/>
        </w:rPr>
        <w:t>结石表面积</w:t>
      </w:r>
    </w:p>
    <w:p>
      <w:pPr>
        <w:pStyle w:val="BodyText"/>
        <w:ind w:left="469" w:right="6669"/>
        <w:spacing w:before="98" w:line="290" w:lineRule="auto"/>
        <w:rPr/>
      </w:pPr>
      <w:r>
        <w:rPr>
          <w:rFonts w:ascii="Times New Roman" w:hAnsi="Times New Roman" w:eastAsia="Times New Roman" w:cs="Times New Roman"/>
        </w:rPr>
        <w:t>So</w:t>
      </w:r>
      <w:r>
        <w:rPr>
          <w:rFonts w:ascii="Times New Roman" w:hAnsi="Times New Roman" w:eastAsia="Times New Roman" w:cs="Times New Roman"/>
          <w:spacing w:val="2"/>
        </w:rPr>
        <w:t xml:space="preserve">               </w:t>
      </w:r>
      <w:r>
        <w:rPr>
          <w:spacing w:val="2"/>
        </w:rPr>
        <w:t>初发结石患者，无残余结石</w:t>
      </w:r>
      <w:r>
        <w:rPr>
          <w:spacing w:val="6"/>
        </w:rPr>
        <w:t xml:space="preserve"> </w:t>
      </w:r>
      <w:r>
        <w:rPr>
          <w:rFonts w:ascii="Times New Roman" w:hAnsi="Times New Roman" w:eastAsia="Times New Roman" w:cs="Times New Roman"/>
        </w:rPr>
        <w:t>Sres</w:t>
      </w:r>
      <w:r>
        <w:rPr>
          <w:rFonts w:ascii="Times New Roman" w:hAnsi="Times New Roman" w:eastAsia="Times New Roman" w:cs="Times New Roman"/>
          <w:spacing w:val="2"/>
        </w:rPr>
        <w:t xml:space="preserve">             </w:t>
      </w:r>
      <w:r>
        <w:rPr>
          <w:spacing w:val="2"/>
        </w:rPr>
        <w:t>初发结石患者，</w:t>
      </w:r>
      <w:r>
        <w:rPr>
          <w:spacing w:val="1"/>
        </w:rPr>
        <w:t>有残余结石</w:t>
      </w:r>
      <w:r>
        <w:rPr/>
        <w:t xml:space="preserve"> </w:t>
      </w:r>
      <w:r>
        <w:rPr>
          <w:rFonts w:ascii="Times New Roman" w:hAnsi="Times New Roman" w:eastAsia="Times New Roman" w:cs="Times New Roman"/>
          <w:spacing w:val="-2"/>
        </w:rPr>
        <w:t>THAM</w:t>
      </w:r>
      <w:r>
        <w:rPr>
          <w:rFonts w:ascii="Times New Roman" w:hAnsi="Times New Roman" w:eastAsia="Times New Roman" w:cs="Times New Roman"/>
          <w:spacing w:val="3"/>
        </w:rPr>
        <w:t xml:space="preserve">             </w:t>
      </w:r>
      <w:r>
        <w:rPr>
          <w:spacing w:val="-2"/>
        </w:rPr>
        <w:t>三羟甲氨基甲烷</w:t>
      </w:r>
    </w:p>
    <w:p>
      <w:pPr>
        <w:pStyle w:val="BodyText"/>
        <w:ind w:left="469"/>
        <w:spacing w:before="1" w:line="218" w:lineRule="auto"/>
        <w:rPr/>
      </w:pPr>
      <w:r>
        <w:drawing>
          <wp:anchor distT="0" distB="0" distL="0" distR="0" simplePos="0" relativeHeight="251721728" behindDoc="0" locked="0" layoutInCell="1" allowOverlap="1">
            <wp:simplePos x="0" y="0"/>
            <wp:positionH relativeFrom="column">
              <wp:posOffset>6724643</wp:posOffset>
            </wp:positionH>
            <wp:positionV relativeFrom="paragraph">
              <wp:posOffset>103440</wp:posOffset>
            </wp:positionV>
            <wp:extent cx="101584" cy="469911"/>
            <wp:effectExtent l="0" t="0" r="0" b="0"/>
            <wp:wrapNone/>
            <wp:docPr id="86" name="IM 86"/>
            <wp:cNvGraphicFramePr/>
            <a:graphic>
              <a:graphicData uri="http://schemas.openxmlformats.org/drawingml/2006/picture">
                <pic:pic>
                  <pic:nvPicPr>
                    <pic:cNvPr id="86" name="IM 86"/>
                    <pic:cNvPicPr/>
                  </pic:nvPicPr>
                  <pic:blipFill>
                    <a:blip r:embed="rId189"/>
                    <a:stretch>
                      <a:fillRect/>
                    </a:stretch>
                  </pic:blipFill>
                  <pic:spPr>
                    <a:xfrm rot="0">
                      <a:off x="0" y="0"/>
                      <a:ext cx="101584" cy="469911"/>
                    </a:xfrm>
                    <a:prstGeom prst="rect">
                      <a:avLst/>
                    </a:prstGeom>
                  </pic:spPr>
                </pic:pic>
              </a:graphicData>
            </a:graphic>
          </wp:anchor>
        </w:drawing>
      </w:r>
      <w:r>
        <w:rPr>
          <w:spacing w:val="-1"/>
        </w:rPr>
        <w:t>TSH        促甲状腺激素</w:t>
      </w:r>
    </w:p>
    <w:p>
      <w:pPr>
        <w:pStyle w:val="BodyText"/>
        <w:ind w:left="469" w:right="6639"/>
        <w:spacing w:before="74" w:line="289" w:lineRule="auto"/>
        <w:rPr/>
      </w:pPr>
      <w:r>
        <w:rPr/>
        <w:t>UR</w:t>
      </w:r>
      <w:r>
        <w:rPr>
          <w:spacing w:val="7"/>
        </w:rPr>
        <w:t xml:space="preserve">        </w:t>
      </w:r>
      <w:r>
        <w:rPr>
          <w:spacing w:val="18"/>
        </w:rPr>
        <w:t>尿酸/尿酸钠/尿酸铵结石</w:t>
      </w:r>
      <w:r>
        <w:rPr>
          <w:spacing w:val="7"/>
        </w:rPr>
        <w:t xml:space="preserve"> </w:t>
      </w:r>
      <w:r>
        <w:rPr>
          <w:rFonts w:ascii="Times New Roman" w:hAnsi="Times New Roman" w:eastAsia="Times New Roman" w:cs="Times New Roman"/>
        </w:rPr>
        <w:t>URS</w:t>
      </w:r>
      <w:r>
        <w:rPr>
          <w:rFonts w:ascii="Times New Roman" w:hAnsi="Times New Roman" w:eastAsia="Times New Roman" w:cs="Times New Roman"/>
          <w:spacing w:val="1"/>
        </w:rPr>
        <w:t xml:space="preserve">              </w:t>
      </w:r>
      <w:r>
        <w:rPr>
          <w:spacing w:val="1"/>
        </w:rPr>
        <w:t>输尿管镜检查术</w:t>
      </w:r>
    </w:p>
    <w:p>
      <w:pPr>
        <w:pStyle w:val="BodyText"/>
        <w:ind w:left="469"/>
        <w:spacing w:before="1" w:line="219" w:lineRule="auto"/>
        <w:rPr/>
      </w:pPr>
      <w:r>
        <w:rPr>
          <w:rFonts w:ascii="Times New Roman" w:hAnsi="Times New Roman" w:eastAsia="Times New Roman" w:cs="Times New Roman"/>
          <w:spacing w:val="-7"/>
          <w:position w:val="-1"/>
        </w:rPr>
        <w:t>US</w:t>
      </w:r>
      <w:r>
        <w:rPr>
          <w:rFonts w:ascii="Times New Roman" w:hAnsi="Times New Roman" w:eastAsia="Times New Roman" w:cs="Times New Roman"/>
          <w:spacing w:val="3"/>
          <w:position w:val="-1"/>
        </w:rPr>
        <w:t xml:space="preserve">              </w:t>
      </w:r>
      <w:r>
        <w:rPr>
          <w:spacing w:val="-7"/>
        </w:rPr>
        <w:t>超声(波)检</w:t>
      </w:r>
    </w:p>
    <w:p>
      <w:pPr>
        <w:pStyle w:val="BodyText"/>
        <w:ind w:left="469"/>
        <w:spacing w:before="82" w:line="221" w:lineRule="auto"/>
        <w:rPr/>
      </w:pPr>
      <w:r>
        <w:rPr>
          <w:rFonts w:ascii="Times New Roman" w:hAnsi="Times New Roman" w:eastAsia="Times New Roman" w:cs="Times New Roman"/>
          <w:spacing w:val="-2"/>
        </w:rPr>
        <w:t>V</w:t>
      </w:r>
      <w:r>
        <w:rPr>
          <w:rFonts w:ascii="Times New Roman" w:hAnsi="Times New Roman" w:eastAsia="Times New Roman" w:cs="Times New Roman"/>
        </w:rPr>
        <w:t xml:space="preserve">                 </w:t>
      </w:r>
      <w:r>
        <w:rPr>
          <w:spacing w:val="-2"/>
        </w:rPr>
        <w:t>尿量</w:t>
      </w:r>
    </w:p>
    <w:p>
      <w:pPr>
        <w:pStyle w:val="BodyText"/>
        <w:ind w:left="469"/>
        <w:spacing w:before="78" w:line="220" w:lineRule="auto"/>
        <w:rPr/>
      </w:pPr>
      <w:r>
        <w:rPr>
          <w:rFonts w:ascii="Times New Roman" w:hAnsi="Times New Roman" w:eastAsia="Times New Roman" w:cs="Times New Roman"/>
          <w:spacing w:val="3"/>
          <w:position w:val="-1"/>
        </w:rPr>
        <w:t>W</w:t>
      </w:r>
      <w:r>
        <w:rPr>
          <w:rFonts w:ascii="Times New Roman" w:hAnsi="Times New Roman" w:eastAsia="Times New Roman" w:cs="Times New Roman"/>
          <w:spacing w:val="1"/>
          <w:position w:val="-1"/>
        </w:rPr>
        <w:t xml:space="preserve">                </w:t>
      </w:r>
      <w:r>
        <w:rPr>
          <w:spacing w:val="3"/>
        </w:rPr>
        <w:t>结石宽度</w:t>
      </w:r>
    </w:p>
    <w:p>
      <w:pPr>
        <w:spacing w:line="377" w:lineRule="auto"/>
        <w:rPr>
          <w:rFonts w:ascii="Arial"/>
          <w:sz w:val="21"/>
        </w:rPr>
      </w:pPr>
      <w:r/>
    </w:p>
    <w:p>
      <w:pPr>
        <w:pStyle w:val="BodyText"/>
        <w:ind w:left="939"/>
        <w:spacing w:before="68" w:line="219" w:lineRule="auto"/>
        <w:rPr/>
      </w:pPr>
      <w:r>
        <w:rPr>
          <w:spacing w:val="1"/>
        </w:rPr>
        <w:t>16.附录</w:t>
      </w:r>
    </w:p>
    <w:p>
      <w:pPr>
        <w:pStyle w:val="BodyText"/>
        <w:ind w:left="469"/>
        <w:spacing w:before="73" w:line="219" w:lineRule="auto"/>
        <w:rPr/>
      </w:pPr>
      <w:r>
        <w:rPr>
          <w:spacing w:val="2"/>
        </w:rPr>
        <w:t>A1.由已知的结石直径推算结石的近似表面积</w:t>
      </w:r>
    </w:p>
    <w:p>
      <w:pPr>
        <w:pStyle w:val="BodyText"/>
        <w:ind w:left="469" w:right="730" w:firstLine="430"/>
        <w:spacing w:before="26" w:line="321" w:lineRule="auto"/>
        <w:rPr>
          <w:rFonts w:ascii="Times New Roman" w:hAnsi="Times New Roman" w:eastAsia="Times New Roman" w:cs="Times New Roman"/>
        </w:rPr>
      </w:pPr>
      <w:r>
        <w:rPr>
          <w:spacing w:val="3"/>
        </w:rPr>
        <w:t>通过测量腹部平片中结石的长度和宽度，可以估算出结石的近似表面积</w:t>
      </w:r>
      <w:r>
        <w:rPr>
          <w:rFonts w:ascii="Times New Roman" w:hAnsi="Times New Roman" w:eastAsia="Times New Roman" w:cs="Times New Roman"/>
          <w:spacing w:val="2"/>
        </w:rPr>
        <w:t>(</w:t>
      </w:r>
      <w:r>
        <w:rPr>
          <w:rFonts w:ascii="Times New Roman" w:hAnsi="Times New Roman" w:eastAsia="Times New Roman" w:cs="Times New Roman"/>
        </w:rPr>
        <w:t>mm</w:t>
      </w:r>
      <w:r>
        <w:rPr>
          <w:rFonts w:ascii="Times New Roman" w:hAnsi="Times New Roman" w:eastAsia="Times New Roman" w:cs="Times New Roman"/>
          <w:spacing w:val="2"/>
        </w:rPr>
        <w:t>2)</w:t>
      </w:r>
      <w:r>
        <w:rPr>
          <w:rFonts w:ascii="Times New Roman" w:hAnsi="Times New Roman" w:eastAsia="Times New Roman" w:cs="Times New Roman"/>
          <w:spacing w:val="-24"/>
        </w:rPr>
        <w:t xml:space="preserve"> </w:t>
      </w:r>
      <w:r>
        <w:rPr>
          <w:spacing w:val="2"/>
        </w:rPr>
        <w:t>。不论何种成分，任</w:t>
      </w:r>
      <w:r>
        <w:rPr/>
        <w:t xml:space="preserve"> </w:t>
      </w:r>
      <w:r>
        <w:rPr>
          <w:spacing w:val="2"/>
        </w:rPr>
        <w:t>何直径1～25</w:t>
      </w:r>
      <w:r>
        <w:rPr>
          <w:rFonts w:ascii="Times New Roman" w:hAnsi="Times New Roman" w:eastAsia="Times New Roman" w:cs="Times New Roman"/>
        </w:rPr>
        <w:t>mm</w:t>
      </w:r>
      <w:r>
        <w:rPr>
          <w:spacing w:val="2"/>
        </w:rPr>
        <w:t>的结石的表面积可见表</w:t>
      </w:r>
      <w:r>
        <w:rPr>
          <w:rFonts w:ascii="Times New Roman" w:hAnsi="Times New Roman" w:eastAsia="Times New Roman" w:cs="Times New Roman"/>
          <w:spacing w:val="2"/>
        </w:rPr>
        <w:t>A1.</w:t>
      </w:r>
    </w:p>
    <w:p>
      <w:pPr>
        <w:pStyle w:val="BodyText"/>
        <w:ind w:left="879"/>
        <w:spacing w:line="212" w:lineRule="auto"/>
        <w:rPr>
          <w:rFonts w:ascii="Times New Roman" w:hAnsi="Times New Roman" w:eastAsia="Times New Roman" w:cs="Times New Roman"/>
        </w:rPr>
      </w:pPr>
      <w:r>
        <w:drawing>
          <wp:anchor distT="0" distB="0" distL="0" distR="0" simplePos="0" relativeHeight="251722752" behindDoc="0" locked="0" layoutInCell="1" allowOverlap="1">
            <wp:simplePos x="0" y="0"/>
            <wp:positionH relativeFrom="column">
              <wp:posOffset>6724643</wp:posOffset>
            </wp:positionH>
            <wp:positionV relativeFrom="paragraph">
              <wp:posOffset>2803622</wp:posOffset>
            </wp:positionV>
            <wp:extent cx="66668" cy="450849"/>
            <wp:effectExtent l="0" t="0" r="0" b="0"/>
            <wp:wrapNone/>
            <wp:docPr id="88" name="IM 88"/>
            <wp:cNvGraphicFramePr/>
            <a:graphic>
              <a:graphicData uri="http://schemas.openxmlformats.org/drawingml/2006/picture">
                <pic:pic>
                  <pic:nvPicPr>
                    <pic:cNvPr id="88" name="IM 88"/>
                    <pic:cNvPicPr/>
                  </pic:nvPicPr>
                  <pic:blipFill>
                    <a:blip r:embed="rId190"/>
                    <a:stretch>
                      <a:fillRect/>
                    </a:stretch>
                  </pic:blipFill>
                  <pic:spPr>
                    <a:xfrm rot="0">
                      <a:off x="0" y="0"/>
                      <a:ext cx="66668" cy="450849"/>
                    </a:xfrm>
                    <a:prstGeom prst="rect">
                      <a:avLst/>
                    </a:prstGeom>
                  </pic:spPr>
                </pic:pic>
              </a:graphicData>
            </a:graphic>
          </wp:anchor>
        </w:drawing>
      </w:r>
      <w:r>
        <w:rPr/>
        <w:t>表</w:t>
      </w:r>
      <w:r>
        <w:rPr>
          <w:rFonts w:ascii="Times New Roman" w:hAnsi="Times New Roman" w:eastAsia="Times New Roman" w:cs="Times New Roman"/>
        </w:rPr>
        <w:t>A1</w:t>
      </w:r>
      <w:r>
        <w:rPr/>
        <w:t>。由结石的长度和宽度计算出的结石近似表面积</w:t>
      </w:r>
      <w:r>
        <w:rPr>
          <w:rFonts w:ascii="Times New Roman" w:hAnsi="Times New Roman" w:eastAsia="Times New Roman" w:cs="Times New Roman"/>
        </w:rPr>
        <w:t>(mm2)</w:t>
      </w:r>
    </w:p>
    <w:p>
      <w:pPr>
        <w:spacing w:line="169" w:lineRule="exact"/>
        <w:rPr/>
      </w:pPr>
      <w:r/>
    </w:p>
    <w:tbl>
      <w:tblPr>
        <w:tblStyle w:val="TableNormal"/>
        <w:tblW w:w="9069" w:type="dxa"/>
        <w:tblInd w:w="7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64"/>
        <w:gridCol w:w="330"/>
        <w:gridCol w:w="319"/>
        <w:gridCol w:w="329"/>
        <w:gridCol w:w="330"/>
        <w:gridCol w:w="330"/>
        <w:gridCol w:w="330"/>
        <w:gridCol w:w="329"/>
        <w:gridCol w:w="330"/>
        <w:gridCol w:w="330"/>
        <w:gridCol w:w="330"/>
        <w:gridCol w:w="309"/>
        <w:gridCol w:w="330"/>
        <w:gridCol w:w="330"/>
        <w:gridCol w:w="319"/>
        <w:gridCol w:w="339"/>
        <w:gridCol w:w="320"/>
        <w:gridCol w:w="329"/>
        <w:gridCol w:w="340"/>
        <w:gridCol w:w="329"/>
        <w:gridCol w:w="320"/>
        <w:gridCol w:w="330"/>
        <w:gridCol w:w="329"/>
        <w:gridCol w:w="330"/>
        <w:gridCol w:w="320"/>
        <w:gridCol w:w="344"/>
      </w:tblGrid>
      <w:tr>
        <w:trPr>
          <w:trHeight w:val="294" w:hRule="atLeast"/>
        </w:trPr>
        <w:tc>
          <w:tcPr>
            <w:tcW w:w="864" w:type="dxa"/>
            <w:vAlign w:val="top"/>
          </w:tcPr>
          <w:p>
            <w:pPr>
              <w:pStyle w:val="TableText"/>
              <w:ind w:left="15"/>
              <w:spacing w:before="5" w:line="214" w:lineRule="auto"/>
              <w:rPr>
                <w:sz w:val="15"/>
                <w:szCs w:val="15"/>
              </w:rPr>
            </w:pPr>
            <w:r>
              <w:rPr>
                <w:sz w:val="15"/>
                <w:szCs w:val="15"/>
                <w:spacing w:val="-1"/>
              </w:rPr>
              <w:t>Length mm</w:t>
            </w:r>
          </w:p>
        </w:tc>
        <w:tc>
          <w:tcPr>
            <w:tcW w:w="330" w:type="dxa"/>
            <w:vAlign w:val="top"/>
          </w:tcPr>
          <w:p>
            <w:pPr>
              <w:pStyle w:val="TableText"/>
              <w:ind w:right="4"/>
              <w:spacing w:before="26" w:line="241" w:lineRule="auto"/>
              <w:jc w:val="right"/>
              <w:rPr>
                <w:sz w:val="15"/>
                <w:szCs w:val="15"/>
              </w:rPr>
            </w:pPr>
            <w:r>
              <w:rPr>
                <w:sz w:val="15"/>
                <w:szCs w:val="15"/>
              </w:rPr>
              <w:t>1</w:t>
            </w:r>
          </w:p>
        </w:tc>
        <w:tc>
          <w:tcPr>
            <w:tcW w:w="319" w:type="dxa"/>
            <w:vAlign w:val="top"/>
          </w:tcPr>
          <w:p>
            <w:pPr>
              <w:pStyle w:val="TableText"/>
              <w:ind w:left="180"/>
              <w:spacing w:before="26" w:line="241" w:lineRule="auto"/>
              <w:rPr>
                <w:sz w:val="15"/>
                <w:szCs w:val="15"/>
              </w:rPr>
            </w:pPr>
            <w:r>
              <w:rPr>
                <w:sz w:val="15"/>
                <w:szCs w:val="15"/>
              </w:rPr>
              <w:t>2</w:t>
            </w:r>
          </w:p>
        </w:tc>
        <w:tc>
          <w:tcPr>
            <w:tcW w:w="329" w:type="dxa"/>
            <w:vAlign w:val="top"/>
          </w:tcPr>
          <w:p>
            <w:pPr>
              <w:pStyle w:val="TableText"/>
              <w:ind w:left="211"/>
              <w:spacing w:before="25"/>
              <w:rPr>
                <w:sz w:val="15"/>
                <w:szCs w:val="15"/>
              </w:rPr>
            </w:pPr>
            <w:r>
              <w:rPr>
                <w:sz w:val="15"/>
                <w:szCs w:val="15"/>
              </w:rPr>
              <w:t>3</w:t>
            </w:r>
          </w:p>
        </w:tc>
        <w:tc>
          <w:tcPr>
            <w:tcW w:w="330" w:type="dxa"/>
            <w:vAlign w:val="top"/>
          </w:tcPr>
          <w:p>
            <w:pPr>
              <w:pStyle w:val="TableText"/>
              <w:ind w:right="2"/>
              <w:spacing w:before="26" w:line="241" w:lineRule="auto"/>
              <w:jc w:val="right"/>
              <w:rPr>
                <w:sz w:val="15"/>
                <w:szCs w:val="15"/>
              </w:rPr>
            </w:pPr>
            <w:r>
              <w:rPr>
                <w:sz w:val="15"/>
                <w:szCs w:val="15"/>
              </w:rPr>
              <w:t>4</w:t>
            </w:r>
          </w:p>
        </w:tc>
        <w:tc>
          <w:tcPr>
            <w:tcW w:w="330" w:type="dxa"/>
            <w:vAlign w:val="top"/>
          </w:tcPr>
          <w:p>
            <w:pPr>
              <w:pStyle w:val="TableText"/>
              <w:ind w:right="1"/>
              <w:spacing w:before="13" w:line="222" w:lineRule="auto"/>
              <w:jc w:val="right"/>
              <w:rPr>
                <w:sz w:val="15"/>
                <w:szCs w:val="15"/>
              </w:rPr>
            </w:pPr>
            <w:r>
              <w:rPr>
                <w:sz w:val="15"/>
                <w:szCs w:val="15"/>
                <w:spacing w:val="-3"/>
              </w:rPr>
              <w:t>5)</w:t>
            </w:r>
          </w:p>
        </w:tc>
        <w:tc>
          <w:tcPr>
            <w:tcW w:w="330" w:type="dxa"/>
            <w:vAlign w:val="top"/>
          </w:tcPr>
          <w:p>
            <w:pPr>
              <w:pStyle w:val="TableText"/>
              <w:ind w:right="12"/>
              <w:spacing w:before="25"/>
              <w:jc w:val="right"/>
              <w:rPr>
                <w:sz w:val="15"/>
                <w:szCs w:val="15"/>
              </w:rPr>
            </w:pPr>
            <w:r>
              <w:rPr>
                <w:sz w:val="15"/>
                <w:szCs w:val="15"/>
              </w:rPr>
              <w:t>6</w:t>
            </w:r>
          </w:p>
        </w:tc>
        <w:tc>
          <w:tcPr>
            <w:tcW w:w="329" w:type="dxa"/>
            <w:vAlign w:val="top"/>
          </w:tcPr>
          <w:p>
            <w:pPr>
              <w:pStyle w:val="TableText"/>
              <w:ind w:right="10"/>
              <w:spacing w:before="25"/>
              <w:jc w:val="right"/>
              <w:rPr>
                <w:sz w:val="15"/>
                <w:szCs w:val="15"/>
              </w:rPr>
            </w:pPr>
            <w:r>
              <w:rPr>
                <w:sz w:val="15"/>
                <w:szCs w:val="15"/>
                <w:spacing w:val="-3"/>
              </w:rPr>
              <w:t>71</w:t>
            </w:r>
          </w:p>
        </w:tc>
        <w:tc>
          <w:tcPr>
            <w:tcW w:w="330" w:type="dxa"/>
            <w:vAlign w:val="top"/>
          </w:tcPr>
          <w:p>
            <w:pPr>
              <w:pStyle w:val="TableText"/>
              <w:ind w:right="10"/>
              <w:spacing w:before="25"/>
              <w:jc w:val="right"/>
              <w:rPr>
                <w:sz w:val="15"/>
                <w:szCs w:val="15"/>
              </w:rPr>
            </w:pPr>
            <w:r>
              <w:rPr>
                <w:sz w:val="15"/>
                <w:szCs w:val="15"/>
              </w:rPr>
              <w:t>8</w:t>
            </w:r>
          </w:p>
        </w:tc>
        <w:tc>
          <w:tcPr>
            <w:tcW w:w="330" w:type="dxa"/>
            <w:vAlign w:val="top"/>
          </w:tcPr>
          <w:p>
            <w:pPr>
              <w:pStyle w:val="TableText"/>
              <w:spacing w:before="25"/>
              <w:jc w:val="right"/>
              <w:rPr>
                <w:sz w:val="15"/>
                <w:szCs w:val="15"/>
              </w:rPr>
            </w:pPr>
            <w:r>
              <w:rPr>
                <w:sz w:val="15"/>
                <w:szCs w:val="15"/>
                <w:spacing w:val="-4"/>
              </w:rPr>
              <w:t>91</w:t>
            </w:r>
          </w:p>
        </w:tc>
        <w:tc>
          <w:tcPr>
            <w:tcW w:w="330" w:type="dxa"/>
            <w:vAlign w:val="top"/>
          </w:tcPr>
          <w:p>
            <w:pPr>
              <w:pStyle w:val="TableText"/>
              <w:ind w:right="12"/>
              <w:spacing w:before="25"/>
              <w:jc w:val="right"/>
              <w:rPr>
                <w:sz w:val="15"/>
                <w:szCs w:val="15"/>
              </w:rPr>
            </w:pPr>
            <w:r>
              <w:rPr>
                <w:sz w:val="15"/>
                <w:szCs w:val="15"/>
                <w:spacing w:val="-4"/>
              </w:rPr>
              <w:t>101</w:t>
            </w:r>
          </w:p>
        </w:tc>
        <w:tc>
          <w:tcPr>
            <w:tcW w:w="309" w:type="dxa"/>
            <w:vAlign w:val="top"/>
          </w:tcPr>
          <w:p>
            <w:pPr>
              <w:pStyle w:val="TableText"/>
              <w:ind w:right="13"/>
              <w:spacing w:before="26" w:line="241" w:lineRule="auto"/>
              <w:jc w:val="right"/>
              <w:rPr>
                <w:sz w:val="15"/>
                <w:szCs w:val="15"/>
              </w:rPr>
            </w:pPr>
            <w:r>
              <w:rPr>
                <w:sz w:val="15"/>
                <w:szCs w:val="15"/>
                <w:spacing w:val="-5"/>
              </w:rPr>
              <w:t>11</w:t>
            </w:r>
          </w:p>
        </w:tc>
        <w:tc>
          <w:tcPr>
            <w:tcW w:w="330" w:type="dxa"/>
            <w:vAlign w:val="top"/>
          </w:tcPr>
          <w:p>
            <w:pPr>
              <w:pStyle w:val="TableText"/>
              <w:ind w:right="11"/>
              <w:spacing w:before="26" w:line="241" w:lineRule="auto"/>
              <w:jc w:val="right"/>
              <w:rPr>
                <w:sz w:val="15"/>
                <w:szCs w:val="15"/>
              </w:rPr>
            </w:pPr>
            <w:r>
              <w:rPr>
                <w:sz w:val="15"/>
                <w:szCs w:val="15"/>
                <w:spacing w:val="-4"/>
              </w:rPr>
              <w:t>121</w:t>
            </w:r>
          </w:p>
        </w:tc>
        <w:tc>
          <w:tcPr>
            <w:tcW w:w="330" w:type="dxa"/>
            <w:vAlign w:val="top"/>
          </w:tcPr>
          <w:p>
            <w:pPr>
              <w:pStyle w:val="TableText"/>
              <w:ind w:left="154"/>
              <w:spacing w:before="25"/>
              <w:rPr>
                <w:sz w:val="15"/>
                <w:szCs w:val="15"/>
              </w:rPr>
            </w:pPr>
            <w:r>
              <w:rPr>
                <w:sz w:val="15"/>
                <w:szCs w:val="15"/>
                <w:spacing w:val="-5"/>
              </w:rPr>
              <w:t>13</w:t>
            </w:r>
          </w:p>
        </w:tc>
        <w:tc>
          <w:tcPr>
            <w:tcW w:w="319" w:type="dxa"/>
            <w:vAlign w:val="top"/>
          </w:tcPr>
          <w:p>
            <w:pPr>
              <w:pStyle w:val="TableText"/>
              <w:ind w:left="54"/>
              <w:spacing w:before="3" w:line="215" w:lineRule="auto"/>
              <w:rPr>
                <w:sz w:val="15"/>
                <w:szCs w:val="15"/>
              </w:rPr>
            </w:pPr>
            <w:r>
              <w:rPr>
                <w:sz w:val="15"/>
                <w:szCs w:val="15"/>
                <w:spacing w:val="-6"/>
              </w:rPr>
              <w:t>14|</w:t>
            </w:r>
          </w:p>
        </w:tc>
        <w:tc>
          <w:tcPr>
            <w:tcW w:w="339" w:type="dxa"/>
            <w:vAlign w:val="top"/>
          </w:tcPr>
          <w:p>
            <w:pPr>
              <w:pStyle w:val="TableText"/>
              <w:ind w:left="125"/>
              <w:spacing w:before="25"/>
              <w:rPr>
                <w:sz w:val="15"/>
                <w:szCs w:val="15"/>
              </w:rPr>
            </w:pPr>
            <w:r>
              <w:rPr>
                <w:sz w:val="15"/>
                <w:szCs w:val="15"/>
                <w:spacing w:val="-5"/>
              </w:rPr>
              <w:t>15</w:t>
            </w:r>
          </w:p>
        </w:tc>
        <w:tc>
          <w:tcPr>
            <w:tcW w:w="320" w:type="dxa"/>
            <w:vAlign w:val="top"/>
          </w:tcPr>
          <w:p>
            <w:pPr>
              <w:pStyle w:val="TableText"/>
              <w:ind w:left="76"/>
              <w:spacing w:before="25"/>
              <w:rPr>
                <w:sz w:val="15"/>
                <w:szCs w:val="15"/>
              </w:rPr>
            </w:pPr>
            <w:r>
              <w:rPr>
                <w:sz w:val="15"/>
                <w:szCs w:val="15"/>
                <w:spacing w:val="-5"/>
              </w:rPr>
              <w:t>16</w:t>
            </w:r>
          </w:p>
        </w:tc>
        <w:tc>
          <w:tcPr>
            <w:tcW w:w="329" w:type="dxa"/>
            <w:vAlign w:val="top"/>
          </w:tcPr>
          <w:p>
            <w:pPr>
              <w:pStyle w:val="TableText"/>
              <w:spacing w:before="3" w:line="215" w:lineRule="auto"/>
              <w:jc w:val="right"/>
              <w:rPr>
                <w:sz w:val="15"/>
                <w:szCs w:val="15"/>
              </w:rPr>
            </w:pPr>
            <w:r>
              <w:rPr>
                <w:sz w:val="15"/>
                <w:szCs w:val="15"/>
                <w:spacing w:val="-8"/>
              </w:rPr>
              <w:t>17|</w:t>
            </w:r>
          </w:p>
        </w:tc>
        <w:tc>
          <w:tcPr>
            <w:tcW w:w="340" w:type="dxa"/>
            <w:vAlign w:val="top"/>
          </w:tcPr>
          <w:p>
            <w:pPr>
              <w:pStyle w:val="TableText"/>
              <w:spacing w:before="25"/>
              <w:jc w:val="right"/>
              <w:rPr>
                <w:sz w:val="15"/>
                <w:szCs w:val="15"/>
              </w:rPr>
            </w:pPr>
            <w:r>
              <w:rPr>
                <w:sz w:val="15"/>
                <w:szCs w:val="15"/>
                <w:spacing w:val="-5"/>
              </w:rPr>
              <w:t>18</w:t>
            </w:r>
          </w:p>
        </w:tc>
        <w:tc>
          <w:tcPr>
            <w:tcW w:w="329" w:type="dxa"/>
            <w:vAlign w:val="top"/>
          </w:tcPr>
          <w:p>
            <w:pPr>
              <w:pStyle w:val="TableText"/>
              <w:ind w:left="87"/>
              <w:spacing w:before="25"/>
              <w:rPr>
                <w:sz w:val="15"/>
                <w:szCs w:val="15"/>
              </w:rPr>
            </w:pPr>
            <w:r>
              <w:rPr>
                <w:sz w:val="15"/>
                <w:szCs w:val="15"/>
                <w:spacing w:val="-5"/>
              </w:rPr>
              <w:t>19</w:t>
            </w:r>
          </w:p>
        </w:tc>
        <w:tc>
          <w:tcPr>
            <w:tcW w:w="320" w:type="dxa"/>
            <w:vAlign w:val="top"/>
          </w:tcPr>
          <w:p>
            <w:pPr>
              <w:pStyle w:val="TableText"/>
              <w:ind w:left="118"/>
              <w:spacing w:before="25"/>
              <w:rPr>
                <w:sz w:val="15"/>
                <w:szCs w:val="15"/>
              </w:rPr>
            </w:pPr>
            <w:r>
              <w:rPr>
                <w:sz w:val="15"/>
                <w:szCs w:val="15"/>
                <w:spacing w:val="-2"/>
              </w:rPr>
              <w:t>20</w:t>
            </w:r>
          </w:p>
        </w:tc>
        <w:tc>
          <w:tcPr>
            <w:tcW w:w="330" w:type="dxa"/>
            <w:vAlign w:val="top"/>
          </w:tcPr>
          <w:p>
            <w:pPr>
              <w:pStyle w:val="TableText"/>
              <w:ind w:left="128"/>
              <w:spacing w:before="26" w:line="241" w:lineRule="auto"/>
              <w:rPr>
                <w:sz w:val="15"/>
                <w:szCs w:val="15"/>
              </w:rPr>
            </w:pPr>
            <w:r>
              <w:rPr>
                <w:sz w:val="15"/>
                <w:szCs w:val="15"/>
                <w:spacing w:val="-2"/>
              </w:rPr>
              <w:t>21</w:t>
            </w:r>
          </w:p>
        </w:tc>
        <w:tc>
          <w:tcPr>
            <w:tcW w:w="329" w:type="dxa"/>
            <w:vAlign w:val="top"/>
          </w:tcPr>
          <w:p>
            <w:pPr>
              <w:pStyle w:val="TableText"/>
              <w:ind w:left="138"/>
              <w:spacing w:before="26" w:line="241" w:lineRule="auto"/>
              <w:rPr>
                <w:sz w:val="15"/>
                <w:szCs w:val="15"/>
              </w:rPr>
            </w:pPr>
            <w:r>
              <w:rPr>
                <w:sz w:val="15"/>
                <w:szCs w:val="15"/>
                <w:spacing w:val="-2"/>
              </w:rPr>
              <w:t>22</w:t>
            </w:r>
          </w:p>
        </w:tc>
        <w:tc>
          <w:tcPr>
            <w:tcW w:w="330" w:type="dxa"/>
            <w:vAlign w:val="top"/>
          </w:tcPr>
          <w:p>
            <w:pPr>
              <w:pStyle w:val="TableText"/>
              <w:ind w:left="119"/>
              <w:spacing w:before="25"/>
              <w:rPr>
                <w:sz w:val="15"/>
                <w:szCs w:val="15"/>
              </w:rPr>
            </w:pPr>
            <w:r>
              <w:rPr>
                <w:sz w:val="15"/>
                <w:szCs w:val="15"/>
                <w:spacing w:val="-2"/>
              </w:rPr>
              <w:t>23</w:t>
            </w:r>
          </w:p>
        </w:tc>
        <w:tc>
          <w:tcPr>
            <w:tcW w:w="320" w:type="dxa"/>
            <w:vAlign w:val="top"/>
          </w:tcPr>
          <w:p>
            <w:pPr>
              <w:pStyle w:val="TableText"/>
              <w:ind w:left="119"/>
              <w:spacing w:before="26" w:line="241" w:lineRule="auto"/>
              <w:rPr>
                <w:sz w:val="15"/>
                <w:szCs w:val="15"/>
              </w:rPr>
            </w:pPr>
            <w:r>
              <w:rPr>
                <w:sz w:val="15"/>
                <w:szCs w:val="15"/>
                <w:spacing w:val="-2"/>
              </w:rPr>
              <w:t>24</w:t>
            </w:r>
          </w:p>
        </w:tc>
        <w:tc>
          <w:tcPr>
            <w:tcW w:w="344" w:type="dxa"/>
            <w:vAlign w:val="top"/>
          </w:tcPr>
          <w:p>
            <w:pPr>
              <w:pStyle w:val="TableText"/>
              <w:ind w:left="130"/>
              <w:spacing w:before="25"/>
              <w:rPr>
                <w:sz w:val="15"/>
                <w:szCs w:val="15"/>
              </w:rPr>
            </w:pPr>
            <w:r>
              <w:rPr>
                <w:sz w:val="15"/>
                <w:szCs w:val="15"/>
                <w:spacing w:val="-2"/>
              </w:rPr>
              <w:t>25</w:t>
            </w:r>
          </w:p>
        </w:tc>
      </w:tr>
      <w:tr>
        <w:trPr>
          <w:trHeight w:val="279" w:hRule="atLeast"/>
        </w:trPr>
        <w:tc>
          <w:tcPr>
            <w:tcW w:w="864" w:type="dxa"/>
            <w:vAlign w:val="top"/>
          </w:tcPr>
          <w:p>
            <w:pPr>
              <w:pStyle w:val="TableText"/>
              <w:ind w:left="15"/>
              <w:spacing w:before="82" w:line="205" w:lineRule="auto"/>
              <w:rPr>
                <w:sz w:val="15"/>
                <w:szCs w:val="15"/>
              </w:rPr>
            </w:pPr>
            <w:r>
              <w:rPr>
                <w:sz w:val="15"/>
                <w:szCs w:val="15"/>
                <w:spacing w:val="-1"/>
              </w:rPr>
              <w:t>Wicthmm</w:t>
            </w:r>
            <w:r>
              <w:rPr>
                <w:sz w:val="15"/>
                <w:szCs w:val="15"/>
                <w:spacing w:val="5"/>
              </w:rPr>
              <w:t xml:space="preserve">   </w:t>
            </w:r>
            <w:r>
              <w:rPr>
                <w:sz w:val="15"/>
                <w:szCs w:val="15"/>
                <w:spacing w:val="-1"/>
                <w:position w:val="2"/>
              </w:rPr>
              <w:t>1</w:t>
            </w:r>
          </w:p>
        </w:tc>
        <w:tc>
          <w:tcPr>
            <w:tcW w:w="330" w:type="dxa"/>
            <w:vAlign w:val="top"/>
          </w:tcPr>
          <w:p>
            <w:pPr>
              <w:pStyle w:val="TableText"/>
              <w:ind w:right="2"/>
              <w:spacing w:before="112" w:line="193" w:lineRule="auto"/>
              <w:jc w:val="right"/>
              <w:rPr>
                <w:sz w:val="15"/>
                <w:szCs w:val="15"/>
              </w:rPr>
            </w:pPr>
            <w:r>
              <w:rPr>
                <w:sz w:val="15"/>
                <w:szCs w:val="15"/>
                <w:spacing w:val="-2"/>
              </w:rPr>
              <w:t>08</w:t>
            </w:r>
          </w:p>
        </w:tc>
        <w:tc>
          <w:tcPr>
            <w:tcW w:w="319" w:type="dxa"/>
            <w:vAlign w:val="top"/>
          </w:tcPr>
          <w:p>
            <w:pPr>
              <w:pStyle w:val="TableText"/>
              <w:spacing w:before="112" w:line="193" w:lineRule="auto"/>
              <w:jc w:val="right"/>
              <w:rPr>
                <w:sz w:val="15"/>
                <w:szCs w:val="15"/>
              </w:rPr>
            </w:pPr>
            <w:r>
              <w:rPr>
                <w:sz w:val="15"/>
                <w:szCs w:val="15"/>
                <w:spacing w:val="-6"/>
              </w:rPr>
              <w:t>1.6</w:t>
            </w:r>
          </w:p>
        </w:tc>
        <w:tc>
          <w:tcPr>
            <w:tcW w:w="329" w:type="dxa"/>
            <w:vAlign w:val="top"/>
          </w:tcPr>
          <w:p>
            <w:pPr>
              <w:pStyle w:val="TableText"/>
              <w:ind w:left="61"/>
              <w:spacing w:before="82" w:line="230" w:lineRule="auto"/>
              <w:rPr>
                <w:sz w:val="15"/>
                <w:szCs w:val="15"/>
              </w:rPr>
            </w:pPr>
            <w:r>
              <w:rPr>
                <w:sz w:val="15"/>
                <w:szCs w:val="15"/>
                <w:spacing w:val="-2"/>
              </w:rPr>
              <w:t>2.4</w:t>
            </w:r>
          </w:p>
        </w:tc>
        <w:tc>
          <w:tcPr>
            <w:tcW w:w="330" w:type="dxa"/>
            <w:vAlign w:val="top"/>
          </w:tcPr>
          <w:p>
            <w:pPr>
              <w:pStyle w:val="TableText"/>
              <w:ind w:right="2"/>
              <w:spacing w:before="82" w:line="230" w:lineRule="auto"/>
              <w:jc w:val="right"/>
              <w:rPr>
                <w:sz w:val="15"/>
                <w:szCs w:val="15"/>
              </w:rPr>
            </w:pPr>
            <w:r>
              <w:rPr>
                <w:sz w:val="15"/>
                <w:szCs w:val="15"/>
              </w:rPr>
              <w:t>3</w:t>
            </w:r>
          </w:p>
        </w:tc>
        <w:tc>
          <w:tcPr>
            <w:tcW w:w="330" w:type="dxa"/>
            <w:vAlign w:val="top"/>
          </w:tcPr>
          <w:p>
            <w:pPr>
              <w:pStyle w:val="TableText"/>
              <w:ind w:right="1"/>
              <w:spacing w:before="82" w:line="230" w:lineRule="auto"/>
              <w:jc w:val="right"/>
              <w:rPr>
                <w:sz w:val="15"/>
                <w:szCs w:val="15"/>
              </w:rPr>
            </w:pPr>
            <w:r>
              <w:rPr>
                <w:sz w:val="15"/>
                <w:szCs w:val="15"/>
              </w:rPr>
              <w:t>4</w:t>
            </w:r>
          </w:p>
        </w:tc>
        <w:tc>
          <w:tcPr>
            <w:tcW w:w="330" w:type="dxa"/>
            <w:vAlign w:val="top"/>
          </w:tcPr>
          <w:p>
            <w:pPr>
              <w:pStyle w:val="TableText"/>
              <w:ind w:right="12"/>
              <w:spacing w:before="82" w:line="230" w:lineRule="auto"/>
              <w:jc w:val="right"/>
              <w:rPr>
                <w:sz w:val="15"/>
                <w:szCs w:val="15"/>
              </w:rPr>
            </w:pPr>
            <w:r>
              <w:rPr>
                <w:sz w:val="15"/>
                <w:szCs w:val="15"/>
              </w:rPr>
              <w:t>5</w:t>
            </w:r>
          </w:p>
        </w:tc>
        <w:tc>
          <w:tcPr>
            <w:tcW w:w="329" w:type="dxa"/>
            <w:vAlign w:val="top"/>
          </w:tcPr>
          <w:p>
            <w:pPr>
              <w:pStyle w:val="TableText"/>
              <w:ind w:right="11"/>
              <w:spacing w:before="82" w:line="230" w:lineRule="auto"/>
              <w:jc w:val="right"/>
              <w:rPr>
                <w:sz w:val="15"/>
                <w:szCs w:val="15"/>
              </w:rPr>
            </w:pPr>
            <w:r>
              <w:rPr>
                <w:sz w:val="15"/>
                <w:szCs w:val="15"/>
              </w:rPr>
              <w:t>5</w:t>
            </w:r>
          </w:p>
        </w:tc>
        <w:tc>
          <w:tcPr>
            <w:tcW w:w="330" w:type="dxa"/>
            <w:vAlign w:val="top"/>
          </w:tcPr>
          <w:p>
            <w:pPr>
              <w:pStyle w:val="TableText"/>
              <w:ind w:right="10"/>
              <w:spacing w:before="82" w:line="230" w:lineRule="auto"/>
              <w:jc w:val="right"/>
              <w:rPr>
                <w:sz w:val="15"/>
                <w:szCs w:val="15"/>
              </w:rPr>
            </w:pPr>
            <w:r>
              <w:rPr>
                <w:sz w:val="15"/>
                <w:szCs w:val="15"/>
              </w:rPr>
              <w:t>6</w:t>
            </w:r>
          </w:p>
        </w:tc>
        <w:tc>
          <w:tcPr>
            <w:tcW w:w="330" w:type="dxa"/>
            <w:vAlign w:val="top"/>
          </w:tcPr>
          <w:p>
            <w:pPr>
              <w:pStyle w:val="TableText"/>
              <w:ind w:right="1"/>
              <w:spacing w:before="82" w:line="230" w:lineRule="auto"/>
              <w:jc w:val="right"/>
              <w:rPr>
                <w:sz w:val="15"/>
                <w:szCs w:val="15"/>
              </w:rPr>
            </w:pPr>
            <w:r>
              <w:rPr>
                <w:sz w:val="15"/>
                <w:szCs w:val="15"/>
              </w:rPr>
              <w:t>7</w:t>
            </w:r>
          </w:p>
        </w:tc>
        <w:tc>
          <w:tcPr>
            <w:tcW w:w="330" w:type="dxa"/>
            <w:vAlign w:val="top"/>
          </w:tcPr>
          <w:p>
            <w:pPr>
              <w:pStyle w:val="TableText"/>
              <w:spacing w:before="112" w:line="193" w:lineRule="auto"/>
              <w:jc w:val="right"/>
              <w:rPr>
                <w:sz w:val="15"/>
                <w:szCs w:val="15"/>
              </w:rPr>
            </w:pPr>
            <w:r>
              <w:rPr>
                <w:sz w:val="15"/>
                <w:szCs w:val="15"/>
              </w:rPr>
              <w:t>8</w:t>
            </w:r>
          </w:p>
        </w:tc>
        <w:tc>
          <w:tcPr>
            <w:tcW w:w="309" w:type="dxa"/>
            <w:vAlign w:val="top"/>
          </w:tcPr>
          <w:p>
            <w:pPr>
              <w:pStyle w:val="TableText"/>
              <w:ind w:left="173"/>
              <w:spacing w:before="112" w:line="193" w:lineRule="auto"/>
              <w:rPr>
                <w:sz w:val="15"/>
                <w:szCs w:val="15"/>
              </w:rPr>
            </w:pPr>
            <w:r>
              <w:rPr>
                <w:sz w:val="15"/>
                <w:szCs w:val="15"/>
              </w:rPr>
              <w:t>9</w:t>
            </w:r>
          </w:p>
        </w:tc>
        <w:tc>
          <w:tcPr>
            <w:tcW w:w="330" w:type="dxa"/>
            <w:vAlign w:val="top"/>
          </w:tcPr>
          <w:p>
            <w:pPr>
              <w:pStyle w:val="TableText"/>
              <w:spacing w:before="112" w:line="193" w:lineRule="auto"/>
              <w:jc w:val="right"/>
              <w:rPr>
                <w:sz w:val="15"/>
                <w:szCs w:val="15"/>
              </w:rPr>
            </w:pPr>
            <w:r>
              <w:rPr>
                <w:sz w:val="15"/>
                <w:szCs w:val="15"/>
                <w:spacing w:val="-7"/>
              </w:rPr>
              <w:t>9</w:t>
            </w:r>
          </w:p>
        </w:tc>
        <w:tc>
          <w:tcPr>
            <w:tcW w:w="330" w:type="dxa"/>
            <w:vAlign w:val="top"/>
          </w:tcPr>
          <w:p>
            <w:pPr>
              <w:pStyle w:val="TableText"/>
              <w:ind w:left="154"/>
              <w:spacing w:before="131" w:line="169" w:lineRule="auto"/>
              <w:rPr>
                <w:sz w:val="15"/>
                <w:szCs w:val="15"/>
              </w:rPr>
            </w:pPr>
            <w:r>
              <w:rPr>
                <w:sz w:val="15"/>
                <w:szCs w:val="15"/>
                <w:spacing w:val="-5"/>
              </w:rPr>
              <w:t>10</w:t>
            </w:r>
          </w:p>
        </w:tc>
        <w:tc>
          <w:tcPr>
            <w:tcW w:w="319" w:type="dxa"/>
            <w:vAlign w:val="top"/>
          </w:tcPr>
          <w:p>
            <w:pPr>
              <w:pStyle w:val="TableText"/>
              <w:ind w:left="134"/>
              <w:spacing w:before="112" w:line="193" w:lineRule="auto"/>
              <w:rPr>
                <w:sz w:val="15"/>
                <w:szCs w:val="15"/>
              </w:rPr>
            </w:pPr>
            <w:r>
              <w:rPr>
                <w:sz w:val="15"/>
                <w:szCs w:val="15"/>
                <w:spacing w:val="-5"/>
              </w:rPr>
              <w:t>11</w:t>
            </w:r>
          </w:p>
        </w:tc>
        <w:tc>
          <w:tcPr>
            <w:tcW w:w="339" w:type="dxa"/>
            <w:vAlign w:val="top"/>
          </w:tcPr>
          <w:p>
            <w:pPr>
              <w:pStyle w:val="TableText"/>
              <w:ind w:left="146"/>
              <w:spacing w:before="131" w:line="169" w:lineRule="auto"/>
              <w:rPr>
                <w:sz w:val="15"/>
                <w:szCs w:val="15"/>
              </w:rPr>
            </w:pPr>
            <w:r>
              <w:rPr>
                <w:sz w:val="15"/>
                <w:szCs w:val="15"/>
                <w:spacing w:val="-5"/>
              </w:rPr>
              <w:t>12</w:t>
            </w:r>
          </w:p>
        </w:tc>
        <w:tc>
          <w:tcPr>
            <w:tcW w:w="320" w:type="dxa"/>
            <w:vAlign w:val="top"/>
          </w:tcPr>
          <w:p>
            <w:pPr>
              <w:pStyle w:val="TableText"/>
              <w:ind w:left="137"/>
              <w:spacing w:before="91" w:line="218" w:lineRule="auto"/>
              <w:rPr>
                <w:sz w:val="15"/>
                <w:szCs w:val="15"/>
              </w:rPr>
            </w:pPr>
            <w:r>
              <w:rPr>
                <w:sz w:val="15"/>
                <w:szCs w:val="15"/>
                <w:spacing w:val="-5"/>
              </w:rPr>
              <w:t>13</w:t>
            </w:r>
          </w:p>
        </w:tc>
        <w:tc>
          <w:tcPr>
            <w:tcW w:w="329" w:type="dxa"/>
            <w:vAlign w:val="top"/>
          </w:tcPr>
          <w:p>
            <w:pPr>
              <w:pStyle w:val="TableText"/>
              <w:ind w:left="136"/>
              <w:spacing w:before="112" w:line="193" w:lineRule="auto"/>
              <w:rPr>
                <w:sz w:val="15"/>
                <w:szCs w:val="15"/>
              </w:rPr>
            </w:pPr>
            <w:r>
              <w:rPr>
                <w:sz w:val="15"/>
                <w:szCs w:val="15"/>
                <w:spacing w:val="-5"/>
              </w:rPr>
              <w:t>13</w:t>
            </w:r>
          </w:p>
        </w:tc>
        <w:tc>
          <w:tcPr>
            <w:tcW w:w="340" w:type="dxa"/>
            <w:vAlign w:val="top"/>
          </w:tcPr>
          <w:p>
            <w:pPr>
              <w:pStyle w:val="TableText"/>
              <w:spacing w:before="112" w:line="193" w:lineRule="auto"/>
              <w:jc w:val="right"/>
              <w:rPr>
                <w:sz w:val="15"/>
                <w:szCs w:val="15"/>
              </w:rPr>
            </w:pPr>
            <w:r>
              <w:rPr>
                <w:sz w:val="15"/>
                <w:szCs w:val="15"/>
                <w:spacing w:val="-5"/>
              </w:rPr>
              <w:t>14</w:t>
            </w:r>
          </w:p>
        </w:tc>
        <w:tc>
          <w:tcPr>
            <w:tcW w:w="329" w:type="dxa"/>
            <w:vAlign w:val="top"/>
          </w:tcPr>
          <w:p>
            <w:pPr>
              <w:pStyle w:val="TableText"/>
              <w:ind w:left="128"/>
              <w:spacing w:before="112" w:line="193" w:lineRule="auto"/>
              <w:rPr>
                <w:sz w:val="15"/>
                <w:szCs w:val="15"/>
              </w:rPr>
            </w:pPr>
            <w:r>
              <w:rPr>
                <w:sz w:val="15"/>
                <w:szCs w:val="15"/>
                <w:spacing w:val="-5"/>
              </w:rPr>
              <w:t>15</w:t>
            </w:r>
          </w:p>
        </w:tc>
        <w:tc>
          <w:tcPr>
            <w:tcW w:w="320" w:type="dxa"/>
            <w:vAlign w:val="top"/>
          </w:tcPr>
          <w:p>
            <w:pPr>
              <w:pStyle w:val="TableText"/>
              <w:ind w:left="138"/>
              <w:spacing w:before="112" w:line="193" w:lineRule="auto"/>
              <w:rPr>
                <w:sz w:val="15"/>
                <w:szCs w:val="15"/>
              </w:rPr>
            </w:pPr>
            <w:r>
              <w:rPr>
                <w:sz w:val="15"/>
                <w:szCs w:val="15"/>
                <w:spacing w:val="-5"/>
              </w:rPr>
              <w:t>16</w:t>
            </w:r>
          </w:p>
        </w:tc>
        <w:tc>
          <w:tcPr>
            <w:tcW w:w="330" w:type="dxa"/>
            <w:vAlign w:val="top"/>
          </w:tcPr>
          <w:p>
            <w:pPr>
              <w:pStyle w:val="TableText"/>
              <w:ind w:left="128"/>
              <w:spacing w:before="112" w:line="193" w:lineRule="auto"/>
              <w:rPr>
                <w:sz w:val="15"/>
                <w:szCs w:val="15"/>
              </w:rPr>
            </w:pPr>
            <w:r>
              <w:rPr>
                <w:sz w:val="15"/>
                <w:szCs w:val="15"/>
                <w:spacing w:val="-5"/>
              </w:rPr>
              <w:t>16</w:t>
            </w:r>
          </w:p>
        </w:tc>
        <w:tc>
          <w:tcPr>
            <w:tcW w:w="329" w:type="dxa"/>
            <w:vAlign w:val="top"/>
          </w:tcPr>
          <w:p>
            <w:pPr>
              <w:pStyle w:val="TableText"/>
              <w:ind w:left="138"/>
              <w:spacing w:before="82" w:line="230" w:lineRule="auto"/>
              <w:rPr>
                <w:sz w:val="15"/>
                <w:szCs w:val="15"/>
              </w:rPr>
            </w:pPr>
            <w:r>
              <w:rPr>
                <w:sz w:val="15"/>
                <w:szCs w:val="15"/>
                <w:spacing w:val="-5"/>
              </w:rPr>
              <w:t>17</w:t>
            </w:r>
          </w:p>
        </w:tc>
        <w:tc>
          <w:tcPr>
            <w:tcW w:w="330" w:type="dxa"/>
            <w:vAlign w:val="top"/>
          </w:tcPr>
          <w:p>
            <w:pPr>
              <w:pStyle w:val="TableText"/>
              <w:ind w:left="89"/>
              <w:spacing w:before="112" w:line="193" w:lineRule="auto"/>
              <w:rPr>
                <w:sz w:val="15"/>
                <w:szCs w:val="15"/>
              </w:rPr>
            </w:pPr>
            <w:r>
              <w:rPr>
                <w:sz w:val="15"/>
                <w:szCs w:val="15"/>
                <w:spacing w:val="-5"/>
              </w:rPr>
              <w:t>18</w:t>
            </w:r>
          </w:p>
        </w:tc>
        <w:tc>
          <w:tcPr>
            <w:tcW w:w="320" w:type="dxa"/>
            <w:vAlign w:val="top"/>
          </w:tcPr>
          <w:p>
            <w:pPr>
              <w:pStyle w:val="TableText"/>
              <w:ind w:left="140"/>
              <w:spacing w:before="82" w:line="230" w:lineRule="auto"/>
              <w:rPr>
                <w:sz w:val="15"/>
                <w:szCs w:val="15"/>
              </w:rPr>
            </w:pPr>
            <w:r>
              <w:rPr>
                <w:sz w:val="15"/>
                <w:szCs w:val="15"/>
                <w:spacing w:val="-5"/>
              </w:rPr>
              <w:t>19</w:t>
            </w:r>
          </w:p>
        </w:tc>
        <w:tc>
          <w:tcPr>
            <w:tcW w:w="344" w:type="dxa"/>
            <w:vAlign w:val="top"/>
          </w:tcPr>
          <w:p>
            <w:pPr>
              <w:pStyle w:val="TableText"/>
              <w:ind w:left="89"/>
              <w:spacing w:before="82" w:line="230" w:lineRule="auto"/>
              <w:rPr>
                <w:sz w:val="15"/>
                <w:szCs w:val="15"/>
              </w:rPr>
            </w:pPr>
            <w:r>
              <w:rPr>
                <w:sz w:val="15"/>
                <w:szCs w:val="15"/>
                <w:spacing w:val="-2"/>
              </w:rPr>
              <w:t>20</w:t>
            </w:r>
          </w:p>
        </w:tc>
      </w:tr>
      <w:tr>
        <w:trPr>
          <w:trHeight w:val="260" w:hRule="atLeast"/>
        </w:trPr>
        <w:tc>
          <w:tcPr>
            <w:tcW w:w="864" w:type="dxa"/>
            <w:vAlign w:val="top"/>
          </w:tcPr>
          <w:p>
            <w:pPr>
              <w:pStyle w:val="TableText"/>
              <w:ind w:right="4"/>
              <w:spacing w:before="102" w:line="181" w:lineRule="auto"/>
              <w:jc w:val="right"/>
              <w:rPr>
                <w:sz w:val="15"/>
                <w:szCs w:val="15"/>
              </w:rPr>
            </w:pPr>
            <w:r>
              <w:rPr>
                <w:sz w:val="15"/>
                <w:szCs w:val="15"/>
              </w:rPr>
              <w:t>2</w:t>
            </w:r>
          </w:p>
        </w:tc>
        <w:tc>
          <w:tcPr>
            <w:tcW w:w="330" w:type="dxa"/>
            <w:vAlign w:val="top"/>
          </w:tcPr>
          <w:p>
            <w:pPr>
              <w:pStyle w:val="TableText"/>
              <w:ind w:left="90"/>
              <w:spacing w:before="72" w:line="218" w:lineRule="auto"/>
              <w:rPr>
                <w:sz w:val="15"/>
                <w:szCs w:val="15"/>
              </w:rPr>
            </w:pPr>
            <w:r>
              <w:rPr>
                <w:sz w:val="15"/>
                <w:szCs w:val="15"/>
                <w:spacing w:val="-4"/>
              </w:rPr>
              <w:t>1.6</w:t>
            </w:r>
          </w:p>
        </w:tc>
        <w:tc>
          <w:tcPr>
            <w:tcW w:w="319" w:type="dxa"/>
            <w:vAlign w:val="top"/>
          </w:tcPr>
          <w:p>
            <w:pPr>
              <w:pStyle w:val="TableText"/>
              <w:ind w:left="31"/>
              <w:spacing w:before="72" w:line="218" w:lineRule="auto"/>
              <w:rPr>
                <w:sz w:val="15"/>
                <w:szCs w:val="15"/>
              </w:rPr>
            </w:pPr>
            <w:r>
              <w:rPr>
                <w:sz w:val="15"/>
                <w:szCs w:val="15"/>
                <w:spacing w:val="-2"/>
              </w:rPr>
              <w:t>3.1</w:t>
            </w:r>
          </w:p>
        </w:tc>
        <w:tc>
          <w:tcPr>
            <w:tcW w:w="329" w:type="dxa"/>
            <w:vAlign w:val="top"/>
          </w:tcPr>
          <w:p>
            <w:pPr>
              <w:pStyle w:val="TableText"/>
              <w:ind w:left="61"/>
              <w:spacing w:before="102" w:line="181" w:lineRule="auto"/>
              <w:rPr>
                <w:sz w:val="15"/>
                <w:szCs w:val="15"/>
              </w:rPr>
            </w:pPr>
            <w:r>
              <w:rPr>
                <w:sz w:val="15"/>
                <w:szCs w:val="15"/>
                <w:spacing w:val="-2"/>
              </w:rPr>
              <w:t>4.7</w:t>
            </w:r>
          </w:p>
        </w:tc>
        <w:tc>
          <w:tcPr>
            <w:tcW w:w="330" w:type="dxa"/>
            <w:vAlign w:val="top"/>
          </w:tcPr>
          <w:p>
            <w:pPr>
              <w:pStyle w:val="TableText"/>
              <w:ind w:right="2"/>
              <w:spacing w:before="72" w:line="218" w:lineRule="auto"/>
              <w:jc w:val="right"/>
              <w:rPr>
                <w:sz w:val="15"/>
                <w:szCs w:val="15"/>
              </w:rPr>
            </w:pPr>
            <w:r>
              <w:rPr>
                <w:sz w:val="15"/>
                <w:szCs w:val="15"/>
              </w:rPr>
              <w:t>6</w:t>
            </w:r>
          </w:p>
        </w:tc>
        <w:tc>
          <w:tcPr>
            <w:tcW w:w="330" w:type="dxa"/>
            <w:vAlign w:val="top"/>
          </w:tcPr>
          <w:p>
            <w:pPr>
              <w:pStyle w:val="TableText"/>
              <w:ind w:right="1"/>
              <w:spacing w:before="102" w:line="181" w:lineRule="auto"/>
              <w:jc w:val="right"/>
              <w:rPr>
                <w:sz w:val="15"/>
                <w:szCs w:val="15"/>
              </w:rPr>
            </w:pPr>
            <w:r>
              <w:rPr>
                <w:sz w:val="15"/>
                <w:szCs w:val="15"/>
              </w:rPr>
              <w:t>8</w:t>
            </w:r>
          </w:p>
        </w:tc>
        <w:tc>
          <w:tcPr>
            <w:tcW w:w="330" w:type="dxa"/>
            <w:vAlign w:val="top"/>
          </w:tcPr>
          <w:p>
            <w:pPr>
              <w:pStyle w:val="TableText"/>
              <w:ind w:right="12"/>
              <w:spacing w:before="72" w:line="218" w:lineRule="auto"/>
              <w:jc w:val="right"/>
              <w:rPr>
                <w:sz w:val="15"/>
                <w:szCs w:val="15"/>
              </w:rPr>
            </w:pPr>
            <w:r>
              <w:rPr>
                <w:sz w:val="15"/>
                <w:szCs w:val="15"/>
              </w:rPr>
              <w:t>9</w:t>
            </w:r>
          </w:p>
        </w:tc>
        <w:tc>
          <w:tcPr>
            <w:tcW w:w="329" w:type="dxa"/>
            <w:vAlign w:val="top"/>
          </w:tcPr>
          <w:p>
            <w:pPr>
              <w:pStyle w:val="TableText"/>
              <w:ind w:right="14"/>
              <w:spacing w:before="102" w:line="181" w:lineRule="auto"/>
              <w:jc w:val="right"/>
              <w:rPr>
                <w:sz w:val="15"/>
                <w:szCs w:val="15"/>
              </w:rPr>
            </w:pPr>
            <w:r>
              <w:rPr>
                <w:sz w:val="15"/>
                <w:szCs w:val="15"/>
                <w:spacing w:val="-5"/>
              </w:rPr>
              <w:t>11</w:t>
            </w:r>
          </w:p>
        </w:tc>
        <w:tc>
          <w:tcPr>
            <w:tcW w:w="330" w:type="dxa"/>
            <w:vAlign w:val="top"/>
          </w:tcPr>
          <w:p>
            <w:pPr>
              <w:pStyle w:val="TableText"/>
              <w:ind w:right="14"/>
              <w:spacing w:before="102" w:line="181" w:lineRule="auto"/>
              <w:jc w:val="right"/>
              <w:rPr>
                <w:sz w:val="15"/>
                <w:szCs w:val="15"/>
              </w:rPr>
            </w:pPr>
            <w:r>
              <w:rPr>
                <w:sz w:val="15"/>
                <w:szCs w:val="15"/>
                <w:spacing w:val="-5"/>
              </w:rPr>
              <w:t>13</w:t>
            </w:r>
          </w:p>
        </w:tc>
        <w:tc>
          <w:tcPr>
            <w:tcW w:w="330" w:type="dxa"/>
            <w:vAlign w:val="top"/>
          </w:tcPr>
          <w:p>
            <w:pPr>
              <w:pStyle w:val="TableText"/>
              <w:ind w:right="4"/>
              <w:spacing w:before="72" w:line="218" w:lineRule="auto"/>
              <w:jc w:val="right"/>
              <w:rPr>
                <w:sz w:val="15"/>
                <w:szCs w:val="15"/>
              </w:rPr>
            </w:pPr>
            <w:r>
              <w:rPr>
                <w:sz w:val="15"/>
                <w:szCs w:val="15"/>
                <w:spacing w:val="-5"/>
              </w:rPr>
              <w:t>14</w:t>
            </w:r>
          </w:p>
        </w:tc>
        <w:tc>
          <w:tcPr>
            <w:tcW w:w="330" w:type="dxa"/>
            <w:vAlign w:val="top"/>
          </w:tcPr>
          <w:p>
            <w:pPr>
              <w:pStyle w:val="TableText"/>
              <w:ind w:right="4"/>
              <w:spacing w:before="112" w:line="169" w:lineRule="auto"/>
              <w:jc w:val="right"/>
              <w:rPr>
                <w:sz w:val="15"/>
                <w:szCs w:val="15"/>
              </w:rPr>
            </w:pPr>
            <w:r>
              <w:rPr>
                <w:sz w:val="15"/>
                <w:szCs w:val="15"/>
                <w:spacing w:val="-5"/>
              </w:rPr>
              <w:t>16</w:t>
            </w:r>
          </w:p>
        </w:tc>
        <w:tc>
          <w:tcPr>
            <w:tcW w:w="309" w:type="dxa"/>
            <w:vAlign w:val="top"/>
          </w:tcPr>
          <w:p>
            <w:pPr>
              <w:pStyle w:val="TableText"/>
              <w:ind w:left="123"/>
              <w:spacing w:before="112" w:line="169" w:lineRule="auto"/>
              <w:rPr>
                <w:sz w:val="15"/>
                <w:szCs w:val="15"/>
              </w:rPr>
            </w:pPr>
            <w:r>
              <w:rPr>
                <w:sz w:val="15"/>
                <w:szCs w:val="15"/>
                <w:spacing w:val="-5"/>
              </w:rPr>
              <w:t>17</w:t>
            </w:r>
          </w:p>
        </w:tc>
        <w:tc>
          <w:tcPr>
            <w:tcW w:w="330" w:type="dxa"/>
            <w:vAlign w:val="top"/>
          </w:tcPr>
          <w:p>
            <w:pPr>
              <w:pStyle w:val="TableText"/>
              <w:ind w:right="3"/>
              <w:spacing w:before="112" w:line="169" w:lineRule="auto"/>
              <w:jc w:val="right"/>
              <w:rPr>
                <w:sz w:val="15"/>
                <w:szCs w:val="15"/>
              </w:rPr>
            </w:pPr>
            <w:r>
              <w:rPr>
                <w:sz w:val="15"/>
                <w:szCs w:val="15"/>
                <w:spacing w:val="-5"/>
              </w:rPr>
              <w:t>19</w:t>
            </w:r>
          </w:p>
        </w:tc>
        <w:tc>
          <w:tcPr>
            <w:tcW w:w="330" w:type="dxa"/>
            <w:vAlign w:val="top"/>
          </w:tcPr>
          <w:p>
            <w:pPr>
              <w:pStyle w:val="TableText"/>
              <w:ind w:left="154"/>
              <w:spacing w:before="112" w:line="169" w:lineRule="auto"/>
              <w:rPr>
                <w:sz w:val="15"/>
                <w:szCs w:val="15"/>
              </w:rPr>
            </w:pPr>
            <w:r>
              <w:rPr>
                <w:sz w:val="15"/>
                <w:szCs w:val="15"/>
                <w:spacing w:val="-2"/>
              </w:rPr>
              <w:t>20</w:t>
            </w:r>
          </w:p>
        </w:tc>
        <w:tc>
          <w:tcPr>
            <w:tcW w:w="319" w:type="dxa"/>
            <w:vAlign w:val="top"/>
          </w:tcPr>
          <w:p>
            <w:pPr>
              <w:pStyle w:val="TableText"/>
              <w:ind w:left="134"/>
              <w:spacing w:before="112" w:line="169" w:lineRule="auto"/>
              <w:rPr>
                <w:sz w:val="15"/>
                <w:szCs w:val="15"/>
              </w:rPr>
            </w:pPr>
            <w:r>
              <w:rPr>
                <w:sz w:val="15"/>
                <w:szCs w:val="15"/>
                <w:spacing w:val="-2"/>
              </w:rPr>
              <w:t>22</w:t>
            </w:r>
          </w:p>
        </w:tc>
        <w:tc>
          <w:tcPr>
            <w:tcW w:w="339" w:type="dxa"/>
            <w:vAlign w:val="top"/>
          </w:tcPr>
          <w:p>
            <w:pPr>
              <w:pStyle w:val="TableText"/>
              <w:ind w:left="105"/>
              <w:spacing w:before="112" w:line="169" w:lineRule="auto"/>
              <w:rPr>
                <w:sz w:val="15"/>
                <w:szCs w:val="15"/>
              </w:rPr>
            </w:pPr>
            <w:r>
              <w:rPr>
                <w:sz w:val="15"/>
                <w:szCs w:val="15"/>
                <w:spacing w:val="-2"/>
              </w:rPr>
              <w:t>24</w:t>
            </w:r>
          </w:p>
        </w:tc>
        <w:tc>
          <w:tcPr>
            <w:tcW w:w="320" w:type="dxa"/>
            <w:vAlign w:val="top"/>
          </w:tcPr>
          <w:p>
            <w:pPr>
              <w:pStyle w:val="TableText"/>
              <w:ind w:left="116"/>
              <w:spacing w:before="112" w:line="169" w:lineRule="auto"/>
              <w:rPr>
                <w:sz w:val="15"/>
                <w:szCs w:val="15"/>
              </w:rPr>
            </w:pPr>
            <w:r>
              <w:rPr>
                <w:sz w:val="15"/>
                <w:szCs w:val="15"/>
                <w:spacing w:val="-2"/>
              </w:rPr>
              <w:t>25</w:t>
            </w:r>
          </w:p>
        </w:tc>
        <w:tc>
          <w:tcPr>
            <w:tcW w:w="329" w:type="dxa"/>
            <w:vAlign w:val="top"/>
          </w:tcPr>
          <w:p>
            <w:pPr>
              <w:pStyle w:val="TableText"/>
              <w:ind w:left="146"/>
              <w:spacing w:before="112" w:line="169" w:lineRule="auto"/>
              <w:rPr>
                <w:sz w:val="15"/>
                <w:szCs w:val="15"/>
              </w:rPr>
            </w:pPr>
            <w:r>
              <w:rPr>
                <w:sz w:val="15"/>
                <w:szCs w:val="15"/>
                <w:spacing w:val="-2"/>
              </w:rPr>
              <w:t>27</w:t>
            </w:r>
          </w:p>
        </w:tc>
        <w:tc>
          <w:tcPr>
            <w:tcW w:w="340" w:type="dxa"/>
            <w:vAlign w:val="top"/>
          </w:tcPr>
          <w:p>
            <w:pPr>
              <w:pStyle w:val="TableText"/>
              <w:spacing w:before="112" w:line="169" w:lineRule="auto"/>
              <w:jc w:val="right"/>
              <w:rPr>
                <w:sz w:val="15"/>
                <w:szCs w:val="15"/>
              </w:rPr>
            </w:pPr>
            <w:r>
              <w:rPr>
                <w:sz w:val="15"/>
                <w:szCs w:val="15"/>
                <w:spacing w:val="-5"/>
              </w:rPr>
              <w:t>28</w:t>
            </w:r>
          </w:p>
        </w:tc>
        <w:tc>
          <w:tcPr>
            <w:tcW w:w="329" w:type="dxa"/>
            <w:vAlign w:val="top"/>
          </w:tcPr>
          <w:p>
            <w:pPr>
              <w:pStyle w:val="TableText"/>
              <w:ind w:left="128"/>
              <w:spacing w:before="112" w:line="169" w:lineRule="auto"/>
              <w:rPr>
                <w:sz w:val="15"/>
                <w:szCs w:val="15"/>
              </w:rPr>
            </w:pPr>
            <w:r>
              <w:rPr>
                <w:sz w:val="15"/>
                <w:szCs w:val="15"/>
                <w:spacing w:val="-3"/>
              </w:rPr>
              <w:t>30</w:t>
            </w:r>
          </w:p>
        </w:tc>
        <w:tc>
          <w:tcPr>
            <w:tcW w:w="320" w:type="dxa"/>
            <w:vAlign w:val="top"/>
          </w:tcPr>
          <w:p>
            <w:pPr>
              <w:pStyle w:val="TableText"/>
              <w:ind w:left="138"/>
              <w:spacing w:before="112" w:line="169" w:lineRule="auto"/>
              <w:rPr>
                <w:sz w:val="15"/>
                <w:szCs w:val="15"/>
              </w:rPr>
            </w:pPr>
            <w:r>
              <w:rPr>
                <w:sz w:val="15"/>
                <w:szCs w:val="15"/>
                <w:spacing w:val="-3"/>
              </w:rPr>
              <w:t>31</w:t>
            </w:r>
          </w:p>
        </w:tc>
        <w:tc>
          <w:tcPr>
            <w:tcW w:w="330" w:type="dxa"/>
            <w:vAlign w:val="top"/>
          </w:tcPr>
          <w:p>
            <w:pPr>
              <w:pStyle w:val="TableText"/>
              <w:ind w:left="88"/>
              <w:spacing w:before="112" w:line="169" w:lineRule="auto"/>
              <w:rPr>
                <w:sz w:val="15"/>
                <w:szCs w:val="15"/>
              </w:rPr>
            </w:pPr>
            <w:r>
              <w:rPr>
                <w:sz w:val="15"/>
                <w:szCs w:val="15"/>
                <w:spacing w:val="-3"/>
              </w:rPr>
              <w:t>33</w:t>
            </w:r>
          </w:p>
        </w:tc>
        <w:tc>
          <w:tcPr>
            <w:tcW w:w="329" w:type="dxa"/>
            <w:vAlign w:val="top"/>
          </w:tcPr>
          <w:p>
            <w:pPr>
              <w:pStyle w:val="TableText"/>
              <w:ind w:left="88"/>
              <w:spacing w:before="72" w:line="218" w:lineRule="auto"/>
              <w:rPr>
                <w:sz w:val="15"/>
                <w:szCs w:val="15"/>
              </w:rPr>
            </w:pPr>
            <w:r>
              <w:rPr>
                <w:sz w:val="15"/>
                <w:szCs w:val="15"/>
                <w:spacing w:val="-3"/>
              </w:rPr>
              <w:t>35</w:t>
            </w:r>
          </w:p>
        </w:tc>
        <w:tc>
          <w:tcPr>
            <w:tcW w:w="330" w:type="dxa"/>
            <w:vAlign w:val="top"/>
          </w:tcPr>
          <w:p>
            <w:pPr>
              <w:pStyle w:val="TableText"/>
              <w:ind w:left="139"/>
              <w:spacing w:before="112" w:line="169" w:lineRule="auto"/>
              <w:rPr>
                <w:sz w:val="15"/>
                <w:szCs w:val="15"/>
              </w:rPr>
            </w:pPr>
            <w:r>
              <w:rPr>
                <w:sz w:val="15"/>
                <w:szCs w:val="15"/>
                <w:spacing w:val="-3"/>
              </w:rPr>
              <w:t>36</w:t>
            </w:r>
          </w:p>
        </w:tc>
        <w:tc>
          <w:tcPr>
            <w:tcW w:w="320" w:type="dxa"/>
            <w:vAlign w:val="top"/>
          </w:tcPr>
          <w:p>
            <w:pPr>
              <w:pStyle w:val="TableText"/>
              <w:ind w:left="129"/>
              <w:spacing w:before="112" w:line="169" w:lineRule="auto"/>
              <w:rPr>
                <w:sz w:val="15"/>
                <w:szCs w:val="15"/>
              </w:rPr>
            </w:pPr>
            <w:r>
              <w:rPr>
                <w:sz w:val="15"/>
                <w:szCs w:val="15"/>
                <w:spacing w:val="-3"/>
              </w:rPr>
              <w:t>38</w:t>
            </w:r>
          </w:p>
        </w:tc>
        <w:tc>
          <w:tcPr>
            <w:tcW w:w="344" w:type="dxa"/>
            <w:vAlign w:val="top"/>
          </w:tcPr>
          <w:p>
            <w:pPr>
              <w:pStyle w:val="TableText"/>
              <w:ind w:left="139"/>
              <w:spacing w:before="112" w:line="169" w:lineRule="auto"/>
              <w:rPr>
                <w:sz w:val="15"/>
                <w:szCs w:val="15"/>
              </w:rPr>
            </w:pPr>
            <w:r>
              <w:rPr>
                <w:sz w:val="15"/>
                <w:szCs w:val="15"/>
                <w:spacing w:val="-3"/>
              </w:rPr>
              <w:t>39</w:t>
            </w:r>
          </w:p>
        </w:tc>
      </w:tr>
      <w:tr>
        <w:trPr>
          <w:trHeight w:val="280" w:hRule="atLeast"/>
        </w:trPr>
        <w:tc>
          <w:tcPr>
            <w:tcW w:w="864" w:type="dxa"/>
            <w:vAlign w:val="top"/>
          </w:tcPr>
          <w:p>
            <w:pPr>
              <w:pStyle w:val="TableText"/>
              <w:ind w:right="4"/>
              <w:spacing w:before="83" w:line="230" w:lineRule="auto"/>
              <w:jc w:val="right"/>
              <w:rPr>
                <w:sz w:val="15"/>
                <w:szCs w:val="15"/>
              </w:rPr>
            </w:pPr>
            <w:r>
              <w:rPr>
                <w:sz w:val="15"/>
                <w:szCs w:val="15"/>
              </w:rPr>
              <w:t>3</w:t>
            </w:r>
          </w:p>
        </w:tc>
        <w:tc>
          <w:tcPr>
            <w:tcW w:w="330" w:type="dxa"/>
            <w:vAlign w:val="top"/>
          </w:tcPr>
          <w:p>
            <w:pPr>
              <w:pStyle w:val="TableText"/>
              <w:ind w:left="90"/>
              <w:spacing w:before="105" w:line="184" w:lineRule="auto"/>
              <w:rPr>
                <w:sz w:val="15"/>
                <w:szCs w:val="15"/>
              </w:rPr>
            </w:pPr>
            <w:r>
              <w:rPr>
                <w:sz w:val="15"/>
                <w:szCs w:val="15"/>
                <w:spacing w:val="-2"/>
              </w:rPr>
              <w:t>2A</w:t>
            </w:r>
          </w:p>
        </w:tc>
        <w:tc>
          <w:tcPr>
            <w:tcW w:w="319" w:type="dxa"/>
            <w:vAlign w:val="top"/>
          </w:tcPr>
          <w:p>
            <w:pPr>
              <w:pStyle w:val="TableText"/>
              <w:ind w:left="31"/>
              <w:spacing w:before="83" w:line="230" w:lineRule="auto"/>
              <w:rPr>
                <w:sz w:val="15"/>
                <w:szCs w:val="15"/>
              </w:rPr>
            </w:pPr>
            <w:r>
              <w:rPr>
                <w:sz w:val="15"/>
                <w:szCs w:val="15"/>
                <w:spacing w:val="-2"/>
              </w:rPr>
              <w:t>4.7</w:t>
            </w:r>
          </w:p>
        </w:tc>
        <w:tc>
          <w:tcPr>
            <w:tcW w:w="329" w:type="dxa"/>
            <w:vAlign w:val="top"/>
          </w:tcPr>
          <w:p>
            <w:pPr>
              <w:pStyle w:val="TableText"/>
              <w:ind w:left="61"/>
              <w:spacing w:before="83" w:line="230" w:lineRule="auto"/>
              <w:rPr>
                <w:sz w:val="15"/>
                <w:szCs w:val="15"/>
              </w:rPr>
            </w:pPr>
            <w:r>
              <w:rPr>
                <w:sz w:val="15"/>
                <w:szCs w:val="15"/>
                <w:spacing w:val="-3"/>
              </w:rPr>
              <w:t>7.1</w:t>
            </w:r>
          </w:p>
        </w:tc>
        <w:tc>
          <w:tcPr>
            <w:tcW w:w="330" w:type="dxa"/>
            <w:vAlign w:val="top"/>
          </w:tcPr>
          <w:p>
            <w:pPr>
              <w:pStyle w:val="TableText"/>
              <w:ind w:right="2"/>
              <w:spacing w:before="83" w:line="230" w:lineRule="auto"/>
              <w:jc w:val="right"/>
              <w:rPr>
                <w:sz w:val="15"/>
                <w:szCs w:val="15"/>
              </w:rPr>
            </w:pPr>
            <w:r>
              <w:rPr>
                <w:sz w:val="15"/>
                <w:szCs w:val="15"/>
              </w:rPr>
              <w:t>9</w:t>
            </w:r>
          </w:p>
        </w:tc>
        <w:tc>
          <w:tcPr>
            <w:tcW w:w="330" w:type="dxa"/>
            <w:vAlign w:val="top"/>
          </w:tcPr>
          <w:p>
            <w:pPr>
              <w:pStyle w:val="TableText"/>
              <w:ind w:right="5"/>
              <w:spacing w:before="83" w:line="230" w:lineRule="auto"/>
              <w:jc w:val="right"/>
              <w:rPr>
                <w:sz w:val="15"/>
                <w:szCs w:val="15"/>
              </w:rPr>
            </w:pPr>
            <w:r>
              <w:rPr>
                <w:sz w:val="15"/>
                <w:szCs w:val="15"/>
                <w:spacing w:val="-5"/>
              </w:rPr>
              <w:t>12</w:t>
            </w:r>
          </w:p>
        </w:tc>
        <w:tc>
          <w:tcPr>
            <w:tcW w:w="330" w:type="dxa"/>
            <w:vAlign w:val="top"/>
          </w:tcPr>
          <w:p>
            <w:pPr>
              <w:pStyle w:val="TableText"/>
              <w:ind w:right="15"/>
              <w:spacing w:before="83" w:line="230" w:lineRule="auto"/>
              <w:jc w:val="right"/>
              <w:rPr>
                <w:sz w:val="15"/>
                <w:szCs w:val="15"/>
              </w:rPr>
            </w:pPr>
            <w:r>
              <w:rPr>
                <w:sz w:val="15"/>
                <w:szCs w:val="15"/>
                <w:spacing w:val="-5"/>
              </w:rPr>
              <w:t>14</w:t>
            </w:r>
          </w:p>
        </w:tc>
        <w:tc>
          <w:tcPr>
            <w:tcW w:w="329" w:type="dxa"/>
            <w:vAlign w:val="top"/>
          </w:tcPr>
          <w:p>
            <w:pPr>
              <w:pStyle w:val="TableText"/>
              <w:ind w:right="14"/>
              <w:spacing w:before="83" w:line="230" w:lineRule="auto"/>
              <w:jc w:val="right"/>
              <w:rPr>
                <w:sz w:val="15"/>
                <w:szCs w:val="15"/>
              </w:rPr>
            </w:pPr>
            <w:r>
              <w:rPr>
                <w:sz w:val="15"/>
                <w:szCs w:val="15"/>
                <w:spacing w:val="-5"/>
              </w:rPr>
              <w:t>16</w:t>
            </w:r>
          </w:p>
        </w:tc>
        <w:tc>
          <w:tcPr>
            <w:tcW w:w="330" w:type="dxa"/>
            <w:vAlign w:val="top"/>
          </w:tcPr>
          <w:p>
            <w:pPr>
              <w:pStyle w:val="TableText"/>
              <w:ind w:right="14"/>
              <w:spacing w:before="113" w:line="193" w:lineRule="auto"/>
              <w:jc w:val="right"/>
              <w:rPr>
                <w:sz w:val="15"/>
                <w:szCs w:val="15"/>
              </w:rPr>
            </w:pPr>
            <w:r>
              <w:rPr>
                <w:sz w:val="15"/>
                <w:szCs w:val="15"/>
                <w:spacing w:val="-5"/>
              </w:rPr>
              <w:t>19</w:t>
            </w:r>
          </w:p>
        </w:tc>
        <w:tc>
          <w:tcPr>
            <w:tcW w:w="330" w:type="dxa"/>
            <w:vAlign w:val="top"/>
          </w:tcPr>
          <w:p>
            <w:pPr>
              <w:pStyle w:val="TableText"/>
              <w:spacing w:before="113" w:line="193" w:lineRule="auto"/>
              <w:jc w:val="right"/>
              <w:rPr>
                <w:sz w:val="15"/>
                <w:szCs w:val="15"/>
              </w:rPr>
            </w:pPr>
            <w:r>
              <w:rPr>
                <w:sz w:val="15"/>
                <w:szCs w:val="15"/>
                <w:spacing w:val="-4"/>
              </w:rPr>
              <w:t>21</w:t>
            </w:r>
          </w:p>
        </w:tc>
        <w:tc>
          <w:tcPr>
            <w:tcW w:w="330" w:type="dxa"/>
            <w:vAlign w:val="top"/>
          </w:tcPr>
          <w:p>
            <w:pPr>
              <w:pStyle w:val="TableText"/>
              <w:spacing w:before="122" w:line="181" w:lineRule="auto"/>
              <w:jc w:val="right"/>
              <w:rPr>
                <w:sz w:val="15"/>
                <w:szCs w:val="15"/>
              </w:rPr>
            </w:pPr>
            <w:r>
              <w:rPr>
                <w:sz w:val="15"/>
                <w:szCs w:val="15"/>
                <w:spacing w:val="-4"/>
              </w:rPr>
              <w:t>24</w:t>
            </w:r>
          </w:p>
        </w:tc>
        <w:tc>
          <w:tcPr>
            <w:tcW w:w="309" w:type="dxa"/>
            <w:vAlign w:val="top"/>
          </w:tcPr>
          <w:p>
            <w:pPr>
              <w:pStyle w:val="TableText"/>
              <w:ind w:left="114"/>
              <w:spacing w:before="122" w:line="181" w:lineRule="auto"/>
              <w:rPr>
                <w:sz w:val="15"/>
                <w:szCs w:val="15"/>
              </w:rPr>
            </w:pPr>
            <w:r>
              <w:rPr>
                <w:sz w:val="15"/>
                <w:szCs w:val="15"/>
                <w:spacing w:val="-2"/>
              </w:rPr>
              <w:t>26</w:t>
            </w:r>
          </w:p>
        </w:tc>
        <w:tc>
          <w:tcPr>
            <w:tcW w:w="330" w:type="dxa"/>
            <w:vAlign w:val="top"/>
          </w:tcPr>
          <w:p>
            <w:pPr>
              <w:pStyle w:val="TableText"/>
              <w:ind w:left="115"/>
              <w:spacing w:before="92" w:line="218" w:lineRule="auto"/>
              <w:rPr>
                <w:sz w:val="15"/>
                <w:szCs w:val="15"/>
              </w:rPr>
            </w:pPr>
            <w:r>
              <w:rPr>
                <w:sz w:val="15"/>
                <w:szCs w:val="15"/>
                <w:spacing w:val="-2"/>
              </w:rPr>
              <w:t>28</w:t>
            </w:r>
          </w:p>
        </w:tc>
        <w:tc>
          <w:tcPr>
            <w:tcW w:w="330" w:type="dxa"/>
            <w:vAlign w:val="top"/>
          </w:tcPr>
          <w:p>
            <w:pPr>
              <w:pStyle w:val="TableText"/>
              <w:ind w:left="154"/>
              <w:spacing w:before="122" w:line="181" w:lineRule="auto"/>
              <w:rPr>
                <w:sz w:val="15"/>
                <w:szCs w:val="15"/>
              </w:rPr>
            </w:pPr>
            <w:r>
              <w:rPr>
                <w:sz w:val="15"/>
                <w:szCs w:val="15"/>
                <w:spacing w:val="-3"/>
              </w:rPr>
              <w:t>31</w:t>
            </w:r>
          </w:p>
        </w:tc>
        <w:tc>
          <w:tcPr>
            <w:tcW w:w="319" w:type="dxa"/>
            <w:vAlign w:val="top"/>
          </w:tcPr>
          <w:p>
            <w:pPr>
              <w:pStyle w:val="TableText"/>
              <w:ind w:left="134"/>
              <w:spacing w:before="122" w:line="181" w:lineRule="auto"/>
              <w:rPr>
                <w:sz w:val="15"/>
                <w:szCs w:val="15"/>
              </w:rPr>
            </w:pPr>
            <w:r>
              <w:rPr>
                <w:sz w:val="15"/>
                <w:szCs w:val="15"/>
                <w:spacing w:val="-3"/>
              </w:rPr>
              <w:t>33</w:t>
            </w:r>
          </w:p>
        </w:tc>
        <w:tc>
          <w:tcPr>
            <w:tcW w:w="339" w:type="dxa"/>
            <w:vAlign w:val="top"/>
          </w:tcPr>
          <w:p>
            <w:pPr>
              <w:pStyle w:val="TableText"/>
              <w:ind w:left="85"/>
              <w:spacing w:before="92" w:line="218" w:lineRule="auto"/>
              <w:rPr>
                <w:sz w:val="15"/>
                <w:szCs w:val="15"/>
              </w:rPr>
            </w:pPr>
            <w:r>
              <w:rPr>
                <w:sz w:val="15"/>
                <w:szCs w:val="15"/>
                <w:spacing w:val="-3"/>
              </w:rPr>
              <w:t>35</w:t>
            </w:r>
          </w:p>
        </w:tc>
        <w:tc>
          <w:tcPr>
            <w:tcW w:w="320" w:type="dxa"/>
            <w:vAlign w:val="top"/>
          </w:tcPr>
          <w:p>
            <w:pPr>
              <w:pStyle w:val="TableText"/>
              <w:ind w:left="146"/>
              <w:spacing w:before="113" w:line="193" w:lineRule="auto"/>
              <w:rPr>
                <w:sz w:val="15"/>
                <w:szCs w:val="15"/>
              </w:rPr>
            </w:pPr>
            <w:r>
              <w:rPr>
                <w:sz w:val="15"/>
                <w:szCs w:val="15"/>
                <w:spacing w:val="-3"/>
              </w:rPr>
              <w:t>38</w:t>
            </w:r>
          </w:p>
        </w:tc>
        <w:tc>
          <w:tcPr>
            <w:tcW w:w="329" w:type="dxa"/>
            <w:vAlign w:val="top"/>
          </w:tcPr>
          <w:p>
            <w:pPr>
              <w:pStyle w:val="TableText"/>
              <w:ind w:left="146"/>
              <w:spacing w:before="113" w:line="193" w:lineRule="auto"/>
              <w:rPr>
                <w:sz w:val="15"/>
                <w:szCs w:val="15"/>
              </w:rPr>
            </w:pPr>
            <w:r>
              <w:rPr>
                <w:sz w:val="15"/>
                <w:szCs w:val="15"/>
                <w:spacing w:val="-2"/>
              </w:rPr>
              <w:t>40</w:t>
            </w:r>
          </w:p>
        </w:tc>
        <w:tc>
          <w:tcPr>
            <w:tcW w:w="340" w:type="dxa"/>
            <w:vAlign w:val="top"/>
          </w:tcPr>
          <w:p>
            <w:pPr>
              <w:pStyle w:val="TableText"/>
              <w:spacing w:before="113" w:line="193" w:lineRule="auto"/>
              <w:jc w:val="right"/>
              <w:rPr>
                <w:sz w:val="15"/>
                <w:szCs w:val="15"/>
              </w:rPr>
            </w:pPr>
            <w:r>
              <w:rPr>
                <w:sz w:val="15"/>
                <w:szCs w:val="15"/>
                <w:spacing w:val="-5"/>
              </w:rPr>
              <w:t>42</w:t>
            </w:r>
          </w:p>
        </w:tc>
        <w:tc>
          <w:tcPr>
            <w:tcW w:w="329" w:type="dxa"/>
            <w:vAlign w:val="top"/>
          </w:tcPr>
          <w:p>
            <w:pPr>
              <w:pStyle w:val="TableText"/>
              <w:ind w:left="87"/>
              <w:spacing w:before="113" w:line="193" w:lineRule="auto"/>
              <w:rPr>
                <w:sz w:val="15"/>
                <w:szCs w:val="15"/>
              </w:rPr>
            </w:pPr>
            <w:r>
              <w:rPr>
                <w:sz w:val="15"/>
                <w:szCs w:val="15"/>
                <w:spacing w:val="-2"/>
              </w:rPr>
              <w:t>45</w:t>
            </w:r>
          </w:p>
        </w:tc>
        <w:tc>
          <w:tcPr>
            <w:tcW w:w="320" w:type="dxa"/>
            <w:vAlign w:val="top"/>
          </w:tcPr>
          <w:p>
            <w:pPr>
              <w:pStyle w:val="TableText"/>
              <w:ind w:left="128"/>
              <w:spacing w:before="113" w:line="193" w:lineRule="auto"/>
              <w:rPr>
                <w:sz w:val="15"/>
                <w:szCs w:val="15"/>
              </w:rPr>
            </w:pPr>
            <w:r>
              <w:rPr>
                <w:sz w:val="15"/>
                <w:szCs w:val="15"/>
                <w:spacing w:val="-2"/>
              </w:rPr>
              <w:t>47</w:t>
            </w:r>
          </w:p>
        </w:tc>
        <w:tc>
          <w:tcPr>
            <w:tcW w:w="330" w:type="dxa"/>
            <w:vAlign w:val="top"/>
          </w:tcPr>
          <w:p>
            <w:pPr>
              <w:pStyle w:val="TableText"/>
              <w:ind w:left="128"/>
              <w:spacing w:before="83" w:line="230" w:lineRule="auto"/>
              <w:rPr>
                <w:sz w:val="15"/>
                <w:szCs w:val="15"/>
              </w:rPr>
            </w:pPr>
            <w:r>
              <w:rPr>
                <w:sz w:val="15"/>
                <w:szCs w:val="15"/>
                <w:spacing w:val="-2"/>
              </w:rPr>
              <w:t>49</w:t>
            </w:r>
          </w:p>
        </w:tc>
        <w:tc>
          <w:tcPr>
            <w:tcW w:w="329" w:type="dxa"/>
            <w:vAlign w:val="top"/>
          </w:tcPr>
          <w:p>
            <w:pPr>
              <w:pStyle w:val="TableText"/>
              <w:ind w:left="129"/>
              <w:spacing w:before="113" w:line="193" w:lineRule="auto"/>
              <w:rPr>
                <w:sz w:val="15"/>
                <w:szCs w:val="15"/>
              </w:rPr>
            </w:pPr>
            <w:r>
              <w:rPr>
                <w:sz w:val="15"/>
                <w:szCs w:val="15"/>
                <w:spacing w:val="-3"/>
              </w:rPr>
              <w:t>52</w:t>
            </w:r>
          </w:p>
        </w:tc>
        <w:tc>
          <w:tcPr>
            <w:tcW w:w="330" w:type="dxa"/>
            <w:vAlign w:val="top"/>
          </w:tcPr>
          <w:p>
            <w:pPr>
              <w:pStyle w:val="TableText"/>
              <w:ind w:left="149"/>
              <w:spacing w:before="113" w:line="193" w:lineRule="auto"/>
              <w:rPr>
                <w:sz w:val="15"/>
                <w:szCs w:val="15"/>
              </w:rPr>
            </w:pPr>
            <w:r>
              <w:rPr>
                <w:sz w:val="15"/>
                <w:szCs w:val="15"/>
                <w:spacing w:val="-3"/>
              </w:rPr>
              <w:t>54</w:t>
            </w:r>
          </w:p>
        </w:tc>
        <w:tc>
          <w:tcPr>
            <w:tcW w:w="320" w:type="dxa"/>
            <w:vAlign w:val="top"/>
          </w:tcPr>
          <w:p>
            <w:pPr>
              <w:pStyle w:val="TableText"/>
              <w:ind w:left="129"/>
              <w:spacing w:before="113" w:line="193" w:lineRule="auto"/>
              <w:rPr>
                <w:sz w:val="15"/>
                <w:szCs w:val="15"/>
              </w:rPr>
            </w:pPr>
            <w:r>
              <w:rPr>
                <w:sz w:val="15"/>
                <w:szCs w:val="15"/>
                <w:spacing w:val="-3"/>
              </w:rPr>
              <w:t>57</w:t>
            </w:r>
          </w:p>
        </w:tc>
        <w:tc>
          <w:tcPr>
            <w:tcW w:w="344" w:type="dxa"/>
            <w:vAlign w:val="top"/>
          </w:tcPr>
          <w:p>
            <w:pPr>
              <w:pStyle w:val="TableText"/>
              <w:ind w:left="139"/>
              <w:spacing w:before="122" w:line="181" w:lineRule="auto"/>
              <w:rPr>
                <w:sz w:val="15"/>
                <w:szCs w:val="15"/>
              </w:rPr>
            </w:pPr>
            <w:r>
              <w:rPr>
                <w:sz w:val="15"/>
                <w:szCs w:val="15"/>
                <w:spacing w:val="-3"/>
              </w:rPr>
              <w:t>59</w:t>
            </w:r>
          </w:p>
        </w:tc>
      </w:tr>
      <w:tr>
        <w:trPr>
          <w:trHeight w:val="280" w:hRule="atLeast"/>
        </w:trPr>
        <w:tc>
          <w:tcPr>
            <w:tcW w:w="864" w:type="dxa"/>
            <w:vAlign w:val="top"/>
          </w:tcPr>
          <w:p>
            <w:pPr>
              <w:pStyle w:val="TableText"/>
              <w:ind w:right="4"/>
              <w:spacing w:before="83" w:line="230" w:lineRule="auto"/>
              <w:jc w:val="right"/>
              <w:rPr>
                <w:sz w:val="15"/>
                <w:szCs w:val="15"/>
              </w:rPr>
            </w:pPr>
            <w:r>
              <w:rPr>
                <w:sz w:val="15"/>
                <w:szCs w:val="15"/>
              </w:rPr>
              <w:t>4</w:t>
            </w:r>
          </w:p>
        </w:tc>
        <w:tc>
          <w:tcPr>
            <w:tcW w:w="330" w:type="dxa"/>
            <w:vAlign w:val="top"/>
          </w:tcPr>
          <w:p>
            <w:pPr>
              <w:pStyle w:val="TableText"/>
              <w:ind w:right="3"/>
              <w:spacing w:before="83" w:line="230" w:lineRule="auto"/>
              <w:jc w:val="right"/>
              <w:rPr>
                <w:sz w:val="15"/>
                <w:szCs w:val="15"/>
              </w:rPr>
            </w:pPr>
            <w:r>
              <w:rPr>
                <w:sz w:val="15"/>
                <w:szCs w:val="15"/>
                <w:spacing w:val="-3"/>
              </w:rPr>
              <w:t>3.</w:t>
            </w:r>
          </w:p>
        </w:tc>
        <w:tc>
          <w:tcPr>
            <w:tcW w:w="319" w:type="dxa"/>
            <w:vAlign w:val="top"/>
          </w:tcPr>
          <w:p>
            <w:pPr>
              <w:pStyle w:val="TableText"/>
              <w:ind w:left="90"/>
              <w:spacing w:before="113" w:line="193" w:lineRule="auto"/>
              <w:rPr>
                <w:sz w:val="15"/>
                <w:szCs w:val="15"/>
              </w:rPr>
            </w:pPr>
            <w:r>
              <w:rPr>
                <w:sz w:val="15"/>
                <w:szCs w:val="15"/>
                <w:spacing w:val="-2"/>
              </w:rPr>
              <w:t>63</w:t>
            </w:r>
          </w:p>
        </w:tc>
        <w:tc>
          <w:tcPr>
            <w:tcW w:w="329" w:type="dxa"/>
            <w:vAlign w:val="top"/>
          </w:tcPr>
          <w:p>
            <w:pPr>
              <w:pStyle w:val="TableText"/>
              <w:ind w:left="131"/>
              <w:spacing w:before="83" w:line="230" w:lineRule="auto"/>
              <w:rPr>
                <w:sz w:val="15"/>
                <w:szCs w:val="15"/>
              </w:rPr>
            </w:pPr>
            <w:r>
              <w:rPr>
                <w:sz w:val="15"/>
                <w:szCs w:val="15"/>
                <w:spacing w:val="-2"/>
              </w:rPr>
              <w:t>94</w:t>
            </w:r>
          </w:p>
        </w:tc>
        <w:tc>
          <w:tcPr>
            <w:tcW w:w="330" w:type="dxa"/>
            <w:vAlign w:val="top"/>
          </w:tcPr>
          <w:p>
            <w:pPr>
              <w:pStyle w:val="TableText"/>
              <w:ind w:right="5"/>
              <w:spacing w:before="83" w:line="230" w:lineRule="auto"/>
              <w:jc w:val="right"/>
              <w:rPr>
                <w:sz w:val="15"/>
                <w:szCs w:val="15"/>
              </w:rPr>
            </w:pPr>
            <w:r>
              <w:rPr>
                <w:sz w:val="15"/>
                <w:szCs w:val="15"/>
                <w:spacing w:val="-5"/>
              </w:rPr>
              <w:t>13</w:t>
            </w:r>
          </w:p>
        </w:tc>
        <w:tc>
          <w:tcPr>
            <w:tcW w:w="330" w:type="dxa"/>
            <w:vAlign w:val="top"/>
          </w:tcPr>
          <w:p>
            <w:pPr>
              <w:pStyle w:val="TableText"/>
              <w:ind w:right="5"/>
              <w:spacing w:before="113" w:line="193" w:lineRule="auto"/>
              <w:jc w:val="right"/>
              <w:rPr>
                <w:sz w:val="15"/>
                <w:szCs w:val="15"/>
              </w:rPr>
            </w:pPr>
            <w:r>
              <w:rPr>
                <w:sz w:val="15"/>
                <w:szCs w:val="15"/>
                <w:spacing w:val="-5"/>
              </w:rPr>
              <w:t>16</w:t>
            </w:r>
          </w:p>
        </w:tc>
        <w:tc>
          <w:tcPr>
            <w:tcW w:w="330" w:type="dxa"/>
            <w:vAlign w:val="top"/>
          </w:tcPr>
          <w:p>
            <w:pPr>
              <w:pStyle w:val="TableText"/>
              <w:ind w:right="15"/>
              <w:spacing w:before="122" w:line="181" w:lineRule="auto"/>
              <w:jc w:val="right"/>
              <w:rPr>
                <w:sz w:val="15"/>
                <w:szCs w:val="15"/>
              </w:rPr>
            </w:pPr>
            <w:r>
              <w:rPr>
                <w:sz w:val="15"/>
                <w:szCs w:val="15"/>
                <w:spacing w:val="-5"/>
              </w:rPr>
              <w:t>19</w:t>
            </w:r>
          </w:p>
        </w:tc>
        <w:tc>
          <w:tcPr>
            <w:tcW w:w="329" w:type="dxa"/>
            <w:vAlign w:val="top"/>
          </w:tcPr>
          <w:p>
            <w:pPr>
              <w:pStyle w:val="TableText"/>
              <w:ind w:right="9"/>
              <w:spacing w:before="122" w:line="181" w:lineRule="auto"/>
              <w:jc w:val="right"/>
              <w:rPr>
                <w:sz w:val="15"/>
                <w:szCs w:val="15"/>
              </w:rPr>
            </w:pPr>
            <w:r>
              <w:rPr>
                <w:sz w:val="15"/>
                <w:szCs w:val="15"/>
                <w:spacing w:val="-2"/>
              </w:rPr>
              <w:t>22</w:t>
            </w:r>
          </w:p>
        </w:tc>
        <w:tc>
          <w:tcPr>
            <w:tcW w:w="330" w:type="dxa"/>
            <w:vAlign w:val="top"/>
          </w:tcPr>
          <w:p>
            <w:pPr>
              <w:pStyle w:val="TableText"/>
              <w:ind w:right="9"/>
              <w:spacing w:before="122" w:line="181" w:lineRule="auto"/>
              <w:jc w:val="right"/>
              <w:rPr>
                <w:sz w:val="15"/>
                <w:szCs w:val="15"/>
              </w:rPr>
            </w:pPr>
            <w:r>
              <w:rPr>
                <w:sz w:val="15"/>
                <w:szCs w:val="15"/>
                <w:spacing w:val="-2"/>
              </w:rPr>
              <w:t>25</w:t>
            </w:r>
          </w:p>
        </w:tc>
        <w:tc>
          <w:tcPr>
            <w:tcW w:w="330" w:type="dxa"/>
            <w:vAlign w:val="top"/>
          </w:tcPr>
          <w:p>
            <w:pPr>
              <w:pStyle w:val="TableText"/>
              <w:spacing w:before="122" w:line="181" w:lineRule="auto"/>
              <w:jc w:val="right"/>
              <w:rPr>
                <w:sz w:val="15"/>
                <w:szCs w:val="15"/>
              </w:rPr>
            </w:pPr>
            <w:r>
              <w:rPr>
                <w:sz w:val="15"/>
                <w:szCs w:val="15"/>
                <w:spacing w:val="-4"/>
              </w:rPr>
              <w:t>28</w:t>
            </w:r>
          </w:p>
        </w:tc>
        <w:tc>
          <w:tcPr>
            <w:tcW w:w="330" w:type="dxa"/>
            <w:vAlign w:val="top"/>
          </w:tcPr>
          <w:p>
            <w:pPr>
              <w:pStyle w:val="TableText"/>
              <w:spacing w:before="113" w:line="193" w:lineRule="auto"/>
              <w:jc w:val="right"/>
              <w:rPr>
                <w:sz w:val="15"/>
                <w:szCs w:val="15"/>
              </w:rPr>
            </w:pPr>
            <w:r>
              <w:rPr>
                <w:sz w:val="15"/>
                <w:szCs w:val="15"/>
                <w:spacing w:val="-3"/>
              </w:rPr>
              <w:t>31</w:t>
            </w:r>
          </w:p>
        </w:tc>
        <w:tc>
          <w:tcPr>
            <w:tcW w:w="309" w:type="dxa"/>
            <w:vAlign w:val="top"/>
          </w:tcPr>
          <w:p>
            <w:pPr>
              <w:pStyle w:val="TableText"/>
              <w:ind w:left="114"/>
              <w:spacing w:before="113" w:line="193" w:lineRule="auto"/>
              <w:rPr>
                <w:sz w:val="15"/>
                <w:szCs w:val="15"/>
              </w:rPr>
            </w:pPr>
            <w:r>
              <w:rPr>
                <w:sz w:val="15"/>
                <w:szCs w:val="15"/>
                <w:spacing w:val="-3"/>
              </w:rPr>
              <w:t>35</w:t>
            </w:r>
          </w:p>
        </w:tc>
        <w:tc>
          <w:tcPr>
            <w:tcW w:w="330" w:type="dxa"/>
            <w:vAlign w:val="top"/>
          </w:tcPr>
          <w:p>
            <w:pPr>
              <w:pStyle w:val="TableText"/>
              <w:spacing w:before="122" w:line="181" w:lineRule="auto"/>
              <w:jc w:val="right"/>
              <w:rPr>
                <w:sz w:val="15"/>
                <w:szCs w:val="15"/>
              </w:rPr>
            </w:pPr>
            <w:r>
              <w:rPr>
                <w:sz w:val="15"/>
                <w:szCs w:val="15"/>
                <w:spacing w:val="-5"/>
              </w:rPr>
              <w:t>38</w:t>
            </w:r>
          </w:p>
        </w:tc>
        <w:tc>
          <w:tcPr>
            <w:tcW w:w="330" w:type="dxa"/>
            <w:vAlign w:val="top"/>
          </w:tcPr>
          <w:p>
            <w:pPr>
              <w:pStyle w:val="TableText"/>
              <w:ind w:left="154"/>
              <w:spacing w:before="113" w:line="193" w:lineRule="auto"/>
              <w:rPr>
                <w:sz w:val="15"/>
                <w:szCs w:val="15"/>
              </w:rPr>
            </w:pPr>
            <w:r>
              <w:rPr>
                <w:sz w:val="15"/>
                <w:szCs w:val="15"/>
                <w:spacing w:val="-2"/>
              </w:rPr>
              <w:t>41</w:t>
            </w:r>
          </w:p>
        </w:tc>
        <w:tc>
          <w:tcPr>
            <w:tcW w:w="319" w:type="dxa"/>
            <w:vAlign w:val="top"/>
          </w:tcPr>
          <w:p>
            <w:pPr>
              <w:pStyle w:val="TableText"/>
              <w:ind w:left="134"/>
              <w:spacing w:before="113" w:line="193" w:lineRule="auto"/>
              <w:rPr>
                <w:sz w:val="15"/>
                <w:szCs w:val="15"/>
              </w:rPr>
            </w:pPr>
            <w:r>
              <w:rPr>
                <w:sz w:val="15"/>
                <w:szCs w:val="15"/>
                <w:spacing w:val="-2"/>
              </w:rPr>
              <w:t>44</w:t>
            </w:r>
          </w:p>
        </w:tc>
        <w:tc>
          <w:tcPr>
            <w:tcW w:w="339" w:type="dxa"/>
            <w:vAlign w:val="top"/>
          </w:tcPr>
          <w:p>
            <w:pPr>
              <w:pStyle w:val="TableText"/>
              <w:ind w:left="146"/>
              <w:spacing w:before="113" w:line="193" w:lineRule="auto"/>
              <w:rPr>
                <w:sz w:val="15"/>
                <w:szCs w:val="15"/>
              </w:rPr>
            </w:pPr>
            <w:r>
              <w:rPr>
                <w:sz w:val="15"/>
                <w:szCs w:val="15"/>
                <w:spacing w:val="-2"/>
              </w:rPr>
              <w:t>47</w:t>
            </w:r>
          </w:p>
        </w:tc>
        <w:tc>
          <w:tcPr>
            <w:tcW w:w="320" w:type="dxa"/>
            <w:vAlign w:val="top"/>
          </w:tcPr>
          <w:p>
            <w:pPr>
              <w:pStyle w:val="TableText"/>
              <w:ind w:left="116"/>
              <w:spacing w:before="113" w:line="193" w:lineRule="auto"/>
              <w:rPr>
                <w:sz w:val="15"/>
                <w:szCs w:val="15"/>
              </w:rPr>
            </w:pPr>
            <w:r>
              <w:rPr>
                <w:sz w:val="15"/>
                <w:szCs w:val="15"/>
                <w:spacing w:val="-3"/>
              </w:rPr>
              <w:t>50</w:t>
            </w:r>
          </w:p>
        </w:tc>
        <w:tc>
          <w:tcPr>
            <w:tcW w:w="329" w:type="dxa"/>
            <w:vAlign w:val="top"/>
          </w:tcPr>
          <w:p>
            <w:pPr>
              <w:pStyle w:val="TableText"/>
              <w:ind w:left="86"/>
              <w:spacing w:before="113" w:line="193" w:lineRule="auto"/>
              <w:rPr>
                <w:sz w:val="15"/>
                <w:szCs w:val="15"/>
              </w:rPr>
            </w:pPr>
            <w:r>
              <w:rPr>
                <w:sz w:val="15"/>
                <w:szCs w:val="15"/>
                <w:spacing w:val="-3"/>
              </w:rPr>
              <w:t>53</w:t>
            </w:r>
          </w:p>
        </w:tc>
        <w:tc>
          <w:tcPr>
            <w:tcW w:w="340" w:type="dxa"/>
            <w:vAlign w:val="top"/>
          </w:tcPr>
          <w:p>
            <w:pPr>
              <w:pStyle w:val="TableText"/>
              <w:spacing w:before="122" w:line="181" w:lineRule="auto"/>
              <w:jc w:val="right"/>
              <w:rPr>
                <w:sz w:val="15"/>
                <w:szCs w:val="15"/>
              </w:rPr>
            </w:pPr>
            <w:r>
              <w:rPr>
                <w:sz w:val="15"/>
                <w:szCs w:val="15"/>
                <w:spacing w:val="-5"/>
              </w:rPr>
              <w:t>57</w:t>
            </w:r>
          </w:p>
        </w:tc>
        <w:tc>
          <w:tcPr>
            <w:tcW w:w="329" w:type="dxa"/>
            <w:vAlign w:val="top"/>
          </w:tcPr>
          <w:p>
            <w:pPr>
              <w:pStyle w:val="TableText"/>
              <w:ind w:left="87"/>
              <w:spacing w:before="113" w:line="193" w:lineRule="auto"/>
              <w:rPr>
                <w:sz w:val="15"/>
                <w:szCs w:val="15"/>
              </w:rPr>
            </w:pPr>
            <w:r>
              <w:rPr>
                <w:sz w:val="15"/>
                <w:szCs w:val="15"/>
                <w:spacing w:val="-2"/>
              </w:rPr>
              <w:t>60</w:t>
            </w:r>
          </w:p>
        </w:tc>
        <w:tc>
          <w:tcPr>
            <w:tcW w:w="320" w:type="dxa"/>
            <w:vAlign w:val="top"/>
          </w:tcPr>
          <w:p>
            <w:pPr>
              <w:pStyle w:val="TableText"/>
              <w:ind w:left="118"/>
              <w:spacing w:before="113" w:line="193" w:lineRule="auto"/>
              <w:rPr>
                <w:sz w:val="15"/>
                <w:szCs w:val="15"/>
              </w:rPr>
            </w:pPr>
            <w:r>
              <w:rPr>
                <w:sz w:val="15"/>
                <w:szCs w:val="15"/>
                <w:spacing w:val="-2"/>
              </w:rPr>
              <w:t>63</w:t>
            </w:r>
          </w:p>
        </w:tc>
        <w:tc>
          <w:tcPr>
            <w:tcW w:w="330" w:type="dxa"/>
            <w:vAlign w:val="top"/>
          </w:tcPr>
          <w:p>
            <w:pPr>
              <w:pStyle w:val="TableText"/>
              <w:ind w:left="118"/>
              <w:spacing w:before="113" w:line="193" w:lineRule="auto"/>
              <w:rPr>
                <w:sz w:val="15"/>
                <w:szCs w:val="15"/>
              </w:rPr>
            </w:pPr>
            <w:r>
              <w:rPr>
                <w:sz w:val="15"/>
                <w:szCs w:val="15"/>
                <w:spacing w:val="-2"/>
              </w:rPr>
              <w:t>66</w:t>
            </w:r>
          </w:p>
        </w:tc>
        <w:tc>
          <w:tcPr>
            <w:tcW w:w="329" w:type="dxa"/>
            <w:vAlign w:val="top"/>
          </w:tcPr>
          <w:p>
            <w:pPr>
              <w:pStyle w:val="TableText"/>
              <w:ind w:left="129"/>
              <w:spacing w:before="113" w:line="193" w:lineRule="auto"/>
              <w:rPr>
                <w:sz w:val="15"/>
                <w:szCs w:val="15"/>
              </w:rPr>
            </w:pPr>
            <w:r>
              <w:rPr>
                <w:sz w:val="15"/>
                <w:szCs w:val="15"/>
                <w:spacing w:val="-2"/>
              </w:rPr>
              <w:t>69</w:t>
            </w:r>
          </w:p>
        </w:tc>
        <w:tc>
          <w:tcPr>
            <w:tcW w:w="330" w:type="dxa"/>
            <w:vAlign w:val="top"/>
          </w:tcPr>
          <w:p>
            <w:pPr>
              <w:pStyle w:val="TableText"/>
              <w:ind w:left="139"/>
              <w:spacing w:before="113" w:line="193" w:lineRule="auto"/>
              <w:rPr>
                <w:sz w:val="15"/>
                <w:szCs w:val="15"/>
              </w:rPr>
            </w:pPr>
            <w:r>
              <w:rPr>
                <w:sz w:val="15"/>
                <w:szCs w:val="15"/>
                <w:spacing w:val="-3"/>
              </w:rPr>
              <w:t>72</w:t>
            </w:r>
          </w:p>
        </w:tc>
        <w:tc>
          <w:tcPr>
            <w:tcW w:w="320" w:type="dxa"/>
            <w:vAlign w:val="top"/>
          </w:tcPr>
          <w:p>
            <w:pPr>
              <w:pStyle w:val="TableText"/>
              <w:ind w:left="119"/>
              <w:spacing w:before="83" w:line="230" w:lineRule="auto"/>
              <w:rPr>
                <w:sz w:val="15"/>
                <w:szCs w:val="15"/>
              </w:rPr>
            </w:pPr>
            <w:r>
              <w:rPr>
                <w:sz w:val="15"/>
                <w:szCs w:val="15"/>
                <w:spacing w:val="-3"/>
              </w:rPr>
              <w:t>75</w:t>
            </w:r>
          </w:p>
        </w:tc>
        <w:tc>
          <w:tcPr>
            <w:tcW w:w="344" w:type="dxa"/>
            <w:vAlign w:val="top"/>
          </w:tcPr>
          <w:p>
            <w:pPr>
              <w:pStyle w:val="TableText"/>
              <w:ind w:left="89"/>
              <w:spacing w:before="83" w:line="230" w:lineRule="auto"/>
              <w:rPr>
                <w:sz w:val="15"/>
                <w:szCs w:val="15"/>
              </w:rPr>
            </w:pPr>
            <w:r>
              <w:rPr>
                <w:sz w:val="15"/>
                <w:szCs w:val="15"/>
                <w:spacing w:val="-3"/>
              </w:rPr>
              <w:t>79</w:t>
            </w:r>
          </w:p>
        </w:tc>
      </w:tr>
      <w:tr>
        <w:trPr>
          <w:trHeight w:val="270" w:hRule="atLeast"/>
        </w:trPr>
        <w:tc>
          <w:tcPr>
            <w:tcW w:w="864" w:type="dxa"/>
            <w:vAlign w:val="top"/>
          </w:tcPr>
          <w:p>
            <w:pPr>
              <w:pStyle w:val="TableText"/>
              <w:ind w:right="4"/>
              <w:spacing w:before="73" w:line="230" w:lineRule="auto"/>
              <w:jc w:val="right"/>
              <w:rPr>
                <w:sz w:val="15"/>
                <w:szCs w:val="15"/>
              </w:rPr>
            </w:pPr>
            <w:r>
              <w:rPr>
                <w:sz w:val="15"/>
                <w:szCs w:val="15"/>
              </w:rPr>
              <w:t>5</w:t>
            </w:r>
          </w:p>
        </w:tc>
        <w:tc>
          <w:tcPr>
            <w:tcW w:w="330" w:type="dxa"/>
            <w:vAlign w:val="top"/>
          </w:tcPr>
          <w:p>
            <w:pPr>
              <w:pStyle w:val="TableText"/>
              <w:ind w:right="9"/>
              <w:spacing w:before="73" w:line="230" w:lineRule="auto"/>
              <w:jc w:val="right"/>
              <w:rPr>
                <w:sz w:val="15"/>
                <w:szCs w:val="15"/>
              </w:rPr>
            </w:pPr>
            <w:r>
              <w:rPr>
                <w:sz w:val="15"/>
                <w:szCs w:val="15"/>
                <w:spacing w:val="-2"/>
              </w:rPr>
              <w:t>3.9</w:t>
            </w:r>
          </w:p>
        </w:tc>
        <w:tc>
          <w:tcPr>
            <w:tcW w:w="319" w:type="dxa"/>
            <w:vAlign w:val="top"/>
          </w:tcPr>
          <w:p>
            <w:pPr>
              <w:pStyle w:val="TableText"/>
              <w:ind w:left="70"/>
              <w:spacing w:before="73" w:line="230" w:lineRule="auto"/>
              <w:rPr>
                <w:sz w:val="15"/>
                <w:szCs w:val="15"/>
              </w:rPr>
            </w:pPr>
            <w:r>
              <w:rPr>
                <w:sz w:val="15"/>
                <w:szCs w:val="15"/>
                <w:spacing w:val="-3"/>
              </w:rPr>
              <w:t>79</w:t>
            </w:r>
          </w:p>
        </w:tc>
        <w:tc>
          <w:tcPr>
            <w:tcW w:w="329" w:type="dxa"/>
            <w:vAlign w:val="top"/>
          </w:tcPr>
          <w:p>
            <w:pPr>
              <w:pStyle w:val="TableText"/>
              <w:ind w:left="131"/>
              <w:spacing w:before="112" w:line="181" w:lineRule="auto"/>
              <w:rPr>
                <w:sz w:val="15"/>
                <w:szCs w:val="15"/>
              </w:rPr>
            </w:pPr>
            <w:r>
              <w:rPr>
                <w:sz w:val="15"/>
                <w:szCs w:val="15"/>
                <w:spacing w:val="-5"/>
              </w:rPr>
              <w:t>12</w:t>
            </w:r>
          </w:p>
        </w:tc>
        <w:tc>
          <w:tcPr>
            <w:tcW w:w="330" w:type="dxa"/>
            <w:vAlign w:val="top"/>
          </w:tcPr>
          <w:p>
            <w:pPr>
              <w:pStyle w:val="TableText"/>
              <w:ind w:right="5"/>
              <w:spacing w:before="73" w:line="230" w:lineRule="auto"/>
              <w:jc w:val="right"/>
              <w:rPr>
                <w:sz w:val="15"/>
                <w:szCs w:val="15"/>
              </w:rPr>
            </w:pPr>
            <w:r>
              <w:rPr>
                <w:sz w:val="15"/>
                <w:szCs w:val="15"/>
                <w:spacing w:val="-5"/>
              </w:rPr>
              <w:t>16</w:t>
            </w:r>
          </w:p>
        </w:tc>
        <w:tc>
          <w:tcPr>
            <w:tcW w:w="330" w:type="dxa"/>
            <w:vAlign w:val="top"/>
          </w:tcPr>
          <w:p>
            <w:pPr>
              <w:pStyle w:val="TableText"/>
              <w:ind w:left="113"/>
              <w:spacing w:before="82" w:line="218" w:lineRule="auto"/>
              <w:rPr>
                <w:sz w:val="15"/>
                <w:szCs w:val="15"/>
              </w:rPr>
            </w:pPr>
            <w:r>
              <w:rPr>
                <w:sz w:val="15"/>
                <w:szCs w:val="15"/>
                <w:spacing w:val="-2"/>
              </w:rPr>
              <w:t>20</w:t>
            </w:r>
          </w:p>
        </w:tc>
        <w:tc>
          <w:tcPr>
            <w:tcW w:w="330" w:type="dxa"/>
            <w:vAlign w:val="top"/>
          </w:tcPr>
          <w:p>
            <w:pPr>
              <w:pStyle w:val="TableText"/>
              <w:ind w:right="10"/>
              <w:spacing w:before="82" w:line="218" w:lineRule="auto"/>
              <w:jc w:val="right"/>
              <w:rPr>
                <w:sz w:val="15"/>
                <w:szCs w:val="15"/>
              </w:rPr>
            </w:pPr>
            <w:r>
              <w:rPr>
                <w:sz w:val="15"/>
                <w:szCs w:val="15"/>
                <w:spacing w:val="-2"/>
              </w:rPr>
              <w:t>24</w:t>
            </w:r>
          </w:p>
        </w:tc>
        <w:tc>
          <w:tcPr>
            <w:tcW w:w="329" w:type="dxa"/>
            <w:vAlign w:val="top"/>
          </w:tcPr>
          <w:p>
            <w:pPr>
              <w:pStyle w:val="TableText"/>
              <w:ind w:right="9"/>
              <w:spacing w:before="112" w:line="181" w:lineRule="auto"/>
              <w:jc w:val="right"/>
              <w:rPr>
                <w:sz w:val="15"/>
                <w:szCs w:val="15"/>
              </w:rPr>
            </w:pPr>
            <w:r>
              <w:rPr>
                <w:sz w:val="15"/>
                <w:szCs w:val="15"/>
                <w:spacing w:val="-2"/>
              </w:rPr>
              <w:t>27</w:t>
            </w:r>
          </w:p>
        </w:tc>
        <w:tc>
          <w:tcPr>
            <w:tcW w:w="330" w:type="dxa"/>
            <w:vAlign w:val="top"/>
          </w:tcPr>
          <w:p>
            <w:pPr>
              <w:pStyle w:val="TableText"/>
              <w:ind w:right="10"/>
              <w:spacing w:before="112" w:line="181" w:lineRule="auto"/>
              <w:jc w:val="right"/>
              <w:rPr>
                <w:sz w:val="15"/>
                <w:szCs w:val="15"/>
              </w:rPr>
            </w:pPr>
            <w:r>
              <w:rPr>
                <w:sz w:val="15"/>
                <w:szCs w:val="15"/>
                <w:spacing w:val="-3"/>
              </w:rPr>
              <w:t>31</w:t>
            </w:r>
          </w:p>
        </w:tc>
        <w:tc>
          <w:tcPr>
            <w:tcW w:w="330" w:type="dxa"/>
            <w:vAlign w:val="top"/>
          </w:tcPr>
          <w:p>
            <w:pPr>
              <w:pStyle w:val="TableText"/>
              <w:spacing w:before="112" w:line="181" w:lineRule="auto"/>
              <w:jc w:val="right"/>
              <w:rPr>
                <w:sz w:val="15"/>
                <w:szCs w:val="15"/>
              </w:rPr>
            </w:pPr>
            <w:r>
              <w:rPr>
                <w:sz w:val="15"/>
                <w:szCs w:val="15"/>
                <w:spacing w:val="-3"/>
              </w:rPr>
              <w:t>35</w:t>
            </w:r>
          </w:p>
        </w:tc>
        <w:tc>
          <w:tcPr>
            <w:tcW w:w="330" w:type="dxa"/>
            <w:vAlign w:val="top"/>
          </w:tcPr>
          <w:p>
            <w:pPr>
              <w:pStyle w:val="TableText"/>
              <w:spacing w:before="112" w:line="181" w:lineRule="auto"/>
              <w:jc w:val="right"/>
              <w:rPr>
                <w:sz w:val="15"/>
                <w:szCs w:val="15"/>
              </w:rPr>
            </w:pPr>
            <w:r>
              <w:rPr>
                <w:sz w:val="15"/>
                <w:szCs w:val="15"/>
                <w:spacing w:val="-3"/>
              </w:rPr>
              <w:t>39</w:t>
            </w:r>
          </w:p>
        </w:tc>
        <w:tc>
          <w:tcPr>
            <w:tcW w:w="309" w:type="dxa"/>
            <w:vAlign w:val="top"/>
          </w:tcPr>
          <w:p>
            <w:pPr>
              <w:pStyle w:val="TableText"/>
              <w:ind w:left="133"/>
              <w:spacing w:before="123" w:line="168" w:lineRule="auto"/>
              <w:rPr>
                <w:sz w:val="15"/>
                <w:szCs w:val="15"/>
              </w:rPr>
            </w:pPr>
            <w:r>
              <w:rPr>
                <w:sz w:val="15"/>
                <w:szCs w:val="15"/>
                <w:spacing w:val="-2"/>
              </w:rPr>
              <w:t>43</w:t>
            </w:r>
          </w:p>
        </w:tc>
        <w:tc>
          <w:tcPr>
            <w:tcW w:w="330" w:type="dxa"/>
            <w:vAlign w:val="top"/>
          </w:tcPr>
          <w:p>
            <w:pPr>
              <w:pStyle w:val="TableText"/>
              <w:spacing w:before="112" w:line="181" w:lineRule="auto"/>
              <w:jc w:val="right"/>
              <w:rPr>
                <w:sz w:val="15"/>
                <w:szCs w:val="15"/>
              </w:rPr>
            </w:pPr>
            <w:r>
              <w:rPr>
                <w:sz w:val="15"/>
                <w:szCs w:val="15"/>
                <w:spacing w:val="-3"/>
              </w:rPr>
              <w:t>47</w:t>
            </w:r>
          </w:p>
        </w:tc>
        <w:tc>
          <w:tcPr>
            <w:tcW w:w="330" w:type="dxa"/>
            <w:vAlign w:val="top"/>
          </w:tcPr>
          <w:p>
            <w:pPr>
              <w:pStyle w:val="TableText"/>
              <w:ind w:left="154"/>
              <w:spacing w:before="112" w:line="181" w:lineRule="auto"/>
              <w:rPr>
                <w:sz w:val="15"/>
                <w:szCs w:val="15"/>
              </w:rPr>
            </w:pPr>
            <w:r>
              <w:rPr>
                <w:sz w:val="15"/>
                <w:szCs w:val="15"/>
                <w:spacing w:val="-3"/>
              </w:rPr>
              <w:t>51</w:t>
            </w:r>
          </w:p>
        </w:tc>
        <w:tc>
          <w:tcPr>
            <w:tcW w:w="319" w:type="dxa"/>
            <w:vAlign w:val="top"/>
          </w:tcPr>
          <w:p>
            <w:pPr>
              <w:pStyle w:val="TableText"/>
              <w:ind w:left="134"/>
              <w:spacing w:before="123" w:line="168" w:lineRule="auto"/>
              <w:rPr>
                <w:sz w:val="15"/>
                <w:szCs w:val="15"/>
              </w:rPr>
            </w:pPr>
            <w:r>
              <w:rPr>
                <w:sz w:val="15"/>
                <w:szCs w:val="15"/>
                <w:spacing w:val="-3"/>
              </w:rPr>
              <w:t>55</w:t>
            </w:r>
          </w:p>
        </w:tc>
        <w:tc>
          <w:tcPr>
            <w:tcW w:w="339" w:type="dxa"/>
            <w:vAlign w:val="top"/>
          </w:tcPr>
          <w:p>
            <w:pPr>
              <w:pStyle w:val="TableText"/>
              <w:ind w:left="125"/>
              <w:spacing w:before="123" w:line="168" w:lineRule="auto"/>
              <w:rPr>
                <w:sz w:val="15"/>
                <w:szCs w:val="15"/>
              </w:rPr>
            </w:pPr>
            <w:r>
              <w:rPr>
                <w:sz w:val="15"/>
                <w:szCs w:val="15"/>
                <w:spacing w:val="-3"/>
              </w:rPr>
              <w:t>59</w:t>
            </w:r>
          </w:p>
        </w:tc>
        <w:tc>
          <w:tcPr>
            <w:tcW w:w="320" w:type="dxa"/>
            <w:vAlign w:val="top"/>
          </w:tcPr>
          <w:p>
            <w:pPr>
              <w:pStyle w:val="TableText"/>
              <w:ind w:left="126"/>
              <w:spacing w:before="123" w:line="168" w:lineRule="auto"/>
              <w:rPr>
                <w:sz w:val="15"/>
                <w:szCs w:val="15"/>
              </w:rPr>
            </w:pPr>
            <w:r>
              <w:rPr>
                <w:sz w:val="15"/>
                <w:szCs w:val="15"/>
                <w:spacing w:val="-2"/>
              </w:rPr>
              <w:t>63</w:t>
            </w:r>
          </w:p>
        </w:tc>
        <w:tc>
          <w:tcPr>
            <w:tcW w:w="329" w:type="dxa"/>
            <w:vAlign w:val="top"/>
          </w:tcPr>
          <w:p>
            <w:pPr>
              <w:pStyle w:val="TableText"/>
              <w:ind w:left="136"/>
              <w:spacing w:before="123" w:line="168" w:lineRule="auto"/>
              <w:rPr>
                <w:sz w:val="15"/>
                <w:szCs w:val="15"/>
              </w:rPr>
            </w:pPr>
            <w:r>
              <w:rPr>
                <w:sz w:val="15"/>
                <w:szCs w:val="15"/>
                <w:spacing w:val="-2"/>
              </w:rPr>
              <w:t>67</w:t>
            </w:r>
          </w:p>
        </w:tc>
        <w:tc>
          <w:tcPr>
            <w:tcW w:w="340" w:type="dxa"/>
            <w:vAlign w:val="top"/>
          </w:tcPr>
          <w:p>
            <w:pPr>
              <w:pStyle w:val="TableText"/>
              <w:spacing w:before="123" w:line="168" w:lineRule="auto"/>
              <w:jc w:val="right"/>
              <w:rPr>
                <w:sz w:val="15"/>
                <w:szCs w:val="15"/>
              </w:rPr>
            </w:pPr>
            <w:r>
              <w:rPr>
                <w:sz w:val="15"/>
                <w:szCs w:val="15"/>
                <w:spacing w:val="-5"/>
              </w:rPr>
              <w:t>71</w:t>
            </w:r>
          </w:p>
        </w:tc>
        <w:tc>
          <w:tcPr>
            <w:tcW w:w="329" w:type="dxa"/>
            <w:vAlign w:val="top"/>
          </w:tcPr>
          <w:p>
            <w:pPr>
              <w:pStyle w:val="TableText"/>
              <w:ind w:left="87"/>
              <w:spacing w:before="123" w:line="168" w:lineRule="auto"/>
              <w:rPr>
                <w:sz w:val="15"/>
                <w:szCs w:val="15"/>
              </w:rPr>
            </w:pPr>
            <w:r>
              <w:rPr>
                <w:sz w:val="15"/>
                <w:szCs w:val="15"/>
                <w:spacing w:val="-3"/>
              </w:rPr>
              <w:t>75</w:t>
            </w:r>
          </w:p>
        </w:tc>
        <w:tc>
          <w:tcPr>
            <w:tcW w:w="320" w:type="dxa"/>
            <w:vAlign w:val="top"/>
          </w:tcPr>
          <w:p>
            <w:pPr>
              <w:pStyle w:val="TableText"/>
              <w:ind w:left="79"/>
              <w:spacing w:before="82" w:line="218" w:lineRule="auto"/>
              <w:rPr>
                <w:sz w:val="15"/>
                <w:szCs w:val="15"/>
              </w:rPr>
            </w:pPr>
            <w:r>
              <w:rPr>
                <w:sz w:val="15"/>
                <w:szCs w:val="15"/>
                <w:spacing w:val="-3"/>
              </w:rPr>
              <w:t>79</w:t>
            </w:r>
          </w:p>
        </w:tc>
        <w:tc>
          <w:tcPr>
            <w:tcW w:w="330" w:type="dxa"/>
            <w:vAlign w:val="top"/>
          </w:tcPr>
          <w:p>
            <w:pPr>
              <w:pStyle w:val="TableText"/>
              <w:ind w:left="88"/>
              <w:spacing w:before="123" w:line="168" w:lineRule="auto"/>
              <w:rPr>
                <w:sz w:val="15"/>
                <w:szCs w:val="15"/>
              </w:rPr>
            </w:pPr>
            <w:r>
              <w:rPr>
                <w:sz w:val="15"/>
                <w:szCs w:val="15"/>
                <w:spacing w:val="-2"/>
              </w:rPr>
              <w:t>82</w:t>
            </w:r>
          </w:p>
        </w:tc>
        <w:tc>
          <w:tcPr>
            <w:tcW w:w="329" w:type="dxa"/>
            <w:vAlign w:val="top"/>
          </w:tcPr>
          <w:p>
            <w:pPr>
              <w:pStyle w:val="TableText"/>
              <w:ind w:left="88"/>
              <w:spacing w:before="82" w:line="218" w:lineRule="auto"/>
              <w:rPr>
                <w:sz w:val="15"/>
                <w:szCs w:val="15"/>
              </w:rPr>
            </w:pPr>
            <w:r>
              <w:rPr>
                <w:sz w:val="15"/>
                <w:szCs w:val="15"/>
                <w:spacing w:val="-2"/>
              </w:rPr>
              <w:t>86</w:t>
            </w:r>
          </w:p>
        </w:tc>
        <w:tc>
          <w:tcPr>
            <w:tcW w:w="330" w:type="dxa"/>
            <w:vAlign w:val="top"/>
          </w:tcPr>
          <w:p>
            <w:pPr>
              <w:pStyle w:val="TableText"/>
              <w:ind w:left="89"/>
              <w:spacing w:before="112" w:line="181" w:lineRule="auto"/>
              <w:rPr>
                <w:sz w:val="15"/>
                <w:szCs w:val="15"/>
              </w:rPr>
            </w:pPr>
            <w:r>
              <w:rPr>
                <w:sz w:val="15"/>
                <w:szCs w:val="15"/>
                <w:spacing w:val="-2"/>
              </w:rPr>
              <w:t>90</w:t>
            </w:r>
          </w:p>
        </w:tc>
        <w:tc>
          <w:tcPr>
            <w:tcW w:w="320" w:type="dxa"/>
            <w:vAlign w:val="top"/>
          </w:tcPr>
          <w:p>
            <w:pPr>
              <w:pStyle w:val="TableText"/>
              <w:ind w:left="79"/>
              <w:spacing w:before="112" w:line="181" w:lineRule="auto"/>
              <w:rPr>
                <w:sz w:val="15"/>
                <w:szCs w:val="15"/>
              </w:rPr>
            </w:pPr>
            <w:r>
              <w:rPr>
                <w:sz w:val="15"/>
                <w:szCs w:val="15"/>
                <w:spacing w:val="-2"/>
              </w:rPr>
              <w:t>94</w:t>
            </w:r>
          </w:p>
        </w:tc>
        <w:tc>
          <w:tcPr>
            <w:tcW w:w="344" w:type="dxa"/>
            <w:vAlign w:val="top"/>
          </w:tcPr>
          <w:p>
            <w:pPr>
              <w:pStyle w:val="TableText"/>
              <w:ind w:left="119"/>
              <w:spacing w:before="123" w:line="168" w:lineRule="auto"/>
              <w:rPr>
                <w:sz w:val="15"/>
                <w:szCs w:val="15"/>
              </w:rPr>
            </w:pPr>
            <w:r>
              <w:rPr>
                <w:sz w:val="15"/>
                <w:szCs w:val="15"/>
                <w:spacing w:val="-2"/>
              </w:rPr>
              <w:t>98</w:t>
            </w:r>
          </w:p>
        </w:tc>
      </w:tr>
      <w:tr>
        <w:trPr>
          <w:trHeight w:val="279" w:hRule="atLeast"/>
        </w:trPr>
        <w:tc>
          <w:tcPr>
            <w:tcW w:w="864" w:type="dxa"/>
            <w:vAlign w:val="top"/>
          </w:tcPr>
          <w:p>
            <w:pPr>
              <w:pStyle w:val="TableText"/>
              <w:ind w:right="4"/>
              <w:spacing w:before="82" w:line="229" w:lineRule="auto"/>
              <w:jc w:val="right"/>
              <w:rPr>
                <w:sz w:val="15"/>
                <w:szCs w:val="15"/>
              </w:rPr>
            </w:pPr>
            <w:r>
              <w:rPr>
                <w:sz w:val="15"/>
                <w:szCs w:val="15"/>
              </w:rPr>
              <w:t>6</w:t>
            </w:r>
          </w:p>
        </w:tc>
        <w:tc>
          <w:tcPr>
            <w:tcW w:w="330" w:type="dxa"/>
            <w:vAlign w:val="top"/>
          </w:tcPr>
          <w:p>
            <w:pPr>
              <w:pStyle w:val="TableText"/>
              <w:ind w:left="81"/>
              <w:spacing w:before="66" w:line="216" w:lineRule="auto"/>
              <w:rPr>
                <w:sz w:val="15"/>
                <w:szCs w:val="15"/>
              </w:rPr>
            </w:pPr>
            <w:r>
              <w:rPr>
                <w:sz w:val="15"/>
                <w:szCs w:val="15"/>
                <w:spacing w:val="-2"/>
              </w:rPr>
              <w:t>4,7</w:t>
            </w:r>
          </w:p>
        </w:tc>
        <w:tc>
          <w:tcPr>
            <w:tcW w:w="319" w:type="dxa"/>
            <w:vAlign w:val="top"/>
          </w:tcPr>
          <w:p>
            <w:pPr>
              <w:pStyle w:val="TableText"/>
              <w:ind w:left="31"/>
              <w:spacing w:before="82" w:line="229" w:lineRule="auto"/>
              <w:rPr>
                <w:sz w:val="15"/>
                <w:szCs w:val="15"/>
              </w:rPr>
            </w:pPr>
            <w:r>
              <w:rPr>
                <w:sz w:val="15"/>
                <w:szCs w:val="15"/>
                <w:spacing w:val="-2"/>
              </w:rPr>
              <w:t>9.4</w:t>
            </w:r>
          </w:p>
        </w:tc>
        <w:tc>
          <w:tcPr>
            <w:tcW w:w="329" w:type="dxa"/>
            <w:vAlign w:val="top"/>
          </w:tcPr>
          <w:p>
            <w:pPr>
              <w:pStyle w:val="TableText"/>
              <w:ind w:left="131"/>
              <w:spacing w:before="82" w:line="229" w:lineRule="auto"/>
              <w:rPr>
                <w:sz w:val="15"/>
                <w:szCs w:val="15"/>
              </w:rPr>
            </w:pPr>
            <w:r>
              <w:rPr>
                <w:sz w:val="15"/>
                <w:szCs w:val="15"/>
                <w:spacing w:val="-5"/>
              </w:rPr>
              <w:t>14</w:t>
            </w:r>
          </w:p>
        </w:tc>
        <w:tc>
          <w:tcPr>
            <w:tcW w:w="330" w:type="dxa"/>
            <w:vAlign w:val="top"/>
          </w:tcPr>
          <w:p>
            <w:pPr>
              <w:pStyle w:val="TableText"/>
              <w:ind w:right="5"/>
              <w:spacing w:before="82" w:line="229" w:lineRule="auto"/>
              <w:jc w:val="right"/>
              <w:rPr>
                <w:sz w:val="15"/>
                <w:szCs w:val="15"/>
              </w:rPr>
            </w:pPr>
            <w:r>
              <w:rPr>
                <w:sz w:val="15"/>
                <w:szCs w:val="15"/>
                <w:spacing w:val="-5"/>
              </w:rPr>
              <w:t>19</w:t>
            </w:r>
          </w:p>
        </w:tc>
        <w:tc>
          <w:tcPr>
            <w:tcW w:w="330" w:type="dxa"/>
            <w:vAlign w:val="top"/>
          </w:tcPr>
          <w:p>
            <w:pPr>
              <w:pStyle w:val="TableText"/>
              <w:spacing w:before="82" w:line="229" w:lineRule="auto"/>
              <w:jc w:val="right"/>
              <w:rPr>
                <w:sz w:val="15"/>
                <w:szCs w:val="15"/>
              </w:rPr>
            </w:pPr>
            <w:r>
              <w:rPr>
                <w:sz w:val="15"/>
                <w:szCs w:val="15"/>
                <w:spacing w:val="-2"/>
              </w:rPr>
              <w:t>24</w:t>
            </w:r>
          </w:p>
        </w:tc>
        <w:tc>
          <w:tcPr>
            <w:tcW w:w="330" w:type="dxa"/>
            <w:vAlign w:val="top"/>
          </w:tcPr>
          <w:p>
            <w:pPr>
              <w:pStyle w:val="TableText"/>
              <w:ind w:right="10"/>
              <w:spacing w:before="82" w:line="229" w:lineRule="auto"/>
              <w:jc w:val="right"/>
              <w:rPr>
                <w:sz w:val="15"/>
                <w:szCs w:val="15"/>
              </w:rPr>
            </w:pPr>
            <w:r>
              <w:rPr>
                <w:sz w:val="15"/>
                <w:szCs w:val="15"/>
                <w:spacing w:val="-2"/>
              </w:rPr>
              <w:t>28</w:t>
            </w:r>
          </w:p>
        </w:tc>
        <w:tc>
          <w:tcPr>
            <w:tcW w:w="329" w:type="dxa"/>
            <w:vAlign w:val="top"/>
          </w:tcPr>
          <w:p>
            <w:pPr>
              <w:pStyle w:val="TableText"/>
              <w:ind w:left="112"/>
              <w:spacing w:before="82" w:line="229" w:lineRule="auto"/>
              <w:rPr>
                <w:sz w:val="15"/>
                <w:szCs w:val="15"/>
              </w:rPr>
            </w:pPr>
            <w:r>
              <w:rPr>
                <w:sz w:val="15"/>
                <w:szCs w:val="15"/>
                <w:spacing w:val="-3"/>
              </w:rPr>
              <w:t>33</w:t>
            </w:r>
          </w:p>
        </w:tc>
        <w:tc>
          <w:tcPr>
            <w:tcW w:w="330" w:type="dxa"/>
            <w:vAlign w:val="top"/>
          </w:tcPr>
          <w:p>
            <w:pPr>
              <w:pStyle w:val="TableText"/>
              <w:ind w:right="10"/>
              <w:spacing w:before="82" w:line="229" w:lineRule="auto"/>
              <w:jc w:val="right"/>
              <w:rPr>
                <w:sz w:val="15"/>
                <w:szCs w:val="15"/>
              </w:rPr>
            </w:pPr>
            <w:r>
              <w:rPr>
                <w:sz w:val="15"/>
                <w:szCs w:val="15"/>
                <w:spacing w:val="-3"/>
              </w:rPr>
              <w:t>38</w:t>
            </w:r>
          </w:p>
        </w:tc>
        <w:tc>
          <w:tcPr>
            <w:tcW w:w="330" w:type="dxa"/>
            <w:vAlign w:val="top"/>
          </w:tcPr>
          <w:p>
            <w:pPr>
              <w:pStyle w:val="TableText"/>
              <w:spacing w:before="113" w:line="192" w:lineRule="auto"/>
              <w:jc w:val="right"/>
              <w:rPr>
                <w:sz w:val="15"/>
                <w:szCs w:val="15"/>
              </w:rPr>
            </w:pPr>
            <w:r>
              <w:rPr>
                <w:sz w:val="15"/>
                <w:szCs w:val="15"/>
                <w:spacing w:val="-3"/>
              </w:rPr>
              <w:t>42</w:t>
            </w:r>
          </w:p>
        </w:tc>
        <w:tc>
          <w:tcPr>
            <w:tcW w:w="330" w:type="dxa"/>
            <w:vAlign w:val="top"/>
          </w:tcPr>
          <w:p>
            <w:pPr>
              <w:pStyle w:val="TableText"/>
              <w:spacing w:before="113" w:line="192" w:lineRule="auto"/>
              <w:jc w:val="right"/>
              <w:rPr>
                <w:sz w:val="15"/>
                <w:szCs w:val="15"/>
              </w:rPr>
            </w:pPr>
            <w:r>
              <w:rPr>
                <w:sz w:val="15"/>
                <w:szCs w:val="15"/>
                <w:spacing w:val="-3"/>
              </w:rPr>
              <w:t>47</w:t>
            </w:r>
          </w:p>
        </w:tc>
        <w:tc>
          <w:tcPr>
            <w:tcW w:w="309" w:type="dxa"/>
            <w:vAlign w:val="top"/>
          </w:tcPr>
          <w:p>
            <w:pPr>
              <w:pStyle w:val="TableText"/>
              <w:ind w:left="73"/>
              <w:spacing w:before="123" w:line="179" w:lineRule="auto"/>
              <w:rPr>
                <w:sz w:val="15"/>
                <w:szCs w:val="15"/>
              </w:rPr>
            </w:pPr>
            <w:r>
              <w:rPr>
                <w:sz w:val="15"/>
                <w:szCs w:val="15"/>
                <w:spacing w:val="-3"/>
              </w:rPr>
              <w:t>52</w:t>
            </w:r>
          </w:p>
        </w:tc>
        <w:tc>
          <w:tcPr>
            <w:tcW w:w="330" w:type="dxa"/>
            <w:vAlign w:val="top"/>
          </w:tcPr>
          <w:p>
            <w:pPr>
              <w:pStyle w:val="TableText"/>
              <w:spacing w:before="113" w:line="192" w:lineRule="auto"/>
              <w:jc w:val="right"/>
              <w:rPr>
                <w:sz w:val="15"/>
                <w:szCs w:val="15"/>
              </w:rPr>
            </w:pPr>
            <w:r>
              <w:rPr>
                <w:sz w:val="15"/>
                <w:szCs w:val="15"/>
                <w:spacing w:val="-5"/>
              </w:rPr>
              <w:t>57</w:t>
            </w:r>
          </w:p>
        </w:tc>
        <w:tc>
          <w:tcPr>
            <w:tcW w:w="330" w:type="dxa"/>
            <w:vAlign w:val="top"/>
          </w:tcPr>
          <w:p>
            <w:pPr>
              <w:pStyle w:val="TableText"/>
              <w:ind w:left="154"/>
              <w:spacing w:before="123" w:line="179" w:lineRule="auto"/>
              <w:rPr>
                <w:sz w:val="15"/>
                <w:szCs w:val="15"/>
              </w:rPr>
            </w:pPr>
            <w:r>
              <w:rPr>
                <w:sz w:val="15"/>
                <w:szCs w:val="15"/>
                <w:spacing w:val="-2"/>
              </w:rPr>
              <w:t>61</w:t>
            </w:r>
          </w:p>
        </w:tc>
        <w:tc>
          <w:tcPr>
            <w:tcW w:w="319" w:type="dxa"/>
            <w:vAlign w:val="top"/>
          </w:tcPr>
          <w:p>
            <w:pPr>
              <w:pStyle w:val="TableText"/>
              <w:ind w:left="134"/>
              <w:spacing w:before="133" w:line="167" w:lineRule="auto"/>
              <w:rPr>
                <w:sz w:val="15"/>
                <w:szCs w:val="15"/>
              </w:rPr>
            </w:pPr>
            <w:r>
              <w:rPr>
                <w:sz w:val="15"/>
                <w:szCs w:val="15"/>
                <w:spacing w:val="-2"/>
              </w:rPr>
              <w:t>66</w:t>
            </w:r>
          </w:p>
        </w:tc>
        <w:tc>
          <w:tcPr>
            <w:tcW w:w="339" w:type="dxa"/>
            <w:vAlign w:val="top"/>
          </w:tcPr>
          <w:p>
            <w:pPr>
              <w:pStyle w:val="TableText"/>
              <w:ind w:left="146"/>
              <w:spacing w:before="133" w:line="167" w:lineRule="auto"/>
              <w:rPr>
                <w:sz w:val="15"/>
                <w:szCs w:val="15"/>
              </w:rPr>
            </w:pPr>
            <w:r>
              <w:rPr>
                <w:sz w:val="15"/>
                <w:szCs w:val="15"/>
                <w:spacing w:val="-3"/>
              </w:rPr>
              <w:t>71</w:t>
            </w:r>
          </w:p>
        </w:tc>
        <w:tc>
          <w:tcPr>
            <w:tcW w:w="320" w:type="dxa"/>
            <w:vAlign w:val="top"/>
          </w:tcPr>
          <w:p>
            <w:pPr>
              <w:pStyle w:val="TableText"/>
              <w:ind w:left="137"/>
              <w:spacing w:before="93" w:line="216" w:lineRule="auto"/>
              <w:rPr>
                <w:sz w:val="15"/>
                <w:szCs w:val="15"/>
              </w:rPr>
            </w:pPr>
            <w:r>
              <w:rPr>
                <w:sz w:val="15"/>
                <w:szCs w:val="15"/>
                <w:spacing w:val="-3"/>
              </w:rPr>
              <w:t>75</w:t>
            </w:r>
          </w:p>
        </w:tc>
        <w:tc>
          <w:tcPr>
            <w:tcW w:w="329" w:type="dxa"/>
            <w:vAlign w:val="top"/>
          </w:tcPr>
          <w:p>
            <w:pPr>
              <w:pStyle w:val="TableText"/>
              <w:ind w:left="136"/>
              <w:spacing w:before="133" w:line="167" w:lineRule="auto"/>
              <w:rPr>
                <w:sz w:val="15"/>
                <w:szCs w:val="15"/>
              </w:rPr>
            </w:pPr>
            <w:r>
              <w:rPr>
                <w:sz w:val="15"/>
                <w:szCs w:val="15"/>
                <w:spacing w:val="-2"/>
              </w:rPr>
              <w:t>80</w:t>
            </w:r>
          </w:p>
        </w:tc>
        <w:tc>
          <w:tcPr>
            <w:tcW w:w="340" w:type="dxa"/>
            <w:vAlign w:val="top"/>
          </w:tcPr>
          <w:p>
            <w:pPr>
              <w:pStyle w:val="TableText"/>
              <w:spacing w:before="133" w:line="167" w:lineRule="auto"/>
              <w:jc w:val="right"/>
              <w:rPr>
                <w:sz w:val="15"/>
                <w:szCs w:val="15"/>
              </w:rPr>
            </w:pPr>
            <w:r>
              <w:rPr>
                <w:sz w:val="15"/>
                <w:szCs w:val="15"/>
                <w:spacing w:val="-5"/>
              </w:rPr>
              <w:t>85</w:t>
            </w:r>
          </w:p>
        </w:tc>
        <w:tc>
          <w:tcPr>
            <w:tcW w:w="329" w:type="dxa"/>
            <w:vAlign w:val="top"/>
          </w:tcPr>
          <w:p>
            <w:pPr>
              <w:pStyle w:val="TableText"/>
              <w:ind w:left="87"/>
              <w:spacing w:before="133" w:line="167" w:lineRule="auto"/>
              <w:rPr>
                <w:sz w:val="15"/>
                <w:szCs w:val="15"/>
              </w:rPr>
            </w:pPr>
            <w:r>
              <w:rPr>
                <w:sz w:val="15"/>
                <w:szCs w:val="15"/>
                <w:spacing w:val="-2"/>
              </w:rPr>
              <w:t>89</w:t>
            </w:r>
          </w:p>
        </w:tc>
        <w:tc>
          <w:tcPr>
            <w:tcW w:w="320" w:type="dxa"/>
            <w:vAlign w:val="top"/>
          </w:tcPr>
          <w:p>
            <w:pPr>
              <w:pStyle w:val="TableText"/>
              <w:ind w:left="118"/>
              <w:spacing w:before="133" w:line="167" w:lineRule="auto"/>
              <w:rPr>
                <w:sz w:val="15"/>
                <w:szCs w:val="15"/>
              </w:rPr>
            </w:pPr>
            <w:r>
              <w:rPr>
                <w:sz w:val="15"/>
                <w:szCs w:val="15"/>
              </w:rPr>
              <w:t>4</w:t>
            </w:r>
          </w:p>
        </w:tc>
        <w:tc>
          <w:tcPr>
            <w:tcW w:w="330" w:type="dxa"/>
            <w:vAlign w:val="top"/>
          </w:tcPr>
          <w:p>
            <w:pPr>
              <w:pStyle w:val="TableText"/>
              <w:ind w:left="138"/>
              <w:spacing w:before="133" w:line="167" w:lineRule="auto"/>
              <w:rPr>
                <w:sz w:val="15"/>
                <w:szCs w:val="15"/>
              </w:rPr>
            </w:pPr>
            <w:r>
              <w:rPr>
                <w:sz w:val="15"/>
                <w:szCs w:val="15"/>
                <w:spacing w:val="-2"/>
              </w:rPr>
              <w:t>99</w:t>
            </w:r>
          </w:p>
        </w:tc>
        <w:tc>
          <w:tcPr>
            <w:tcW w:w="329" w:type="dxa"/>
            <w:vAlign w:val="top"/>
          </w:tcPr>
          <w:p>
            <w:pPr>
              <w:pStyle w:val="TableText"/>
              <w:ind w:left="49"/>
              <w:spacing w:before="113" w:line="192" w:lineRule="auto"/>
              <w:rPr>
                <w:sz w:val="15"/>
                <w:szCs w:val="15"/>
              </w:rPr>
            </w:pPr>
            <w:r>
              <w:rPr>
                <w:sz w:val="15"/>
                <w:szCs w:val="15"/>
                <w:spacing w:val="-4"/>
              </w:rPr>
              <w:t>104</w:t>
            </w:r>
          </w:p>
        </w:tc>
        <w:tc>
          <w:tcPr>
            <w:tcW w:w="330" w:type="dxa"/>
            <w:vAlign w:val="top"/>
          </w:tcPr>
          <w:p>
            <w:pPr>
              <w:pStyle w:val="TableText"/>
              <w:ind w:left="49"/>
              <w:spacing w:before="123" w:line="179" w:lineRule="auto"/>
              <w:rPr>
                <w:sz w:val="15"/>
                <w:szCs w:val="15"/>
              </w:rPr>
            </w:pPr>
            <w:r>
              <w:rPr>
                <w:sz w:val="15"/>
                <w:szCs w:val="15"/>
                <w:spacing w:val="-4"/>
              </w:rPr>
              <w:t>108</w:t>
            </w:r>
          </w:p>
        </w:tc>
        <w:tc>
          <w:tcPr>
            <w:tcW w:w="320" w:type="dxa"/>
            <w:vAlign w:val="top"/>
          </w:tcPr>
          <w:p>
            <w:pPr>
              <w:pStyle w:val="TableText"/>
              <w:ind w:left="60"/>
              <w:spacing w:before="123" w:line="179" w:lineRule="auto"/>
              <w:rPr>
                <w:sz w:val="15"/>
                <w:szCs w:val="15"/>
              </w:rPr>
            </w:pPr>
            <w:r>
              <w:rPr>
                <w:sz w:val="15"/>
                <w:szCs w:val="15"/>
                <w:spacing w:val="-4"/>
              </w:rPr>
              <w:t>113</w:t>
            </w:r>
          </w:p>
        </w:tc>
        <w:tc>
          <w:tcPr>
            <w:tcW w:w="344" w:type="dxa"/>
            <w:vAlign w:val="top"/>
          </w:tcPr>
          <w:p>
            <w:pPr>
              <w:pStyle w:val="TableText"/>
              <w:ind w:left="50"/>
              <w:spacing w:before="113" w:line="192" w:lineRule="auto"/>
              <w:rPr>
                <w:sz w:val="15"/>
                <w:szCs w:val="15"/>
              </w:rPr>
            </w:pPr>
            <w:r>
              <w:rPr>
                <w:sz w:val="15"/>
                <w:szCs w:val="15"/>
                <w:spacing w:val="-4"/>
              </w:rPr>
              <w:t>118</w:t>
            </w:r>
          </w:p>
        </w:tc>
      </w:tr>
      <w:tr>
        <w:trPr>
          <w:trHeight w:val="289" w:hRule="atLeast"/>
        </w:trPr>
        <w:tc>
          <w:tcPr>
            <w:tcW w:w="864" w:type="dxa"/>
            <w:vAlign w:val="top"/>
          </w:tcPr>
          <w:p>
            <w:pPr>
              <w:pStyle w:val="TableText"/>
              <w:ind w:right="4"/>
              <w:spacing w:before="83"/>
              <w:jc w:val="right"/>
              <w:rPr>
                <w:sz w:val="15"/>
                <w:szCs w:val="15"/>
              </w:rPr>
            </w:pPr>
            <w:r>
              <w:rPr>
                <w:sz w:val="15"/>
                <w:szCs w:val="15"/>
              </w:rPr>
              <w:t>7</w:t>
            </w:r>
          </w:p>
        </w:tc>
        <w:tc>
          <w:tcPr>
            <w:tcW w:w="330" w:type="dxa"/>
            <w:vAlign w:val="top"/>
          </w:tcPr>
          <w:p>
            <w:pPr>
              <w:pStyle w:val="TableText"/>
              <w:ind w:right="3"/>
              <w:spacing w:before="83"/>
              <w:jc w:val="right"/>
              <w:rPr>
                <w:sz w:val="15"/>
                <w:szCs w:val="15"/>
              </w:rPr>
            </w:pPr>
            <w:r>
              <w:rPr>
                <w:sz w:val="15"/>
                <w:szCs w:val="15"/>
                <w:spacing w:val="-3"/>
              </w:rPr>
              <w:t>55</w:t>
            </w:r>
          </w:p>
        </w:tc>
        <w:tc>
          <w:tcPr>
            <w:tcW w:w="319" w:type="dxa"/>
            <w:vAlign w:val="top"/>
          </w:tcPr>
          <w:p>
            <w:pPr>
              <w:pStyle w:val="TableText"/>
              <w:ind w:left="11"/>
              <w:spacing w:before="114" w:line="203" w:lineRule="auto"/>
              <w:rPr>
                <w:sz w:val="15"/>
                <w:szCs w:val="15"/>
              </w:rPr>
            </w:pPr>
            <w:r>
              <w:rPr>
                <w:sz w:val="15"/>
                <w:szCs w:val="15"/>
                <w:spacing w:val="-4"/>
              </w:rPr>
              <w:t>11.0</w:t>
            </w:r>
          </w:p>
        </w:tc>
        <w:tc>
          <w:tcPr>
            <w:tcW w:w="329" w:type="dxa"/>
            <w:vAlign w:val="top"/>
          </w:tcPr>
          <w:p>
            <w:pPr>
              <w:pStyle w:val="TableText"/>
              <w:ind w:left="131"/>
              <w:spacing w:before="134" w:line="178" w:lineRule="auto"/>
              <w:rPr>
                <w:sz w:val="15"/>
                <w:szCs w:val="15"/>
              </w:rPr>
            </w:pPr>
            <w:r>
              <w:rPr>
                <w:sz w:val="15"/>
                <w:szCs w:val="15"/>
                <w:spacing w:val="-5"/>
              </w:rPr>
              <w:t>16</w:t>
            </w:r>
          </w:p>
        </w:tc>
        <w:tc>
          <w:tcPr>
            <w:tcW w:w="330" w:type="dxa"/>
            <w:vAlign w:val="top"/>
          </w:tcPr>
          <w:p>
            <w:pPr>
              <w:pStyle w:val="TableText"/>
              <w:spacing w:before="123" w:line="191" w:lineRule="auto"/>
              <w:jc w:val="right"/>
              <w:rPr>
                <w:sz w:val="15"/>
                <w:szCs w:val="15"/>
              </w:rPr>
            </w:pPr>
            <w:r>
              <w:rPr>
                <w:sz w:val="15"/>
                <w:szCs w:val="15"/>
                <w:spacing w:val="-2"/>
              </w:rPr>
              <w:t>22</w:t>
            </w:r>
          </w:p>
        </w:tc>
        <w:tc>
          <w:tcPr>
            <w:tcW w:w="330" w:type="dxa"/>
            <w:vAlign w:val="top"/>
          </w:tcPr>
          <w:p>
            <w:pPr>
              <w:pStyle w:val="TableText"/>
              <w:spacing w:before="134" w:line="178" w:lineRule="auto"/>
              <w:jc w:val="right"/>
              <w:rPr>
                <w:sz w:val="15"/>
                <w:szCs w:val="15"/>
              </w:rPr>
            </w:pPr>
            <w:r>
              <w:rPr>
                <w:sz w:val="15"/>
                <w:szCs w:val="15"/>
                <w:spacing w:val="-2"/>
              </w:rPr>
              <w:t>27</w:t>
            </w:r>
          </w:p>
        </w:tc>
        <w:tc>
          <w:tcPr>
            <w:tcW w:w="330" w:type="dxa"/>
            <w:vAlign w:val="top"/>
          </w:tcPr>
          <w:p>
            <w:pPr>
              <w:pStyle w:val="TableText"/>
              <w:ind w:right="11"/>
              <w:spacing w:before="134" w:line="178" w:lineRule="auto"/>
              <w:jc w:val="right"/>
              <w:rPr>
                <w:sz w:val="15"/>
                <w:szCs w:val="15"/>
              </w:rPr>
            </w:pPr>
            <w:r>
              <w:rPr>
                <w:sz w:val="15"/>
                <w:szCs w:val="15"/>
                <w:spacing w:val="-3"/>
              </w:rPr>
              <w:t>33</w:t>
            </w:r>
          </w:p>
        </w:tc>
        <w:tc>
          <w:tcPr>
            <w:tcW w:w="329" w:type="dxa"/>
            <w:vAlign w:val="top"/>
          </w:tcPr>
          <w:p>
            <w:pPr>
              <w:pStyle w:val="TableText"/>
              <w:ind w:right="10"/>
              <w:spacing w:before="123" w:line="191" w:lineRule="auto"/>
              <w:jc w:val="right"/>
              <w:rPr>
                <w:sz w:val="15"/>
                <w:szCs w:val="15"/>
              </w:rPr>
            </w:pPr>
            <w:r>
              <w:rPr>
                <w:sz w:val="15"/>
                <w:szCs w:val="15"/>
                <w:spacing w:val="-3"/>
              </w:rPr>
              <w:t>38</w:t>
            </w:r>
          </w:p>
        </w:tc>
        <w:tc>
          <w:tcPr>
            <w:tcW w:w="330" w:type="dxa"/>
            <w:vAlign w:val="top"/>
          </w:tcPr>
          <w:p>
            <w:pPr>
              <w:pStyle w:val="TableText"/>
              <w:ind w:right="8"/>
              <w:spacing w:before="123" w:line="191" w:lineRule="auto"/>
              <w:jc w:val="right"/>
              <w:rPr>
                <w:sz w:val="15"/>
                <w:szCs w:val="15"/>
              </w:rPr>
            </w:pPr>
            <w:r>
              <w:rPr>
                <w:sz w:val="15"/>
                <w:szCs w:val="15"/>
                <w:spacing w:val="-2"/>
              </w:rPr>
              <w:t>44</w:t>
            </w:r>
          </w:p>
        </w:tc>
        <w:tc>
          <w:tcPr>
            <w:tcW w:w="330" w:type="dxa"/>
            <w:vAlign w:val="top"/>
          </w:tcPr>
          <w:p>
            <w:pPr>
              <w:pStyle w:val="TableText"/>
              <w:spacing w:before="123" w:line="191" w:lineRule="auto"/>
              <w:jc w:val="right"/>
              <w:rPr>
                <w:sz w:val="15"/>
                <w:szCs w:val="15"/>
              </w:rPr>
            </w:pPr>
            <w:r>
              <w:rPr>
                <w:sz w:val="15"/>
                <w:szCs w:val="15"/>
                <w:spacing w:val="-3"/>
              </w:rPr>
              <w:t>49</w:t>
            </w:r>
          </w:p>
        </w:tc>
        <w:tc>
          <w:tcPr>
            <w:tcW w:w="330" w:type="dxa"/>
            <w:vAlign w:val="top"/>
          </w:tcPr>
          <w:p>
            <w:pPr>
              <w:pStyle w:val="TableText"/>
              <w:spacing w:before="123" w:line="191" w:lineRule="auto"/>
              <w:jc w:val="right"/>
              <w:rPr>
                <w:sz w:val="15"/>
                <w:szCs w:val="15"/>
              </w:rPr>
            </w:pPr>
            <w:r>
              <w:rPr>
                <w:sz w:val="15"/>
                <w:szCs w:val="15"/>
                <w:spacing w:val="-3"/>
              </w:rPr>
              <w:t>55</w:t>
            </w:r>
          </w:p>
        </w:tc>
        <w:tc>
          <w:tcPr>
            <w:tcW w:w="309" w:type="dxa"/>
            <w:vAlign w:val="top"/>
          </w:tcPr>
          <w:p>
            <w:pPr>
              <w:pStyle w:val="TableText"/>
              <w:ind w:left="114"/>
              <w:spacing w:before="123" w:line="191" w:lineRule="auto"/>
              <w:rPr>
                <w:sz w:val="15"/>
                <w:szCs w:val="15"/>
              </w:rPr>
            </w:pPr>
            <w:r>
              <w:rPr>
                <w:sz w:val="15"/>
                <w:szCs w:val="15"/>
                <w:spacing w:val="-2"/>
              </w:rPr>
              <w:t>60</w:t>
            </w:r>
          </w:p>
        </w:tc>
        <w:tc>
          <w:tcPr>
            <w:tcW w:w="330" w:type="dxa"/>
            <w:vAlign w:val="top"/>
          </w:tcPr>
          <w:p>
            <w:pPr>
              <w:pStyle w:val="TableText"/>
              <w:spacing w:before="123" w:line="191" w:lineRule="auto"/>
              <w:jc w:val="right"/>
              <w:rPr>
                <w:sz w:val="15"/>
                <w:szCs w:val="15"/>
              </w:rPr>
            </w:pPr>
            <w:r>
              <w:rPr>
                <w:sz w:val="15"/>
                <w:szCs w:val="15"/>
                <w:spacing w:val="-4"/>
              </w:rPr>
              <w:t>66</w:t>
            </w:r>
          </w:p>
        </w:tc>
        <w:tc>
          <w:tcPr>
            <w:tcW w:w="330" w:type="dxa"/>
            <w:vAlign w:val="top"/>
          </w:tcPr>
          <w:p>
            <w:pPr>
              <w:pStyle w:val="TableText"/>
              <w:ind w:left="154"/>
              <w:spacing w:before="123" w:line="191" w:lineRule="auto"/>
              <w:rPr>
                <w:sz w:val="15"/>
                <w:szCs w:val="15"/>
              </w:rPr>
            </w:pPr>
            <w:r>
              <w:rPr>
                <w:sz w:val="15"/>
                <w:szCs w:val="15"/>
                <w:spacing w:val="-3"/>
              </w:rPr>
              <w:t>71</w:t>
            </w:r>
          </w:p>
        </w:tc>
        <w:tc>
          <w:tcPr>
            <w:tcW w:w="319" w:type="dxa"/>
            <w:vAlign w:val="top"/>
          </w:tcPr>
          <w:p>
            <w:pPr>
              <w:pStyle w:val="TableText"/>
              <w:ind w:left="134"/>
              <w:spacing w:before="134" w:line="178" w:lineRule="auto"/>
              <w:rPr>
                <w:sz w:val="15"/>
                <w:szCs w:val="15"/>
              </w:rPr>
            </w:pPr>
            <w:r>
              <w:rPr>
                <w:sz w:val="15"/>
                <w:szCs w:val="15"/>
                <w:spacing w:val="-3"/>
              </w:rPr>
              <w:t>77</w:t>
            </w:r>
          </w:p>
        </w:tc>
        <w:tc>
          <w:tcPr>
            <w:tcW w:w="339" w:type="dxa"/>
            <w:vAlign w:val="top"/>
          </w:tcPr>
          <w:p>
            <w:pPr>
              <w:pStyle w:val="TableText"/>
              <w:ind w:left="125"/>
              <w:spacing w:before="134" w:line="178" w:lineRule="auto"/>
              <w:rPr>
                <w:sz w:val="15"/>
                <w:szCs w:val="15"/>
              </w:rPr>
            </w:pPr>
            <w:r>
              <w:rPr>
                <w:sz w:val="15"/>
                <w:szCs w:val="15"/>
                <w:spacing w:val="-2"/>
              </w:rPr>
              <w:t>82</w:t>
            </w:r>
          </w:p>
        </w:tc>
        <w:tc>
          <w:tcPr>
            <w:tcW w:w="320" w:type="dxa"/>
            <w:vAlign w:val="top"/>
          </w:tcPr>
          <w:p>
            <w:pPr>
              <w:pStyle w:val="TableText"/>
              <w:ind w:left="116"/>
              <w:spacing w:before="104" w:line="215" w:lineRule="auto"/>
              <w:rPr>
                <w:sz w:val="15"/>
                <w:szCs w:val="15"/>
              </w:rPr>
            </w:pPr>
            <w:r>
              <w:rPr>
                <w:sz w:val="15"/>
                <w:szCs w:val="15"/>
                <w:spacing w:val="-2"/>
              </w:rPr>
              <w:t>88</w:t>
            </w:r>
          </w:p>
        </w:tc>
        <w:tc>
          <w:tcPr>
            <w:tcW w:w="329" w:type="dxa"/>
            <w:vAlign w:val="top"/>
          </w:tcPr>
          <w:p>
            <w:pPr>
              <w:pStyle w:val="TableText"/>
              <w:ind w:left="146"/>
              <w:spacing w:before="104" w:line="215" w:lineRule="auto"/>
              <w:rPr>
                <w:sz w:val="15"/>
                <w:szCs w:val="15"/>
              </w:rPr>
            </w:pPr>
            <w:r>
              <w:rPr>
                <w:sz w:val="15"/>
                <w:szCs w:val="15"/>
                <w:spacing w:val="-2"/>
              </w:rPr>
              <w:t>93</w:t>
            </w:r>
          </w:p>
        </w:tc>
        <w:tc>
          <w:tcPr>
            <w:tcW w:w="340" w:type="dxa"/>
            <w:vAlign w:val="top"/>
          </w:tcPr>
          <w:p>
            <w:pPr>
              <w:pStyle w:val="TableText"/>
              <w:spacing w:before="134" w:line="178" w:lineRule="auto"/>
              <w:jc w:val="right"/>
              <w:rPr>
                <w:sz w:val="15"/>
                <w:szCs w:val="15"/>
              </w:rPr>
            </w:pPr>
            <w:r>
              <w:rPr>
                <w:sz w:val="15"/>
                <w:szCs w:val="15"/>
                <w:spacing w:val="-5"/>
              </w:rPr>
              <w:t>99</w:t>
            </w:r>
          </w:p>
        </w:tc>
        <w:tc>
          <w:tcPr>
            <w:tcW w:w="329" w:type="dxa"/>
            <w:vAlign w:val="top"/>
          </w:tcPr>
          <w:p>
            <w:pPr>
              <w:pStyle w:val="TableText"/>
              <w:ind w:left="48"/>
              <w:spacing w:before="123" w:line="191" w:lineRule="auto"/>
              <w:rPr>
                <w:sz w:val="15"/>
                <w:szCs w:val="15"/>
              </w:rPr>
            </w:pPr>
            <w:r>
              <w:rPr>
                <w:sz w:val="15"/>
                <w:szCs w:val="15"/>
                <w:spacing w:val="-4"/>
              </w:rPr>
              <w:t>104</w:t>
            </w:r>
          </w:p>
        </w:tc>
        <w:tc>
          <w:tcPr>
            <w:tcW w:w="320" w:type="dxa"/>
            <w:vAlign w:val="top"/>
          </w:tcPr>
          <w:p>
            <w:pPr>
              <w:pStyle w:val="TableText"/>
              <w:ind w:left="38"/>
              <w:spacing w:before="123" w:line="191" w:lineRule="auto"/>
              <w:rPr>
                <w:sz w:val="15"/>
                <w:szCs w:val="15"/>
              </w:rPr>
            </w:pPr>
            <w:r>
              <w:rPr>
                <w:sz w:val="15"/>
                <w:szCs w:val="15"/>
                <w:spacing w:val="-4"/>
              </w:rPr>
              <w:t>110</w:t>
            </w:r>
          </w:p>
        </w:tc>
        <w:tc>
          <w:tcPr>
            <w:tcW w:w="330" w:type="dxa"/>
            <w:vAlign w:val="top"/>
          </w:tcPr>
          <w:p>
            <w:pPr>
              <w:pStyle w:val="TableText"/>
              <w:ind w:left="49"/>
              <w:spacing w:before="123" w:line="191" w:lineRule="auto"/>
              <w:rPr>
                <w:sz w:val="15"/>
                <w:szCs w:val="15"/>
              </w:rPr>
            </w:pPr>
            <w:r>
              <w:rPr>
                <w:sz w:val="15"/>
                <w:szCs w:val="15"/>
                <w:spacing w:val="-4"/>
              </w:rPr>
              <w:t>115</w:t>
            </w:r>
          </w:p>
        </w:tc>
        <w:tc>
          <w:tcPr>
            <w:tcW w:w="329" w:type="dxa"/>
            <w:vAlign w:val="top"/>
          </w:tcPr>
          <w:p>
            <w:pPr>
              <w:pStyle w:val="TableText"/>
              <w:ind w:left="38"/>
              <w:spacing w:before="123" w:line="191" w:lineRule="auto"/>
              <w:rPr>
                <w:sz w:val="15"/>
                <w:szCs w:val="15"/>
              </w:rPr>
            </w:pPr>
            <w:r>
              <w:rPr>
                <w:sz w:val="15"/>
                <w:szCs w:val="15"/>
                <w:spacing w:val="-4"/>
              </w:rPr>
              <w:t>121</w:t>
            </w:r>
          </w:p>
        </w:tc>
        <w:tc>
          <w:tcPr>
            <w:tcW w:w="330" w:type="dxa"/>
            <w:vAlign w:val="top"/>
          </w:tcPr>
          <w:p>
            <w:pPr>
              <w:pStyle w:val="TableText"/>
              <w:ind w:left="49"/>
              <w:spacing w:before="123" w:line="191" w:lineRule="auto"/>
              <w:rPr>
                <w:sz w:val="15"/>
                <w:szCs w:val="15"/>
              </w:rPr>
            </w:pPr>
            <w:r>
              <w:rPr>
                <w:sz w:val="15"/>
                <w:szCs w:val="15"/>
                <w:spacing w:val="-4"/>
              </w:rPr>
              <w:t>126</w:t>
            </w:r>
          </w:p>
        </w:tc>
        <w:tc>
          <w:tcPr>
            <w:tcW w:w="320" w:type="dxa"/>
            <w:vAlign w:val="top"/>
          </w:tcPr>
          <w:p>
            <w:pPr>
              <w:pStyle w:val="TableText"/>
              <w:ind w:left="39"/>
              <w:spacing w:before="123" w:line="191" w:lineRule="auto"/>
              <w:rPr>
                <w:sz w:val="15"/>
                <w:szCs w:val="15"/>
              </w:rPr>
            </w:pPr>
            <w:r>
              <w:rPr>
                <w:sz w:val="15"/>
                <w:szCs w:val="15"/>
                <w:spacing w:val="-4"/>
              </w:rPr>
              <w:t>132</w:t>
            </w:r>
          </w:p>
        </w:tc>
        <w:tc>
          <w:tcPr>
            <w:tcW w:w="344" w:type="dxa"/>
            <w:vAlign w:val="top"/>
          </w:tcPr>
          <w:p>
            <w:pPr>
              <w:pStyle w:val="TableText"/>
              <w:ind w:left="50"/>
              <w:spacing w:before="123" w:line="191" w:lineRule="auto"/>
              <w:rPr>
                <w:sz w:val="15"/>
                <w:szCs w:val="15"/>
              </w:rPr>
            </w:pPr>
            <w:r>
              <w:rPr>
                <w:sz w:val="15"/>
                <w:szCs w:val="15"/>
                <w:spacing w:val="-4"/>
              </w:rPr>
              <w:t>137</w:t>
            </w:r>
          </w:p>
        </w:tc>
      </w:tr>
      <w:tr>
        <w:trPr>
          <w:trHeight w:val="270" w:hRule="atLeast"/>
        </w:trPr>
        <w:tc>
          <w:tcPr>
            <w:tcW w:w="864" w:type="dxa"/>
            <w:vAlign w:val="top"/>
          </w:tcPr>
          <w:p>
            <w:pPr>
              <w:pStyle w:val="TableText"/>
              <w:ind w:right="4"/>
              <w:spacing w:before="125" w:line="166" w:lineRule="auto"/>
              <w:jc w:val="right"/>
              <w:rPr>
                <w:sz w:val="15"/>
                <w:szCs w:val="15"/>
              </w:rPr>
            </w:pPr>
            <w:r>
              <w:rPr>
                <w:sz w:val="15"/>
                <w:szCs w:val="15"/>
              </w:rPr>
              <w:t>8</w:t>
            </w:r>
          </w:p>
        </w:tc>
        <w:tc>
          <w:tcPr>
            <w:tcW w:w="330" w:type="dxa"/>
            <w:vAlign w:val="top"/>
          </w:tcPr>
          <w:p>
            <w:pPr>
              <w:pStyle w:val="TableText"/>
              <w:ind w:right="2"/>
              <w:spacing w:before="74" w:line="228" w:lineRule="auto"/>
              <w:jc w:val="right"/>
              <w:rPr>
                <w:sz w:val="15"/>
                <w:szCs w:val="15"/>
              </w:rPr>
            </w:pPr>
            <w:r>
              <w:rPr>
                <w:sz w:val="15"/>
                <w:szCs w:val="15"/>
                <w:spacing w:val="-2"/>
              </w:rPr>
              <w:t>63</w:t>
            </w:r>
          </w:p>
        </w:tc>
        <w:tc>
          <w:tcPr>
            <w:tcW w:w="319" w:type="dxa"/>
            <w:vAlign w:val="top"/>
          </w:tcPr>
          <w:p>
            <w:pPr>
              <w:pStyle w:val="TableText"/>
              <w:ind w:left="31"/>
              <w:spacing w:before="125" w:line="166" w:lineRule="auto"/>
              <w:rPr>
                <w:sz w:val="15"/>
                <w:szCs w:val="15"/>
              </w:rPr>
            </w:pPr>
            <w:r>
              <w:rPr>
                <w:sz w:val="15"/>
                <w:szCs w:val="15"/>
                <w:spacing w:val="-4"/>
              </w:rPr>
              <w:t>126</w:t>
            </w:r>
          </w:p>
        </w:tc>
        <w:tc>
          <w:tcPr>
            <w:tcW w:w="329" w:type="dxa"/>
            <w:vAlign w:val="top"/>
          </w:tcPr>
          <w:p>
            <w:pPr>
              <w:pStyle w:val="TableText"/>
              <w:ind w:left="131"/>
              <w:spacing w:before="125" w:line="166" w:lineRule="auto"/>
              <w:rPr>
                <w:sz w:val="15"/>
                <w:szCs w:val="15"/>
              </w:rPr>
            </w:pPr>
            <w:r>
              <w:rPr>
                <w:sz w:val="15"/>
                <w:szCs w:val="15"/>
                <w:spacing w:val="-5"/>
              </w:rPr>
              <w:t>19</w:t>
            </w:r>
          </w:p>
        </w:tc>
        <w:tc>
          <w:tcPr>
            <w:tcW w:w="330" w:type="dxa"/>
            <w:vAlign w:val="top"/>
          </w:tcPr>
          <w:p>
            <w:pPr>
              <w:pStyle w:val="TableText"/>
              <w:spacing w:before="85" w:line="215" w:lineRule="auto"/>
              <w:jc w:val="right"/>
              <w:rPr>
                <w:sz w:val="15"/>
                <w:szCs w:val="15"/>
              </w:rPr>
            </w:pPr>
            <w:r>
              <w:rPr>
                <w:sz w:val="15"/>
                <w:szCs w:val="15"/>
                <w:spacing w:val="-2"/>
              </w:rPr>
              <w:t>25</w:t>
            </w:r>
          </w:p>
        </w:tc>
        <w:tc>
          <w:tcPr>
            <w:tcW w:w="330" w:type="dxa"/>
            <w:vAlign w:val="top"/>
          </w:tcPr>
          <w:p>
            <w:pPr>
              <w:pStyle w:val="TableText"/>
              <w:ind w:right="1"/>
              <w:spacing w:before="125" w:line="166" w:lineRule="auto"/>
              <w:jc w:val="right"/>
              <w:rPr>
                <w:sz w:val="15"/>
                <w:szCs w:val="15"/>
              </w:rPr>
            </w:pPr>
            <w:r>
              <w:rPr>
                <w:sz w:val="15"/>
                <w:szCs w:val="15"/>
                <w:spacing w:val="-3"/>
              </w:rPr>
              <w:t>31</w:t>
            </w:r>
          </w:p>
        </w:tc>
        <w:tc>
          <w:tcPr>
            <w:tcW w:w="330" w:type="dxa"/>
            <w:vAlign w:val="top"/>
          </w:tcPr>
          <w:p>
            <w:pPr>
              <w:pStyle w:val="TableText"/>
              <w:ind w:right="11"/>
              <w:spacing w:before="125" w:line="166" w:lineRule="auto"/>
              <w:jc w:val="right"/>
              <w:rPr>
                <w:sz w:val="15"/>
                <w:szCs w:val="15"/>
              </w:rPr>
            </w:pPr>
            <w:r>
              <w:rPr>
                <w:sz w:val="15"/>
                <w:szCs w:val="15"/>
                <w:spacing w:val="-3"/>
              </w:rPr>
              <w:t>38</w:t>
            </w:r>
          </w:p>
        </w:tc>
        <w:tc>
          <w:tcPr>
            <w:tcW w:w="329" w:type="dxa"/>
            <w:vAlign w:val="top"/>
          </w:tcPr>
          <w:p>
            <w:pPr>
              <w:pStyle w:val="TableText"/>
              <w:ind w:right="8"/>
              <w:spacing w:before="125" w:line="166" w:lineRule="auto"/>
              <w:jc w:val="right"/>
              <w:rPr>
                <w:sz w:val="15"/>
                <w:szCs w:val="15"/>
              </w:rPr>
            </w:pPr>
            <w:r>
              <w:rPr>
                <w:sz w:val="15"/>
                <w:szCs w:val="15"/>
                <w:spacing w:val="-2"/>
              </w:rPr>
              <w:t>44</w:t>
            </w:r>
          </w:p>
        </w:tc>
        <w:tc>
          <w:tcPr>
            <w:tcW w:w="330" w:type="dxa"/>
            <w:vAlign w:val="top"/>
          </w:tcPr>
          <w:p>
            <w:pPr>
              <w:pStyle w:val="TableText"/>
              <w:ind w:right="10"/>
              <w:spacing w:before="125" w:line="166" w:lineRule="auto"/>
              <w:jc w:val="right"/>
              <w:rPr>
                <w:sz w:val="15"/>
                <w:szCs w:val="15"/>
              </w:rPr>
            </w:pPr>
            <w:r>
              <w:rPr>
                <w:sz w:val="15"/>
                <w:szCs w:val="15"/>
                <w:spacing w:val="-3"/>
              </w:rPr>
              <w:t>50</w:t>
            </w:r>
          </w:p>
        </w:tc>
        <w:tc>
          <w:tcPr>
            <w:tcW w:w="330" w:type="dxa"/>
            <w:vAlign w:val="top"/>
          </w:tcPr>
          <w:p>
            <w:pPr>
              <w:pStyle w:val="TableText"/>
              <w:spacing w:before="125" w:line="166" w:lineRule="auto"/>
              <w:jc w:val="right"/>
              <w:rPr>
                <w:sz w:val="15"/>
                <w:szCs w:val="15"/>
              </w:rPr>
            </w:pPr>
            <w:r>
              <w:rPr>
                <w:sz w:val="15"/>
                <w:szCs w:val="15"/>
                <w:spacing w:val="-3"/>
              </w:rPr>
              <w:t>57</w:t>
            </w:r>
          </w:p>
        </w:tc>
        <w:tc>
          <w:tcPr>
            <w:tcW w:w="330" w:type="dxa"/>
            <w:vAlign w:val="top"/>
          </w:tcPr>
          <w:p>
            <w:pPr>
              <w:pStyle w:val="TableText"/>
              <w:spacing w:before="125" w:line="166" w:lineRule="auto"/>
              <w:jc w:val="right"/>
              <w:rPr>
                <w:sz w:val="15"/>
                <w:szCs w:val="15"/>
              </w:rPr>
            </w:pPr>
            <w:r>
              <w:rPr>
                <w:sz w:val="15"/>
                <w:szCs w:val="15"/>
                <w:spacing w:val="-4"/>
              </w:rPr>
              <w:t>63</w:t>
            </w:r>
          </w:p>
        </w:tc>
        <w:tc>
          <w:tcPr>
            <w:tcW w:w="309" w:type="dxa"/>
            <w:vAlign w:val="top"/>
          </w:tcPr>
          <w:p>
            <w:pPr>
              <w:pStyle w:val="TableText"/>
              <w:ind w:left="103"/>
              <w:spacing w:before="125" w:line="166" w:lineRule="auto"/>
              <w:rPr>
                <w:sz w:val="15"/>
                <w:szCs w:val="15"/>
              </w:rPr>
            </w:pPr>
            <w:r>
              <w:rPr>
                <w:sz w:val="15"/>
                <w:szCs w:val="15"/>
                <w:spacing w:val="-2"/>
              </w:rPr>
              <w:t>69</w:t>
            </w:r>
          </w:p>
        </w:tc>
        <w:tc>
          <w:tcPr>
            <w:tcW w:w="330" w:type="dxa"/>
            <w:vAlign w:val="top"/>
          </w:tcPr>
          <w:p>
            <w:pPr>
              <w:pStyle w:val="TableText"/>
              <w:spacing w:before="125" w:line="166" w:lineRule="auto"/>
              <w:jc w:val="right"/>
              <w:rPr>
                <w:sz w:val="15"/>
                <w:szCs w:val="15"/>
              </w:rPr>
            </w:pPr>
            <w:r>
              <w:rPr>
                <w:sz w:val="15"/>
                <w:szCs w:val="15"/>
                <w:spacing w:val="-5"/>
              </w:rPr>
              <w:t>75</w:t>
            </w:r>
          </w:p>
        </w:tc>
        <w:tc>
          <w:tcPr>
            <w:tcW w:w="330" w:type="dxa"/>
            <w:vAlign w:val="top"/>
          </w:tcPr>
          <w:p>
            <w:pPr>
              <w:pStyle w:val="TableText"/>
              <w:ind w:left="154"/>
              <w:spacing w:before="125" w:line="166" w:lineRule="auto"/>
              <w:rPr>
                <w:sz w:val="15"/>
                <w:szCs w:val="15"/>
              </w:rPr>
            </w:pPr>
            <w:r>
              <w:rPr>
                <w:sz w:val="15"/>
                <w:szCs w:val="15"/>
                <w:spacing w:val="-2"/>
              </w:rPr>
              <w:t>82</w:t>
            </w:r>
          </w:p>
        </w:tc>
        <w:tc>
          <w:tcPr>
            <w:tcW w:w="319" w:type="dxa"/>
            <w:vAlign w:val="top"/>
          </w:tcPr>
          <w:p>
            <w:pPr>
              <w:pStyle w:val="TableText"/>
              <w:ind w:left="134"/>
              <w:spacing w:before="125" w:line="166" w:lineRule="auto"/>
              <w:rPr>
                <w:sz w:val="15"/>
                <w:szCs w:val="15"/>
              </w:rPr>
            </w:pPr>
            <w:r>
              <w:rPr>
                <w:sz w:val="15"/>
                <w:szCs w:val="15"/>
                <w:spacing w:val="-2"/>
              </w:rPr>
              <w:t>88</w:t>
            </w:r>
          </w:p>
        </w:tc>
        <w:tc>
          <w:tcPr>
            <w:tcW w:w="339" w:type="dxa"/>
            <w:vAlign w:val="top"/>
          </w:tcPr>
          <w:p>
            <w:pPr>
              <w:pStyle w:val="TableText"/>
              <w:ind w:left="85"/>
              <w:spacing w:before="85" w:line="215" w:lineRule="auto"/>
              <w:rPr>
                <w:sz w:val="15"/>
                <w:szCs w:val="15"/>
              </w:rPr>
            </w:pPr>
            <w:r>
              <w:rPr>
                <w:sz w:val="15"/>
                <w:szCs w:val="15"/>
                <w:spacing w:val="-2"/>
              </w:rPr>
              <w:t>94</w:t>
            </w:r>
          </w:p>
        </w:tc>
        <w:tc>
          <w:tcPr>
            <w:tcW w:w="320" w:type="dxa"/>
            <w:vAlign w:val="top"/>
          </w:tcPr>
          <w:p>
            <w:pPr>
              <w:pStyle w:val="TableText"/>
              <w:ind w:left="37"/>
              <w:spacing w:before="104" w:line="191" w:lineRule="auto"/>
              <w:rPr>
                <w:sz w:val="15"/>
                <w:szCs w:val="15"/>
              </w:rPr>
            </w:pPr>
            <w:r>
              <w:rPr>
                <w:sz w:val="15"/>
                <w:szCs w:val="15"/>
                <w:spacing w:val="-4"/>
              </w:rPr>
              <w:t>100</w:t>
            </w:r>
          </w:p>
        </w:tc>
        <w:tc>
          <w:tcPr>
            <w:tcW w:w="329" w:type="dxa"/>
            <w:vAlign w:val="top"/>
          </w:tcPr>
          <w:p>
            <w:pPr>
              <w:pStyle w:val="TableText"/>
              <w:ind w:left="47"/>
              <w:spacing w:before="104" w:line="191" w:lineRule="auto"/>
              <w:rPr>
                <w:sz w:val="15"/>
                <w:szCs w:val="15"/>
              </w:rPr>
            </w:pPr>
            <w:r>
              <w:rPr>
                <w:sz w:val="15"/>
                <w:szCs w:val="15"/>
                <w:spacing w:val="-4"/>
              </w:rPr>
              <w:t>107</w:t>
            </w:r>
          </w:p>
        </w:tc>
        <w:tc>
          <w:tcPr>
            <w:tcW w:w="340" w:type="dxa"/>
            <w:vAlign w:val="top"/>
          </w:tcPr>
          <w:p>
            <w:pPr>
              <w:pStyle w:val="TableText"/>
              <w:ind w:right="8"/>
              <w:spacing w:before="104" w:line="191" w:lineRule="auto"/>
              <w:jc w:val="right"/>
              <w:rPr>
                <w:sz w:val="15"/>
                <w:szCs w:val="15"/>
              </w:rPr>
            </w:pPr>
            <w:r>
              <w:rPr>
                <w:sz w:val="15"/>
                <w:szCs w:val="15"/>
                <w:spacing w:val="-4"/>
              </w:rPr>
              <w:t>113</w:t>
            </w:r>
          </w:p>
        </w:tc>
        <w:tc>
          <w:tcPr>
            <w:tcW w:w="329" w:type="dxa"/>
            <w:vAlign w:val="top"/>
          </w:tcPr>
          <w:p>
            <w:pPr>
              <w:pStyle w:val="TableText"/>
              <w:ind w:left="48"/>
              <w:spacing w:before="104" w:line="191" w:lineRule="auto"/>
              <w:rPr>
                <w:sz w:val="15"/>
                <w:szCs w:val="15"/>
              </w:rPr>
            </w:pPr>
            <w:r>
              <w:rPr>
                <w:sz w:val="15"/>
                <w:szCs w:val="15"/>
                <w:spacing w:val="-4"/>
              </w:rPr>
              <w:t>119</w:t>
            </w:r>
          </w:p>
        </w:tc>
        <w:tc>
          <w:tcPr>
            <w:tcW w:w="320" w:type="dxa"/>
            <w:vAlign w:val="top"/>
          </w:tcPr>
          <w:p>
            <w:pPr>
              <w:pStyle w:val="TableText"/>
              <w:ind w:left="38"/>
              <w:spacing w:before="104" w:line="191" w:lineRule="auto"/>
              <w:rPr>
                <w:sz w:val="15"/>
                <w:szCs w:val="15"/>
              </w:rPr>
            </w:pPr>
            <w:r>
              <w:rPr>
                <w:sz w:val="15"/>
                <w:szCs w:val="15"/>
                <w:spacing w:val="-4"/>
              </w:rPr>
              <w:t>126</w:t>
            </w:r>
          </w:p>
        </w:tc>
        <w:tc>
          <w:tcPr>
            <w:tcW w:w="330" w:type="dxa"/>
            <w:vAlign w:val="top"/>
          </w:tcPr>
          <w:p>
            <w:pPr>
              <w:pStyle w:val="TableText"/>
              <w:ind w:left="49"/>
              <w:spacing w:before="85" w:line="215" w:lineRule="auto"/>
              <w:rPr>
                <w:sz w:val="15"/>
                <w:szCs w:val="15"/>
              </w:rPr>
            </w:pPr>
            <w:r>
              <w:rPr>
                <w:sz w:val="15"/>
                <w:szCs w:val="15"/>
                <w:spacing w:val="-4"/>
              </w:rPr>
              <w:t>132</w:t>
            </w:r>
          </w:p>
        </w:tc>
        <w:tc>
          <w:tcPr>
            <w:tcW w:w="329" w:type="dxa"/>
            <w:vAlign w:val="top"/>
          </w:tcPr>
          <w:p>
            <w:pPr>
              <w:pStyle w:val="TableText"/>
              <w:ind w:left="49"/>
              <w:spacing w:before="104" w:line="191" w:lineRule="auto"/>
              <w:rPr>
                <w:sz w:val="15"/>
                <w:szCs w:val="15"/>
              </w:rPr>
            </w:pPr>
            <w:r>
              <w:rPr>
                <w:sz w:val="15"/>
                <w:szCs w:val="15"/>
                <w:spacing w:val="-4"/>
              </w:rPr>
              <w:t>138</w:t>
            </w:r>
          </w:p>
        </w:tc>
        <w:tc>
          <w:tcPr>
            <w:tcW w:w="330" w:type="dxa"/>
            <w:vAlign w:val="top"/>
          </w:tcPr>
          <w:p>
            <w:pPr>
              <w:pStyle w:val="TableText"/>
              <w:ind w:left="49"/>
              <w:spacing w:before="104" w:line="191" w:lineRule="auto"/>
              <w:rPr>
                <w:sz w:val="15"/>
                <w:szCs w:val="15"/>
              </w:rPr>
            </w:pPr>
            <w:r>
              <w:rPr>
                <w:sz w:val="15"/>
                <w:szCs w:val="15"/>
                <w:spacing w:val="-4"/>
              </w:rPr>
              <w:t>144</w:t>
            </w:r>
          </w:p>
        </w:tc>
        <w:tc>
          <w:tcPr>
            <w:tcW w:w="320" w:type="dxa"/>
            <w:vAlign w:val="top"/>
          </w:tcPr>
          <w:p>
            <w:pPr>
              <w:pStyle w:val="TableText"/>
              <w:ind w:left="39"/>
              <w:spacing w:before="104" w:line="191" w:lineRule="auto"/>
              <w:rPr>
                <w:sz w:val="15"/>
                <w:szCs w:val="15"/>
              </w:rPr>
            </w:pPr>
            <w:r>
              <w:rPr>
                <w:sz w:val="15"/>
                <w:szCs w:val="15"/>
                <w:spacing w:val="-4"/>
              </w:rPr>
              <w:t>151</w:t>
            </w:r>
          </w:p>
        </w:tc>
        <w:tc>
          <w:tcPr>
            <w:tcW w:w="344" w:type="dxa"/>
            <w:vAlign w:val="top"/>
          </w:tcPr>
          <w:p>
            <w:pPr>
              <w:pStyle w:val="TableText"/>
              <w:ind w:left="50"/>
              <w:spacing w:before="85" w:line="215" w:lineRule="auto"/>
              <w:rPr>
                <w:sz w:val="15"/>
                <w:szCs w:val="15"/>
              </w:rPr>
            </w:pPr>
            <w:r>
              <w:rPr>
                <w:sz w:val="15"/>
                <w:szCs w:val="15"/>
                <w:spacing w:val="-4"/>
              </w:rPr>
              <w:t>157</w:t>
            </w:r>
          </w:p>
        </w:tc>
      </w:tr>
      <w:tr>
        <w:trPr>
          <w:trHeight w:val="280" w:hRule="atLeast"/>
        </w:trPr>
        <w:tc>
          <w:tcPr>
            <w:tcW w:w="864" w:type="dxa"/>
            <w:vAlign w:val="top"/>
          </w:tcPr>
          <w:p>
            <w:pPr>
              <w:pStyle w:val="TableText"/>
              <w:ind w:right="4"/>
              <w:spacing w:before="95" w:line="215" w:lineRule="auto"/>
              <w:jc w:val="right"/>
              <w:rPr>
                <w:sz w:val="15"/>
                <w:szCs w:val="15"/>
              </w:rPr>
            </w:pPr>
            <w:r>
              <w:rPr>
                <w:sz w:val="15"/>
                <w:szCs w:val="15"/>
              </w:rPr>
              <w:t>9</w:t>
            </w:r>
          </w:p>
        </w:tc>
        <w:tc>
          <w:tcPr>
            <w:tcW w:w="330" w:type="dxa"/>
            <w:vAlign w:val="top"/>
          </w:tcPr>
          <w:p>
            <w:pPr>
              <w:pStyle w:val="TableText"/>
              <w:ind w:right="10"/>
              <w:spacing w:before="95" w:line="215" w:lineRule="auto"/>
              <w:jc w:val="right"/>
              <w:rPr>
                <w:sz w:val="15"/>
                <w:szCs w:val="15"/>
              </w:rPr>
            </w:pPr>
            <w:r>
              <w:rPr>
                <w:sz w:val="15"/>
                <w:szCs w:val="15"/>
                <w:spacing w:val="-3"/>
              </w:rPr>
              <w:t>7.1</w:t>
            </w:r>
          </w:p>
        </w:tc>
        <w:tc>
          <w:tcPr>
            <w:tcW w:w="319" w:type="dxa"/>
            <w:vAlign w:val="top"/>
          </w:tcPr>
          <w:p>
            <w:pPr>
              <w:pStyle w:val="TableText"/>
              <w:ind w:left="11"/>
              <w:spacing w:before="114" w:line="191" w:lineRule="auto"/>
              <w:rPr>
                <w:sz w:val="15"/>
                <w:szCs w:val="15"/>
              </w:rPr>
            </w:pPr>
            <w:r>
              <w:rPr>
                <w:sz w:val="15"/>
                <w:szCs w:val="15"/>
                <w:spacing w:val="-4"/>
              </w:rPr>
              <w:t>14.1</w:t>
            </w:r>
          </w:p>
        </w:tc>
        <w:tc>
          <w:tcPr>
            <w:tcW w:w="329" w:type="dxa"/>
            <w:vAlign w:val="top"/>
          </w:tcPr>
          <w:p>
            <w:pPr>
              <w:pStyle w:val="TableText"/>
              <w:ind w:left="131"/>
              <w:spacing w:before="95" w:line="215" w:lineRule="auto"/>
              <w:rPr>
                <w:sz w:val="15"/>
                <w:szCs w:val="15"/>
              </w:rPr>
            </w:pPr>
            <w:r>
              <w:rPr>
                <w:sz w:val="15"/>
                <w:szCs w:val="15"/>
              </w:rPr>
              <w:t>2</w:t>
            </w:r>
          </w:p>
        </w:tc>
        <w:tc>
          <w:tcPr>
            <w:tcW w:w="330" w:type="dxa"/>
            <w:vAlign w:val="top"/>
          </w:tcPr>
          <w:p>
            <w:pPr>
              <w:pStyle w:val="TableText"/>
              <w:spacing w:before="95" w:line="215" w:lineRule="auto"/>
              <w:jc w:val="right"/>
              <w:rPr>
                <w:sz w:val="15"/>
                <w:szCs w:val="15"/>
              </w:rPr>
            </w:pPr>
            <w:r>
              <w:rPr>
                <w:sz w:val="15"/>
                <w:szCs w:val="15"/>
                <w:spacing w:val="-2"/>
              </w:rPr>
              <w:t>28</w:t>
            </w:r>
          </w:p>
        </w:tc>
        <w:tc>
          <w:tcPr>
            <w:tcW w:w="330" w:type="dxa"/>
            <w:vAlign w:val="top"/>
          </w:tcPr>
          <w:p>
            <w:pPr>
              <w:pStyle w:val="TableText"/>
              <w:ind w:right="1"/>
              <w:spacing w:before="95" w:line="215" w:lineRule="auto"/>
              <w:jc w:val="right"/>
              <w:rPr>
                <w:sz w:val="15"/>
                <w:szCs w:val="15"/>
              </w:rPr>
            </w:pPr>
            <w:r>
              <w:rPr>
                <w:sz w:val="15"/>
                <w:szCs w:val="15"/>
                <w:spacing w:val="-3"/>
              </w:rPr>
              <w:t>35</w:t>
            </w:r>
          </w:p>
        </w:tc>
        <w:tc>
          <w:tcPr>
            <w:tcW w:w="330" w:type="dxa"/>
            <w:vAlign w:val="top"/>
          </w:tcPr>
          <w:p>
            <w:pPr>
              <w:pStyle w:val="TableText"/>
              <w:ind w:right="9"/>
              <w:spacing w:before="125" w:line="178" w:lineRule="auto"/>
              <w:jc w:val="right"/>
              <w:rPr>
                <w:sz w:val="15"/>
                <w:szCs w:val="15"/>
              </w:rPr>
            </w:pPr>
            <w:r>
              <w:rPr>
                <w:sz w:val="15"/>
                <w:szCs w:val="15"/>
                <w:spacing w:val="-2"/>
              </w:rPr>
              <w:t>42</w:t>
            </w:r>
          </w:p>
        </w:tc>
        <w:tc>
          <w:tcPr>
            <w:tcW w:w="329" w:type="dxa"/>
            <w:vAlign w:val="top"/>
          </w:tcPr>
          <w:p>
            <w:pPr>
              <w:pStyle w:val="TableText"/>
              <w:ind w:right="8"/>
              <w:spacing w:before="125" w:line="178" w:lineRule="auto"/>
              <w:jc w:val="right"/>
              <w:rPr>
                <w:sz w:val="15"/>
                <w:szCs w:val="15"/>
              </w:rPr>
            </w:pPr>
            <w:r>
              <w:rPr>
                <w:sz w:val="15"/>
                <w:szCs w:val="15"/>
                <w:spacing w:val="-2"/>
              </w:rPr>
              <w:t>49</w:t>
            </w:r>
          </w:p>
        </w:tc>
        <w:tc>
          <w:tcPr>
            <w:tcW w:w="330" w:type="dxa"/>
            <w:vAlign w:val="top"/>
          </w:tcPr>
          <w:p>
            <w:pPr>
              <w:pStyle w:val="TableText"/>
              <w:ind w:right="10"/>
              <w:spacing w:before="95" w:line="215" w:lineRule="auto"/>
              <w:jc w:val="right"/>
              <w:rPr>
                <w:sz w:val="15"/>
                <w:szCs w:val="15"/>
              </w:rPr>
            </w:pPr>
            <w:r>
              <w:rPr>
                <w:sz w:val="15"/>
                <w:szCs w:val="15"/>
                <w:spacing w:val="-3"/>
              </w:rPr>
              <w:t>57</w:t>
            </w:r>
          </w:p>
        </w:tc>
        <w:tc>
          <w:tcPr>
            <w:tcW w:w="330" w:type="dxa"/>
            <w:vAlign w:val="top"/>
          </w:tcPr>
          <w:p>
            <w:pPr>
              <w:pStyle w:val="TableText"/>
              <w:spacing w:before="95" w:line="215" w:lineRule="auto"/>
              <w:jc w:val="right"/>
              <w:rPr>
                <w:sz w:val="15"/>
                <w:szCs w:val="15"/>
              </w:rPr>
            </w:pPr>
            <w:r>
              <w:rPr>
                <w:sz w:val="15"/>
                <w:szCs w:val="15"/>
                <w:spacing w:val="-4"/>
              </w:rPr>
              <w:t>64</w:t>
            </w:r>
          </w:p>
        </w:tc>
        <w:tc>
          <w:tcPr>
            <w:tcW w:w="330" w:type="dxa"/>
            <w:vAlign w:val="top"/>
          </w:tcPr>
          <w:p>
            <w:pPr>
              <w:pStyle w:val="TableText"/>
              <w:spacing w:before="125" w:line="178" w:lineRule="auto"/>
              <w:jc w:val="right"/>
              <w:rPr>
                <w:sz w:val="15"/>
                <w:szCs w:val="15"/>
              </w:rPr>
            </w:pPr>
            <w:r>
              <w:rPr>
                <w:sz w:val="15"/>
                <w:szCs w:val="15"/>
                <w:spacing w:val="-3"/>
              </w:rPr>
              <w:t>71</w:t>
            </w:r>
          </w:p>
        </w:tc>
        <w:tc>
          <w:tcPr>
            <w:tcW w:w="309" w:type="dxa"/>
            <w:vAlign w:val="top"/>
          </w:tcPr>
          <w:p>
            <w:pPr>
              <w:pStyle w:val="TableText"/>
              <w:ind w:left="73"/>
              <w:spacing w:before="125" w:line="178" w:lineRule="auto"/>
              <w:rPr>
                <w:sz w:val="15"/>
                <w:szCs w:val="15"/>
              </w:rPr>
            </w:pPr>
            <w:r>
              <w:rPr>
                <w:sz w:val="15"/>
                <w:szCs w:val="15"/>
                <w:spacing w:val="-3"/>
              </w:rPr>
              <w:t>78</w:t>
            </w:r>
          </w:p>
        </w:tc>
        <w:tc>
          <w:tcPr>
            <w:tcW w:w="330" w:type="dxa"/>
            <w:vAlign w:val="top"/>
          </w:tcPr>
          <w:p>
            <w:pPr>
              <w:pStyle w:val="TableText"/>
              <w:spacing w:before="95" w:line="215" w:lineRule="auto"/>
              <w:jc w:val="right"/>
              <w:rPr>
                <w:sz w:val="15"/>
                <w:szCs w:val="15"/>
              </w:rPr>
            </w:pPr>
            <w:r>
              <w:rPr>
                <w:sz w:val="15"/>
                <w:szCs w:val="15"/>
                <w:spacing w:val="-4"/>
              </w:rPr>
              <w:t>85</w:t>
            </w:r>
          </w:p>
        </w:tc>
        <w:tc>
          <w:tcPr>
            <w:tcW w:w="330" w:type="dxa"/>
            <w:vAlign w:val="top"/>
          </w:tcPr>
          <w:p>
            <w:pPr>
              <w:pStyle w:val="TableText"/>
              <w:ind w:left="154"/>
              <w:spacing w:before="95" w:line="215" w:lineRule="auto"/>
              <w:rPr>
                <w:sz w:val="15"/>
                <w:szCs w:val="15"/>
              </w:rPr>
            </w:pPr>
            <w:r>
              <w:rPr>
                <w:sz w:val="15"/>
                <w:szCs w:val="15"/>
                <w:spacing w:val="-2"/>
              </w:rPr>
              <w:t>92</w:t>
            </w:r>
          </w:p>
        </w:tc>
        <w:tc>
          <w:tcPr>
            <w:tcW w:w="319" w:type="dxa"/>
            <w:vAlign w:val="top"/>
          </w:tcPr>
          <w:p>
            <w:pPr>
              <w:pStyle w:val="TableText"/>
              <w:ind w:left="134"/>
              <w:spacing w:before="95" w:line="215" w:lineRule="auto"/>
              <w:rPr>
                <w:sz w:val="15"/>
                <w:szCs w:val="15"/>
              </w:rPr>
            </w:pPr>
            <w:r>
              <w:rPr>
                <w:sz w:val="15"/>
                <w:szCs w:val="15"/>
                <w:spacing w:val="-2"/>
              </w:rPr>
              <w:t>99</w:t>
            </w:r>
          </w:p>
        </w:tc>
        <w:tc>
          <w:tcPr>
            <w:tcW w:w="339" w:type="dxa"/>
            <w:vAlign w:val="top"/>
          </w:tcPr>
          <w:p>
            <w:pPr>
              <w:pStyle w:val="TableText"/>
              <w:ind w:left="45"/>
              <w:spacing w:before="125" w:line="178" w:lineRule="auto"/>
              <w:rPr>
                <w:sz w:val="15"/>
                <w:szCs w:val="15"/>
              </w:rPr>
            </w:pPr>
            <w:r>
              <w:rPr>
                <w:sz w:val="15"/>
                <w:szCs w:val="15"/>
                <w:spacing w:val="-4"/>
              </w:rPr>
              <w:t>106</w:t>
            </w:r>
          </w:p>
        </w:tc>
        <w:tc>
          <w:tcPr>
            <w:tcW w:w="320" w:type="dxa"/>
            <w:vAlign w:val="top"/>
          </w:tcPr>
          <w:p>
            <w:pPr>
              <w:pStyle w:val="TableText"/>
              <w:ind w:left="37"/>
              <w:spacing w:before="125" w:line="178" w:lineRule="auto"/>
              <w:rPr>
                <w:sz w:val="15"/>
                <w:szCs w:val="15"/>
              </w:rPr>
            </w:pPr>
            <w:r>
              <w:rPr>
                <w:sz w:val="15"/>
                <w:szCs w:val="15"/>
                <w:spacing w:val="-4"/>
              </w:rPr>
              <w:t>113</w:t>
            </w:r>
          </w:p>
        </w:tc>
        <w:tc>
          <w:tcPr>
            <w:tcW w:w="329" w:type="dxa"/>
            <w:vAlign w:val="top"/>
          </w:tcPr>
          <w:p>
            <w:pPr>
              <w:pStyle w:val="TableText"/>
              <w:ind w:left="47"/>
              <w:spacing w:before="114" w:line="191" w:lineRule="auto"/>
              <w:rPr>
                <w:sz w:val="15"/>
                <w:szCs w:val="15"/>
              </w:rPr>
            </w:pPr>
            <w:r>
              <w:rPr>
                <w:sz w:val="15"/>
                <w:szCs w:val="15"/>
                <w:spacing w:val="-4"/>
              </w:rPr>
              <w:t>120</w:t>
            </w:r>
          </w:p>
        </w:tc>
        <w:tc>
          <w:tcPr>
            <w:tcW w:w="340" w:type="dxa"/>
            <w:vAlign w:val="top"/>
          </w:tcPr>
          <w:p>
            <w:pPr>
              <w:pStyle w:val="TableText"/>
              <w:ind w:left="78"/>
              <w:spacing w:before="114" w:line="191" w:lineRule="auto"/>
              <w:rPr>
                <w:sz w:val="15"/>
                <w:szCs w:val="15"/>
              </w:rPr>
            </w:pPr>
            <w:r>
              <w:rPr>
                <w:sz w:val="15"/>
                <w:szCs w:val="15"/>
                <w:spacing w:val="-4"/>
              </w:rPr>
              <w:t>127</w:t>
            </w:r>
          </w:p>
        </w:tc>
        <w:tc>
          <w:tcPr>
            <w:tcW w:w="329" w:type="dxa"/>
            <w:vAlign w:val="top"/>
          </w:tcPr>
          <w:p>
            <w:pPr>
              <w:pStyle w:val="TableText"/>
              <w:ind w:left="48"/>
              <w:spacing w:before="114" w:line="191" w:lineRule="auto"/>
              <w:rPr>
                <w:sz w:val="15"/>
                <w:szCs w:val="15"/>
              </w:rPr>
            </w:pPr>
            <w:r>
              <w:rPr>
                <w:sz w:val="15"/>
                <w:szCs w:val="15"/>
                <w:spacing w:val="-4"/>
              </w:rPr>
              <w:t>134</w:t>
            </w:r>
          </w:p>
        </w:tc>
        <w:tc>
          <w:tcPr>
            <w:tcW w:w="320" w:type="dxa"/>
            <w:vAlign w:val="top"/>
          </w:tcPr>
          <w:p>
            <w:pPr>
              <w:pStyle w:val="TableText"/>
              <w:ind w:left="38"/>
              <w:spacing w:before="114" w:line="191" w:lineRule="auto"/>
              <w:rPr>
                <w:sz w:val="15"/>
                <w:szCs w:val="15"/>
              </w:rPr>
            </w:pPr>
            <w:r>
              <w:rPr>
                <w:sz w:val="15"/>
                <w:szCs w:val="15"/>
                <w:spacing w:val="-4"/>
              </w:rPr>
              <w:t>141</w:t>
            </w:r>
          </w:p>
        </w:tc>
        <w:tc>
          <w:tcPr>
            <w:tcW w:w="330" w:type="dxa"/>
            <w:vAlign w:val="top"/>
          </w:tcPr>
          <w:p>
            <w:pPr>
              <w:pStyle w:val="TableText"/>
              <w:ind w:left="49"/>
              <w:spacing w:before="114" w:line="191" w:lineRule="auto"/>
              <w:rPr>
                <w:sz w:val="15"/>
                <w:szCs w:val="15"/>
              </w:rPr>
            </w:pPr>
            <w:r>
              <w:rPr>
                <w:sz w:val="15"/>
                <w:szCs w:val="15"/>
                <w:spacing w:val="-4"/>
              </w:rPr>
              <w:t>148</w:t>
            </w:r>
          </w:p>
        </w:tc>
        <w:tc>
          <w:tcPr>
            <w:tcW w:w="329" w:type="dxa"/>
            <w:vAlign w:val="top"/>
          </w:tcPr>
          <w:p>
            <w:pPr>
              <w:pStyle w:val="TableText"/>
              <w:ind w:left="49"/>
              <w:spacing w:before="95" w:line="215" w:lineRule="auto"/>
              <w:rPr>
                <w:sz w:val="15"/>
                <w:szCs w:val="15"/>
              </w:rPr>
            </w:pPr>
            <w:r>
              <w:rPr>
                <w:sz w:val="15"/>
                <w:szCs w:val="15"/>
                <w:spacing w:val="-4"/>
              </w:rPr>
              <w:t>155</w:t>
            </w:r>
          </w:p>
        </w:tc>
        <w:tc>
          <w:tcPr>
            <w:tcW w:w="330" w:type="dxa"/>
            <w:vAlign w:val="top"/>
          </w:tcPr>
          <w:p>
            <w:pPr>
              <w:pStyle w:val="TableText"/>
              <w:ind w:left="49"/>
              <w:spacing w:before="114" w:line="191" w:lineRule="auto"/>
              <w:rPr>
                <w:sz w:val="15"/>
                <w:szCs w:val="15"/>
              </w:rPr>
            </w:pPr>
            <w:r>
              <w:rPr>
                <w:sz w:val="15"/>
                <w:szCs w:val="15"/>
                <w:spacing w:val="-4"/>
              </w:rPr>
              <w:t>162</w:t>
            </w:r>
          </w:p>
        </w:tc>
        <w:tc>
          <w:tcPr>
            <w:tcW w:w="320" w:type="dxa"/>
            <w:vAlign w:val="top"/>
          </w:tcPr>
          <w:p>
            <w:pPr>
              <w:pStyle w:val="TableText"/>
              <w:ind w:left="39"/>
              <w:spacing w:before="114" w:line="191" w:lineRule="auto"/>
              <w:rPr>
                <w:sz w:val="15"/>
                <w:szCs w:val="15"/>
              </w:rPr>
            </w:pPr>
            <w:r>
              <w:rPr>
                <w:sz w:val="15"/>
                <w:szCs w:val="15"/>
                <w:spacing w:val="-4"/>
              </w:rPr>
              <w:t>170</w:t>
            </w:r>
          </w:p>
        </w:tc>
        <w:tc>
          <w:tcPr>
            <w:tcW w:w="344" w:type="dxa"/>
            <w:vAlign w:val="top"/>
          </w:tcPr>
          <w:p>
            <w:pPr>
              <w:pStyle w:val="TableText"/>
              <w:ind w:left="50"/>
              <w:spacing w:before="114" w:line="191" w:lineRule="auto"/>
              <w:rPr>
                <w:sz w:val="15"/>
                <w:szCs w:val="15"/>
              </w:rPr>
            </w:pPr>
            <w:r>
              <w:rPr>
                <w:sz w:val="15"/>
                <w:szCs w:val="15"/>
                <w:spacing w:val="-4"/>
              </w:rPr>
              <w:t>177</w:t>
            </w:r>
          </w:p>
        </w:tc>
      </w:tr>
      <w:tr>
        <w:trPr>
          <w:trHeight w:val="280" w:hRule="atLeast"/>
        </w:trPr>
        <w:tc>
          <w:tcPr>
            <w:tcW w:w="864" w:type="dxa"/>
            <w:vAlign w:val="top"/>
          </w:tcPr>
          <w:p>
            <w:pPr>
              <w:pStyle w:val="TableText"/>
              <w:ind w:right="7"/>
              <w:spacing w:before="125" w:line="178" w:lineRule="auto"/>
              <w:jc w:val="right"/>
              <w:rPr>
                <w:sz w:val="15"/>
                <w:szCs w:val="15"/>
              </w:rPr>
            </w:pPr>
            <w:r>
              <w:rPr>
                <w:sz w:val="15"/>
                <w:szCs w:val="15"/>
                <w:spacing w:val="-5"/>
              </w:rPr>
              <w:t>10</w:t>
            </w:r>
          </w:p>
        </w:tc>
        <w:tc>
          <w:tcPr>
            <w:tcW w:w="330" w:type="dxa"/>
            <w:vAlign w:val="top"/>
          </w:tcPr>
          <w:p>
            <w:pPr>
              <w:pStyle w:val="TableText"/>
              <w:ind w:right="3"/>
              <w:spacing w:before="95" w:line="215" w:lineRule="auto"/>
              <w:jc w:val="right"/>
              <w:rPr>
                <w:sz w:val="15"/>
                <w:szCs w:val="15"/>
              </w:rPr>
            </w:pPr>
            <w:r>
              <w:rPr>
                <w:sz w:val="15"/>
                <w:szCs w:val="15"/>
                <w:spacing w:val="-3"/>
              </w:rPr>
              <w:t>79</w:t>
            </w:r>
          </w:p>
        </w:tc>
        <w:tc>
          <w:tcPr>
            <w:tcW w:w="319" w:type="dxa"/>
            <w:vAlign w:val="top"/>
          </w:tcPr>
          <w:p>
            <w:pPr>
              <w:pStyle w:val="TableText"/>
              <w:ind w:left="11"/>
              <w:spacing w:before="114" w:line="191" w:lineRule="auto"/>
              <w:rPr>
                <w:sz w:val="15"/>
                <w:szCs w:val="15"/>
              </w:rPr>
            </w:pPr>
            <w:r>
              <w:rPr>
                <w:sz w:val="15"/>
                <w:szCs w:val="15"/>
                <w:spacing w:val="-4"/>
              </w:rPr>
              <w:t>15.7</w:t>
            </w:r>
          </w:p>
        </w:tc>
        <w:tc>
          <w:tcPr>
            <w:tcW w:w="329" w:type="dxa"/>
            <w:vAlign w:val="top"/>
          </w:tcPr>
          <w:p>
            <w:pPr>
              <w:pStyle w:val="TableText"/>
              <w:ind w:left="131"/>
              <w:spacing w:before="95" w:line="215" w:lineRule="auto"/>
              <w:rPr>
                <w:sz w:val="15"/>
                <w:szCs w:val="15"/>
              </w:rPr>
            </w:pPr>
            <w:r>
              <w:rPr>
                <w:sz w:val="15"/>
                <w:szCs w:val="15"/>
                <w:spacing w:val="-2"/>
              </w:rPr>
              <w:t>24</w:t>
            </w:r>
          </w:p>
        </w:tc>
        <w:tc>
          <w:tcPr>
            <w:tcW w:w="330" w:type="dxa"/>
            <w:vAlign w:val="top"/>
          </w:tcPr>
          <w:p>
            <w:pPr>
              <w:pStyle w:val="TableText"/>
              <w:ind w:right="1"/>
              <w:spacing w:before="135" w:line="166" w:lineRule="auto"/>
              <w:jc w:val="right"/>
              <w:rPr>
                <w:sz w:val="15"/>
                <w:szCs w:val="15"/>
              </w:rPr>
            </w:pPr>
            <w:r>
              <w:rPr>
                <w:sz w:val="15"/>
                <w:szCs w:val="15"/>
                <w:spacing w:val="-3"/>
              </w:rPr>
              <w:t>31</w:t>
            </w:r>
          </w:p>
        </w:tc>
        <w:tc>
          <w:tcPr>
            <w:tcW w:w="330" w:type="dxa"/>
            <w:vAlign w:val="top"/>
          </w:tcPr>
          <w:p>
            <w:pPr>
              <w:pStyle w:val="TableText"/>
              <w:ind w:right="1"/>
              <w:spacing w:before="135" w:line="166" w:lineRule="auto"/>
              <w:jc w:val="right"/>
              <w:rPr>
                <w:sz w:val="15"/>
                <w:szCs w:val="15"/>
              </w:rPr>
            </w:pPr>
            <w:r>
              <w:rPr>
                <w:sz w:val="15"/>
                <w:szCs w:val="15"/>
                <w:spacing w:val="-3"/>
              </w:rPr>
              <w:t>39</w:t>
            </w:r>
          </w:p>
        </w:tc>
        <w:tc>
          <w:tcPr>
            <w:tcW w:w="330" w:type="dxa"/>
            <w:vAlign w:val="top"/>
          </w:tcPr>
          <w:p>
            <w:pPr>
              <w:pStyle w:val="TableText"/>
              <w:ind w:right="9"/>
              <w:spacing w:before="125" w:line="178" w:lineRule="auto"/>
              <w:jc w:val="right"/>
              <w:rPr>
                <w:sz w:val="15"/>
                <w:szCs w:val="15"/>
              </w:rPr>
            </w:pPr>
            <w:r>
              <w:rPr>
                <w:sz w:val="15"/>
                <w:szCs w:val="15"/>
                <w:spacing w:val="-2"/>
              </w:rPr>
              <w:t>47</w:t>
            </w:r>
          </w:p>
        </w:tc>
        <w:tc>
          <w:tcPr>
            <w:tcW w:w="329" w:type="dxa"/>
            <w:vAlign w:val="top"/>
          </w:tcPr>
          <w:p>
            <w:pPr>
              <w:pStyle w:val="TableText"/>
              <w:ind w:right="10"/>
              <w:spacing w:before="125" w:line="178" w:lineRule="auto"/>
              <w:jc w:val="right"/>
              <w:rPr>
                <w:sz w:val="15"/>
                <w:szCs w:val="15"/>
              </w:rPr>
            </w:pPr>
            <w:r>
              <w:rPr>
                <w:sz w:val="15"/>
                <w:szCs w:val="15"/>
                <w:spacing w:val="-3"/>
              </w:rPr>
              <w:t>55</w:t>
            </w:r>
          </w:p>
        </w:tc>
        <w:tc>
          <w:tcPr>
            <w:tcW w:w="330" w:type="dxa"/>
            <w:vAlign w:val="top"/>
          </w:tcPr>
          <w:p>
            <w:pPr>
              <w:pStyle w:val="TableText"/>
              <w:ind w:left="133"/>
              <w:spacing w:before="125" w:line="178" w:lineRule="auto"/>
              <w:rPr>
                <w:sz w:val="15"/>
                <w:szCs w:val="15"/>
              </w:rPr>
            </w:pPr>
            <w:r>
              <w:rPr>
                <w:sz w:val="15"/>
                <w:szCs w:val="15"/>
                <w:spacing w:val="-2"/>
              </w:rPr>
              <w:t>63</w:t>
            </w:r>
          </w:p>
        </w:tc>
        <w:tc>
          <w:tcPr>
            <w:tcW w:w="330" w:type="dxa"/>
            <w:vAlign w:val="top"/>
          </w:tcPr>
          <w:p>
            <w:pPr>
              <w:pStyle w:val="TableText"/>
              <w:spacing w:before="125" w:line="178" w:lineRule="auto"/>
              <w:jc w:val="right"/>
              <w:rPr>
                <w:sz w:val="15"/>
                <w:szCs w:val="15"/>
              </w:rPr>
            </w:pPr>
            <w:r>
              <w:rPr>
                <w:sz w:val="15"/>
                <w:szCs w:val="15"/>
                <w:spacing w:val="-3"/>
              </w:rPr>
              <w:t>71</w:t>
            </w:r>
          </w:p>
        </w:tc>
        <w:tc>
          <w:tcPr>
            <w:tcW w:w="330" w:type="dxa"/>
            <w:vAlign w:val="top"/>
          </w:tcPr>
          <w:p>
            <w:pPr>
              <w:pStyle w:val="TableText"/>
              <w:spacing w:before="125" w:line="178" w:lineRule="auto"/>
              <w:jc w:val="right"/>
              <w:rPr>
                <w:sz w:val="15"/>
                <w:szCs w:val="15"/>
              </w:rPr>
            </w:pPr>
            <w:r>
              <w:rPr>
                <w:sz w:val="15"/>
                <w:szCs w:val="15"/>
                <w:spacing w:val="-3"/>
              </w:rPr>
              <w:t>79</w:t>
            </w:r>
          </w:p>
        </w:tc>
        <w:tc>
          <w:tcPr>
            <w:tcW w:w="309" w:type="dxa"/>
            <w:vAlign w:val="top"/>
          </w:tcPr>
          <w:p>
            <w:pPr>
              <w:pStyle w:val="TableText"/>
              <w:ind w:left="114"/>
              <w:spacing w:before="135" w:line="166" w:lineRule="auto"/>
              <w:rPr>
                <w:sz w:val="15"/>
                <w:szCs w:val="15"/>
              </w:rPr>
            </w:pPr>
            <w:r>
              <w:rPr>
                <w:sz w:val="15"/>
                <w:szCs w:val="15"/>
                <w:spacing w:val="-2"/>
              </w:rPr>
              <w:t>86</w:t>
            </w:r>
          </w:p>
        </w:tc>
        <w:tc>
          <w:tcPr>
            <w:tcW w:w="330" w:type="dxa"/>
            <w:vAlign w:val="top"/>
          </w:tcPr>
          <w:p>
            <w:pPr>
              <w:pStyle w:val="TableText"/>
              <w:spacing w:before="125" w:line="178" w:lineRule="auto"/>
              <w:jc w:val="right"/>
              <w:rPr>
                <w:sz w:val="15"/>
                <w:szCs w:val="15"/>
              </w:rPr>
            </w:pPr>
            <w:r>
              <w:rPr>
                <w:sz w:val="15"/>
                <w:szCs w:val="15"/>
                <w:spacing w:val="-4"/>
              </w:rPr>
              <w:t>94</w:t>
            </w:r>
          </w:p>
        </w:tc>
        <w:tc>
          <w:tcPr>
            <w:tcW w:w="330" w:type="dxa"/>
            <w:vAlign w:val="top"/>
          </w:tcPr>
          <w:p>
            <w:pPr>
              <w:pStyle w:val="TableText"/>
              <w:ind w:left="74"/>
              <w:spacing w:before="114" w:line="191" w:lineRule="auto"/>
              <w:rPr>
                <w:sz w:val="15"/>
                <w:szCs w:val="15"/>
              </w:rPr>
            </w:pPr>
            <w:r>
              <w:rPr>
                <w:sz w:val="15"/>
                <w:szCs w:val="15"/>
                <w:spacing w:val="-4"/>
              </w:rPr>
              <w:t>102</w:t>
            </w:r>
          </w:p>
        </w:tc>
        <w:tc>
          <w:tcPr>
            <w:tcW w:w="319" w:type="dxa"/>
            <w:vAlign w:val="top"/>
          </w:tcPr>
          <w:p>
            <w:pPr>
              <w:pStyle w:val="TableText"/>
              <w:ind w:left="54"/>
              <w:spacing w:before="114" w:line="191" w:lineRule="auto"/>
              <w:rPr>
                <w:sz w:val="15"/>
                <w:szCs w:val="15"/>
              </w:rPr>
            </w:pPr>
            <w:r>
              <w:rPr>
                <w:sz w:val="15"/>
                <w:szCs w:val="15"/>
                <w:spacing w:val="-4"/>
              </w:rPr>
              <w:t>110</w:t>
            </w:r>
          </w:p>
        </w:tc>
        <w:tc>
          <w:tcPr>
            <w:tcW w:w="339" w:type="dxa"/>
            <w:vAlign w:val="top"/>
          </w:tcPr>
          <w:p>
            <w:pPr>
              <w:pStyle w:val="TableText"/>
              <w:ind w:left="45"/>
              <w:spacing w:before="114" w:line="191" w:lineRule="auto"/>
              <w:rPr>
                <w:sz w:val="15"/>
                <w:szCs w:val="15"/>
              </w:rPr>
            </w:pPr>
            <w:r>
              <w:rPr>
                <w:sz w:val="15"/>
                <w:szCs w:val="15"/>
                <w:spacing w:val="-4"/>
              </w:rPr>
              <w:t>118</w:t>
            </w:r>
          </w:p>
        </w:tc>
        <w:tc>
          <w:tcPr>
            <w:tcW w:w="320" w:type="dxa"/>
            <w:vAlign w:val="top"/>
          </w:tcPr>
          <w:p>
            <w:pPr>
              <w:pStyle w:val="TableText"/>
              <w:ind w:left="37"/>
              <w:spacing w:before="114" w:line="191" w:lineRule="auto"/>
              <w:rPr>
                <w:sz w:val="15"/>
                <w:szCs w:val="15"/>
              </w:rPr>
            </w:pPr>
            <w:r>
              <w:rPr>
                <w:sz w:val="15"/>
                <w:szCs w:val="15"/>
                <w:spacing w:val="-4"/>
              </w:rPr>
              <w:t>126</w:t>
            </w:r>
          </w:p>
        </w:tc>
        <w:tc>
          <w:tcPr>
            <w:tcW w:w="329" w:type="dxa"/>
            <w:vAlign w:val="top"/>
          </w:tcPr>
          <w:p>
            <w:pPr>
              <w:pStyle w:val="TableText"/>
              <w:ind w:left="47"/>
              <w:spacing w:before="114" w:line="191" w:lineRule="auto"/>
              <w:rPr>
                <w:sz w:val="15"/>
                <w:szCs w:val="15"/>
              </w:rPr>
            </w:pPr>
            <w:r>
              <w:rPr>
                <w:sz w:val="15"/>
                <w:szCs w:val="15"/>
                <w:spacing w:val="-4"/>
              </w:rPr>
              <w:t>133</w:t>
            </w:r>
          </w:p>
        </w:tc>
        <w:tc>
          <w:tcPr>
            <w:tcW w:w="340" w:type="dxa"/>
            <w:vAlign w:val="top"/>
          </w:tcPr>
          <w:p>
            <w:pPr>
              <w:pStyle w:val="TableText"/>
              <w:ind w:right="8"/>
              <w:spacing w:before="114" w:line="191" w:lineRule="auto"/>
              <w:jc w:val="right"/>
              <w:rPr>
                <w:sz w:val="15"/>
                <w:szCs w:val="15"/>
              </w:rPr>
            </w:pPr>
            <w:r>
              <w:rPr>
                <w:sz w:val="15"/>
                <w:szCs w:val="15"/>
                <w:spacing w:val="-4"/>
              </w:rPr>
              <w:t>141</w:t>
            </w:r>
          </w:p>
        </w:tc>
        <w:tc>
          <w:tcPr>
            <w:tcW w:w="329" w:type="dxa"/>
            <w:vAlign w:val="top"/>
          </w:tcPr>
          <w:p>
            <w:pPr>
              <w:pStyle w:val="TableText"/>
              <w:ind w:left="48"/>
              <w:spacing w:before="114" w:line="191" w:lineRule="auto"/>
              <w:rPr>
                <w:sz w:val="15"/>
                <w:szCs w:val="15"/>
              </w:rPr>
            </w:pPr>
            <w:r>
              <w:rPr>
                <w:sz w:val="15"/>
                <w:szCs w:val="15"/>
                <w:spacing w:val="-4"/>
              </w:rPr>
              <w:t>149</w:t>
            </w:r>
          </w:p>
        </w:tc>
        <w:tc>
          <w:tcPr>
            <w:tcW w:w="320" w:type="dxa"/>
            <w:vAlign w:val="top"/>
          </w:tcPr>
          <w:p>
            <w:pPr>
              <w:pStyle w:val="TableText"/>
              <w:ind w:left="38"/>
              <w:spacing w:before="114" w:line="191" w:lineRule="auto"/>
              <w:rPr>
                <w:sz w:val="15"/>
                <w:szCs w:val="15"/>
              </w:rPr>
            </w:pPr>
            <w:r>
              <w:rPr>
                <w:sz w:val="15"/>
                <w:szCs w:val="15"/>
                <w:spacing w:val="-4"/>
              </w:rPr>
              <w:t>157</w:t>
            </w:r>
          </w:p>
        </w:tc>
        <w:tc>
          <w:tcPr>
            <w:tcW w:w="330" w:type="dxa"/>
            <w:vAlign w:val="top"/>
          </w:tcPr>
          <w:p>
            <w:pPr>
              <w:pStyle w:val="TableText"/>
              <w:ind w:left="88"/>
              <w:spacing w:before="114" w:line="191" w:lineRule="auto"/>
              <w:rPr>
                <w:sz w:val="15"/>
                <w:szCs w:val="15"/>
              </w:rPr>
            </w:pPr>
            <w:r>
              <w:rPr>
                <w:sz w:val="15"/>
                <w:szCs w:val="15"/>
                <w:spacing w:val="-4"/>
              </w:rPr>
              <w:t>165</w:t>
            </w:r>
          </w:p>
        </w:tc>
        <w:tc>
          <w:tcPr>
            <w:tcW w:w="329" w:type="dxa"/>
            <w:vAlign w:val="top"/>
          </w:tcPr>
          <w:p>
            <w:pPr>
              <w:pStyle w:val="TableText"/>
              <w:ind w:left="49"/>
              <w:spacing w:before="114" w:line="191" w:lineRule="auto"/>
              <w:rPr>
                <w:sz w:val="15"/>
                <w:szCs w:val="15"/>
              </w:rPr>
            </w:pPr>
            <w:r>
              <w:rPr>
                <w:sz w:val="15"/>
                <w:szCs w:val="15"/>
                <w:spacing w:val="-4"/>
              </w:rPr>
              <w:t>173</w:t>
            </w:r>
          </w:p>
        </w:tc>
        <w:tc>
          <w:tcPr>
            <w:tcW w:w="330" w:type="dxa"/>
            <w:vAlign w:val="top"/>
          </w:tcPr>
          <w:p>
            <w:pPr>
              <w:pStyle w:val="TableText"/>
              <w:ind w:left="49"/>
              <w:spacing w:before="114" w:line="191" w:lineRule="auto"/>
              <w:rPr>
                <w:sz w:val="15"/>
                <w:szCs w:val="15"/>
              </w:rPr>
            </w:pPr>
            <w:r>
              <w:rPr>
                <w:sz w:val="15"/>
                <w:szCs w:val="15"/>
                <w:spacing w:val="-4"/>
              </w:rPr>
              <w:t>181</w:t>
            </w:r>
          </w:p>
        </w:tc>
        <w:tc>
          <w:tcPr>
            <w:tcW w:w="320" w:type="dxa"/>
            <w:vAlign w:val="top"/>
          </w:tcPr>
          <w:p>
            <w:pPr>
              <w:pStyle w:val="TableText"/>
              <w:ind w:left="39"/>
              <w:spacing w:before="114" w:line="191" w:lineRule="auto"/>
              <w:rPr>
                <w:sz w:val="15"/>
                <w:szCs w:val="15"/>
              </w:rPr>
            </w:pPr>
            <w:r>
              <w:rPr>
                <w:sz w:val="15"/>
                <w:szCs w:val="15"/>
                <w:spacing w:val="-4"/>
              </w:rPr>
              <w:t>188</w:t>
            </w:r>
          </w:p>
        </w:tc>
        <w:tc>
          <w:tcPr>
            <w:tcW w:w="344" w:type="dxa"/>
            <w:vAlign w:val="top"/>
          </w:tcPr>
          <w:p>
            <w:pPr>
              <w:pStyle w:val="TableText"/>
              <w:ind w:left="50"/>
              <w:spacing w:before="114" w:line="191" w:lineRule="auto"/>
              <w:rPr>
                <w:sz w:val="15"/>
                <w:szCs w:val="15"/>
              </w:rPr>
            </w:pPr>
            <w:r>
              <w:rPr>
                <w:sz w:val="15"/>
                <w:szCs w:val="15"/>
                <w:spacing w:val="-4"/>
              </w:rPr>
              <w:t>196</w:t>
            </w:r>
          </w:p>
        </w:tc>
      </w:tr>
      <w:tr>
        <w:trPr>
          <w:trHeight w:val="279" w:hRule="atLeast"/>
        </w:trPr>
        <w:tc>
          <w:tcPr>
            <w:tcW w:w="864" w:type="dxa"/>
            <w:vAlign w:val="top"/>
          </w:tcPr>
          <w:p>
            <w:pPr>
              <w:pStyle w:val="TableText"/>
              <w:ind w:right="7"/>
              <w:spacing w:before="95" w:line="214" w:lineRule="auto"/>
              <w:jc w:val="right"/>
              <w:rPr>
                <w:sz w:val="15"/>
                <w:szCs w:val="15"/>
              </w:rPr>
            </w:pPr>
            <w:r>
              <w:rPr>
                <w:sz w:val="15"/>
                <w:szCs w:val="15"/>
                <w:spacing w:val="-5"/>
              </w:rPr>
              <w:t>11</w:t>
            </w:r>
          </w:p>
        </w:tc>
        <w:tc>
          <w:tcPr>
            <w:tcW w:w="330" w:type="dxa"/>
            <w:vAlign w:val="top"/>
          </w:tcPr>
          <w:p>
            <w:pPr>
              <w:pStyle w:val="TableText"/>
              <w:ind w:right="8"/>
              <w:spacing w:before="95" w:line="214" w:lineRule="auto"/>
              <w:jc w:val="right"/>
              <w:rPr>
                <w:sz w:val="15"/>
                <w:szCs w:val="15"/>
              </w:rPr>
            </w:pPr>
            <w:r>
              <w:rPr>
                <w:sz w:val="15"/>
                <w:szCs w:val="15"/>
                <w:spacing w:val="-2"/>
              </w:rPr>
              <w:t>8.5</w:t>
            </w:r>
          </w:p>
        </w:tc>
        <w:tc>
          <w:tcPr>
            <w:tcW w:w="319" w:type="dxa"/>
            <w:vAlign w:val="top"/>
          </w:tcPr>
          <w:p>
            <w:pPr>
              <w:pStyle w:val="TableText"/>
              <w:ind w:left="11"/>
              <w:spacing w:before="95" w:line="214" w:lineRule="auto"/>
              <w:rPr>
                <w:sz w:val="15"/>
                <w:szCs w:val="15"/>
              </w:rPr>
            </w:pPr>
            <w:r>
              <w:rPr>
                <w:sz w:val="15"/>
                <w:szCs w:val="15"/>
                <w:spacing w:val="-4"/>
              </w:rPr>
              <w:t>17.3</w:t>
            </w:r>
          </w:p>
        </w:tc>
        <w:tc>
          <w:tcPr>
            <w:tcW w:w="329" w:type="dxa"/>
            <w:vAlign w:val="top"/>
          </w:tcPr>
          <w:p>
            <w:pPr>
              <w:pStyle w:val="TableText"/>
              <w:ind w:left="131"/>
              <w:spacing w:before="85" w:line="226" w:lineRule="auto"/>
              <w:rPr>
                <w:sz w:val="15"/>
                <w:szCs w:val="15"/>
              </w:rPr>
            </w:pPr>
            <w:r>
              <w:rPr>
                <w:sz w:val="15"/>
                <w:szCs w:val="15"/>
                <w:spacing w:val="-2"/>
              </w:rPr>
              <w:t>26</w:t>
            </w:r>
          </w:p>
        </w:tc>
        <w:tc>
          <w:tcPr>
            <w:tcW w:w="330" w:type="dxa"/>
            <w:vAlign w:val="top"/>
          </w:tcPr>
          <w:p>
            <w:pPr>
              <w:pStyle w:val="TableText"/>
              <w:ind w:right="1"/>
              <w:spacing w:before="85" w:line="226" w:lineRule="auto"/>
              <w:jc w:val="right"/>
              <w:rPr>
                <w:sz w:val="15"/>
                <w:szCs w:val="15"/>
              </w:rPr>
            </w:pPr>
            <w:r>
              <w:rPr>
                <w:sz w:val="15"/>
                <w:szCs w:val="15"/>
                <w:spacing w:val="-3"/>
              </w:rPr>
              <w:t>35</w:t>
            </w:r>
          </w:p>
        </w:tc>
        <w:tc>
          <w:tcPr>
            <w:tcW w:w="330" w:type="dxa"/>
            <w:vAlign w:val="top"/>
          </w:tcPr>
          <w:p>
            <w:pPr>
              <w:pStyle w:val="TableText"/>
              <w:spacing w:before="115" w:line="189" w:lineRule="auto"/>
              <w:jc w:val="right"/>
              <w:rPr>
                <w:sz w:val="15"/>
                <w:szCs w:val="15"/>
              </w:rPr>
            </w:pPr>
            <w:r>
              <w:rPr>
                <w:sz w:val="15"/>
                <w:szCs w:val="15"/>
                <w:spacing w:val="-3"/>
              </w:rPr>
              <w:t>43</w:t>
            </w:r>
          </w:p>
        </w:tc>
        <w:tc>
          <w:tcPr>
            <w:tcW w:w="330" w:type="dxa"/>
            <w:vAlign w:val="top"/>
          </w:tcPr>
          <w:p>
            <w:pPr>
              <w:pStyle w:val="TableText"/>
              <w:ind w:right="11"/>
              <w:spacing w:before="85" w:line="226" w:lineRule="auto"/>
              <w:jc w:val="right"/>
              <w:rPr>
                <w:sz w:val="15"/>
                <w:szCs w:val="15"/>
              </w:rPr>
            </w:pPr>
            <w:r>
              <w:rPr>
                <w:sz w:val="15"/>
                <w:szCs w:val="15"/>
                <w:spacing w:val="-3"/>
              </w:rPr>
              <w:t>52</w:t>
            </w:r>
          </w:p>
        </w:tc>
        <w:tc>
          <w:tcPr>
            <w:tcW w:w="329" w:type="dxa"/>
            <w:vAlign w:val="top"/>
          </w:tcPr>
          <w:p>
            <w:pPr>
              <w:pStyle w:val="TableText"/>
              <w:ind w:right="9"/>
              <w:spacing w:before="115" w:line="189" w:lineRule="auto"/>
              <w:jc w:val="right"/>
              <w:rPr>
                <w:sz w:val="15"/>
                <w:szCs w:val="15"/>
              </w:rPr>
            </w:pPr>
            <w:r>
              <w:rPr>
                <w:sz w:val="15"/>
                <w:szCs w:val="15"/>
                <w:spacing w:val="-2"/>
              </w:rPr>
              <w:t>60</w:t>
            </w:r>
          </w:p>
        </w:tc>
        <w:tc>
          <w:tcPr>
            <w:tcW w:w="330" w:type="dxa"/>
            <w:vAlign w:val="top"/>
          </w:tcPr>
          <w:p>
            <w:pPr>
              <w:pStyle w:val="TableText"/>
              <w:ind w:right="9"/>
              <w:spacing w:before="115" w:line="189" w:lineRule="auto"/>
              <w:jc w:val="right"/>
              <w:rPr>
                <w:sz w:val="15"/>
                <w:szCs w:val="15"/>
              </w:rPr>
            </w:pPr>
            <w:r>
              <w:rPr>
                <w:sz w:val="15"/>
                <w:szCs w:val="15"/>
                <w:spacing w:val="-2"/>
              </w:rPr>
              <w:t>69</w:t>
            </w:r>
          </w:p>
        </w:tc>
        <w:tc>
          <w:tcPr>
            <w:tcW w:w="330" w:type="dxa"/>
            <w:vAlign w:val="top"/>
          </w:tcPr>
          <w:p>
            <w:pPr>
              <w:pStyle w:val="TableText"/>
              <w:spacing w:before="115" w:line="189" w:lineRule="auto"/>
              <w:jc w:val="right"/>
              <w:rPr>
                <w:sz w:val="15"/>
                <w:szCs w:val="15"/>
              </w:rPr>
            </w:pPr>
            <w:r>
              <w:rPr>
                <w:sz w:val="15"/>
                <w:szCs w:val="15"/>
                <w:spacing w:val="-3"/>
              </w:rPr>
              <w:t>78</w:t>
            </w:r>
          </w:p>
        </w:tc>
        <w:tc>
          <w:tcPr>
            <w:tcW w:w="330" w:type="dxa"/>
            <w:vAlign w:val="top"/>
          </w:tcPr>
          <w:p>
            <w:pPr>
              <w:pStyle w:val="TableText"/>
              <w:spacing w:before="125" w:line="177" w:lineRule="auto"/>
              <w:jc w:val="right"/>
              <w:rPr>
                <w:sz w:val="15"/>
                <w:szCs w:val="15"/>
              </w:rPr>
            </w:pPr>
            <w:r>
              <w:rPr>
                <w:sz w:val="15"/>
                <w:szCs w:val="15"/>
                <w:spacing w:val="-4"/>
              </w:rPr>
              <w:t>86</w:t>
            </w:r>
          </w:p>
        </w:tc>
        <w:tc>
          <w:tcPr>
            <w:tcW w:w="309" w:type="dxa"/>
            <w:vAlign w:val="top"/>
          </w:tcPr>
          <w:p>
            <w:pPr>
              <w:pStyle w:val="TableText"/>
              <w:ind w:left="114"/>
              <w:spacing w:before="115" w:line="189" w:lineRule="auto"/>
              <w:rPr>
                <w:sz w:val="15"/>
                <w:szCs w:val="15"/>
              </w:rPr>
            </w:pPr>
            <w:r>
              <w:rPr>
                <w:sz w:val="15"/>
                <w:szCs w:val="15"/>
                <w:spacing w:val="-2"/>
              </w:rPr>
              <w:t>95</w:t>
            </w:r>
          </w:p>
        </w:tc>
        <w:tc>
          <w:tcPr>
            <w:tcW w:w="330" w:type="dxa"/>
            <w:vAlign w:val="top"/>
          </w:tcPr>
          <w:p>
            <w:pPr>
              <w:pStyle w:val="TableText"/>
              <w:ind w:right="11"/>
              <w:spacing w:before="115" w:line="189" w:lineRule="auto"/>
              <w:jc w:val="right"/>
              <w:rPr>
                <w:sz w:val="15"/>
                <w:szCs w:val="15"/>
              </w:rPr>
            </w:pPr>
            <w:r>
              <w:rPr>
                <w:sz w:val="15"/>
                <w:szCs w:val="15"/>
                <w:spacing w:val="-4"/>
              </w:rPr>
              <w:t>104</w:t>
            </w:r>
          </w:p>
        </w:tc>
        <w:tc>
          <w:tcPr>
            <w:tcW w:w="330" w:type="dxa"/>
            <w:vAlign w:val="top"/>
          </w:tcPr>
          <w:p>
            <w:pPr>
              <w:pStyle w:val="TableText"/>
              <w:ind w:left="74"/>
              <w:spacing w:before="115" w:line="189" w:lineRule="auto"/>
              <w:rPr>
                <w:sz w:val="15"/>
                <w:szCs w:val="15"/>
              </w:rPr>
            </w:pPr>
            <w:r>
              <w:rPr>
                <w:sz w:val="15"/>
                <w:szCs w:val="15"/>
                <w:spacing w:val="-4"/>
              </w:rPr>
              <w:t>112</w:t>
            </w:r>
          </w:p>
        </w:tc>
        <w:tc>
          <w:tcPr>
            <w:tcW w:w="319" w:type="dxa"/>
            <w:vAlign w:val="top"/>
          </w:tcPr>
          <w:p>
            <w:pPr>
              <w:pStyle w:val="TableText"/>
              <w:ind w:left="54"/>
              <w:spacing w:before="115" w:line="189" w:lineRule="auto"/>
              <w:rPr>
                <w:sz w:val="15"/>
                <w:szCs w:val="15"/>
              </w:rPr>
            </w:pPr>
            <w:r>
              <w:rPr>
                <w:sz w:val="15"/>
                <w:szCs w:val="15"/>
                <w:spacing w:val="-4"/>
              </w:rPr>
              <w:t>121</w:t>
            </w:r>
          </w:p>
        </w:tc>
        <w:tc>
          <w:tcPr>
            <w:tcW w:w="339" w:type="dxa"/>
            <w:vAlign w:val="top"/>
          </w:tcPr>
          <w:p>
            <w:pPr>
              <w:pStyle w:val="TableText"/>
              <w:ind w:left="45"/>
              <w:spacing w:before="125" w:line="177" w:lineRule="auto"/>
              <w:rPr>
                <w:sz w:val="15"/>
                <w:szCs w:val="15"/>
              </w:rPr>
            </w:pPr>
            <w:r>
              <w:rPr>
                <w:sz w:val="15"/>
                <w:szCs w:val="15"/>
                <w:spacing w:val="-4"/>
              </w:rPr>
              <w:t>130</w:t>
            </w:r>
          </w:p>
        </w:tc>
        <w:tc>
          <w:tcPr>
            <w:tcW w:w="320" w:type="dxa"/>
            <w:vAlign w:val="top"/>
          </w:tcPr>
          <w:p>
            <w:pPr>
              <w:pStyle w:val="TableText"/>
              <w:ind w:left="37"/>
              <w:spacing w:before="85" w:line="226" w:lineRule="auto"/>
              <w:rPr>
                <w:sz w:val="15"/>
                <w:szCs w:val="15"/>
              </w:rPr>
            </w:pPr>
            <w:r>
              <w:rPr>
                <w:sz w:val="15"/>
                <w:szCs w:val="15"/>
                <w:spacing w:val="-4"/>
              </w:rPr>
              <w:t>138</w:t>
            </w:r>
          </w:p>
        </w:tc>
        <w:tc>
          <w:tcPr>
            <w:tcW w:w="329" w:type="dxa"/>
            <w:vAlign w:val="top"/>
          </w:tcPr>
          <w:p>
            <w:pPr>
              <w:pStyle w:val="TableText"/>
              <w:ind w:left="47"/>
              <w:spacing w:before="85" w:line="226" w:lineRule="auto"/>
              <w:rPr>
                <w:sz w:val="15"/>
                <w:szCs w:val="15"/>
              </w:rPr>
            </w:pPr>
            <w:r>
              <w:rPr>
                <w:sz w:val="15"/>
                <w:szCs w:val="15"/>
                <w:spacing w:val="-4"/>
              </w:rPr>
              <w:t>147</w:t>
            </w:r>
          </w:p>
        </w:tc>
        <w:tc>
          <w:tcPr>
            <w:tcW w:w="340" w:type="dxa"/>
            <w:vAlign w:val="top"/>
          </w:tcPr>
          <w:p>
            <w:pPr>
              <w:pStyle w:val="TableText"/>
              <w:ind w:right="8"/>
              <w:spacing w:before="125" w:line="177" w:lineRule="auto"/>
              <w:jc w:val="right"/>
              <w:rPr>
                <w:sz w:val="15"/>
                <w:szCs w:val="15"/>
              </w:rPr>
            </w:pPr>
            <w:r>
              <w:rPr>
                <w:sz w:val="15"/>
                <w:szCs w:val="15"/>
                <w:spacing w:val="-4"/>
              </w:rPr>
              <w:t>155</w:t>
            </w:r>
          </w:p>
        </w:tc>
        <w:tc>
          <w:tcPr>
            <w:tcW w:w="329" w:type="dxa"/>
            <w:vAlign w:val="top"/>
          </w:tcPr>
          <w:p>
            <w:pPr>
              <w:pStyle w:val="TableText"/>
              <w:ind w:left="87"/>
              <w:spacing w:before="85" w:line="226" w:lineRule="auto"/>
              <w:rPr>
                <w:sz w:val="15"/>
                <w:szCs w:val="15"/>
              </w:rPr>
            </w:pPr>
            <w:r>
              <w:rPr>
                <w:sz w:val="15"/>
                <w:szCs w:val="15"/>
                <w:spacing w:val="-5"/>
              </w:rPr>
              <w:t>14</w:t>
            </w:r>
          </w:p>
        </w:tc>
        <w:tc>
          <w:tcPr>
            <w:tcW w:w="320" w:type="dxa"/>
            <w:vAlign w:val="top"/>
          </w:tcPr>
          <w:p>
            <w:pPr>
              <w:pStyle w:val="TableText"/>
              <w:ind w:left="38"/>
              <w:spacing w:before="85" w:line="226" w:lineRule="auto"/>
              <w:rPr>
                <w:sz w:val="15"/>
                <w:szCs w:val="15"/>
              </w:rPr>
            </w:pPr>
            <w:r>
              <w:rPr>
                <w:sz w:val="15"/>
                <w:szCs w:val="15"/>
                <w:spacing w:val="-4"/>
              </w:rPr>
              <w:t>173</w:t>
            </w:r>
          </w:p>
        </w:tc>
        <w:tc>
          <w:tcPr>
            <w:tcW w:w="330" w:type="dxa"/>
            <w:vAlign w:val="top"/>
          </w:tcPr>
          <w:p>
            <w:pPr>
              <w:pStyle w:val="TableText"/>
              <w:ind w:left="49"/>
              <w:spacing w:before="125" w:line="177" w:lineRule="auto"/>
              <w:rPr>
                <w:sz w:val="15"/>
                <w:szCs w:val="15"/>
              </w:rPr>
            </w:pPr>
            <w:r>
              <w:rPr>
                <w:sz w:val="15"/>
                <w:szCs w:val="15"/>
                <w:spacing w:val="-4"/>
              </w:rPr>
              <w:t>181</w:t>
            </w:r>
          </w:p>
        </w:tc>
        <w:tc>
          <w:tcPr>
            <w:tcW w:w="329" w:type="dxa"/>
            <w:vAlign w:val="top"/>
          </w:tcPr>
          <w:p>
            <w:pPr>
              <w:pStyle w:val="TableText"/>
              <w:ind w:left="49"/>
              <w:spacing w:before="125" w:line="177" w:lineRule="auto"/>
              <w:rPr>
                <w:sz w:val="15"/>
                <w:szCs w:val="15"/>
              </w:rPr>
            </w:pPr>
            <w:r>
              <w:rPr>
                <w:sz w:val="15"/>
                <w:szCs w:val="15"/>
                <w:spacing w:val="-4"/>
              </w:rPr>
              <w:t>190</w:t>
            </w:r>
          </w:p>
        </w:tc>
        <w:tc>
          <w:tcPr>
            <w:tcW w:w="330" w:type="dxa"/>
            <w:vAlign w:val="top"/>
          </w:tcPr>
          <w:p>
            <w:pPr>
              <w:pStyle w:val="TableText"/>
              <w:ind w:left="89"/>
              <w:spacing w:before="85" w:line="226" w:lineRule="auto"/>
              <w:rPr>
                <w:sz w:val="15"/>
                <w:szCs w:val="15"/>
              </w:rPr>
            </w:pPr>
            <w:r>
              <w:rPr>
                <w:sz w:val="15"/>
                <w:szCs w:val="15"/>
                <w:spacing w:val="-4"/>
              </w:rPr>
              <w:t>199</w:t>
            </w:r>
          </w:p>
        </w:tc>
        <w:tc>
          <w:tcPr>
            <w:tcW w:w="320" w:type="dxa"/>
            <w:vAlign w:val="top"/>
          </w:tcPr>
          <w:p>
            <w:pPr>
              <w:pStyle w:val="TableText"/>
              <w:ind w:left="39"/>
              <w:spacing w:before="85" w:line="226" w:lineRule="auto"/>
              <w:rPr>
                <w:sz w:val="15"/>
                <w:szCs w:val="15"/>
              </w:rPr>
            </w:pPr>
            <w:r>
              <w:rPr>
                <w:sz w:val="15"/>
                <w:szCs w:val="15"/>
                <w:spacing w:val="-2"/>
              </w:rPr>
              <w:t>207</w:t>
            </w:r>
          </w:p>
        </w:tc>
        <w:tc>
          <w:tcPr>
            <w:tcW w:w="344" w:type="dxa"/>
            <w:vAlign w:val="top"/>
          </w:tcPr>
          <w:p>
            <w:pPr>
              <w:pStyle w:val="TableText"/>
              <w:ind w:left="50"/>
              <w:spacing w:before="125" w:line="177" w:lineRule="auto"/>
              <w:rPr>
                <w:sz w:val="15"/>
                <w:szCs w:val="15"/>
              </w:rPr>
            </w:pPr>
            <w:r>
              <w:rPr>
                <w:sz w:val="15"/>
                <w:szCs w:val="15"/>
                <w:spacing w:val="-2"/>
              </w:rPr>
              <w:t>216</w:t>
            </w:r>
          </w:p>
        </w:tc>
      </w:tr>
      <w:tr>
        <w:trPr>
          <w:trHeight w:val="280" w:hRule="atLeast"/>
        </w:trPr>
        <w:tc>
          <w:tcPr>
            <w:tcW w:w="864" w:type="dxa"/>
            <w:vAlign w:val="top"/>
          </w:tcPr>
          <w:p>
            <w:pPr>
              <w:pStyle w:val="TableText"/>
              <w:ind w:right="7"/>
              <w:spacing w:before="86" w:line="226" w:lineRule="auto"/>
              <w:jc w:val="right"/>
              <w:rPr>
                <w:sz w:val="15"/>
                <w:szCs w:val="15"/>
              </w:rPr>
            </w:pPr>
            <w:r>
              <w:rPr>
                <w:sz w:val="15"/>
                <w:szCs w:val="15"/>
                <w:spacing w:val="-5"/>
              </w:rPr>
              <w:t>12</w:t>
            </w:r>
          </w:p>
        </w:tc>
        <w:tc>
          <w:tcPr>
            <w:tcW w:w="330" w:type="dxa"/>
            <w:vAlign w:val="top"/>
          </w:tcPr>
          <w:p>
            <w:pPr>
              <w:pStyle w:val="TableText"/>
              <w:ind w:left="81"/>
              <w:spacing w:before="116" w:line="189" w:lineRule="auto"/>
              <w:rPr>
                <w:sz w:val="15"/>
                <w:szCs w:val="15"/>
              </w:rPr>
            </w:pPr>
            <w:r>
              <w:rPr>
                <w:sz w:val="15"/>
                <w:szCs w:val="15"/>
                <w:spacing w:val="-2"/>
              </w:rPr>
              <w:t>9.4</w:t>
            </w:r>
          </w:p>
        </w:tc>
        <w:tc>
          <w:tcPr>
            <w:tcW w:w="319" w:type="dxa"/>
            <w:vAlign w:val="top"/>
          </w:tcPr>
          <w:p>
            <w:pPr>
              <w:pStyle w:val="TableText"/>
              <w:ind w:left="11"/>
              <w:spacing w:before="116" w:line="189" w:lineRule="auto"/>
              <w:rPr>
                <w:sz w:val="15"/>
                <w:szCs w:val="15"/>
              </w:rPr>
            </w:pPr>
            <w:r>
              <w:rPr>
                <w:sz w:val="15"/>
                <w:szCs w:val="15"/>
                <w:spacing w:val="-4"/>
              </w:rPr>
              <w:t>18.8</w:t>
            </w:r>
          </w:p>
        </w:tc>
        <w:tc>
          <w:tcPr>
            <w:tcW w:w="329" w:type="dxa"/>
            <w:vAlign w:val="top"/>
          </w:tcPr>
          <w:p>
            <w:pPr>
              <w:pStyle w:val="TableText"/>
              <w:ind w:left="131"/>
              <w:spacing w:before="86" w:line="226" w:lineRule="auto"/>
              <w:rPr>
                <w:sz w:val="15"/>
                <w:szCs w:val="15"/>
              </w:rPr>
            </w:pPr>
            <w:r>
              <w:rPr>
                <w:sz w:val="15"/>
                <w:szCs w:val="15"/>
                <w:spacing w:val="-2"/>
              </w:rPr>
              <w:t>28</w:t>
            </w:r>
          </w:p>
        </w:tc>
        <w:tc>
          <w:tcPr>
            <w:tcW w:w="330" w:type="dxa"/>
            <w:vAlign w:val="top"/>
          </w:tcPr>
          <w:p>
            <w:pPr>
              <w:pStyle w:val="TableText"/>
              <w:ind w:right="1"/>
              <w:spacing w:before="116" w:line="189" w:lineRule="auto"/>
              <w:jc w:val="right"/>
              <w:rPr>
                <w:sz w:val="15"/>
                <w:szCs w:val="15"/>
              </w:rPr>
            </w:pPr>
            <w:r>
              <w:rPr>
                <w:sz w:val="15"/>
                <w:szCs w:val="15"/>
                <w:spacing w:val="-3"/>
              </w:rPr>
              <w:t>38</w:t>
            </w:r>
          </w:p>
        </w:tc>
        <w:tc>
          <w:tcPr>
            <w:tcW w:w="330" w:type="dxa"/>
            <w:vAlign w:val="top"/>
          </w:tcPr>
          <w:p>
            <w:pPr>
              <w:pStyle w:val="TableText"/>
              <w:spacing w:before="86" w:line="226" w:lineRule="auto"/>
              <w:jc w:val="right"/>
              <w:rPr>
                <w:sz w:val="15"/>
                <w:szCs w:val="15"/>
              </w:rPr>
            </w:pPr>
            <w:r>
              <w:rPr>
                <w:sz w:val="15"/>
                <w:szCs w:val="15"/>
                <w:spacing w:val="-3"/>
              </w:rPr>
              <w:t>47</w:t>
            </w:r>
          </w:p>
        </w:tc>
        <w:tc>
          <w:tcPr>
            <w:tcW w:w="330" w:type="dxa"/>
            <w:vAlign w:val="top"/>
          </w:tcPr>
          <w:p>
            <w:pPr>
              <w:pStyle w:val="TableText"/>
              <w:ind w:right="11"/>
              <w:spacing w:before="86" w:line="226" w:lineRule="auto"/>
              <w:jc w:val="right"/>
              <w:rPr>
                <w:sz w:val="15"/>
                <w:szCs w:val="15"/>
              </w:rPr>
            </w:pPr>
            <w:r>
              <w:rPr>
                <w:sz w:val="15"/>
                <w:szCs w:val="15"/>
                <w:spacing w:val="-3"/>
              </w:rPr>
              <w:t>57</w:t>
            </w:r>
          </w:p>
        </w:tc>
        <w:tc>
          <w:tcPr>
            <w:tcW w:w="329" w:type="dxa"/>
            <w:vAlign w:val="top"/>
          </w:tcPr>
          <w:p>
            <w:pPr>
              <w:pStyle w:val="TableText"/>
              <w:ind w:right="9"/>
              <w:spacing w:before="116" w:line="189" w:lineRule="auto"/>
              <w:jc w:val="right"/>
              <w:rPr>
                <w:sz w:val="15"/>
                <w:szCs w:val="15"/>
              </w:rPr>
            </w:pPr>
            <w:r>
              <w:rPr>
                <w:sz w:val="15"/>
                <w:szCs w:val="15"/>
                <w:spacing w:val="-2"/>
              </w:rPr>
              <w:t>66</w:t>
            </w:r>
          </w:p>
        </w:tc>
        <w:tc>
          <w:tcPr>
            <w:tcW w:w="330" w:type="dxa"/>
            <w:vAlign w:val="top"/>
          </w:tcPr>
          <w:p>
            <w:pPr>
              <w:pStyle w:val="TableText"/>
              <w:ind w:left="143"/>
              <w:spacing w:before="86" w:line="226" w:lineRule="auto"/>
              <w:rPr>
                <w:sz w:val="15"/>
                <w:szCs w:val="15"/>
              </w:rPr>
            </w:pPr>
            <w:r>
              <w:rPr>
                <w:sz w:val="15"/>
                <w:szCs w:val="15"/>
                <w:spacing w:val="-3"/>
              </w:rPr>
              <w:t>75</w:t>
            </w:r>
          </w:p>
        </w:tc>
        <w:tc>
          <w:tcPr>
            <w:tcW w:w="330" w:type="dxa"/>
            <w:vAlign w:val="top"/>
          </w:tcPr>
          <w:p>
            <w:pPr>
              <w:pStyle w:val="TableText"/>
              <w:spacing w:before="116" w:line="189" w:lineRule="auto"/>
              <w:jc w:val="right"/>
              <w:rPr>
                <w:sz w:val="15"/>
                <w:szCs w:val="15"/>
              </w:rPr>
            </w:pPr>
            <w:r>
              <w:rPr>
                <w:sz w:val="15"/>
                <w:szCs w:val="15"/>
                <w:spacing w:val="-4"/>
              </w:rPr>
              <w:t>85</w:t>
            </w:r>
          </w:p>
        </w:tc>
        <w:tc>
          <w:tcPr>
            <w:tcW w:w="330" w:type="dxa"/>
            <w:vAlign w:val="top"/>
          </w:tcPr>
          <w:p>
            <w:pPr>
              <w:pStyle w:val="TableText"/>
              <w:spacing w:before="116" w:line="189" w:lineRule="auto"/>
              <w:jc w:val="right"/>
              <w:rPr>
                <w:sz w:val="15"/>
                <w:szCs w:val="15"/>
              </w:rPr>
            </w:pPr>
            <w:r>
              <w:rPr>
                <w:sz w:val="15"/>
                <w:szCs w:val="15"/>
                <w:spacing w:val="-4"/>
              </w:rPr>
              <w:t>94</w:t>
            </w:r>
          </w:p>
        </w:tc>
        <w:tc>
          <w:tcPr>
            <w:tcW w:w="309" w:type="dxa"/>
            <w:vAlign w:val="top"/>
          </w:tcPr>
          <w:p>
            <w:pPr>
              <w:pStyle w:val="TableText"/>
              <w:ind w:left="33"/>
              <w:spacing w:before="86" w:line="226" w:lineRule="auto"/>
              <w:rPr>
                <w:sz w:val="15"/>
                <w:szCs w:val="15"/>
              </w:rPr>
            </w:pPr>
            <w:r>
              <w:rPr>
                <w:sz w:val="15"/>
                <w:szCs w:val="15"/>
                <w:spacing w:val="-4"/>
              </w:rPr>
              <w:t>104</w:t>
            </w:r>
          </w:p>
        </w:tc>
        <w:tc>
          <w:tcPr>
            <w:tcW w:w="330" w:type="dxa"/>
            <w:vAlign w:val="top"/>
          </w:tcPr>
          <w:p>
            <w:pPr>
              <w:pStyle w:val="TableText"/>
              <w:ind w:left="65"/>
              <w:spacing w:before="116" w:line="189" w:lineRule="auto"/>
              <w:rPr>
                <w:sz w:val="15"/>
                <w:szCs w:val="15"/>
              </w:rPr>
            </w:pPr>
            <w:r>
              <w:rPr>
                <w:sz w:val="15"/>
                <w:szCs w:val="15"/>
                <w:spacing w:val="-4"/>
              </w:rPr>
              <w:t>113</w:t>
            </w:r>
          </w:p>
        </w:tc>
        <w:tc>
          <w:tcPr>
            <w:tcW w:w="330" w:type="dxa"/>
            <w:vAlign w:val="top"/>
          </w:tcPr>
          <w:p>
            <w:pPr>
              <w:pStyle w:val="TableText"/>
              <w:ind w:left="74"/>
              <w:spacing w:before="116" w:line="189" w:lineRule="auto"/>
              <w:rPr>
                <w:sz w:val="15"/>
                <w:szCs w:val="15"/>
              </w:rPr>
            </w:pPr>
            <w:r>
              <w:rPr>
                <w:sz w:val="15"/>
                <w:szCs w:val="15"/>
                <w:spacing w:val="-4"/>
              </w:rPr>
              <w:t>122</w:t>
            </w:r>
          </w:p>
        </w:tc>
        <w:tc>
          <w:tcPr>
            <w:tcW w:w="319" w:type="dxa"/>
            <w:vAlign w:val="top"/>
          </w:tcPr>
          <w:p>
            <w:pPr>
              <w:pStyle w:val="TableText"/>
              <w:ind w:left="54"/>
              <w:spacing w:before="126" w:line="177" w:lineRule="auto"/>
              <w:rPr>
                <w:sz w:val="15"/>
                <w:szCs w:val="15"/>
              </w:rPr>
            </w:pPr>
            <w:r>
              <w:rPr>
                <w:sz w:val="15"/>
                <w:szCs w:val="15"/>
                <w:spacing w:val="-4"/>
              </w:rPr>
              <w:t>132</w:t>
            </w:r>
          </w:p>
        </w:tc>
        <w:tc>
          <w:tcPr>
            <w:tcW w:w="339" w:type="dxa"/>
            <w:vAlign w:val="top"/>
          </w:tcPr>
          <w:p>
            <w:pPr>
              <w:pStyle w:val="TableText"/>
              <w:ind w:left="45"/>
              <w:spacing w:before="126" w:line="177" w:lineRule="auto"/>
              <w:rPr>
                <w:sz w:val="15"/>
                <w:szCs w:val="15"/>
              </w:rPr>
            </w:pPr>
            <w:r>
              <w:rPr>
                <w:sz w:val="15"/>
                <w:szCs w:val="15"/>
                <w:spacing w:val="-4"/>
              </w:rPr>
              <w:t>141</w:t>
            </w:r>
          </w:p>
        </w:tc>
        <w:tc>
          <w:tcPr>
            <w:tcW w:w="320" w:type="dxa"/>
            <w:vAlign w:val="top"/>
          </w:tcPr>
          <w:p>
            <w:pPr>
              <w:pStyle w:val="TableText"/>
              <w:ind w:left="37"/>
              <w:spacing w:before="86" w:line="226" w:lineRule="auto"/>
              <w:rPr>
                <w:sz w:val="15"/>
                <w:szCs w:val="15"/>
              </w:rPr>
            </w:pPr>
            <w:r>
              <w:rPr>
                <w:sz w:val="15"/>
                <w:szCs w:val="15"/>
                <w:spacing w:val="-4"/>
              </w:rPr>
              <w:t>151</w:t>
            </w:r>
          </w:p>
        </w:tc>
        <w:tc>
          <w:tcPr>
            <w:tcW w:w="329" w:type="dxa"/>
            <w:vAlign w:val="top"/>
          </w:tcPr>
          <w:p>
            <w:pPr>
              <w:pStyle w:val="TableText"/>
              <w:ind w:left="47"/>
              <w:spacing w:before="126" w:line="177" w:lineRule="auto"/>
              <w:rPr>
                <w:sz w:val="15"/>
                <w:szCs w:val="15"/>
              </w:rPr>
            </w:pPr>
            <w:r>
              <w:rPr>
                <w:sz w:val="15"/>
                <w:szCs w:val="15"/>
                <w:spacing w:val="-4"/>
              </w:rPr>
              <w:t>160</w:t>
            </w:r>
          </w:p>
        </w:tc>
        <w:tc>
          <w:tcPr>
            <w:tcW w:w="340" w:type="dxa"/>
            <w:vAlign w:val="top"/>
          </w:tcPr>
          <w:p>
            <w:pPr>
              <w:pStyle w:val="TableText"/>
              <w:ind w:left="67"/>
              <w:spacing w:before="96" w:line="214" w:lineRule="auto"/>
              <w:rPr>
                <w:sz w:val="15"/>
                <w:szCs w:val="15"/>
              </w:rPr>
            </w:pPr>
            <w:r>
              <w:rPr>
                <w:sz w:val="15"/>
                <w:szCs w:val="15"/>
                <w:spacing w:val="-4"/>
              </w:rPr>
              <w:t>170</w:t>
            </w:r>
          </w:p>
        </w:tc>
        <w:tc>
          <w:tcPr>
            <w:tcW w:w="329" w:type="dxa"/>
            <w:vAlign w:val="top"/>
          </w:tcPr>
          <w:p>
            <w:pPr>
              <w:pStyle w:val="TableText"/>
              <w:ind w:left="48"/>
              <w:spacing w:before="116" w:line="189" w:lineRule="auto"/>
              <w:rPr>
                <w:sz w:val="15"/>
                <w:szCs w:val="15"/>
              </w:rPr>
            </w:pPr>
            <w:r>
              <w:rPr>
                <w:sz w:val="15"/>
                <w:szCs w:val="15"/>
                <w:spacing w:val="-4"/>
              </w:rPr>
              <w:t>179</w:t>
            </w:r>
          </w:p>
        </w:tc>
        <w:tc>
          <w:tcPr>
            <w:tcW w:w="320" w:type="dxa"/>
            <w:vAlign w:val="top"/>
          </w:tcPr>
          <w:p>
            <w:pPr>
              <w:pStyle w:val="TableText"/>
              <w:ind w:left="38"/>
              <w:spacing w:before="96" w:line="214" w:lineRule="auto"/>
              <w:rPr>
                <w:sz w:val="15"/>
                <w:szCs w:val="15"/>
              </w:rPr>
            </w:pPr>
            <w:r>
              <w:rPr>
                <w:sz w:val="15"/>
                <w:szCs w:val="15"/>
                <w:spacing w:val="-4"/>
              </w:rPr>
              <w:t>188</w:t>
            </w:r>
          </w:p>
        </w:tc>
        <w:tc>
          <w:tcPr>
            <w:tcW w:w="330" w:type="dxa"/>
            <w:vAlign w:val="top"/>
          </w:tcPr>
          <w:p>
            <w:pPr>
              <w:pStyle w:val="TableText"/>
              <w:ind w:left="49"/>
              <w:spacing w:before="126" w:line="177" w:lineRule="auto"/>
              <w:rPr>
                <w:sz w:val="15"/>
                <w:szCs w:val="15"/>
              </w:rPr>
            </w:pPr>
            <w:r>
              <w:rPr>
                <w:sz w:val="15"/>
                <w:szCs w:val="15"/>
                <w:spacing w:val="-4"/>
              </w:rPr>
              <w:t>198</w:t>
            </w:r>
          </w:p>
        </w:tc>
        <w:tc>
          <w:tcPr>
            <w:tcW w:w="329" w:type="dxa"/>
            <w:vAlign w:val="top"/>
          </w:tcPr>
          <w:p>
            <w:pPr>
              <w:pStyle w:val="TableText"/>
              <w:ind w:left="49"/>
              <w:spacing w:before="86" w:line="226" w:lineRule="auto"/>
              <w:rPr>
                <w:sz w:val="15"/>
                <w:szCs w:val="15"/>
              </w:rPr>
            </w:pPr>
            <w:r>
              <w:rPr>
                <w:sz w:val="15"/>
                <w:szCs w:val="15"/>
                <w:spacing w:val="-2"/>
              </w:rPr>
              <w:t>207</w:t>
            </w:r>
          </w:p>
        </w:tc>
        <w:tc>
          <w:tcPr>
            <w:tcW w:w="330" w:type="dxa"/>
            <w:vAlign w:val="top"/>
          </w:tcPr>
          <w:p>
            <w:pPr>
              <w:pStyle w:val="TableText"/>
              <w:ind w:left="49"/>
              <w:spacing w:before="105" w:line="202" w:lineRule="auto"/>
              <w:rPr>
                <w:sz w:val="15"/>
                <w:szCs w:val="15"/>
              </w:rPr>
            </w:pPr>
            <w:r>
              <w:rPr>
                <w:sz w:val="15"/>
                <w:szCs w:val="15"/>
                <w:spacing w:val="-2"/>
              </w:rPr>
              <w:t>217</w:t>
            </w:r>
          </w:p>
        </w:tc>
        <w:tc>
          <w:tcPr>
            <w:tcW w:w="320" w:type="dxa"/>
            <w:vAlign w:val="top"/>
          </w:tcPr>
          <w:p>
            <w:pPr>
              <w:pStyle w:val="TableText"/>
              <w:ind w:left="39"/>
              <w:spacing w:before="86" w:line="226" w:lineRule="auto"/>
              <w:rPr>
                <w:sz w:val="15"/>
                <w:szCs w:val="15"/>
              </w:rPr>
            </w:pPr>
            <w:r>
              <w:rPr>
                <w:sz w:val="15"/>
                <w:szCs w:val="15"/>
                <w:spacing w:val="-2"/>
              </w:rPr>
              <w:t>226</w:t>
            </w:r>
          </w:p>
        </w:tc>
        <w:tc>
          <w:tcPr>
            <w:tcW w:w="344" w:type="dxa"/>
            <w:vAlign w:val="top"/>
          </w:tcPr>
          <w:p>
            <w:pPr>
              <w:pStyle w:val="TableText"/>
              <w:ind w:left="50"/>
              <w:spacing w:before="126" w:line="177" w:lineRule="auto"/>
              <w:rPr>
                <w:sz w:val="15"/>
                <w:szCs w:val="15"/>
              </w:rPr>
            </w:pPr>
            <w:r>
              <w:rPr>
                <w:sz w:val="15"/>
                <w:szCs w:val="15"/>
                <w:spacing w:val="-2"/>
              </w:rPr>
              <w:t>236</w:t>
            </w:r>
          </w:p>
        </w:tc>
      </w:tr>
      <w:tr>
        <w:trPr>
          <w:trHeight w:val="270" w:hRule="atLeast"/>
        </w:trPr>
        <w:tc>
          <w:tcPr>
            <w:tcW w:w="864" w:type="dxa"/>
            <w:vAlign w:val="top"/>
          </w:tcPr>
          <w:p>
            <w:pPr>
              <w:pStyle w:val="TableText"/>
              <w:ind w:right="7"/>
              <w:spacing w:before="125" w:line="165" w:lineRule="auto"/>
              <w:jc w:val="right"/>
              <w:rPr>
                <w:sz w:val="15"/>
                <w:szCs w:val="15"/>
              </w:rPr>
            </w:pPr>
            <w:r>
              <w:rPr>
                <w:sz w:val="15"/>
                <w:szCs w:val="15"/>
                <w:spacing w:val="-5"/>
              </w:rPr>
              <w:t>13</w:t>
            </w:r>
          </w:p>
        </w:tc>
        <w:tc>
          <w:tcPr>
            <w:tcW w:w="330" w:type="dxa"/>
            <w:vAlign w:val="top"/>
          </w:tcPr>
          <w:p>
            <w:pPr>
              <w:pStyle w:val="TableText"/>
              <w:ind w:left="20"/>
              <w:spacing w:before="116" w:line="177" w:lineRule="auto"/>
              <w:rPr>
                <w:sz w:val="15"/>
                <w:szCs w:val="15"/>
              </w:rPr>
            </w:pPr>
            <w:r>
              <w:rPr>
                <w:sz w:val="15"/>
                <w:szCs w:val="15"/>
                <w:spacing w:val="-4"/>
              </w:rPr>
              <w:t>10.2</w:t>
            </w:r>
          </w:p>
        </w:tc>
        <w:tc>
          <w:tcPr>
            <w:tcW w:w="319" w:type="dxa"/>
            <w:vAlign w:val="top"/>
          </w:tcPr>
          <w:p>
            <w:pPr>
              <w:pStyle w:val="TableText"/>
              <w:ind w:left="11"/>
              <w:spacing w:before="116" w:line="177" w:lineRule="auto"/>
              <w:rPr>
                <w:sz w:val="15"/>
                <w:szCs w:val="15"/>
              </w:rPr>
            </w:pPr>
            <w:r>
              <w:rPr>
                <w:sz w:val="15"/>
                <w:szCs w:val="15"/>
                <w:spacing w:val="-2"/>
              </w:rPr>
              <w:t>20.4</w:t>
            </w:r>
          </w:p>
        </w:tc>
        <w:tc>
          <w:tcPr>
            <w:tcW w:w="329" w:type="dxa"/>
            <w:vAlign w:val="top"/>
          </w:tcPr>
          <w:p>
            <w:pPr>
              <w:pStyle w:val="TableText"/>
              <w:ind w:left="131"/>
              <w:spacing w:before="86" w:line="214" w:lineRule="auto"/>
              <w:rPr>
                <w:sz w:val="15"/>
                <w:szCs w:val="15"/>
              </w:rPr>
            </w:pPr>
            <w:r>
              <w:rPr>
                <w:sz w:val="15"/>
                <w:szCs w:val="15"/>
                <w:spacing w:val="-3"/>
              </w:rPr>
              <w:t>31</w:t>
            </w:r>
          </w:p>
        </w:tc>
        <w:tc>
          <w:tcPr>
            <w:tcW w:w="330" w:type="dxa"/>
            <w:vAlign w:val="top"/>
          </w:tcPr>
          <w:p>
            <w:pPr>
              <w:pStyle w:val="TableText"/>
              <w:spacing w:before="116" w:line="177" w:lineRule="auto"/>
              <w:jc w:val="right"/>
              <w:rPr>
                <w:sz w:val="15"/>
                <w:szCs w:val="15"/>
              </w:rPr>
            </w:pPr>
            <w:r>
              <w:rPr>
                <w:sz w:val="15"/>
                <w:szCs w:val="15"/>
                <w:spacing w:val="-3"/>
              </w:rPr>
              <w:t>41</w:t>
            </w:r>
          </w:p>
        </w:tc>
        <w:tc>
          <w:tcPr>
            <w:tcW w:w="330" w:type="dxa"/>
            <w:vAlign w:val="top"/>
          </w:tcPr>
          <w:p>
            <w:pPr>
              <w:pStyle w:val="TableText"/>
              <w:ind w:right="1"/>
              <w:spacing w:before="86" w:line="214" w:lineRule="auto"/>
              <w:jc w:val="right"/>
              <w:rPr>
                <w:sz w:val="15"/>
                <w:szCs w:val="15"/>
              </w:rPr>
            </w:pPr>
            <w:r>
              <w:rPr>
                <w:sz w:val="15"/>
                <w:szCs w:val="15"/>
                <w:spacing w:val="-3"/>
              </w:rPr>
              <w:t>51</w:t>
            </w:r>
          </w:p>
        </w:tc>
        <w:tc>
          <w:tcPr>
            <w:tcW w:w="330" w:type="dxa"/>
            <w:vAlign w:val="top"/>
          </w:tcPr>
          <w:p>
            <w:pPr>
              <w:pStyle w:val="TableText"/>
              <w:ind w:right="10"/>
              <w:spacing w:before="116" w:line="177" w:lineRule="auto"/>
              <w:jc w:val="right"/>
              <w:rPr>
                <w:sz w:val="15"/>
                <w:szCs w:val="15"/>
              </w:rPr>
            </w:pPr>
            <w:r>
              <w:rPr>
                <w:sz w:val="15"/>
                <w:szCs w:val="15"/>
                <w:spacing w:val="-2"/>
              </w:rPr>
              <w:t>61</w:t>
            </w:r>
          </w:p>
        </w:tc>
        <w:tc>
          <w:tcPr>
            <w:tcW w:w="329" w:type="dxa"/>
            <w:vAlign w:val="top"/>
          </w:tcPr>
          <w:p>
            <w:pPr>
              <w:pStyle w:val="TableText"/>
              <w:ind w:right="10"/>
              <w:spacing w:before="116" w:line="177" w:lineRule="auto"/>
              <w:jc w:val="right"/>
              <w:rPr>
                <w:sz w:val="15"/>
                <w:szCs w:val="15"/>
              </w:rPr>
            </w:pPr>
            <w:r>
              <w:rPr>
                <w:sz w:val="15"/>
                <w:szCs w:val="15"/>
                <w:spacing w:val="-3"/>
              </w:rPr>
              <w:t>71</w:t>
            </w:r>
          </w:p>
        </w:tc>
        <w:tc>
          <w:tcPr>
            <w:tcW w:w="330" w:type="dxa"/>
            <w:vAlign w:val="top"/>
          </w:tcPr>
          <w:p>
            <w:pPr>
              <w:pStyle w:val="TableText"/>
              <w:ind w:right="9"/>
              <w:spacing w:before="116" w:line="177" w:lineRule="auto"/>
              <w:jc w:val="right"/>
              <w:rPr>
                <w:sz w:val="15"/>
                <w:szCs w:val="15"/>
              </w:rPr>
            </w:pPr>
            <w:r>
              <w:rPr>
                <w:sz w:val="15"/>
                <w:szCs w:val="15"/>
                <w:spacing w:val="-2"/>
              </w:rPr>
              <w:t>82</w:t>
            </w:r>
          </w:p>
        </w:tc>
        <w:tc>
          <w:tcPr>
            <w:tcW w:w="330" w:type="dxa"/>
            <w:vAlign w:val="top"/>
          </w:tcPr>
          <w:p>
            <w:pPr>
              <w:pStyle w:val="TableText"/>
              <w:spacing w:before="116" w:line="177" w:lineRule="auto"/>
              <w:jc w:val="right"/>
              <w:rPr>
                <w:sz w:val="15"/>
                <w:szCs w:val="15"/>
              </w:rPr>
            </w:pPr>
            <w:r>
              <w:rPr>
                <w:sz w:val="15"/>
                <w:szCs w:val="15"/>
                <w:spacing w:val="-4"/>
              </w:rPr>
              <w:t>92</w:t>
            </w:r>
          </w:p>
        </w:tc>
        <w:tc>
          <w:tcPr>
            <w:tcW w:w="330" w:type="dxa"/>
            <w:vAlign w:val="top"/>
          </w:tcPr>
          <w:p>
            <w:pPr>
              <w:pStyle w:val="TableText"/>
              <w:ind w:left="64"/>
              <w:spacing w:before="116" w:line="177" w:lineRule="auto"/>
              <w:rPr>
                <w:sz w:val="15"/>
                <w:szCs w:val="15"/>
              </w:rPr>
            </w:pPr>
            <w:r>
              <w:rPr>
                <w:sz w:val="15"/>
                <w:szCs w:val="15"/>
                <w:spacing w:val="-4"/>
              </w:rPr>
              <w:t>102</w:t>
            </w:r>
          </w:p>
        </w:tc>
        <w:tc>
          <w:tcPr>
            <w:tcW w:w="309" w:type="dxa"/>
            <w:vAlign w:val="top"/>
          </w:tcPr>
          <w:p>
            <w:pPr>
              <w:pStyle w:val="TableText"/>
              <w:ind w:left="33"/>
              <w:spacing w:before="116" w:line="177" w:lineRule="auto"/>
              <w:rPr>
                <w:sz w:val="15"/>
                <w:szCs w:val="15"/>
              </w:rPr>
            </w:pPr>
            <w:r>
              <w:rPr>
                <w:sz w:val="15"/>
                <w:szCs w:val="15"/>
                <w:spacing w:val="-4"/>
              </w:rPr>
              <w:t>112</w:t>
            </w:r>
          </w:p>
        </w:tc>
        <w:tc>
          <w:tcPr>
            <w:tcW w:w="330" w:type="dxa"/>
            <w:vAlign w:val="top"/>
          </w:tcPr>
          <w:p>
            <w:pPr>
              <w:pStyle w:val="TableText"/>
              <w:ind w:left="74"/>
              <w:spacing w:before="116" w:line="177" w:lineRule="auto"/>
              <w:rPr>
                <w:sz w:val="15"/>
                <w:szCs w:val="15"/>
              </w:rPr>
            </w:pPr>
            <w:r>
              <w:rPr>
                <w:sz w:val="15"/>
                <w:szCs w:val="15"/>
                <w:spacing w:val="-4"/>
              </w:rPr>
              <w:t>122</w:t>
            </w:r>
          </w:p>
        </w:tc>
        <w:tc>
          <w:tcPr>
            <w:tcW w:w="330" w:type="dxa"/>
            <w:vAlign w:val="top"/>
          </w:tcPr>
          <w:p>
            <w:pPr>
              <w:pStyle w:val="TableText"/>
              <w:ind w:left="74"/>
              <w:spacing w:before="116" w:line="177" w:lineRule="auto"/>
              <w:rPr>
                <w:sz w:val="15"/>
                <w:szCs w:val="15"/>
              </w:rPr>
            </w:pPr>
            <w:r>
              <w:rPr>
                <w:sz w:val="15"/>
                <w:szCs w:val="15"/>
                <w:spacing w:val="-4"/>
              </w:rPr>
              <w:t>133</w:t>
            </w:r>
          </w:p>
        </w:tc>
        <w:tc>
          <w:tcPr>
            <w:tcW w:w="319" w:type="dxa"/>
            <w:vAlign w:val="top"/>
          </w:tcPr>
          <w:p>
            <w:pPr>
              <w:pStyle w:val="TableText"/>
              <w:ind w:left="54"/>
              <w:spacing w:before="116" w:line="177" w:lineRule="auto"/>
              <w:rPr>
                <w:sz w:val="15"/>
                <w:szCs w:val="15"/>
              </w:rPr>
            </w:pPr>
            <w:r>
              <w:rPr>
                <w:sz w:val="15"/>
                <w:szCs w:val="15"/>
                <w:spacing w:val="-4"/>
              </w:rPr>
              <w:t>143</w:t>
            </w:r>
          </w:p>
        </w:tc>
        <w:tc>
          <w:tcPr>
            <w:tcW w:w="339" w:type="dxa"/>
            <w:vAlign w:val="top"/>
          </w:tcPr>
          <w:p>
            <w:pPr>
              <w:pStyle w:val="TableText"/>
              <w:ind w:left="45"/>
              <w:spacing w:before="116" w:line="177" w:lineRule="auto"/>
              <w:rPr>
                <w:sz w:val="15"/>
                <w:szCs w:val="15"/>
              </w:rPr>
            </w:pPr>
            <w:r>
              <w:rPr>
                <w:sz w:val="15"/>
                <w:szCs w:val="15"/>
                <w:spacing w:val="-4"/>
              </w:rPr>
              <w:t>153</w:t>
            </w:r>
          </w:p>
        </w:tc>
        <w:tc>
          <w:tcPr>
            <w:tcW w:w="320" w:type="dxa"/>
            <w:vAlign w:val="top"/>
          </w:tcPr>
          <w:p>
            <w:pPr>
              <w:pStyle w:val="TableText"/>
              <w:ind w:left="37"/>
              <w:spacing w:before="116" w:line="177" w:lineRule="auto"/>
              <w:rPr>
                <w:sz w:val="15"/>
                <w:szCs w:val="15"/>
              </w:rPr>
            </w:pPr>
            <w:r>
              <w:rPr>
                <w:sz w:val="15"/>
                <w:szCs w:val="15"/>
                <w:spacing w:val="-4"/>
              </w:rPr>
              <w:t>163</w:t>
            </w:r>
          </w:p>
        </w:tc>
        <w:tc>
          <w:tcPr>
            <w:tcW w:w="329" w:type="dxa"/>
            <w:vAlign w:val="top"/>
          </w:tcPr>
          <w:p>
            <w:pPr>
              <w:pStyle w:val="TableText"/>
              <w:ind w:left="47"/>
              <w:spacing w:before="116" w:line="177" w:lineRule="auto"/>
              <w:rPr>
                <w:sz w:val="15"/>
                <w:szCs w:val="15"/>
              </w:rPr>
            </w:pPr>
            <w:r>
              <w:rPr>
                <w:sz w:val="15"/>
                <w:szCs w:val="15"/>
                <w:spacing w:val="-4"/>
              </w:rPr>
              <w:t>173</w:t>
            </w:r>
          </w:p>
        </w:tc>
        <w:tc>
          <w:tcPr>
            <w:tcW w:w="340" w:type="dxa"/>
            <w:vAlign w:val="top"/>
          </w:tcPr>
          <w:p>
            <w:pPr>
              <w:pStyle w:val="TableText"/>
              <w:ind w:left="78"/>
              <w:spacing w:before="116" w:line="177" w:lineRule="auto"/>
              <w:rPr>
                <w:sz w:val="15"/>
                <w:szCs w:val="15"/>
              </w:rPr>
            </w:pPr>
            <w:r>
              <w:rPr>
                <w:sz w:val="15"/>
                <w:szCs w:val="15"/>
                <w:spacing w:val="-4"/>
              </w:rPr>
              <w:t>184</w:t>
            </w:r>
          </w:p>
        </w:tc>
        <w:tc>
          <w:tcPr>
            <w:tcW w:w="329" w:type="dxa"/>
            <w:vAlign w:val="top"/>
          </w:tcPr>
          <w:p>
            <w:pPr>
              <w:pStyle w:val="TableText"/>
              <w:ind w:left="48"/>
              <w:spacing w:before="116" w:line="177" w:lineRule="auto"/>
              <w:rPr>
                <w:sz w:val="15"/>
                <w:szCs w:val="15"/>
              </w:rPr>
            </w:pPr>
            <w:r>
              <w:rPr>
                <w:sz w:val="15"/>
                <w:szCs w:val="15"/>
                <w:spacing w:val="-4"/>
              </w:rPr>
              <w:t>194</w:t>
            </w:r>
          </w:p>
        </w:tc>
        <w:tc>
          <w:tcPr>
            <w:tcW w:w="320" w:type="dxa"/>
            <w:vAlign w:val="top"/>
          </w:tcPr>
          <w:p>
            <w:pPr>
              <w:pStyle w:val="TableText"/>
              <w:ind w:left="38"/>
              <w:spacing w:before="116" w:line="177" w:lineRule="auto"/>
              <w:rPr>
                <w:sz w:val="15"/>
                <w:szCs w:val="15"/>
              </w:rPr>
            </w:pPr>
            <w:r>
              <w:rPr>
                <w:sz w:val="15"/>
                <w:szCs w:val="15"/>
                <w:spacing w:val="-2"/>
              </w:rPr>
              <w:t>204</w:t>
            </w:r>
          </w:p>
        </w:tc>
        <w:tc>
          <w:tcPr>
            <w:tcW w:w="330" w:type="dxa"/>
            <w:vAlign w:val="top"/>
          </w:tcPr>
          <w:p>
            <w:pPr>
              <w:pStyle w:val="TableText"/>
              <w:ind w:left="49"/>
              <w:spacing w:before="106" w:line="189" w:lineRule="auto"/>
              <w:rPr>
                <w:sz w:val="15"/>
                <w:szCs w:val="15"/>
              </w:rPr>
            </w:pPr>
            <w:r>
              <w:rPr>
                <w:sz w:val="15"/>
                <w:szCs w:val="15"/>
                <w:spacing w:val="-2"/>
              </w:rPr>
              <w:t>214</w:t>
            </w:r>
          </w:p>
        </w:tc>
        <w:tc>
          <w:tcPr>
            <w:tcW w:w="329" w:type="dxa"/>
            <w:vAlign w:val="top"/>
          </w:tcPr>
          <w:p>
            <w:pPr>
              <w:pStyle w:val="TableText"/>
              <w:ind w:left="49"/>
              <w:spacing w:before="116" w:line="177" w:lineRule="auto"/>
              <w:rPr>
                <w:sz w:val="15"/>
                <w:szCs w:val="15"/>
              </w:rPr>
            </w:pPr>
            <w:r>
              <w:rPr>
                <w:sz w:val="15"/>
                <w:szCs w:val="15"/>
                <w:spacing w:val="-2"/>
              </w:rPr>
              <w:t>225</w:t>
            </w:r>
          </w:p>
        </w:tc>
        <w:tc>
          <w:tcPr>
            <w:tcW w:w="330" w:type="dxa"/>
            <w:vAlign w:val="top"/>
          </w:tcPr>
          <w:p>
            <w:pPr>
              <w:pStyle w:val="TableText"/>
              <w:ind w:left="49"/>
              <w:spacing w:before="116" w:line="177" w:lineRule="auto"/>
              <w:rPr>
                <w:sz w:val="15"/>
                <w:szCs w:val="15"/>
              </w:rPr>
            </w:pPr>
            <w:r>
              <w:rPr>
                <w:sz w:val="15"/>
                <w:szCs w:val="15"/>
                <w:spacing w:val="-2"/>
              </w:rPr>
              <w:t>235</w:t>
            </w:r>
          </w:p>
        </w:tc>
        <w:tc>
          <w:tcPr>
            <w:tcW w:w="320" w:type="dxa"/>
            <w:vAlign w:val="top"/>
          </w:tcPr>
          <w:p>
            <w:pPr>
              <w:pStyle w:val="TableText"/>
              <w:ind w:left="39"/>
              <w:spacing w:before="76" w:line="226" w:lineRule="auto"/>
              <w:rPr>
                <w:sz w:val="15"/>
                <w:szCs w:val="15"/>
              </w:rPr>
            </w:pPr>
            <w:r>
              <w:rPr>
                <w:sz w:val="15"/>
                <w:szCs w:val="15"/>
                <w:spacing w:val="-2"/>
              </w:rPr>
              <w:t>245</w:t>
            </w:r>
          </w:p>
        </w:tc>
        <w:tc>
          <w:tcPr>
            <w:tcW w:w="344" w:type="dxa"/>
            <w:vAlign w:val="top"/>
          </w:tcPr>
          <w:p>
            <w:pPr>
              <w:pStyle w:val="TableText"/>
              <w:ind w:left="50"/>
              <w:spacing w:before="76" w:line="226" w:lineRule="auto"/>
              <w:rPr>
                <w:sz w:val="15"/>
                <w:szCs w:val="15"/>
              </w:rPr>
            </w:pPr>
            <w:r>
              <w:rPr>
                <w:sz w:val="15"/>
                <w:szCs w:val="15"/>
                <w:spacing w:val="-2"/>
              </w:rPr>
              <w:t>255</w:t>
            </w:r>
          </w:p>
        </w:tc>
      </w:tr>
      <w:tr>
        <w:trPr>
          <w:trHeight w:val="280" w:hRule="atLeast"/>
        </w:trPr>
        <w:tc>
          <w:tcPr>
            <w:tcW w:w="864" w:type="dxa"/>
            <w:vAlign w:val="top"/>
          </w:tcPr>
          <w:p>
            <w:pPr>
              <w:pStyle w:val="TableText"/>
              <w:ind w:right="7"/>
              <w:spacing w:before="86" w:line="226" w:lineRule="auto"/>
              <w:jc w:val="right"/>
              <w:rPr>
                <w:sz w:val="15"/>
                <w:szCs w:val="15"/>
              </w:rPr>
            </w:pPr>
            <w:r>
              <w:rPr>
                <w:sz w:val="15"/>
                <w:szCs w:val="15"/>
                <w:spacing w:val="-5"/>
              </w:rPr>
              <w:t>14</w:t>
            </w:r>
          </w:p>
        </w:tc>
        <w:tc>
          <w:tcPr>
            <w:tcW w:w="330" w:type="dxa"/>
            <w:vAlign w:val="top"/>
          </w:tcPr>
          <w:p>
            <w:pPr>
              <w:pStyle w:val="TableText"/>
              <w:ind w:left="90"/>
              <w:spacing w:before="86" w:line="226" w:lineRule="auto"/>
              <w:rPr>
                <w:sz w:val="15"/>
                <w:szCs w:val="15"/>
              </w:rPr>
            </w:pPr>
            <w:r>
              <w:rPr>
                <w:sz w:val="15"/>
                <w:szCs w:val="15"/>
                <w:spacing w:val="-4"/>
              </w:rPr>
              <w:t>110</w:t>
            </w:r>
          </w:p>
        </w:tc>
        <w:tc>
          <w:tcPr>
            <w:tcW w:w="319" w:type="dxa"/>
            <w:vAlign w:val="top"/>
          </w:tcPr>
          <w:p>
            <w:pPr>
              <w:pStyle w:val="TableText"/>
              <w:ind w:left="31"/>
              <w:spacing w:before="86" w:line="226" w:lineRule="auto"/>
              <w:rPr>
                <w:sz w:val="15"/>
                <w:szCs w:val="15"/>
              </w:rPr>
            </w:pPr>
            <w:r>
              <w:rPr>
                <w:sz w:val="15"/>
                <w:szCs w:val="15"/>
                <w:spacing w:val="-2"/>
              </w:rPr>
              <w:t>220</w:t>
            </w:r>
          </w:p>
        </w:tc>
        <w:tc>
          <w:tcPr>
            <w:tcW w:w="329" w:type="dxa"/>
            <w:vAlign w:val="top"/>
          </w:tcPr>
          <w:p>
            <w:pPr>
              <w:pStyle w:val="TableText"/>
              <w:ind w:left="131"/>
              <w:spacing w:before="86" w:line="226" w:lineRule="auto"/>
              <w:rPr>
                <w:sz w:val="15"/>
                <w:szCs w:val="15"/>
              </w:rPr>
            </w:pPr>
            <w:r>
              <w:rPr>
                <w:sz w:val="15"/>
                <w:szCs w:val="15"/>
                <w:spacing w:val="-3"/>
              </w:rPr>
              <w:t>33</w:t>
            </w:r>
          </w:p>
        </w:tc>
        <w:tc>
          <w:tcPr>
            <w:tcW w:w="330" w:type="dxa"/>
            <w:vAlign w:val="top"/>
          </w:tcPr>
          <w:p>
            <w:pPr>
              <w:pStyle w:val="TableText"/>
              <w:spacing w:before="86" w:line="226" w:lineRule="auto"/>
              <w:jc w:val="right"/>
              <w:rPr>
                <w:sz w:val="15"/>
                <w:szCs w:val="15"/>
              </w:rPr>
            </w:pPr>
            <w:r>
              <w:rPr>
                <w:sz w:val="15"/>
                <w:szCs w:val="15"/>
                <w:spacing w:val="-3"/>
              </w:rPr>
              <w:t>44</w:t>
            </w:r>
          </w:p>
        </w:tc>
        <w:tc>
          <w:tcPr>
            <w:tcW w:w="330" w:type="dxa"/>
            <w:vAlign w:val="top"/>
          </w:tcPr>
          <w:p>
            <w:pPr>
              <w:pStyle w:val="TableText"/>
              <w:ind w:right="1"/>
              <w:spacing w:before="86" w:line="226" w:lineRule="auto"/>
              <w:jc w:val="right"/>
              <w:rPr>
                <w:sz w:val="15"/>
                <w:szCs w:val="15"/>
              </w:rPr>
            </w:pPr>
            <w:r>
              <w:rPr>
                <w:sz w:val="15"/>
                <w:szCs w:val="15"/>
                <w:spacing w:val="-3"/>
              </w:rPr>
              <w:t>55</w:t>
            </w:r>
          </w:p>
        </w:tc>
        <w:tc>
          <w:tcPr>
            <w:tcW w:w="330" w:type="dxa"/>
            <w:vAlign w:val="top"/>
          </w:tcPr>
          <w:p>
            <w:pPr>
              <w:pStyle w:val="TableText"/>
              <w:ind w:right="10"/>
              <w:spacing w:before="86" w:line="226" w:lineRule="auto"/>
              <w:jc w:val="right"/>
              <w:rPr>
                <w:sz w:val="15"/>
                <w:szCs w:val="15"/>
              </w:rPr>
            </w:pPr>
            <w:r>
              <w:rPr>
                <w:sz w:val="15"/>
                <w:szCs w:val="15"/>
                <w:spacing w:val="-2"/>
              </w:rPr>
              <w:t>66</w:t>
            </w:r>
          </w:p>
        </w:tc>
        <w:tc>
          <w:tcPr>
            <w:tcW w:w="329" w:type="dxa"/>
            <w:vAlign w:val="top"/>
          </w:tcPr>
          <w:p>
            <w:pPr>
              <w:pStyle w:val="TableText"/>
              <w:ind w:right="10"/>
              <w:spacing w:before="86" w:line="226" w:lineRule="auto"/>
              <w:jc w:val="right"/>
              <w:rPr>
                <w:sz w:val="15"/>
                <w:szCs w:val="15"/>
              </w:rPr>
            </w:pPr>
            <w:r>
              <w:rPr>
                <w:sz w:val="15"/>
                <w:szCs w:val="15"/>
                <w:spacing w:val="-3"/>
              </w:rPr>
              <w:t>77</w:t>
            </w:r>
          </w:p>
        </w:tc>
        <w:tc>
          <w:tcPr>
            <w:tcW w:w="330" w:type="dxa"/>
            <w:vAlign w:val="top"/>
          </w:tcPr>
          <w:p>
            <w:pPr>
              <w:pStyle w:val="TableText"/>
              <w:ind w:right="9"/>
              <w:spacing w:before="86" w:line="226" w:lineRule="auto"/>
              <w:jc w:val="right"/>
              <w:rPr>
                <w:sz w:val="15"/>
                <w:szCs w:val="15"/>
              </w:rPr>
            </w:pPr>
            <w:r>
              <w:rPr>
                <w:sz w:val="15"/>
                <w:szCs w:val="15"/>
                <w:spacing w:val="-2"/>
              </w:rPr>
              <w:t>88</w:t>
            </w:r>
          </w:p>
        </w:tc>
        <w:tc>
          <w:tcPr>
            <w:tcW w:w="330" w:type="dxa"/>
            <w:vAlign w:val="top"/>
          </w:tcPr>
          <w:p>
            <w:pPr>
              <w:pStyle w:val="TableText"/>
              <w:spacing w:before="86" w:line="226" w:lineRule="auto"/>
              <w:jc w:val="right"/>
              <w:rPr>
                <w:sz w:val="15"/>
                <w:szCs w:val="15"/>
              </w:rPr>
            </w:pPr>
            <w:r>
              <w:rPr>
                <w:sz w:val="15"/>
                <w:szCs w:val="15"/>
                <w:spacing w:val="-4"/>
              </w:rPr>
              <w:t>99</w:t>
            </w:r>
          </w:p>
        </w:tc>
        <w:tc>
          <w:tcPr>
            <w:tcW w:w="330" w:type="dxa"/>
            <w:vAlign w:val="top"/>
          </w:tcPr>
          <w:p>
            <w:pPr>
              <w:pStyle w:val="TableText"/>
              <w:ind w:left="64"/>
              <w:spacing w:before="86" w:line="226" w:lineRule="auto"/>
              <w:rPr>
                <w:sz w:val="15"/>
                <w:szCs w:val="15"/>
              </w:rPr>
            </w:pPr>
            <w:r>
              <w:rPr>
                <w:sz w:val="15"/>
                <w:szCs w:val="15"/>
                <w:spacing w:val="-4"/>
              </w:rPr>
              <w:t>110</w:t>
            </w:r>
          </w:p>
        </w:tc>
        <w:tc>
          <w:tcPr>
            <w:tcW w:w="309" w:type="dxa"/>
            <w:vAlign w:val="top"/>
          </w:tcPr>
          <w:p>
            <w:pPr>
              <w:pStyle w:val="TableText"/>
              <w:ind w:left="33"/>
              <w:spacing w:before="86" w:line="226" w:lineRule="auto"/>
              <w:rPr>
                <w:sz w:val="15"/>
                <w:szCs w:val="15"/>
              </w:rPr>
            </w:pPr>
            <w:r>
              <w:rPr>
                <w:sz w:val="15"/>
                <w:szCs w:val="15"/>
                <w:spacing w:val="-4"/>
              </w:rPr>
              <w:t>121</w:t>
            </w:r>
          </w:p>
        </w:tc>
        <w:tc>
          <w:tcPr>
            <w:tcW w:w="330" w:type="dxa"/>
            <w:vAlign w:val="top"/>
          </w:tcPr>
          <w:p>
            <w:pPr>
              <w:pStyle w:val="TableText"/>
              <w:ind w:right="11"/>
              <w:spacing w:before="86" w:line="226" w:lineRule="auto"/>
              <w:jc w:val="right"/>
              <w:rPr>
                <w:sz w:val="15"/>
                <w:szCs w:val="15"/>
              </w:rPr>
            </w:pPr>
            <w:r>
              <w:rPr>
                <w:sz w:val="15"/>
                <w:szCs w:val="15"/>
                <w:spacing w:val="-4"/>
              </w:rPr>
              <w:t>132</w:t>
            </w:r>
          </w:p>
        </w:tc>
        <w:tc>
          <w:tcPr>
            <w:tcW w:w="330" w:type="dxa"/>
            <w:vAlign w:val="top"/>
          </w:tcPr>
          <w:p>
            <w:pPr>
              <w:pStyle w:val="TableText"/>
              <w:ind w:left="74"/>
              <w:spacing w:before="86" w:line="226" w:lineRule="auto"/>
              <w:rPr>
                <w:sz w:val="15"/>
                <w:szCs w:val="15"/>
              </w:rPr>
            </w:pPr>
            <w:r>
              <w:rPr>
                <w:sz w:val="15"/>
                <w:szCs w:val="15"/>
                <w:spacing w:val="-4"/>
              </w:rPr>
              <w:t>143</w:t>
            </w:r>
          </w:p>
        </w:tc>
        <w:tc>
          <w:tcPr>
            <w:tcW w:w="319" w:type="dxa"/>
            <w:vAlign w:val="top"/>
          </w:tcPr>
          <w:p>
            <w:pPr>
              <w:pStyle w:val="TableText"/>
              <w:ind w:left="54"/>
              <w:spacing w:before="86" w:line="226" w:lineRule="auto"/>
              <w:rPr>
                <w:sz w:val="15"/>
                <w:szCs w:val="15"/>
              </w:rPr>
            </w:pPr>
            <w:r>
              <w:rPr>
                <w:sz w:val="15"/>
                <w:szCs w:val="15"/>
                <w:spacing w:val="-4"/>
              </w:rPr>
              <w:t>154</w:t>
            </w:r>
          </w:p>
        </w:tc>
        <w:tc>
          <w:tcPr>
            <w:tcW w:w="339" w:type="dxa"/>
            <w:vAlign w:val="top"/>
          </w:tcPr>
          <w:p>
            <w:pPr>
              <w:pStyle w:val="TableText"/>
              <w:ind w:left="45"/>
              <w:spacing w:before="86" w:line="226" w:lineRule="auto"/>
              <w:rPr>
                <w:sz w:val="15"/>
                <w:szCs w:val="15"/>
              </w:rPr>
            </w:pPr>
            <w:r>
              <w:rPr>
                <w:sz w:val="15"/>
                <w:szCs w:val="15"/>
                <w:spacing w:val="-4"/>
              </w:rPr>
              <w:t>165</w:t>
            </w:r>
          </w:p>
        </w:tc>
        <w:tc>
          <w:tcPr>
            <w:tcW w:w="320" w:type="dxa"/>
            <w:vAlign w:val="top"/>
          </w:tcPr>
          <w:p>
            <w:pPr>
              <w:pStyle w:val="TableText"/>
              <w:ind w:left="37"/>
              <w:spacing w:before="86" w:line="226" w:lineRule="auto"/>
              <w:rPr>
                <w:sz w:val="15"/>
                <w:szCs w:val="15"/>
              </w:rPr>
            </w:pPr>
            <w:r>
              <w:rPr>
                <w:sz w:val="15"/>
                <w:szCs w:val="15"/>
                <w:spacing w:val="-4"/>
              </w:rPr>
              <w:t>176</w:t>
            </w:r>
          </w:p>
        </w:tc>
        <w:tc>
          <w:tcPr>
            <w:tcW w:w="329" w:type="dxa"/>
            <w:vAlign w:val="top"/>
          </w:tcPr>
          <w:p>
            <w:pPr>
              <w:pStyle w:val="TableText"/>
              <w:ind w:left="47"/>
              <w:spacing w:before="86" w:line="226" w:lineRule="auto"/>
              <w:rPr>
                <w:sz w:val="15"/>
                <w:szCs w:val="15"/>
              </w:rPr>
            </w:pPr>
            <w:r>
              <w:rPr>
                <w:sz w:val="15"/>
                <w:szCs w:val="15"/>
                <w:spacing w:val="-4"/>
              </w:rPr>
              <w:t>187</w:t>
            </w:r>
          </w:p>
        </w:tc>
        <w:tc>
          <w:tcPr>
            <w:tcW w:w="340" w:type="dxa"/>
            <w:vAlign w:val="top"/>
          </w:tcPr>
          <w:p>
            <w:pPr>
              <w:pStyle w:val="TableText"/>
              <w:ind w:left="17"/>
              <w:spacing w:before="86" w:line="226" w:lineRule="auto"/>
              <w:rPr>
                <w:sz w:val="15"/>
                <w:szCs w:val="15"/>
              </w:rPr>
            </w:pPr>
            <w:r>
              <w:rPr>
                <w:sz w:val="15"/>
                <w:szCs w:val="15"/>
                <w:spacing w:val="-4"/>
              </w:rPr>
              <w:t>198</w:t>
            </w:r>
          </w:p>
        </w:tc>
        <w:tc>
          <w:tcPr>
            <w:tcW w:w="329" w:type="dxa"/>
            <w:vAlign w:val="top"/>
          </w:tcPr>
          <w:p>
            <w:pPr>
              <w:pStyle w:val="TableText"/>
              <w:ind w:left="48"/>
              <w:spacing w:before="86" w:line="226" w:lineRule="auto"/>
              <w:rPr>
                <w:sz w:val="15"/>
                <w:szCs w:val="15"/>
              </w:rPr>
            </w:pPr>
            <w:r>
              <w:rPr>
                <w:sz w:val="15"/>
                <w:szCs w:val="15"/>
                <w:spacing w:val="-2"/>
              </w:rPr>
              <w:t>209</w:t>
            </w:r>
          </w:p>
        </w:tc>
        <w:tc>
          <w:tcPr>
            <w:tcW w:w="320" w:type="dxa"/>
            <w:vAlign w:val="top"/>
          </w:tcPr>
          <w:p>
            <w:pPr>
              <w:pStyle w:val="TableText"/>
              <w:ind w:left="38"/>
              <w:spacing w:before="86" w:line="226" w:lineRule="auto"/>
              <w:rPr>
                <w:sz w:val="15"/>
                <w:szCs w:val="15"/>
              </w:rPr>
            </w:pPr>
            <w:r>
              <w:rPr>
                <w:sz w:val="15"/>
                <w:szCs w:val="15"/>
                <w:spacing w:val="-2"/>
              </w:rPr>
              <w:t>220</w:t>
            </w:r>
          </w:p>
        </w:tc>
        <w:tc>
          <w:tcPr>
            <w:tcW w:w="330" w:type="dxa"/>
            <w:vAlign w:val="top"/>
          </w:tcPr>
          <w:p>
            <w:pPr>
              <w:pStyle w:val="TableText"/>
              <w:ind w:left="49"/>
              <w:spacing w:before="86" w:line="226" w:lineRule="auto"/>
              <w:rPr>
                <w:sz w:val="15"/>
                <w:szCs w:val="15"/>
              </w:rPr>
            </w:pPr>
            <w:r>
              <w:rPr>
                <w:sz w:val="15"/>
                <w:szCs w:val="15"/>
                <w:spacing w:val="-2"/>
              </w:rPr>
              <w:t>231</w:t>
            </w:r>
          </w:p>
        </w:tc>
        <w:tc>
          <w:tcPr>
            <w:tcW w:w="329" w:type="dxa"/>
            <w:vAlign w:val="top"/>
          </w:tcPr>
          <w:p>
            <w:pPr>
              <w:pStyle w:val="TableText"/>
              <w:ind w:left="49"/>
              <w:spacing w:before="86" w:line="226" w:lineRule="auto"/>
              <w:rPr>
                <w:sz w:val="15"/>
                <w:szCs w:val="15"/>
              </w:rPr>
            </w:pPr>
            <w:r>
              <w:rPr>
                <w:sz w:val="15"/>
                <w:szCs w:val="15"/>
                <w:spacing w:val="-2"/>
              </w:rPr>
              <w:t>242</w:t>
            </w:r>
          </w:p>
        </w:tc>
        <w:tc>
          <w:tcPr>
            <w:tcW w:w="330" w:type="dxa"/>
            <w:vAlign w:val="top"/>
          </w:tcPr>
          <w:p>
            <w:pPr>
              <w:pStyle w:val="TableText"/>
              <w:ind w:left="69"/>
              <w:spacing w:before="86" w:line="226" w:lineRule="auto"/>
              <w:rPr>
                <w:sz w:val="15"/>
                <w:szCs w:val="15"/>
              </w:rPr>
            </w:pPr>
            <w:r>
              <w:rPr>
                <w:sz w:val="15"/>
                <w:szCs w:val="15"/>
                <w:spacing w:val="-2"/>
              </w:rPr>
              <w:t>253</w:t>
            </w:r>
          </w:p>
        </w:tc>
        <w:tc>
          <w:tcPr>
            <w:tcW w:w="320" w:type="dxa"/>
            <w:vAlign w:val="top"/>
          </w:tcPr>
          <w:p>
            <w:pPr>
              <w:pStyle w:val="TableText"/>
              <w:ind w:left="39"/>
              <w:spacing w:before="86" w:line="226" w:lineRule="auto"/>
              <w:rPr>
                <w:sz w:val="15"/>
                <w:szCs w:val="15"/>
              </w:rPr>
            </w:pPr>
            <w:r>
              <w:rPr>
                <w:sz w:val="15"/>
                <w:szCs w:val="15"/>
                <w:spacing w:val="-2"/>
              </w:rPr>
              <w:t>264</w:t>
            </w:r>
          </w:p>
        </w:tc>
        <w:tc>
          <w:tcPr>
            <w:tcW w:w="344" w:type="dxa"/>
            <w:vAlign w:val="top"/>
          </w:tcPr>
          <w:p>
            <w:pPr>
              <w:pStyle w:val="TableText"/>
              <w:ind w:left="50"/>
              <w:spacing w:before="86" w:line="226" w:lineRule="auto"/>
              <w:rPr>
                <w:sz w:val="15"/>
                <w:szCs w:val="15"/>
              </w:rPr>
            </w:pPr>
            <w:r>
              <w:rPr>
                <w:sz w:val="15"/>
                <w:szCs w:val="15"/>
                <w:spacing w:val="-2"/>
              </w:rPr>
              <w:t>275</w:t>
            </w:r>
          </w:p>
        </w:tc>
      </w:tr>
      <w:tr>
        <w:trPr>
          <w:trHeight w:val="289" w:hRule="atLeast"/>
        </w:trPr>
        <w:tc>
          <w:tcPr>
            <w:tcW w:w="864" w:type="dxa"/>
            <w:vAlign w:val="top"/>
          </w:tcPr>
          <w:p>
            <w:pPr>
              <w:pStyle w:val="TableText"/>
              <w:ind w:right="7"/>
              <w:spacing w:before="116" w:line="200" w:lineRule="auto"/>
              <w:jc w:val="right"/>
              <w:rPr>
                <w:sz w:val="15"/>
                <w:szCs w:val="15"/>
              </w:rPr>
            </w:pPr>
            <w:r>
              <w:rPr>
                <w:sz w:val="15"/>
                <w:szCs w:val="15"/>
                <w:spacing w:val="-5"/>
              </w:rPr>
              <w:t>15</w:t>
            </w:r>
          </w:p>
        </w:tc>
        <w:tc>
          <w:tcPr>
            <w:tcW w:w="330" w:type="dxa"/>
            <w:vAlign w:val="top"/>
          </w:tcPr>
          <w:p>
            <w:pPr>
              <w:pStyle w:val="TableText"/>
              <w:ind w:left="20"/>
              <w:spacing w:before="116" w:line="200" w:lineRule="auto"/>
              <w:rPr>
                <w:sz w:val="15"/>
                <w:szCs w:val="15"/>
              </w:rPr>
            </w:pPr>
            <w:r>
              <w:rPr>
                <w:sz w:val="15"/>
                <w:szCs w:val="15"/>
                <w:spacing w:val="-4"/>
              </w:rPr>
              <w:t>11.8</w:t>
            </w:r>
          </w:p>
        </w:tc>
        <w:tc>
          <w:tcPr>
            <w:tcW w:w="319" w:type="dxa"/>
            <w:vAlign w:val="top"/>
          </w:tcPr>
          <w:p>
            <w:pPr>
              <w:pStyle w:val="TableText"/>
              <w:ind w:left="11"/>
              <w:spacing w:before="116" w:line="200" w:lineRule="auto"/>
              <w:rPr>
                <w:sz w:val="15"/>
                <w:szCs w:val="15"/>
              </w:rPr>
            </w:pPr>
            <w:r>
              <w:rPr>
                <w:sz w:val="15"/>
                <w:szCs w:val="15"/>
                <w:spacing w:val="-2"/>
              </w:rPr>
              <w:t>23.6</w:t>
            </w:r>
          </w:p>
        </w:tc>
        <w:tc>
          <w:tcPr>
            <w:tcW w:w="329" w:type="dxa"/>
            <w:vAlign w:val="top"/>
          </w:tcPr>
          <w:p>
            <w:pPr>
              <w:pStyle w:val="TableText"/>
              <w:ind w:left="131"/>
              <w:spacing w:before="116" w:line="200" w:lineRule="auto"/>
              <w:rPr>
                <w:sz w:val="15"/>
                <w:szCs w:val="15"/>
              </w:rPr>
            </w:pPr>
            <w:r>
              <w:rPr>
                <w:sz w:val="15"/>
                <w:szCs w:val="15"/>
                <w:spacing w:val="-3"/>
              </w:rPr>
              <w:t>35</w:t>
            </w:r>
          </w:p>
        </w:tc>
        <w:tc>
          <w:tcPr>
            <w:tcW w:w="330" w:type="dxa"/>
            <w:vAlign w:val="top"/>
          </w:tcPr>
          <w:p>
            <w:pPr>
              <w:pStyle w:val="TableText"/>
              <w:spacing w:before="116" w:line="200" w:lineRule="auto"/>
              <w:jc w:val="right"/>
              <w:rPr>
                <w:sz w:val="15"/>
                <w:szCs w:val="15"/>
              </w:rPr>
            </w:pPr>
            <w:r>
              <w:rPr>
                <w:sz w:val="15"/>
                <w:szCs w:val="15"/>
                <w:spacing w:val="-3"/>
              </w:rPr>
              <w:t>47</w:t>
            </w:r>
          </w:p>
        </w:tc>
        <w:tc>
          <w:tcPr>
            <w:tcW w:w="330" w:type="dxa"/>
            <w:vAlign w:val="top"/>
          </w:tcPr>
          <w:p>
            <w:pPr>
              <w:pStyle w:val="TableText"/>
              <w:ind w:right="1"/>
              <w:spacing w:before="116" w:line="200" w:lineRule="auto"/>
              <w:jc w:val="right"/>
              <w:rPr>
                <w:sz w:val="15"/>
                <w:szCs w:val="15"/>
              </w:rPr>
            </w:pPr>
            <w:r>
              <w:rPr>
                <w:sz w:val="15"/>
                <w:szCs w:val="15"/>
                <w:spacing w:val="-3"/>
              </w:rPr>
              <w:t>59</w:t>
            </w:r>
          </w:p>
        </w:tc>
        <w:tc>
          <w:tcPr>
            <w:tcW w:w="330" w:type="dxa"/>
            <w:vAlign w:val="top"/>
          </w:tcPr>
          <w:p>
            <w:pPr>
              <w:pStyle w:val="TableText"/>
              <w:ind w:right="11"/>
              <w:spacing w:before="126" w:line="188" w:lineRule="auto"/>
              <w:jc w:val="right"/>
              <w:rPr>
                <w:sz w:val="15"/>
                <w:szCs w:val="15"/>
              </w:rPr>
            </w:pPr>
            <w:r>
              <w:rPr>
                <w:sz w:val="15"/>
                <w:szCs w:val="15"/>
                <w:spacing w:val="-3"/>
              </w:rPr>
              <w:t>71</w:t>
            </w:r>
          </w:p>
        </w:tc>
        <w:tc>
          <w:tcPr>
            <w:tcW w:w="329" w:type="dxa"/>
            <w:vAlign w:val="top"/>
          </w:tcPr>
          <w:p>
            <w:pPr>
              <w:pStyle w:val="TableText"/>
              <w:ind w:right="9"/>
              <w:spacing w:before="116" w:line="200" w:lineRule="auto"/>
              <w:jc w:val="right"/>
              <w:rPr>
                <w:sz w:val="15"/>
                <w:szCs w:val="15"/>
              </w:rPr>
            </w:pPr>
            <w:r>
              <w:rPr>
                <w:sz w:val="15"/>
                <w:szCs w:val="15"/>
                <w:spacing w:val="-2"/>
              </w:rPr>
              <w:t>82</w:t>
            </w:r>
          </w:p>
        </w:tc>
        <w:tc>
          <w:tcPr>
            <w:tcW w:w="330" w:type="dxa"/>
            <w:vAlign w:val="top"/>
          </w:tcPr>
          <w:p>
            <w:pPr>
              <w:pStyle w:val="TableText"/>
              <w:ind w:right="9"/>
              <w:spacing w:before="116" w:line="200" w:lineRule="auto"/>
              <w:jc w:val="right"/>
              <w:rPr>
                <w:sz w:val="15"/>
                <w:szCs w:val="15"/>
              </w:rPr>
            </w:pPr>
            <w:r>
              <w:rPr>
                <w:sz w:val="15"/>
                <w:szCs w:val="15"/>
                <w:spacing w:val="-2"/>
              </w:rPr>
              <w:t>94</w:t>
            </w:r>
          </w:p>
        </w:tc>
        <w:tc>
          <w:tcPr>
            <w:tcW w:w="330" w:type="dxa"/>
            <w:vAlign w:val="top"/>
          </w:tcPr>
          <w:p>
            <w:pPr>
              <w:pStyle w:val="TableText"/>
              <w:ind w:left="54"/>
              <w:spacing w:before="116" w:line="200" w:lineRule="auto"/>
              <w:rPr>
                <w:sz w:val="15"/>
                <w:szCs w:val="15"/>
              </w:rPr>
            </w:pPr>
            <w:r>
              <w:rPr>
                <w:sz w:val="15"/>
                <w:szCs w:val="15"/>
                <w:spacing w:val="-4"/>
              </w:rPr>
              <w:t>106</w:t>
            </w:r>
          </w:p>
        </w:tc>
        <w:tc>
          <w:tcPr>
            <w:tcW w:w="330" w:type="dxa"/>
            <w:vAlign w:val="top"/>
          </w:tcPr>
          <w:p>
            <w:pPr>
              <w:pStyle w:val="TableText"/>
              <w:ind w:left="34"/>
              <w:spacing w:before="126" w:line="188" w:lineRule="auto"/>
              <w:rPr>
                <w:sz w:val="15"/>
                <w:szCs w:val="15"/>
              </w:rPr>
            </w:pPr>
            <w:r>
              <w:rPr>
                <w:sz w:val="15"/>
                <w:szCs w:val="15"/>
                <w:spacing w:val="-4"/>
              </w:rPr>
              <w:t>118</w:t>
            </w:r>
          </w:p>
        </w:tc>
        <w:tc>
          <w:tcPr>
            <w:tcW w:w="309" w:type="dxa"/>
            <w:vAlign w:val="top"/>
          </w:tcPr>
          <w:p>
            <w:pPr>
              <w:pStyle w:val="TableText"/>
              <w:ind w:left="33"/>
              <w:spacing w:before="86" w:line="237" w:lineRule="auto"/>
              <w:rPr>
                <w:sz w:val="15"/>
                <w:szCs w:val="15"/>
              </w:rPr>
            </w:pPr>
            <w:r>
              <w:rPr>
                <w:sz w:val="15"/>
                <w:szCs w:val="15"/>
                <w:spacing w:val="-4"/>
              </w:rPr>
              <w:t>130</w:t>
            </w:r>
          </w:p>
        </w:tc>
        <w:tc>
          <w:tcPr>
            <w:tcW w:w="330" w:type="dxa"/>
            <w:vAlign w:val="top"/>
          </w:tcPr>
          <w:p>
            <w:pPr>
              <w:pStyle w:val="TableText"/>
              <w:ind w:left="44"/>
              <w:spacing w:before="116" w:line="200" w:lineRule="auto"/>
              <w:rPr>
                <w:sz w:val="15"/>
                <w:szCs w:val="15"/>
              </w:rPr>
            </w:pPr>
            <w:r>
              <w:rPr>
                <w:sz w:val="15"/>
                <w:szCs w:val="15"/>
                <w:spacing w:val="-4"/>
              </w:rPr>
              <w:t>141</w:t>
            </w:r>
          </w:p>
        </w:tc>
        <w:tc>
          <w:tcPr>
            <w:tcW w:w="330" w:type="dxa"/>
            <w:vAlign w:val="top"/>
          </w:tcPr>
          <w:p>
            <w:pPr>
              <w:pStyle w:val="TableText"/>
              <w:ind w:left="74"/>
              <w:spacing w:before="116" w:line="200" w:lineRule="auto"/>
              <w:rPr>
                <w:sz w:val="15"/>
                <w:szCs w:val="15"/>
              </w:rPr>
            </w:pPr>
            <w:r>
              <w:rPr>
                <w:sz w:val="15"/>
                <w:szCs w:val="15"/>
                <w:spacing w:val="-4"/>
              </w:rPr>
              <w:t>153</w:t>
            </w:r>
          </w:p>
        </w:tc>
        <w:tc>
          <w:tcPr>
            <w:tcW w:w="319" w:type="dxa"/>
            <w:vAlign w:val="top"/>
          </w:tcPr>
          <w:p>
            <w:pPr>
              <w:pStyle w:val="TableText"/>
              <w:ind w:left="54"/>
              <w:spacing w:before="116" w:line="200" w:lineRule="auto"/>
              <w:rPr>
                <w:sz w:val="15"/>
                <w:szCs w:val="15"/>
              </w:rPr>
            </w:pPr>
            <w:r>
              <w:rPr>
                <w:sz w:val="15"/>
                <w:szCs w:val="15"/>
                <w:spacing w:val="-4"/>
              </w:rPr>
              <w:t>165</w:t>
            </w:r>
          </w:p>
        </w:tc>
        <w:tc>
          <w:tcPr>
            <w:tcW w:w="339" w:type="dxa"/>
            <w:vAlign w:val="top"/>
          </w:tcPr>
          <w:p>
            <w:pPr>
              <w:pStyle w:val="TableText"/>
              <w:ind w:left="45"/>
              <w:spacing w:before="86" w:line="237" w:lineRule="auto"/>
              <w:rPr>
                <w:sz w:val="15"/>
                <w:szCs w:val="15"/>
              </w:rPr>
            </w:pPr>
            <w:r>
              <w:rPr>
                <w:sz w:val="15"/>
                <w:szCs w:val="15"/>
                <w:spacing w:val="-4"/>
              </w:rPr>
              <w:t>177</w:t>
            </w:r>
          </w:p>
        </w:tc>
        <w:tc>
          <w:tcPr>
            <w:tcW w:w="320" w:type="dxa"/>
            <w:vAlign w:val="top"/>
          </w:tcPr>
          <w:p>
            <w:pPr>
              <w:pStyle w:val="TableText"/>
              <w:ind w:left="16"/>
              <w:spacing w:before="116" w:line="200" w:lineRule="auto"/>
              <w:rPr>
                <w:sz w:val="15"/>
                <w:szCs w:val="15"/>
              </w:rPr>
            </w:pPr>
            <w:r>
              <w:rPr>
                <w:sz w:val="15"/>
                <w:szCs w:val="15"/>
                <w:spacing w:val="-4"/>
              </w:rPr>
              <w:t>188</w:t>
            </w:r>
          </w:p>
        </w:tc>
        <w:tc>
          <w:tcPr>
            <w:tcW w:w="329" w:type="dxa"/>
            <w:vAlign w:val="top"/>
          </w:tcPr>
          <w:p>
            <w:pPr>
              <w:pStyle w:val="TableText"/>
              <w:ind w:left="47"/>
              <w:spacing w:before="116" w:line="200" w:lineRule="auto"/>
              <w:rPr>
                <w:sz w:val="15"/>
                <w:szCs w:val="15"/>
              </w:rPr>
            </w:pPr>
            <w:r>
              <w:rPr>
                <w:sz w:val="15"/>
                <w:szCs w:val="15"/>
                <w:spacing w:val="-2"/>
              </w:rPr>
              <w:t>200</w:t>
            </w:r>
          </w:p>
        </w:tc>
        <w:tc>
          <w:tcPr>
            <w:tcW w:w="340" w:type="dxa"/>
            <w:vAlign w:val="top"/>
          </w:tcPr>
          <w:p>
            <w:pPr>
              <w:pStyle w:val="TableText"/>
              <w:ind w:left="17"/>
              <w:spacing w:before="116" w:line="200" w:lineRule="auto"/>
              <w:rPr>
                <w:sz w:val="15"/>
                <w:szCs w:val="15"/>
              </w:rPr>
            </w:pPr>
            <w:r>
              <w:rPr>
                <w:sz w:val="15"/>
                <w:szCs w:val="15"/>
                <w:spacing w:val="-2"/>
              </w:rPr>
              <w:t>212</w:t>
            </w:r>
          </w:p>
        </w:tc>
        <w:tc>
          <w:tcPr>
            <w:tcW w:w="329" w:type="dxa"/>
            <w:vAlign w:val="top"/>
          </w:tcPr>
          <w:p>
            <w:pPr>
              <w:pStyle w:val="TableText"/>
              <w:ind w:left="17"/>
              <w:spacing w:before="116" w:line="200" w:lineRule="auto"/>
              <w:rPr>
                <w:sz w:val="15"/>
                <w:szCs w:val="15"/>
              </w:rPr>
            </w:pPr>
            <w:r>
              <w:rPr>
                <w:sz w:val="15"/>
                <w:szCs w:val="15"/>
                <w:spacing w:val="-2"/>
              </w:rPr>
              <w:t>224</w:t>
            </w:r>
          </w:p>
        </w:tc>
        <w:tc>
          <w:tcPr>
            <w:tcW w:w="320" w:type="dxa"/>
            <w:vAlign w:val="top"/>
          </w:tcPr>
          <w:p>
            <w:pPr>
              <w:pStyle w:val="TableText"/>
              <w:ind w:left="38"/>
              <w:spacing w:before="116" w:line="200" w:lineRule="auto"/>
              <w:rPr>
                <w:sz w:val="15"/>
                <w:szCs w:val="15"/>
              </w:rPr>
            </w:pPr>
            <w:r>
              <w:rPr>
                <w:sz w:val="15"/>
                <w:szCs w:val="15"/>
                <w:spacing w:val="-2"/>
              </w:rPr>
              <w:t>236</w:t>
            </w:r>
          </w:p>
        </w:tc>
        <w:tc>
          <w:tcPr>
            <w:tcW w:w="330" w:type="dxa"/>
            <w:vAlign w:val="top"/>
          </w:tcPr>
          <w:p>
            <w:pPr>
              <w:pStyle w:val="TableText"/>
              <w:ind w:left="49"/>
              <w:spacing w:before="126" w:line="188" w:lineRule="auto"/>
              <w:rPr>
                <w:sz w:val="15"/>
                <w:szCs w:val="15"/>
              </w:rPr>
            </w:pPr>
            <w:r>
              <w:rPr>
                <w:sz w:val="15"/>
                <w:szCs w:val="15"/>
                <w:spacing w:val="-2"/>
              </w:rPr>
              <w:t>247</w:t>
            </w:r>
          </w:p>
        </w:tc>
        <w:tc>
          <w:tcPr>
            <w:tcW w:w="329" w:type="dxa"/>
            <w:vAlign w:val="top"/>
          </w:tcPr>
          <w:p>
            <w:pPr>
              <w:pStyle w:val="TableText"/>
              <w:ind w:left="49"/>
              <w:spacing w:before="116" w:line="200" w:lineRule="auto"/>
              <w:rPr>
                <w:sz w:val="15"/>
                <w:szCs w:val="15"/>
              </w:rPr>
            </w:pPr>
            <w:r>
              <w:rPr>
                <w:sz w:val="15"/>
                <w:szCs w:val="15"/>
                <w:spacing w:val="-2"/>
              </w:rPr>
              <w:t>259</w:t>
            </w:r>
          </w:p>
        </w:tc>
        <w:tc>
          <w:tcPr>
            <w:tcW w:w="330" w:type="dxa"/>
            <w:vAlign w:val="top"/>
          </w:tcPr>
          <w:p>
            <w:pPr>
              <w:pStyle w:val="TableText"/>
              <w:ind w:left="89"/>
              <w:spacing w:before="116" w:line="200" w:lineRule="auto"/>
              <w:rPr>
                <w:sz w:val="15"/>
                <w:szCs w:val="15"/>
              </w:rPr>
            </w:pPr>
            <w:r>
              <w:rPr>
                <w:sz w:val="15"/>
                <w:szCs w:val="15"/>
                <w:spacing w:val="-2"/>
              </w:rPr>
              <w:t>27</w:t>
            </w:r>
          </w:p>
        </w:tc>
        <w:tc>
          <w:tcPr>
            <w:tcW w:w="320" w:type="dxa"/>
            <w:vAlign w:val="top"/>
          </w:tcPr>
          <w:p>
            <w:pPr>
              <w:pStyle w:val="TableText"/>
              <w:ind w:left="39"/>
              <w:spacing w:before="116" w:line="200" w:lineRule="auto"/>
              <w:rPr>
                <w:sz w:val="15"/>
                <w:szCs w:val="15"/>
              </w:rPr>
            </w:pPr>
            <w:r>
              <w:rPr>
                <w:sz w:val="15"/>
                <w:szCs w:val="15"/>
                <w:spacing w:val="-2"/>
              </w:rPr>
              <w:t>283</w:t>
            </w:r>
          </w:p>
        </w:tc>
        <w:tc>
          <w:tcPr>
            <w:tcW w:w="344" w:type="dxa"/>
            <w:vAlign w:val="top"/>
          </w:tcPr>
          <w:p>
            <w:pPr>
              <w:pStyle w:val="TableText"/>
              <w:ind w:left="50"/>
              <w:spacing w:before="116" w:line="200" w:lineRule="auto"/>
              <w:rPr>
                <w:sz w:val="15"/>
                <w:szCs w:val="15"/>
              </w:rPr>
            </w:pPr>
            <w:r>
              <w:rPr>
                <w:sz w:val="15"/>
                <w:szCs w:val="15"/>
                <w:spacing w:val="-2"/>
              </w:rPr>
              <w:t>294</w:t>
            </w:r>
          </w:p>
        </w:tc>
      </w:tr>
      <w:tr>
        <w:trPr>
          <w:trHeight w:val="260" w:hRule="atLeast"/>
        </w:trPr>
        <w:tc>
          <w:tcPr>
            <w:tcW w:w="864" w:type="dxa"/>
            <w:vAlign w:val="top"/>
          </w:tcPr>
          <w:p>
            <w:pPr>
              <w:pStyle w:val="TableText"/>
              <w:ind w:right="7"/>
              <w:spacing w:before="76" w:line="213" w:lineRule="auto"/>
              <w:jc w:val="right"/>
              <w:rPr>
                <w:sz w:val="15"/>
                <w:szCs w:val="15"/>
              </w:rPr>
            </w:pPr>
            <w:r>
              <w:rPr>
                <w:sz w:val="15"/>
                <w:szCs w:val="15"/>
                <w:spacing w:val="-5"/>
              </w:rPr>
              <w:t>16</w:t>
            </w:r>
          </w:p>
        </w:tc>
        <w:tc>
          <w:tcPr>
            <w:tcW w:w="330" w:type="dxa"/>
            <w:vAlign w:val="top"/>
          </w:tcPr>
          <w:p>
            <w:pPr>
              <w:pStyle w:val="TableText"/>
              <w:ind w:left="20"/>
              <w:spacing w:before="76" w:line="213" w:lineRule="auto"/>
              <w:rPr>
                <w:sz w:val="15"/>
                <w:szCs w:val="15"/>
              </w:rPr>
            </w:pPr>
            <w:r>
              <w:rPr>
                <w:sz w:val="15"/>
                <w:szCs w:val="15"/>
                <w:spacing w:val="-4"/>
              </w:rPr>
              <w:t>12.6</w:t>
            </w:r>
          </w:p>
        </w:tc>
        <w:tc>
          <w:tcPr>
            <w:tcW w:w="319" w:type="dxa"/>
            <w:vAlign w:val="top"/>
          </w:tcPr>
          <w:p>
            <w:pPr>
              <w:pStyle w:val="TableText"/>
              <w:ind w:left="11"/>
              <w:spacing w:before="76" w:line="213" w:lineRule="auto"/>
              <w:rPr>
                <w:sz w:val="15"/>
                <w:szCs w:val="15"/>
              </w:rPr>
            </w:pPr>
            <w:r>
              <w:rPr>
                <w:sz w:val="15"/>
                <w:szCs w:val="15"/>
                <w:spacing w:val="-2"/>
              </w:rPr>
              <w:t>25.1</w:t>
            </w:r>
          </w:p>
        </w:tc>
        <w:tc>
          <w:tcPr>
            <w:tcW w:w="329" w:type="dxa"/>
            <w:vAlign w:val="top"/>
          </w:tcPr>
          <w:p>
            <w:pPr>
              <w:pStyle w:val="TableText"/>
              <w:ind w:left="131"/>
              <w:spacing w:before="76" w:line="213" w:lineRule="auto"/>
              <w:rPr>
                <w:sz w:val="15"/>
                <w:szCs w:val="15"/>
              </w:rPr>
            </w:pPr>
            <w:r>
              <w:rPr>
                <w:sz w:val="15"/>
                <w:szCs w:val="15"/>
                <w:spacing w:val="-3"/>
              </w:rPr>
              <w:t>38</w:t>
            </w:r>
          </w:p>
        </w:tc>
        <w:tc>
          <w:tcPr>
            <w:tcW w:w="330" w:type="dxa"/>
            <w:vAlign w:val="top"/>
          </w:tcPr>
          <w:p>
            <w:pPr>
              <w:pStyle w:val="TableText"/>
              <w:ind w:right="1"/>
              <w:spacing w:before="76" w:line="213" w:lineRule="auto"/>
              <w:jc w:val="right"/>
              <w:rPr>
                <w:sz w:val="15"/>
                <w:szCs w:val="15"/>
              </w:rPr>
            </w:pPr>
            <w:r>
              <w:rPr>
                <w:sz w:val="15"/>
                <w:szCs w:val="15"/>
                <w:spacing w:val="-3"/>
              </w:rPr>
              <w:t>50</w:t>
            </w:r>
          </w:p>
        </w:tc>
        <w:tc>
          <w:tcPr>
            <w:tcW w:w="330" w:type="dxa"/>
            <w:vAlign w:val="top"/>
          </w:tcPr>
          <w:p>
            <w:pPr>
              <w:pStyle w:val="TableText"/>
              <w:spacing w:before="76" w:line="213" w:lineRule="auto"/>
              <w:jc w:val="right"/>
              <w:rPr>
                <w:sz w:val="15"/>
                <w:szCs w:val="15"/>
              </w:rPr>
            </w:pPr>
            <w:r>
              <w:rPr>
                <w:sz w:val="15"/>
                <w:szCs w:val="15"/>
                <w:spacing w:val="-2"/>
              </w:rPr>
              <w:t>63</w:t>
            </w:r>
          </w:p>
        </w:tc>
        <w:tc>
          <w:tcPr>
            <w:tcW w:w="330" w:type="dxa"/>
            <w:vAlign w:val="top"/>
          </w:tcPr>
          <w:p>
            <w:pPr>
              <w:pStyle w:val="TableText"/>
              <w:ind w:right="11"/>
              <w:spacing w:before="106" w:line="176" w:lineRule="auto"/>
              <w:jc w:val="right"/>
              <w:rPr>
                <w:sz w:val="15"/>
                <w:szCs w:val="15"/>
              </w:rPr>
            </w:pPr>
            <w:r>
              <w:rPr>
                <w:sz w:val="15"/>
                <w:szCs w:val="15"/>
                <w:spacing w:val="-3"/>
              </w:rPr>
              <w:t>75</w:t>
            </w:r>
          </w:p>
        </w:tc>
        <w:tc>
          <w:tcPr>
            <w:tcW w:w="329" w:type="dxa"/>
            <w:vAlign w:val="top"/>
          </w:tcPr>
          <w:p>
            <w:pPr>
              <w:pStyle w:val="TableText"/>
              <w:ind w:right="9"/>
              <w:spacing w:before="106" w:line="176" w:lineRule="auto"/>
              <w:jc w:val="right"/>
              <w:rPr>
                <w:sz w:val="15"/>
                <w:szCs w:val="15"/>
              </w:rPr>
            </w:pPr>
            <w:r>
              <w:rPr>
                <w:sz w:val="15"/>
                <w:szCs w:val="15"/>
                <w:spacing w:val="-2"/>
              </w:rPr>
              <w:t>88</w:t>
            </w:r>
          </w:p>
        </w:tc>
        <w:tc>
          <w:tcPr>
            <w:tcW w:w="330" w:type="dxa"/>
            <w:vAlign w:val="top"/>
          </w:tcPr>
          <w:p>
            <w:pPr>
              <w:pStyle w:val="TableText"/>
              <w:ind w:left="74"/>
              <w:spacing w:before="97" w:line="188" w:lineRule="auto"/>
              <w:rPr>
                <w:sz w:val="15"/>
                <w:szCs w:val="15"/>
              </w:rPr>
            </w:pPr>
            <w:r>
              <w:rPr>
                <w:sz w:val="15"/>
                <w:szCs w:val="15"/>
                <w:spacing w:val="-4"/>
              </w:rPr>
              <w:t>100</w:t>
            </w:r>
          </w:p>
        </w:tc>
        <w:tc>
          <w:tcPr>
            <w:tcW w:w="330" w:type="dxa"/>
            <w:vAlign w:val="top"/>
          </w:tcPr>
          <w:p>
            <w:pPr>
              <w:pStyle w:val="TableText"/>
              <w:ind w:left="33"/>
              <w:spacing w:before="97" w:line="188" w:lineRule="auto"/>
              <w:rPr>
                <w:sz w:val="15"/>
                <w:szCs w:val="15"/>
              </w:rPr>
            </w:pPr>
            <w:r>
              <w:rPr>
                <w:sz w:val="15"/>
                <w:szCs w:val="15"/>
                <w:spacing w:val="-4"/>
              </w:rPr>
              <w:t>113</w:t>
            </w:r>
          </w:p>
        </w:tc>
        <w:tc>
          <w:tcPr>
            <w:tcW w:w="330" w:type="dxa"/>
            <w:vAlign w:val="top"/>
          </w:tcPr>
          <w:p>
            <w:pPr>
              <w:pStyle w:val="TableText"/>
              <w:ind w:left="73"/>
              <w:spacing w:before="97" w:line="188" w:lineRule="auto"/>
              <w:rPr>
                <w:sz w:val="15"/>
                <w:szCs w:val="15"/>
              </w:rPr>
            </w:pPr>
            <w:r>
              <w:rPr>
                <w:sz w:val="15"/>
                <w:szCs w:val="15"/>
                <w:spacing w:val="-4"/>
              </w:rPr>
              <w:t>126</w:t>
            </w:r>
          </w:p>
        </w:tc>
        <w:tc>
          <w:tcPr>
            <w:tcW w:w="309" w:type="dxa"/>
            <w:vAlign w:val="top"/>
          </w:tcPr>
          <w:p>
            <w:pPr>
              <w:pStyle w:val="TableText"/>
              <w:ind w:left="33"/>
              <w:spacing w:before="97" w:line="188" w:lineRule="auto"/>
              <w:rPr>
                <w:sz w:val="15"/>
                <w:szCs w:val="15"/>
              </w:rPr>
            </w:pPr>
            <w:r>
              <w:rPr>
                <w:sz w:val="15"/>
                <w:szCs w:val="15"/>
                <w:spacing w:val="-4"/>
              </w:rPr>
              <w:t>138</w:t>
            </w:r>
          </w:p>
        </w:tc>
        <w:tc>
          <w:tcPr>
            <w:tcW w:w="330" w:type="dxa"/>
            <w:vAlign w:val="top"/>
          </w:tcPr>
          <w:p>
            <w:pPr>
              <w:pStyle w:val="TableText"/>
              <w:ind w:left="84"/>
              <w:spacing w:before="97" w:line="188" w:lineRule="auto"/>
              <w:rPr>
                <w:sz w:val="15"/>
                <w:szCs w:val="15"/>
              </w:rPr>
            </w:pPr>
            <w:r>
              <w:rPr>
                <w:sz w:val="15"/>
                <w:szCs w:val="15"/>
                <w:spacing w:val="-4"/>
              </w:rPr>
              <w:t>151</w:t>
            </w:r>
          </w:p>
        </w:tc>
        <w:tc>
          <w:tcPr>
            <w:tcW w:w="330" w:type="dxa"/>
            <w:vAlign w:val="top"/>
          </w:tcPr>
          <w:p>
            <w:pPr>
              <w:pStyle w:val="TableText"/>
              <w:ind w:left="74"/>
              <w:spacing w:before="97" w:line="188" w:lineRule="auto"/>
              <w:rPr>
                <w:sz w:val="15"/>
                <w:szCs w:val="15"/>
              </w:rPr>
            </w:pPr>
            <w:r>
              <w:rPr>
                <w:sz w:val="15"/>
                <w:szCs w:val="15"/>
                <w:spacing w:val="-4"/>
              </w:rPr>
              <w:t>163</w:t>
            </w:r>
          </w:p>
        </w:tc>
        <w:tc>
          <w:tcPr>
            <w:tcW w:w="319" w:type="dxa"/>
            <w:vAlign w:val="top"/>
          </w:tcPr>
          <w:p>
            <w:pPr>
              <w:pStyle w:val="TableText"/>
              <w:ind w:left="54"/>
              <w:spacing w:before="97" w:line="188" w:lineRule="auto"/>
              <w:rPr>
                <w:sz w:val="15"/>
                <w:szCs w:val="15"/>
              </w:rPr>
            </w:pPr>
            <w:r>
              <w:rPr>
                <w:sz w:val="15"/>
                <w:szCs w:val="15"/>
                <w:spacing w:val="-4"/>
              </w:rPr>
              <w:t>176</w:t>
            </w:r>
          </w:p>
        </w:tc>
        <w:tc>
          <w:tcPr>
            <w:tcW w:w="339" w:type="dxa"/>
            <w:vAlign w:val="top"/>
          </w:tcPr>
          <w:p>
            <w:pPr>
              <w:pStyle w:val="TableText"/>
              <w:ind w:left="45"/>
              <w:spacing w:before="97" w:line="188" w:lineRule="auto"/>
              <w:rPr>
                <w:sz w:val="15"/>
                <w:szCs w:val="15"/>
              </w:rPr>
            </w:pPr>
            <w:r>
              <w:rPr>
                <w:sz w:val="15"/>
                <w:szCs w:val="15"/>
                <w:spacing w:val="-4"/>
              </w:rPr>
              <w:t>188</w:t>
            </w:r>
          </w:p>
        </w:tc>
        <w:tc>
          <w:tcPr>
            <w:tcW w:w="320" w:type="dxa"/>
            <w:vAlign w:val="top"/>
          </w:tcPr>
          <w:p>
            <w:pPr>
              <w:pStyle w:val="TableText"/>
              <w:ind w:left="37"/>
              <w:spacing w:before="97" w:line="188" w:lineRule="auto"/>
              <w:rPr>
                <w:sz w:val="15"/>
                <w:szCs w:val="15"/>
              </w:rPr>
            </w:pPr>
            <w:r>
              <w:rPr>
                <w:sz w:val="15"/>
                <w:szCs w:val="15"/>
                <w:spacing w:val="-2"/>
              </w:rPr>
              <w:t>201</w:t>
            </w:r>
          </w:p>
        </w:tc>
        <w:tc>
          <w:tcPr>
            <w:tcW w:w="329" w:type="dxa"/>
            <w:vAlign w:val="top"/>
          </w:tcPr>
          <w:p>
            <w:pPr>
              <w:pStyle w:val="TableText"/>
              <w:ind w:left="47"/>
              <w:spacing w:before="97" w:line="188" w:lineRule="auto"/>
              <w:rPr>
                <w:sz w:val="15"/>
                <w:szCs w:val="15"/>
              </w:rPr>
            </w:pPr>
            <w:r>
              <w:rPr>
                <w:sz w:val="15"/>
                <w:szCs w:val="15"/>
                <w:spacing w:val="-2"/>
              </w:rPr>
              <w:t>214</w:t>
            </w:r>
          </w:p>
        </w:tc>
        <w:tc>
          <w:tcPr>
            <w:tcW w:w="340" w:type="dxa"/>
            <w:vAlign w:val="top"/>
          </w:tcPr>
          <w:p>
            <w:pPr>
              <w:pStyle w:val="TableText"/>
              <w:ind w:right="2"/>
              <w:spacing w:before="76" w:line="213" w:lineRule="auto"/>
              <w:jc w:val="right"/>
              <w:rPr>
                <w:sz w:val="15"/>
                <w:szCs w:val="15"/>
              </w:rPr>
            </w:pPr>
            <w:r>
              <w:rPr>
                <w:sz w:val="15"/>
                <w:szCs w:val="15"/>
                <w:spacing w:val="-2"/>
              </w:rPr>
              <w:t>226</w:t>
            </w:r>
          </w:p>
        </w:tc>
        <w:tc>
          <w:tcPr>
            <w:tcW w:w="329" w:type="dxa"/>
            <w:vAlign w:val="top"/>
          </w:tcPr>
          <w:p>
            <w:pPr>
              <w:pStyle w:val="TableText"/>
              <w:ind w:left="37"/>
              <w:spacing w:before="76" w:line="213" w:lineRule="auto"/>
              <w:rPr>
                <w:sz w:val="15"/>
                <w:szCs w:val="15"/>
              </w:rPr>
            </w:pPr>
            <w:r>
              <w:rPr>
                <w:sz w:val="15"/>
                <w:szCs w:val="15"/>
                <w:spacing w:val="-2"/>
              </w:rPr>
              <w:t>239</w:t>
            </w:r>
          </w:p>
        </w:tc>
        <w:tc>
          <w:tcPr>
            <w:tcW w:w="320" w:type="dxa"/>
            <w:vAlign w:val="top"/>
          </w:tcPr>
          <w:p>
            <w:pPr>
              <w:pStyle w:val="TableText"/>
              <w:ind w:left="38"/>
              <w:spacing w:before="76" w:line="213" w:lineRule="auto"/>
              <w:rPr>
                <w:sz w:val="15"/>
                <w:szCs w:val="15"/>
              </w:rPr>
            </w:pPr>
            <w:r>
              <w:rPr>
                <w:sz w:val="15"/>
                <w:szCs w:val="15"/>
                <w:spacing w:val="-2"/>
              </w:rPr>
              <w:t>251</w:t>
            </w:r>
          </w:p>
        </w:tc>
        <w:tc>
          <w:tcPr>
            <w:tcW w:w="330" w:type="dxa"/>
            <w:vAlign w:val="top"/>
          </w:tcPr>
          <w:p>
            <w:pPr>
              <w:pStyle w:val="TableText"/>
              <w:ind w:left="49"/>
              <w:spacing w:before="76" w:line="213" w:lineRule="auto"/>
              <w:rPr>
                <w:sz w:val="15"/>
                <w:szCs w:val="15"/>
              </w:rPr>
            </w:pPr>
            <w:r>
              <w:rPr>
                <w:sz w:val="15"/>
                <w:szCs w:val="15"/>
                <w:spacing w:val="-2"/>
              </w:rPr>
              <w:t>264</w:t>
            </w:r>
          </w:p>
        </w:tc>
        <w:tc>
          <w:tcPr>
            <w:tcW w:w="329" w:type="dxa"/>
            <w:vAlign w:val="top"/>
          </w:tcPr>
          <w:p>
            <w:pPr>
              <w:pStyle w:val="TableText"/>
              <w:ind w:left="49"/>
              <w:spacing w:before="97" w:line="188" w:lineRule="auto"/>
              <w:rPr>
                <w:sz w:val="15"/>
                <w:szCs w:val="15"/>
              </w:rPr>
            </w:pPr>
            <w:r>
              <w:rPr>
                <w:sz w:val="15"/>
                <w:szCs w:val="15"/>
                <w:spacing w:val="-2"/>
              </w:rPr>
              <w:t>276</w:t>
            </w:r>
          </w:p>
        </w:tc>
        <w:tc>
          <w:tcPr>
            <w:tcW w:w="330" w:type="dxa"/>
            <w:vAlign w:val="top"/>
          </w:tcPr>
          <w:p>
            <w:pPr>
              <w:pStyle w:val="TableText"/>
              <w:ind w:left="49"/>
              <w:spacing w:before="76" w:line="213" w:lineRule="auto"/>
              <w:rPr>
                <w:sz w:val="15"/>
                <w:szCs w:val="15"/>
              </w:rPr>
            </w:pPr>
            <w:r>
              <w:rPr>
                <w:sz w:val="15"/>
                <w:szCs w:val="15"/>
                <w:spacing w:val="-2"/>
              </w:rPr>
              <w:t>289</w:t>
            </w:r>
          </w:p>
        </w:tc>
        <w:tc>
          <w:tcPr>
            <w:tcW w:w="320" w:type="dxa"/>
            <w:vAlign w:val="top"/>
          </w:tcPr>
          <w:p>
            <w:pPr>
              <w:pStyle w:val="TableText"/>
              <w:ind w:left="79"/>
              <w:spacing w:before="76" w:line="213" w:lineRule="auto"/>
              <w:rPr>
                <w:sz w:val="15"/>
                <w:szCs w:val="15"/>
              </w:rPr>
            </w:pPr>
            <w:r>
              <w:rPr>
                <w:sz w:val="15"/>
                <w:szCs w:val="15"/>
                <w:spacing w:val="-3"/>
              </w:rPr>
              <w:t>30</w:t>
            </w:r>
          </w:p>
        </w:tc>
        <w:tc>
          <w:tcPr>
            <w:tcW w:w="344" w:type="dxa"/>
            <w:vAlign w:val="top"/>
          </w:tcPr>
          <w:p>
            <w:pPr>
              <w:pStyle w:val="TableText"/>
              <w:ind w:left="50"/>
              <w:spacing w:before="76" w:line="213" w:lineRule="auto"/>
              <w:rPr>
                <w:sz w:val="15"/>
                <w:szCs w:val="15"/>
              </w:rPr>
            </w:pPr>
            <w:r>
              <w:rPr>
                <w:sz w:val="15"/>
                <w:szCs w:val="15"/>
                <w:spacing w:val="-2"/>
              </w:rPr>
              <w:t>314</w:t>
            </w:r>
          </w:p>
        </w:tc>
      </w:tr>
      <w:tr>
        <w:trPr>
          <w:trHeight w:val="289" w:hRule="atLeast"/>
        </w:trPr>
        <w:tc>
          <w:tcPr>
            <w:tcW w:w="864" w:type="dxa"/>
            <w:vAlign w:val="top"/>
          </w:tcPr>
          <w:p>
            <w:pPr>
              <w:pStyle w:val="TableText"/>
              <w:ind w:right="7"/>
              <w:spacing w:before="87" w:line="236" w:lineRule="auto"/>
              <w:jc w:val="right"/>
              <w:rPr>
                <w:sz w:val="15"/>
                <w:szCs w:val="15"/>
              </w:rPr>
            </w:pPr>
            <w:r>
              <w:rPr>
                <w:sz w:val="15"/>
                <w:szCs w:val="15"/>
                <w:spacing w:val="-5"/>
              </w:rPr>
              <w:t>17</w:t>
            </w:r>
          </w:p>
        </w:tc>
        <w:tc>
          <w:tcPr>
            <w:tcW w:w="330" w:type="dxa"/>
            <w:vAlign w:val="top"/>
          </w:tcPr>
          <w:p>
            <w:pPr>
              <w:pStyle w:val="TableText"/>
              <w:ind w:left="10"/>
              <w:spacing w:before="87" w:line="236" w:lineRule="auto"/>
              <w:rPr>
                <w:sz w:val="15"/>
                <w:szCs w:val="15"/>
              </w:rPr>
            </w:pPr>
            <w:r>
              <w:rPr>
                <w:sz w:val="15"/>
                <w:szCs w:val="15"/>
                <w:spacing w:val="-4"/>
              </w:rPr>
              <w:t>133</w:t>
            </w:r>
          </w:p>
        </w:tc>
        <w:tc>
          <w:tcPr>
            <w:tcW w:w="319" w:type="dxa"/>
            <w:vAlign w:val="top"/>
          </w:tcPr>
          <w:p>
            <w:pPr>
              <w:pStyle w:val="TableText"/>
              <w:ind w:left="70"/>
              <w:spacing w:before="87" w:line="236" w:lineRule="auto"/>
              <w:rPr>
                <w:sz w:val="15"/>
                <w:szCs w:val="15"/>
              </w:rPr>
            </w:pPr>
            <w:r>
              <w:rPr>
                <w:sz w:val="15"/>
                <w:szCs w:val="15"/>
                <w:spacing w:val="-2"/>
              </w:rPr>
              <w:t>27</w:t>
            </w:r>
          </w:p>
        </w:tc>
        <w:tc>
          <w:tcPr>
            <w:tcW w:w="329" w:type="dxa"/>
            <w:vAlign w:val="top"/>
          </w:tcPr>
          <w:p>
            <w:pPr>
              <w:pStyle w:val="TableText"/>
              <w:ind w:left="131"/>
              <w:spacing w:before="136" w:line="175" w:lineRule="auto"/>
              <w:rPr>
                <w:sz w:val="15"/>
                <w:szCs w:val="15"/>
              </w:rPr>
            </w:pPr>
            <w:r>
              <w:rPr>
                <w:sz w:val="15"/>
                <w:szCs w:val="15"/>
                <w:spacing w:val="-2"/>
              </w:rPr>
              <w:t>40</w:t>
            </w:r>
          </w:p>
        </w:tc>
        <w:tc>
          <w:tcPr>
            <w:tcW w:w="330" w:type="dxa"/>
            <w:vAlign w:val="top"/>
          </w:tcPr>
          <w:p>
            <w:pPr>
              <w:pStyle w:val="TableText"/>
              <w:ind w:right="1"/>
              <w:spacing w:before="136" w:line="175" w:lineRule="auto"/>
              <w:jc w:val="right"/>
              <w:rPr>
                <w:sz w:val="15"/>
                <w:szCs w:val="15"/>
              </w:rPr>
            </w:pPr>
            <w:r>
              <w:rPr>
                <w:sz w:val="15"/>
                <w:szCs w:val="15"/>
                <w:spacing w:val="-3"/>
              </w:rPr>
              <w:t>53</w:t>
            </w:r>
          </w:p>
        </w:tc>
        <w:tc>
          <w:tcPr>
            <w:tcW w:w="330" w:type="dxa"/>
            <w:vAlign w:val="top"/>
          </w:tcPr>
          <w:p>
            <w:pPr>
              <w:pStyle w:val="TableText"/>
              <w:spacing w:before="136" w:line="175" w:lineRule="auto"/>
              <w:jc w:val="right"/>
              <w:rPr>
                <w:sz w:val="15"/>
                <w:szCs w:val="15"/>
              </w:rPr>
            </w:pPr>
            <w:r>
              <w:rPr>
                <w:sz w:val="15"/>
                <w:szCs w:val="15"/>
                <w:spacing w:val="-2"/>
              </w:rPr>
              <w:t>67</w:t>
            </w:r>
          </w:p>
        </w:tc>
        <w:tc>
          <w:tcPr>
            <w:tcW w:w="330" w:type="dxa"/>
            <w:vAlign w:val="top"/>
          </w:tcPr>
          <w:p>
            <w:pPr>
              <w:pStyle w:val="TableText"/>
              <w:ind w:right="10"/>
              <w:spacing w:before="136" w:line="175" w:lineRule="auto"/>
              <w:jc w:val="right"/>
              <w:rPr>
                <w:sz w:val="15"/>
                <w:szCs w:val="15"/>
              </w:rPr>
            </w:pPr>
            <w:r>
              <w:rPr>
                <w:sz w:val="15"/>
                <w:szCs w:val="15"/>
                <w:spacing w:val="-2"/>
              </w:rPr>
              <w:t>80</w:t>
            </w:r>
          </w:p>
        </w:tc>
        <w:tc>
          <w:tcPr>
            <w:tcW w:w="329" w:type="dxa"/>
            <w:vAlign w:val="top"/>
          </w:tcPr>
          <w:p>
            <w:pPr>
              <w:pStyle w:val="TableText"/>
              <w:ind w:right="9"/>
              <w:spacing w:before="87" w:line="236" w:lineRule="auto"/>
              <w:jc w:val="right"/>
              <w:rPr>
                <w:sz w:val="15"/>
                <w:szCs w:val="15"/>
              </w:rPr>
            </w:pPr>
            <w:r>
              <w:rPr>
                <w:sz w:val="15"/>
                <w:szCs w:val="15"/>
                <w:spacing w:val="-2"/>
              </w:rPr>
              <w:t>93</w:t>
            </w:r>
          </w:p>
        </w:tc>
        <w:tc>
          <w:tcPr>
            <w:tcW w:w="330" w:type="dxa"/>
            <w:vAlign w:val="top"/>
          </w:tcPr>
          <w:p>
            <w:pPr>
              <w:pStyle w:val="TableText"/>
              <w:ind w:left="83"/>
              <w:spacing w:before="87" w:line="236" w:lineRule="auto"/>
              <w:rPr>
                <w:sz w:val="15"/>
                <w:szCs w:val="15"/>
              </w:rPr>
            </w:pPr>
            <w:r>
              <w:rPr>
                <w:sz w:val="15"/>
                <w:szCs w:val="15"/>
                <w:spacing w:val="-4"/>
              </w:rPr>
              <w:t>107</w:t>
            </w:r>
          </w:p>
        </w:tc>
        <w:tc>
          <w:tcPr>
            <w:tcW w:w="330" w:type="dxa"/>
            <w:vAlign w:val="top"/>
          </w:tcPr>
          <w:p>
            <w:pPr>
              <w:pStyle w:val="TableText"/>
              <w:ind w:left="73"/>
              <w:spacing w:before="127" w:line="187" w:lineRule="auto"/>
              <w:rPr>
                <w:sz w:val="15"/>
                <w:szCs w:val="15"/>
              </w:rPr>
            </w:pPr>
            <w:r>
              <w:rPr>
                <w:sz w:val="15"/>
                <w:szCs w:val="15"/>
                <w:spacing w:val="-4"/>
              </w:rPr>
              <w:t>120</w:t>
            </w:r>
          </w:p>
        </w:tc>
        <w:tc>
          <w:tcPr>
            <w:tcW w:w="330" w:type="dxa"/>
            <w:vAlign w:val="top"/>
          </w:tcPr>
          <w:p>
            <w:pPr>
              <w:pStyle w:val="TableText"/>
              <w:ind w:right="12"/>
              <w:spacing w:before="136" w:line="175" w:lineRule="auto"/>
              <w:jc w:val="right"/>
              <w:rPr>
                <w:sz w:val="15"/>
                <w:szCs w:val="15"/>
              </w:rPr>
            </w:pPr>
            <w:r>
              <w:rPr>
                <w:sz w:val="15"/>
                <w:szCs w:val="15"/>
                <w:spacing w:val="-4"/>
              </w:rPr>
              <w:t>133</w:t>
            </w:r>
          </w:p>
        </w:tc>
        <w:tc>
          <w:tcPr>
            <w:tcW w:w="309" w:type="dxa"/>
            <w:vAlign w:val="top"/>
          </w:tcPr>
          <w:p>
            <w:pPr>
              <w:pStyle w:val="TableText"/>
              <w:ind w:left="33"/>
              <w:spacing w:before="87" w:line="236" w:lineRule="auto"/>
              <w:rPr>
                <w:sz w:val="15"/>
                <w:szCs w:val="15"/>
              </w:rPr>
            </w:pPr>
            <w:r>
              <w:rPr>
                <w:sz w:val="15"/>
                <w:szCs w:val="15"/>
                <w:spacing w:val="-4"/>
              </w:rPr>
              <w:t>147</w:t>
            </w:r>
          </w:p>
        </w:tc>
        <w:tc>
          <w:tcPr>
            <w:tcW w:w="330" w:type="dxa"/>
            <w:vAlign w:val="top"/>
          </w:tcPr>
          <w:p>
            <w:pPr>
              <w:pStyle w:val="TableText"/>
              <w:ind w:right="11"/>
              <w:spacing w:before="136" w:line="175" w:lineRule="auto"/>
              <w:jc w:val="right"/>
              <w:rPr>
                <w:sz w:val="15"/>
                <w:szCs w:val="15"/>
              </w:rPr>
            </w:pPr>
            <w:r>
              <w:rPr>
                <w:sz w:val="15"/>
                <w:szCs w:val="15"/>
                <w:spacing w:val="-4"/>
              </w:rPr>
              <w:t>160</w:t>
            </w:r>
          </w:p>
        </w:tc>
        <w:tc>
          <w:tcPr>
            <w:tcW w:w="330" w:type="dxa"/>
            <w:vAlign w:val="top"/>
          </w:tcPr>
          <w:p>
            <w:pPr>
              <w:pStyle w:val="TableText"/>
              <w:ind w:left="74"/>
              <w:spacing w:before="136" w:line="175" w:lineRule="auto"/>
              <w:rPr>
                <w:sz w:val="15"/>
                <w:szCs w:val="15"/>
              </w:rPr>
            </w:pPr>
            <w:r>
              <w:rPr>
                <w:sz w:val="15"/>
                <w:szCs w:val="15"/>
                <w:spacing w:val="-4"/>
              </w:rPr>
              <w:t>173</w:t>
            </w:r>
          </w:p>
        </w:tc>
        <w:tc>
          <w:tcPr>
            <w:tcW w:w="319" w:type="dxa"/>
            <w:vAlign w:val="top"/>
          </w:tcPr>
          <w:p>
            <w:pPr>
              <w:pStyle w:val="TableText"/>
              <w:ind w:left="54"/>
              <w:spacing w:before="127" w:line="187" w:lineRule="auto"/>
              <w:rPr>
                <w:sz w:val="15"/>
                <w:szCs w:val="15"/>
              </w:rPr>
            </w:pPr>
            <w:r>
              <w:rPr>
                <w:sz w:val="15"/>
                <w:szCs w:val="15"/>
                <w:spacing w:val="-4"/>
              </w:rPr>
              <w:t>187</w:t>
            </w:r>
          </w:p>
        </w:tc>
        <w:tc>
          <w:tcPr>
            <w:tcW w:w="339" w:type="dxa"/>
            <w:vAlign w:val="top"/>
          </w:tcPr>
          <w:p>
            <w:pPr>
              <w:pStyle w:val="TableText"/>
              <w:ind w:left="45"/>
              <w:spacing w:before="117" w:line="199" w:lineRule="auto"/>
              <w:rPr>
                <w:sz w:val="15"/>
                <w:szCs w:val="15"/>
              </w:rPr>
            </w:pPr>
            <w:r>
              <w:rPr>
                <w:sz w:val="15"/>
                <w:szCs w:val="15"/>
                <w:spacing w:val="-2"/>
              </w:rPr>
              <w:t>200</w:t>
            </w:r>
          </w:p>
        </w:tc>
        <w:tc>
          <w:tcPr>
            <w:tcW w:w="320" w:type="dxa"/>
            <w:vAlign w:val="top"/>
          </w:tcPr>
          <w:p>
            <w:pPr>
              <w:pStyle w:val="TableText"/>
              <w:ind w:left="37"/>
              <w:spacing w:before="127" w:line="187" w:lineRule="auto"/>
              <w:rPr>
                <w:sz w:val="15"/>
                <w:szCs w:val="15"/>
              </w:rPr>
            </w:pPr>
            <w:r>
              <w:rPr>
                <w:sz w:val="15"/>
                <w:szCs w:val="15"/>
                <w:spacing w:val="-2"/>
              </w:rPr>
              <w:t>214</w:t>
            </w:r>
          </w:p>
        </w:tc>
        <w:tc>
          <w:tcPr>
            <w:tcW w:w="329" w:type="dxa"/>
            <w:vAlign w:val="top"/>
          </w:tcPr>
          <w:p>
            <w:pPr>
              <w:pStyle w:val="TableText"/>
              <w:ind w:left="47"/>
              <w:spacing w:before="127" w:line="187" w:lineRule="auto"/>
              <w:rPr>
                <w:sz w:val="15"/>
                <w:szCs w:val="15"/>
              </w:rPr>
            </w:pPr>
            <w:r>
              <w:rPr>
                <w:sz w:val="15"/>
                <w:szCs w:val="15"/>
                <w:spacing w:val="-2"/>
              </w:rPr>
              <w:t>227</w:t>
            </w:r>
          </w:p>
        </w:tc>
        <w:tc>
          <w:tcPr>
            <w:tcW w:w="340" w:type="dxa"/>
            <w:vAlign w:val="top"/>
          </w:tcPr>
          <w:p>
            <w:pPr>
              <w:pStyle w:val="TableText"/>
              <w:ind w:right="2"/>
              <w:spacing w:before="117" w:line="199" w:lineRule="auto"/>
              <w:jc w:val="right"/>
              <w:rPr>
                <w:sz w:val="15"/>
                <w:szCs w:val="15"/>
              </w:rPr>
            </w:pPr>
            <w:r>
              <w:rPr>
                <w:sz w:val="15"/>
                <w:szCs w:val="15"/>
                <w:spacing w:val="-2"/>
              </w:rPr>
              <w:t>240</w:t>
            </w:r>
          </w:p>
        </w:tc>
        <w:tc>
          <w:tcPr>
            <w:tcW w:w="329" w:type="dxa"/>
            <w:vAlign w:val="top"/>
          </w:tcPr>
          <w:p>
            <w:pPr>
              <w:pStyle w:val="TableText"/>
              <w:ind w:left="48"/>
              <w:spacing w:before="117" w:line="199" w:lineRule="auto"/>
              <w:rPr>
                <w:sz w:val="15"/>
                <w:szCs w:val="15"/>
              </w:rPr>
            </w:pPr>
            <w:r>
              <w:rPr>
                <w:sz w:val="15"/>
                <w:szCs w:val="15"/>
                <w:spacing w:val="-2"/>
              </w:rPr>
              <w:t>254</w:t>
            </w:r>
          </w:p>
        </w:tc>
        <w:tc>
          <w:tcPr>
            <w:tcW w:w="320" w:type="dxa"/>
            <w:vAlign w:val="top"/>
          </w:tcPr>
          <w:p>
            <w:pPr>
              <w:pStyle w:val="TableText"/>
              <w:ind w:left="38"/>
              <w:spacing w:before="117" w:line="199" w:lineRule="auto"/>
              <w:rPr>
                <w:sz w:val="15"/>
                <w:szCs w:val="15"/>
              </w:rPr>
            </w:pPr>
            <w:r>
              <w:rPr>
                <w:sz w:val="15"/>
                <w:szCs w:val="15"/>
                <w:spacing w:val="-2"/>
              </w:rPr>
              <w:t>267</w:t>
            </w:r>
          </w:p>
        </w:tc>
        <w:tc>
          <w:tcPr>
            <w:tcW w:w="330" w:type="dxa"/>
            <w:vAlign w:val="top"/>
          </w:tcPr>
          <w:p>
            <w:pPr>
              <w:pStyle w:val="TableText"/>
              <w:ind w:left="38"/>
              <w:spacing w:before="127" w:line="187" w:lineRule="auto"/>
              <w:rPr>
                <w:sz w:val="15"/>
                <w:szCs w:val="15"/>
              </w:rPr>
            </w:pPr>
            <w:r>
              <w:rPr>
                <w:sz w:val="15"/>
                <w:szCs w:val="15"/>
                <w:spacing w:val="-2"/>
              </w:rPr>
              <w:t>280</w:t>
            </w:r>
          </w:p>
        </w:tc>
        <w:tc>
          <w:tcPr>
            <w:tcW w:w="329" w:type="dxa"/>
            <w:vAlign w:val="top"/>
          </w:tcPr>
          <w:p>
            <w:pPr>
              <w:pStyle w:val="TableText"/>
              <w:ind w:left="49"/>
              <w:spacing w:before="127" w:line="187" w:lineRule="auto"/>
              <w:rPr>
                <w:sz w:val="15"/>
                <w:szCs w:val="15"/>
              </w:rPr>
            </w:pPr>
            <w:r>
              <w:rPr>
                <w:sz w:val="15"/>
                <w:szCs w:val="15"/>
                <w:spacing w:val="-2"/>
              </w:rPr>
              <w:t>294</w:t>
            </w:r>
          </w:p>
        </w:tc>
        <w:tc>
          <w:tcPr>
            <w:tcW w:w="330" w:type="dxa"/>
            <w:vAlign w:val="top"/>
          </w:tcPr>
          <w:p>
            <w:pPr>
              <w:pStyle w:val="TableText"/>
              <w:ind w:left="60"/>
              <w:spacing w:before="87" w:line="236" w:lineRule="auto"/>
              <w:rPr>
                <w:sz w:val="15"/>
                <w:szCs w:val="15"/>
              </w:rPr>
            </w:pPr>
            <w:r>
              <w:rPr>
                <w:sz w:val="15"/>
                <w:szCs w:val="15"/>
                <w:spacing w:val="-2"/>
              </w:rPr>
              <w:t>307</w:t>
            </w:r>
          </w:p>
        </w:tc>
        <w:tc>
          <w:tcPr>
            <w:tcW w:w="320" w:type="dxa"/>
            <w:vAlign w:val="top"/>
          </w:tcPr>
          <w:p>
            <w:pPr>
              <w:pStyle w:val="TableText"/>
              <w:ind w:left="39"/>
              <w:spacing w:before="117" w:line="199" w:lineRule="auto"/>
              <w:rPr>
                <w:sz w:val="15"/>
                <w:szCs w:val="15"/>
              </w:rPr>
            </w:pPr>
            <w:r>
              <w:rPr>
                <w:sz w:val="15"/>
                <w:szCs w:val="15"/>
                <w:spacing w:val="-2"/>
              </w:rPr>
              <w:t>320</w:t>
            </w:r>
          </w:p>
        </w:tc>
        <w:tc>
          <w:tcPr>
            <w:tcW w:w="344" w:type="dxa"/>
            <w:vAlign w:val="top"/>
          </w:tcPr>
          <w:p>
            <w:pPr>
              <w:pStyle w:val="TableText"/>
              <w:ind w:left="50"/>
              <w:spacing w:before="127" w:line="187" w:lineRule="auto"/>
              <w:rPr>
                <w:sz w:val="15"/>
                <w:szCs w:val="15"/>
              </w:rPr>
            </w:pPr>
            <w:r>
              <w:rPr>
                <w:sz w:val="15"/>
                <w:szCs w:val="15"/>
                <w:spacing w:val="-2"/>
              </w:rPr>
              <w:t>334</w:t>
            </w:r>
          </w:p>
        </w:tc>
      </w:tr>
      <w:tr>
        <w:trPr>
          <w:trHeight w:val="289" w:hRule="atLeast"/>
        </w:trPr>
        <w:tc>
          <w:tcPr>
            <w:tcW w:w="864" w:type="dxa"/>
            <w:vAlign w:val="top"/>
          </w:tcPr>
          <w:p>
            <w:pPr>
              <w:pStyle w:val="TableText"/>
              <w:ind w:right="7"/>
              <w:spacing w:before="138" w:line="173" w:lineRule="auto"/>
              <w:jc w:val="right"/>
              <w:rPr>
                <w:sz w:val="15"/>
                <w:szCs w:val="15"/>
              </w:rPr>
            </w:pPr>
            <w:r>
              <w:rPr>
                <w:sz w:val="15"/>
                <w:szCs w:val="15"/>
                <w:spacing w:val="-5"/>
              </w:rPr>
              <w:t>18</w:t>
            </w:r>
          </w:p>
        </w:tc>
        <w:tc>
          <w:tcPr>
            <w:tcW w:w="330" w:type="dxa"/>
            <w:vAlign w:val="top"/>
          </w:tcPr>
          <w:p>
            <w:pPr>
              <w:pStyle w:val="TableText"/>
              <w:ind w:left="20"/>
              <w:spacing w:before="127" w:line="186" w:lineRule="auto"/>
              <w:rPr>
                <w:sz w:val="15"/>
                <w:szCs w:val="15"/>
              </w:rPr>
            </w:pPr>
            <w:r>
              <w:rPr>
                <w:sz w:val="15"/>
                <w:szCs w:val="15"/>
                <w:spacing w:val="-4"/>
              </w:rPr>
              <w:t>14.1</w:t>
            </w:r>
          </w:p>
        </w:tc>
        <w:tc>
          <w:tcPr>
            <w:tcW w:w="319" w:type="dxa"/>
            <w:vAlign w:val="top"/>
          </w:tcPr>
          <w:p>
            <w:pPr>
              <w:pStyle w:val="TableText"/>
              <w:ind w:left="11"/>
              <w:spacing w:before="118" w:line="198" w:lineRule="auto"/>
              <w:rPr>
                <w:sz w:val="15"/>
                <w:szCs w:val="15"/>
              </w:rPr>
            </w:pPr>
            <w:r>
              <w:rPr>
                <w:sz w:val="15"/>
                <w:szCs w:val="15"/>
                <w:spacing w:val="-2"/>
              </w:rPr>
              <w:t>28.3</w:t>
            </w:r>
          </w:p>
        </w:tc>
        <w:tc>
          <w:tcPr>
            <w:tcW w:w="329" w:type="dxa"/>
            <w:vAlign w:val="top"/>
          </w:tcPr>
          <w:p>
            <w:pPr>
              <w:pStyle w:val="TableText"/>
              <w:ind w:left="131"/>
              <w:spacing w:before="108" w:line="210" w:lineRule="auto"/>
              <w:rPr>
                <w:sz w:val="15"/>
                <w:szCs w:val="15"/>
              </w:rPr>
            </w:pPr>
            <w:r>
              <w:rPr>
                <w:sz w:val="15"/>
                <w:szCs w:val="15"/>
                <w:spacing w:val="-2"/>
              </w:rPr>
              <w:t>42</w:t>
            </w:r>
          </w:p>
        </w:tc>
        <w:tc>
          <w:tcPr>
            <w:tcW w:w="330" w:type="dxa"/>
            <w:vAlign w:val="top"/>
          </w:tcPr>
          <w:p>
            <w:pPr>
              <w:pStyle w:val="TableText"/>
              <w:ind w:right="1"/>
              <w:spacing w:before="108" w:line="210" w:lineRule="auto"/>
              <w:jc w:val="right"/>
              <w:rPr>
                <w:sz w:val="15"/>
                <w:szCs w:val="15"/>
              </w:rPr>
            </w:pPr>
            <w:r>
              <w:rPr>
                <w:sz w:val="15"/>
                <w:szCs w:val="15"/>
                <w:spacing w:val="-3"/>
              </w:rPr>
              <w:t>57</w:t>
            </w:r>
          </w:p>
        </w:tc>
        <w:tc>
          <w:tcPr>
            <w:tcW w:w="330" w:type="dxa"/>
            <w:vAlign w:val="top"/>
          </w:tcPr>
          <w:p>
            <w:pPr>
              <w:pStyle w:val="TableText"/>
              <w:ind w:right="1"/>
              <w:spacing w:before="138" w:line="173" w:lineRule="auto"/>
              <w:jc w:val="right"/>
              <w:rPr>
                <w:sz w:val="15"/>
                <w:szCs w:val="15"/>
              </w:rPr>
            </w:pPr>
            <w:r>
              <w:rPr>
                <w:sz w:val="15"/>
                <w:szCs w:val="15"/>
                <w:spacing w:val="-3"/>
              </w:rPr>
              <w:t>71</w:t>
            </w:r>
          </w:p>
        </w:tc>
        <w:tc>
          <w:tcPr>
            <w:tcW w:w="330" w:type="dxa"/>
            <w:vAlign w:val="top"/>
          </w:tcPr>
          <w:p>
            <w:pPr>
              <w:pStyle w:val="TableText"/>
              <w:ind w:left="113"/>
              <w:spacing w:before="108" w:line="210" w:lineRule="auto"/>
              <w:rPr>
                <w:sz w:val="15"/>
                <w:szCs w:val="15"/>
              </w:rPr>
            </w:pPr>
            <w:r>
              <w:rPr>
                <w:sz w:val="15"/>
                <w:szCs w:val="15"/>
                <w:spacing w:val="-2"/>
              </w:rPr>
              <w:t>85</w:t>
            </w:r>
          </w:p>
        </w:tc>
        <w:tc>
          <w:tcPr>
            <w:tcW w:w="329" w:type="dxa"/>
            <w:vAlign w:val="top"/>
          </w:tcPr>
          <w:p>
            <w:pPr>
              <w:pStyle w:val="TableText"/>
              <w:ind w:right="9"/>
              <w:spacing w:before="138" w:line="173" w:lineRule="auto"/>
              <w:jc w:val="right"/>
              <w:rPr>
                <w:sz w:val="15"/>
                <w:szCs w:val="15"/>
              </w:rPr>
            </w:pPr>
            <w:r>
              <w:rPr>
                <w:sz w:val="15"/>
                <w:szCs w:val="15"/>
                <w:spacing w:val="-2"/>
              </w:rPr>
              <w:t>99</w:t>
            </w:r>
          </w:p>
        </w:tc>
        <w:tc>
          <w:tcPr>
            <w:tcW w:w="330" w:type="dxa"/>
            <w:vAlign w:val="top"/>
          </w:tcPr>
          <w:p>
            <w:pPr>
              <w:pStyle w:val="TableText"/>
              <w:ind w:left="54"/>
              <w:spacing w:before="127" w:line="186" w:lineRule="auto"/>
              <w:rPr>
                <w:sz w:val="15"/>
                <w:szCs w:val="15"/>
              </w:rPr>
            </w:pPr>
            <w:r>
              <w:rPr>
                <w:sz w:val="15"/>
                <w:szCs w:val="15"/>
                <w:spacing w:val="-4"/>
              </w:rPr>
              <w:t>113</w:t>
            </w:r>
          </w:p>
        </w:tc>
        <w:tc>
          <w:tcPr>
            <w:tcW w:w="330" w:type="dxa"/>
            <w:vAlign w:val="top"/>
          </w:tcPr>
          <w:p>
            <w:pPr>
              <w:pStyle w:val="TableText"/>
              <w:ind w:left="54"/>
              <w:spacing w:before="127" w:line="186" w:lineRule="auto"/>
              <w:rPr>
                <w:sz w:val="15"/>
                <w:szCs w:val="15"/>
              </w:rPr>
            </w:pPr>
            <w:r>
              <w:rPr>
                <w:sz w:val="15"/>
                <w:szCs w:val="15"/>
                <w:spacing w:val="-4"/>
              </w:rPr>
              <w:t>127</w:t>
            </w:r>
          </w:p>
        </w:tc>
        <w:tc>
          <w:tcPr>
            <w:tcW w:w="330" w:type="dxa"/>
            <w:vAlign w:val="top"/>
          </w:tcPr>
          <w:p>
            <w:pPr>
              <w:pStyle w:val="TableText"/>
              <w:ind w:left="34"/>
              <w:spacing w:before="118" w:line="198" w:lineRule="auto"/>
              <w:rPr>
                <w:sz w:val="15"/>
                <w:szCs w:val="15"/>
              </w:rPr>
            </w:pPr>
            <w:r>
              <w:rPr>
                <w:sz w:val="15"/>
                <w:szCs w:val="15"/>
                <w:spacing w:val="-4"/>
              </w:rPr>
              <w:t>141</w:t>
            </w:r>
          </w:p>
        </w:tc>
        <w:tc>
          <w:tcPr>
            <w:tcW w:w="309" w:type="dxa"/>
            <w:vAlign w:val="top"/>
          </w:tcPr>
          <w:p>
            <w:pPr>
              <w:pStyle w:val="TableText"/>
              <w:ind w:left="33"/>
              <w:spacing w:before="118" w:line="198" w:lineRule="auto"/>
              <w:rPr>
                <w:sz w:val="15"/>
                <w:szCs w:val="15"/>
              </w:rPr>
            </w:pPr>
            <w:r>
              <w:rPr>
                <w:sz w:val="15"/>
                <w:szCs w:val="15"/>
                <w:spacing w:val="-4"/>
              </w:rPr>
              <w:t>155</w:t>
            </w:r>
          </w:p>
        </w:tc>
        <w:tc>
          <w:tcPr>
            <w:tcW w:w="330" w:type="dxa"/>
            <w:vAlign w:val="top"/>
          </w:tcPr>
          <w:p>
            <w:pPr>
              <w:pStyle w:val="TableText"/>
              <w:ind w:right="11"/>
              <w:spacing w:before="118" w:line="198" w:lineRule="auto"/>
              <w:jc w:val="right"/>
              <w:rPr>
                <w:sz w:val="15"/>
                <w:szCs w:val="15"/>
              </w:rPr>
            </w:pPr>
            <w:r>
              <w:rPr>
                <w:sz w:val="15"/>
                <w:szCs w:val="15"/>
                <w:spacing w:val="-4"/>
              </w:rPr>
              <w:t>170</w:t>
            </w:r>
          </w:p>
        </w:tc>
        <w:tc>
          <w:tcPr>
            <w:tcW w:w="330" w:type="dxa"/>
            <w:vAlign w:val="top"/>
          </w:tcPr>
          <w:p>
            <w:pPr>
              <w:pStyle w:val="TableText"/>
              <w:ind w:left="74"/>
              <w:spacing w:before="118" w:line="198" w:lineRule="auto"/>
              <w:rPr>
                <w:sz w:val="15"/>
                <w:szCs w:val="15"/>
              </w:rPr>
            </w:pPr>
            <w:r>
              <w:rPr>
                <w:sz w:val="15"/>
                <w:szCs w:val="15"/>
                <w:spacing w:val="-4"/>
              </w:rPr>
              <w:t>184</w:t>
            </w:r>
          </w:p>
        </w:tc>
        <w:tc>
          <w:tcPr>
            <w:tcW w:w="319" w:type="dxa"/>
            <w:vAlign w:val="top"/>
          </w:tcPr>
          <w:p>
            <w:pPr>
              <w:pStyle w:val="TableText"/>
              <w:ind w:left="54"/>
              <w:spacing w:before="88" w:line="235" w:lineRule="auto"/>
              <w:rPr>
                <w:sz w:val="15"/>
                <w:szCs w:val="15"/>
              </w:rPr>
            </w:pPr>
            <w:r>
              <w:rPr>
                <w:sz w:val="15"/>
                <w:szCs w:val="15"/>
                <w:spacing w:val="-4"/>
              </w:rPr>
              <w:t>198</w:t>
            </w:r>
          </w:p>
        </w:tc>
        <w:tc>
          <w:tcPr>
            <w:tcW w:w="339" w:type="dxa"/>
            <w:vAlign w:val="top"/>
          </w:tcPr>
          <w:p>
            <w:pPr>
              <w:pStyle w:val="TableText"/>
              <w:ind w:left="45"/>
              <w:spacing w:before="88" w:line="235" w:lineRule="auto"/>
              <w:rPr>
                <w:sz w:val="15"/>
                <w:szCs w:val="15"/>
              </w:rPr>
            </w:pPr>
            <w:r>
              <w:rPr>
                <w:sz w:val="15"/>
                <w:szCs w:val="15"/>
                <w:spacing w:val="-2"/>
              </w:rPr>
              <w:t>212</w:t>
            </w:r>
          </w:p>
        </w:tc>
        <w:tc>
          <w:tcPr>
            <w:tcW w:w="320" w:type="dxa"/>
            <w:vAlign w:val="top"/>
          </w:tcPr>
          <w:p>
            <w:pPr>
              <w:pStyle w:val="TableText"/>
              <w:ind w:left="37"/>
              <w:spacing w:before="118" w:line="198" w:lineRule="auto"/>
              <w:rPr>
                <w:sz w:val="15"/>
                <w:szCs w:val="15"/>
              </w:rPr>
            </w:pPr>
            <w:r>
              <w:rPr>
                <w:sz w:val="15"/>
                <w:szCs w:val="15"/>
                <w:spacing w:val="-2"/>
              </w:rPr>
              <w:t>226</w:t>
            </w:r>
          </w:p>
        </w:tc>
        <w:tc>
          <w:tcPr>
            <w:tcW w:w="329" w:type="dxa"/>
            <w:vAlign w:val="top"/>
          </w:tcPr>
          <w:p>
            <w:pPr>
              <w:pStyle w:val="TableText"/>
              <w:ind w:left="66"/>
              <w:spacing w:before="118" w:line="198" w:lineRule="auto"/>
              <w:rPr>
                <w:sz w:val="15"/>
                <w:szCs w:val="15"/>
              </w:rPr>
            </w:pPr>
            <w:r>
              <w:rPr>
                <w:sz w:val="15"/>
                <w:szCs w:val="15"/>
                <w:spacing w:val="-2"/>
              </w:rPr>
              <w:t>240</w:t>
            </w:r>
          </w:p>
        </w:tc>
        <w:tc>
          <w:tcPr>
            <w:tcW w:w="340" w:type="dxa"/>
            <w:vAlign w:val="top"/>
          </w:tcPr>
          <w:p>
            <w:pPr>
              <w:pStyle w:val="TableText"/>
              <w:ind w:right="2"/>
              <w:spacing w:before="118" w:line="198" w:lineRule="auto"/>
              <w:jc w:val="right"/>
              <w:rPr>
                <w:sz w:val="15"/>
                <w:szCs w:val="15"/>
              </w:rPr>
            </w:pPr>
            <w:r>
              <w:rPr>
                <w:sz w:val="15"/>
                <w:szCs w:val="15"/>
                <w:spacing w:val="-2"/>
              </w:rPr>
              <w:t>254</w:t>
            </w:r>
          </w:p>
        </w:tc>
        <w:tc>
          <w:tcPr>
            <w:tcW w:w="329" w:type="dxa"/>
            <w:vAlign w:val="top"/>
          </w:tcPr>
          <w:p>
            <w:pPr>
              <w:pStyle w:val="TableText"/>
              <w:ind w:left="48"/>
              <w:spacing w:before="118" w:line="198" w:lineRule="auto"/>
              <w:rPr>
                <w:sz w:val="15"/>
                <w:szCs w:val="15"/>
              </w:rPr>
            </w:pPr>
            <w:r>
              <w:rPr>
                <w:sz w:val="15"/>
                <w:szCs w:val="15"/>
                <w:spacing w:val="-2"/>
              </w:rPr>
              <w:t>268</w:t>
            </w:r>
          </w:p>
        </w:tc>
        <w:tc>
          <w:tcPr>
            <w:tcW w:w="320" w:type="dxa"/>
            <w:vAlign w:val="top"/>
          </w:tcPr>
          <w:p>
            <w:pPr>
              <w:pStyle w:val="TableText"/>
              <w:ind w:left="38"/>
              <w:spacing w:before="118" w:line="198" w:lineRule="auto"/>
              <w:rPr>
                <w:sz w:val="15"/>
                <w:szCs w:val="15"/>
              </w:rPr>
            </w:pPr>
            <w:r>
              <w:rPr>
                <w:sz w:val="15"/>
                <w:szCs w:val="15"/>
                <w:spacing w:val="-2"/>
              </w:rPr>
              <w:t>283</w:t>
            </w:r>
          </w:p>
        </w:tc>
        <w:tc>
          <w:tcPr>
            <w:tcW w:w="330" w:type="dxa"/>
            <w:vAlign w:val="top"/>
          </w:tcPr>
          <w:p>
            <w:pPr>
              <w:pStyle w:val="TableText"/>
              <w:ind w:left="49"/>
              <w:spacing w:before="118" w:line="198" w:lineRule="auto"/>
              <w:rPr>
                <w:sz w:val="15"/>
                <w:szCs w:val="15"/>
              </w:rPr>
            </w:pPr>
            <w:r>
              <w:rPr>
                <w:sz w:val="15"/>
                <w:szCs w:val="15"/>
                <w:spacing w:val="-2"/>
              </w:rPr>
              <w:t>297</w:t>
            </w:r>
          </w:p>
        </w:tc>
        <w:tc>
          <w:tcPr>
            <w:tcW w:w="329" w:type="dxa"/>
            <w:vAlign w:val="top"/>
          </w:tcPr>
          <w:p>
            <w:pPr>
              <w:pStyle w:val="TableText"/>
              <w:ind w:left="38"/>
              <w:spacing w:before="88" w:line="235" w:lineRule="auto"/>
              <w:rPr>
                <w:sz w:val="15"/>
                <w:szCs w:val="15"/>
              </w:rPr>
            </w:pPr>
            <w:r>
              <w:rPr>
                <w:sz w:val="15"/>
                <w:szCs w:val="15"/>
                <w:spacing w:val="-2"/>
              </w:rPr>
              <w:t>311</w:t>
            </w:r>
          </w:p>
        </w:tc>
        <w:tc>
          <w:tcPr>
            <w:tcW w:w="330" w:type="dxa"/>
            <w:vAlign w:val="top"/>
          </w:tcPr>
          <w:p>
            <w:pPr>
              <w:pStyle w:val="TableText"/>
              <w:ind w:left="49"/>
              <w:spacing w:before="118" w:line="198" w:lineRule="auto"/>
              <w:rPr>
                <w:sz w:val="15"/>
                <w:szCs w:val="15"/>
              </w:rPr>
            </w:pPr>
            <w:r>
              <w:rPr>
                <w:sz w:val="15"/>
                <w:szCs w:val="15"/>
                <w:spacing w:val="-2"/>
              </w:rPr>
              <w:t>325</w:t>
            </w:r>
          </w:p>
        </w:tc>
        <w:tc>
          <w:tcPr>
            <w:tcW w:w="320" w:type="dxa"/>
            <w:vAlign w:val="top"/>
          </w:tcPr>
          <w:p>
            <w:pPr>
              <w:pStyle w:val="TableText"/>
              <w:ind w:left="39"/>
              <w:spacing w:before="118" w:line="198" w:lineRule="auto"/>
              <w:rPr>
                <w:sz w:val="15"/>
                <w:szCs w:val="15"/>
              </w:rPr>
            </w:pPr>
            <w:r>
              <w:rPr>
                <w:sz w:val="15"/>
                <w:szCs w:val="15"/>
                <w:spacing w:val="-2"/>
              </w:rPr>
              <w:t>339</w:t>
            </w:r>
          </w:p>
        </w:tc>
        <w:tc>
          <w:tcPr>
            <w:tcW w:w="344" w:type="dxa"/>
            <w:vAlign w:val="top"/>
          </w:tcPr>
          <w:p>
            <w:pPr>
              <w:pStyle w:val="TableText"/>
              <w:ind w:left="50"/>
              <w:spacing w:before="88" w:line="235" w:lineRule="auto"/>
              <w:rPr>
                <w:sz w:val="15"/>
                <w:szCs w:val="15"/>
              </w:rPr>
            </w:pPr>
            <w:r>
              <w:rPr>
                <w:sz w:val="15"/>
                <w:szCs w:val="15"/>
                <w:spacing w:val="-2"/>
              </w:rPr>
              <w:t>353</w:t>
            </w:r>
          </w:p>
        </w:tc>
      </w:tr>
      <w:tr>
        <w:trPr>
          <w:trHeight w:val="280" w:hRule="atLeast"/>
        </w:trPr>
        <w:tc>
          <w:tcPr>
            <w:tcW w:w="864" w:type="dxa"/>
            <w:vAlign w:val="top"/>
          </w:tcPr>
          <w:p>
            <w:pPr>
              <w:pStyle w:val="TableText"/>
              <w:ind w:right="7"/>
              <w:spacing w:before="99" w:line="210" w:lineRule="auto"/>
              <w:jc w:val="right"/>
              <w:rPr>
                <w:sz w:val="15"/>
                <w:szCs w:val="15"/>
              </w:rPr>
            </w:pPr>
            <w:r>
              <w:rPr>
                <w:sz w:val="15"/>
                <w:szCs w:val="15"/>
                <w:spacing w:val="-5"/>
              </w:rPr>
              <w:t>19</w:t>
            </w:r>
          </w:p>
        </w:tc>
        <w:tc>
          <w:tcPr>
            <w:tcW w:w="330" w:type="dxa"/>
            <w:vAlign w:val="top"/>
          </w:tcPr>
          <w:p>
            <w:pPr>
              <w:pStyle w:val="TableText"/>
              <w:ind w:left="10"/>
              <w:spacing w:before="118" w:line="186" w:lineRule="auto"/>
              <w:rPr>
                <w:sz w:val="15"/>
                <w:szCs w:val="15"/>
              </w:rPr>
            </w:pPr>
            <w:r>
              <w:rPr>
                <w:sz w:val="15"/>
                <w:szCs w:val="15"/>
                <w:spacing w:val="-4"/>
              </w:rPr>
              <w:t>149</w:t>
            </w:r>
          </w:p>
        </w:tc>
        <w:tc>
          <w:tcPr>
            <w:tcW w:w="319" w:type="dxa"/>
            <w:vAlign w:val="top"/>
          </w:tcPr>
          <w:p>
            <w:pPr>
              <w:pStyle w:val="TableText"/>
              <w:ind w:left="111"/>
              <w:spacing w:before="99" w:line="210" w:lineRule="auto"/>
              <w:rPr>
                <w:sz w:val="15"/>
                <w:szCs w:val="15"/>
              </w:rPr>
            </w:pPr>
            <w:r>
              <w:rPr>
                <w:sz w:val="15"/>
                <w:szCs w:val="15"/>
                <w:spacing w:val="-3"/>
              </w:rPr>
              <w:t>30</w:t>
            </w:r>
          </w:p>
        </w:tc>
        <w:tc>
          <w:tcPr>
            <w:tcW w:w="329" w:type="dxa"/>
            <w:vAlign w:val="top"/>
          </w:tcPr>
          <w:p>
            <w:pPr>
              <w:pStyle w:val="TableText"/>
              <w:ind w:left="131"/>
              <w:spacing w:before="129" w:line="173" w:lineRule="auto"/>
              <w:rPr>
                <w:sz w:val="15"/>
                <w:szCs w:val="15"/>
              </w:rPr>
            </w:pPr>
            <w:r>
              <w:rPr>
                <w:sz w:val="15"/>
                <w:szCs w:val="15"/>
                <w:spacing w:val="-2"/>
              </w:rPr>
              <w:t>45</w:t>
            </w:r>
          </w:p>
        </w:tc>
        <w:tc>
          <w:tcPr>
            <w:tcW w:w="330" w:type="dxa"/>
            <w:vAlign w:val="top"/>
          </w:tcPr>
          <w:p>
            <w:pPr>
              <w:pStyle w:val="TableText"/>
              <w:spacing w:before="99" w:line="210" w:lineRule="auto"/>
              <w:jc w:val="right"/>
              <w:rPr>
                <w:sz w:val="15"/>
                <w:szCs w:val="15"/>
              </w:rPr>
            </w:pPr>
            <w:r>
              <w:rPr>
                <w:sz w:val="15"/>
                <w:szCs w:val="15"/>
                <w:spacing w:val="-2"/>
              </w:rPr>
              <w:t>60</w:t>
            </w:r>
          </w:p>
        </w:tc>
        <w:tc>
          <w:tcPr>
            <w:tcW w:w="330" w:type="dxa"/>
            <w:vAlign w:val="top"/>
          </w:tcPr>
          <w:p>
            <w:pPr>
              <w:pStyle w:val="TableText"/>
              <w:ind w:right="1"/>
              <w:spacing w:before="99" w:line="210" w:lineRule="auto"/>
              <w:jc w:val="right"/>
              <w:rPr>
                <w:sz w:val="15"/>
                <w:szCs w:val="15"/>
              </w:rPr>
            </w:pPr>
            <w:r>
              <w:rPr>
                <w:sz w:val="15"/>
                <w:szCs w:val="15"/>
                <w:spacing w:val="-3"/>
              </w:rPr>
              <w:t>75</w:t>
            </w:r>
          </w:p>
        </w:tc>
        <w:tc>
          <w:tcPr>
            <w:tcW w:w="330" w:type="dxa"/>
            <w:vAlign w:val="top"/>
          </w:tcPr>
          <w:p>
            <w:pPr>
              <w:pStyle w:val="TableText"/>
              <w:ind w:right="10"/>
              <w:spacing w:before="129" w:line="173" w:lineRule="auto"/>
              <w:jc w:val="right"/>
              <w:rPr>
                <w:sz w:val="15"/>
                <w:szCs w:val="15"/>
              </w:rPr>
            </w:pPr>
            <w:r>
              <w:rPr>
                <w:sz w:val="15"/>
                <w:szCs w:val="15"/>
                <w:spacing w:val="-2"/>
              </w:rPr>
              <w:t>89</w:t>
            </w:r>
          </w:p>
        </w:tc>
        <w:tc>
          <w:tcPr>
            <w:tcW w:w="329" w:type="dxa"/>
            <w:vAlign w:val="top"/>
          </w:tcPr>
          <w:p>
            <w:pPr>
              <w:pStyle w:val="TableText"/>
              <w:ind w:left="52"/>
              <w:spacing w:before="118" w:line="186" w:lineRule="auto"/>
              <w:rPr>
                <w:sz w:val="15"/>
                <w:szCs w:val="15"/>
              </w:rPr>
            </w:pPr>
            <w:r>
              <w:rPr>
                <w:sz w:val="15"/>
                <w:szCs w:val="15"/>
                <w:spacing w:val="-4"/>
              </w:rPr>
              <w:t>104</w:t>
            </w:r>
          </w:p>
        </w:tc>
        <w:tc>
          <w:tcPr>
            <w:tcW w:w="330" w:type="dxa"/>
            <w:vAlign w:val="top"/>
          </w:tcPr>
          <w:p>
            <w:pPr>
              <w:pStyle w:val="TableText"/>
              <w:ind w:left="83"/>
              <w:spacing w:before="118" w:line="186" w:lineRule="auto"/>
              <w:rPr>
                <w:sz w:val="15"/>
                <w:szCs w:val="15"/>
              </w:rPr>
            </w:pPr>
            <w:r>
              <w:rPr>
                <w:sz w:val="15"/>
                <w:szCs w:val="15"/>
                <w:spacing w:val="-4"/>
              </w:rPr>
              <w:t>119</w:t>
            </w:r>
          </w:p>
        </w:tc>
        <w:tc>
          <w:tcPr>
            <w:tcW w:w="330" w:type="dxa"/>
            <w:vAlign w:val="top"/>
          </w:tcPr>
          <w:p>
            <w:pPr>
              <w:pStyle w:val="TableText"/>
              <w:ind w:left="63"/>
              <w:spacing w:before="118" w:line="186" w:lineRule="auto"/>
              <w:rPr>
                <w:sz w:val="15"/>
                <w:szCs w:val="15"/>
              </w:rPr>
            </w:pPr>
            <w:r>
              <w:rPr>
                <w:sz w:val="15"/>
                <w:szCs w:val="15"/>
                <w:spacing w:val="-4"/>
              </w:rPr>
              <w:t>134</w:t>
            </w:r>
          </w:p>
        </w:tc>
        <w:tc>
          <w:tcPr>
            <w:tcW w:w="330" w:type="dxa"/>
            <w:vAlign w:val="top"/>
          </w:tcPr>
          <w:p>
            <w:pPr>
              <w:pStyle w:val="TableText"/>
              <w:ind w:left="34"/>
              <w:spacing w:before="118" w:line="186" w:lineRule="auto"/>
              <w:rPr>
                <w:sz w:val="15"/>
                <w:szCs w:val="15"/>
              </w:rPr>
            </w:pPr>
            <w:r>
              <w:rPr>
                <w:sz w:val="15"/>
                <w:szCs w:val="15"/>
                <w:spacing w:val="-4"/>
              </w:rPr>
              <w:t>149</w:t>
            </w:r>
          </w:p>
        </w:tc>
        <w:tc>
          <w:tcPr>
            <w:tcW w:w="309" w:type="dxa"/>
            <w:vAlign w:val="top"/>
          </w:tcPr>
          <w:p>
            <w:pPr>
              <w:pStyle w:val="TableText"/>
              <w:ind w:left="33"/>
              <w:spacing w:before="118" w:line="186" w:lineRule="auto"/>
              <w:rPr>
                <w:sz w:val="15"/>
                <w:szCs w:val="15"/>
              </w:rPr>
            </w:pPr>
            <w:r>
              <w:rPr>
                <w:sz w:val="15"/>
                <w:szCs w:val="15"/>
                <w:spacing w:val="-4"/>
              </w:rPr>
              <w:t>164</w:t>
            </w:r>
          </w:p>
        </w:tc>
        <w:tc>
          <w:tcPr>
            <w:tcW w:w="330" w:type="dxa"/>
            <w:vAlign w:val="top"/>
          </w:tcPr>
          <w:p>
            <w:pPr>
              <w:pStyle w:val="TableText"/>
              <w:ind w:right="11"/>
              <w:spacing w:before="118" w:line="186" w:lineRule="auto"/>
              <w:jc w:val="right"/>
              <w:rPr>
                <w:sz w:val="15"/>
                <w:szCs w:val="15"/>
              </w:rPr>
            </w:pPr>
            <w:r>
              <w:rPr>
                <w:sz w:val="15"/>
                <w:szCs w:val="15"/>
                <w:spacing w:val="-4"/>
              </w:rPr>
              <w:t>179</w:t>
            </w:r>
          </w:p>
        </w:tc>
        <w:tc>
          <w:tcPr>
            <w:tcW w:w="330" w:type="dxa"/>
            <w:vAlign w:val="top"/>
          </w:tcPr>
          <w:p>
            <w:pPr>
              <w:pStyle w:val="TableText"/>
              <w:ind w:left="74"/>
              <w:spacing w:before="118" w:line="186" w:lineRule="auto"/>
              <w:rPr>
                <w:sz w:val="15"/>
                <w:szCs w:val="15"/>
              </w:rPr>
            </w:pPr>
            <w:r>
              <w:rPr>
                <w:sz w:val="15"/>
                <w:szCs w:val="15"/>
                <w:spacing w:val="-4"/>
              </w:rPr>
              <w:t>194</w:t>
            </w:r>
          </w:p>
        </w:tc>
        <w:tc>
          <w:tcPr>
            <w:tcW w:w="319" w:type="dxa"/>
            <w:vAlign w:val="top"/>
          </w:tcPr>
          <w:p>
            <w:pPr>
              <w:pStyle w:val="TableText"/>
              <w:ind w:left="54"/>
              <w:spacing w:before="118" w:line="186" w:lineRule="auto"/>
              <w:rPr>
                <w:sz w:val="15"/>
                <w:szCs w:val="15"/>
              </w:rPr>
            </w:pPr>
            <w:r>
              <w:rPr>
                <w:sz w:val="15"/>
                <w:szCs w:val="15"/>
                <w:spacing w:val="-2"/>
              </w:rPr>
              <w:t>209</w:t>
            </w:r>
          </w:p>
        </w:tc>
        <w:tc>
          <w:tcPr>
            <w:tcW w:w="339" w:type="dxa"/>
            <w:vAlign w:val="top"/>
          </w:tcPr>
          <w:p>
            <w:pPr>
              <w:pStyle w:val="TableText"/>
              <w:ind w:left="45"/>
              <w:spacing w:before="99" w:line="210" w:lineRule="auto"/>
              <w:rPr>
                <w:sz w:val="15"/>
                <w:szCs w:val="15"/>
              </w:rPr>
            </w:pPr>
            <w:r>
              <w:rPr>
                <w:sz w:val="15"/>
                <w:szCs w:val="15"/>
                <w:spacing w:val="-2"/>
              </w:rPr>
              <w:t>224</w:t>
            </w:r>
          </w:p>
        </w:tc>
        <w:tc>
          <w:tcPr>
            <w:tcW w:w="320" w:type="dxa"/>
            <w:vAlign w:val="top"/>
          </w:tcPr>
          <w:p>
            <w:pPr>
              <w:pStyle w:val="TableText"/>
              <w:ind w:left="37"/>
              <w:spacing w:before="99" w:line="210" w:lineRule="auto"/>
              <w:rPr>
                <w:sz w:val="15"/>
                <w:szCs w:val="15"/>
              </w:rPr>
            </w:pPr>
            <w:r>
              <w:rPr>
                <w:sz w:val="15"/>
                <w:szCs w:val="15"/>
                <w:spacing w:val="-2"/>
              </w:rPr>
              <w:t>239</w:t>
            </w:r>
          </w:p>
        </w:tc>
        <w:tc>
          <w:tcPr>
            <w:tcW w:w="329" w:type="dxa"/>
            <w:vAlign w:val="top"/>
          </w:tcPr>
          <w:p>
            <w:pPr>
              <w:pStyle w:val="TableText"/>
              <w:ind w:left="47"/>
              <w:spacing w:before="99" w:line="210" w:lineRule="auto"/>
              <w:rPr>
                <w:sz w:val="15"/>
                <w:szCs w:val="15"/>
              </w:rPr>
            </w:pPr>
            <w:r>
              <w:rPr>
                <w:sz w:val="15"/>
                <w:szCs w:val="15"/>
                <w:spacing w:val="-2"/>
              </w:rPr>
              <w:t>254</w:t>
            </w:r>
          </w:p>
        </w:tc>
        <w:tc>
          <w:tcPr>
            <w:tcW w:w="340" w:type="dxa"/>
            <w:vAlign w:val="top"/>
          </w:tcPr>
          <w:p>
            <w:pPr>
              <w:pStyle w:val="TableText"/>
              <w:ind w:right="2"/>
              <w:spacing w:before="118" w:line="186" w:lineRule="auto"/>
              <w:jc w:val="right"/>
              <w:rPr>
                <w:sz w:val="15"/>
                <w:szCs w:val="15"/>
              </w:rPr>
            </w:pPr>
            <w:r>
              <w:rPr>
                <w:sz w:val="15"/>
                <w:szCs w:val="15"/>
                <w:spacing w:val="-2"/>
              </w:rPr>
              <w:t>268</w:t>
            </w:r>
          </w:p>
        </w:tc>
        <w:tc>
          <w:tcPr>
            <w:tcW w:w="329" w:type="dxa"/>
            <w:vAlign w:val="top"/>
          </w:tcPr>
          <w:p>
            <w:pPr>
              <w:pStyle w:val="TableText"/>
              <w:ind w:left="37"/>
              <w:spacing w:before="99" w:line="210" w:lineRule="auto"/>
              <w:rPr>
                <w:sz w:val="15"/>
                <w:szCs w:val="15"/>
              </w:rPr>
            </w:pPr>
            <w:r>
              <w:rPr>
                <w:sz w:val="15"/>
                <w:szCs w:val="15"/>
                <w:spacing w:val="-2"/>
              </w:rPr>
              <w:t>283</w:t>
            </w:r>
          </w:p>
        </w:tc>
        <w:tc>
          <w:tcPr>
            <w:tcW w:w="320" w:type="dxa"/>
            <w:vAlign w:val="top"/>
          </w:tcPr>
          <w:p>
            <w:pPr>
              <w:pStyle w:val="TableText"/>
              <w:ind w:left="38"/>
              <w:spacing w:before="99" w:line="210" w:lineRule="auto"/>
              <w:rPr>
                <w:sz w:val="15"/>
                <w:szCs w:val="15"/>
              </w:rPr>
            </w:pPr>
            <w:r>
              <w:rPr>
                <w:sz w:val="15"/>
                <w:szCs w:val="15"/>
                <w:spacing w:val="-2"/>
              </w:rPr>
              <w:t>298</w:t>
            </w:r>
          </w:p>
        </w:tc>
        <w:tc>
          <w:tcPr>
            <w:tcW w:w="330" w:type="dxa"/>
            <w:vAlign w:val="top"/>
          </w:tcPr>
          <w:p>
            <w:pPr>
              <w:pStyle w:val="TableText"/>
              <w:ind w:left="49"/>
              <w:spacing w:before="118" w:line="186" w:lineRule="auto"/>
              <w:rPr>
                <w:sz w:val="15"/>
                <w:szCs w:val="15"/>
              </w:rPr>
            </w:pPr>
            <w:r>
              <w:rPr>
                <w:sz w:val="15"/>
                <w:szCs w:val="15"/>
                <w:spacing w:val="-2"/>
              </w:rPr>
              <w:t>313</w:t>
            </w:r>
          </w:p>
        </w:tc>
        <w:tc>
          <w:tcPr>
            <w:tcW w:w="329" w:type="dxa"/>
            <w:vAlign w:val="top"/>
          </w:tcPr>
          <w:p>
            <w:pPr>
              <w:pStyle w:val="TableText"/>
              <w:ind w:left="49"/>
              <w:spacing w:before="118" w:line="186" w:lineRule="auto"/>
              <w:rPr>
                <w:sz w:val="15"/>
                <w:szCs w:val="15"/>
              </w:rPr>
            </w:pPr>
            <w:r>
              <w:rPr>
                <w:sz w:val="15"/>
                <w:szCs w:val="15"/>
                <w:spacing w:val="-2"/>
              </w:rPr>
              <w:t>328</w:t>
            </w:r>
          </w:p>
        </w:tc>
        <w:tc>
          <w:tcPr>
            <w:tcW w:w="330" w:type="dxa"/>
            <w:vAlign w:val="top"/>
          </w:tcPr>
          <w:p>
            <w:pPr>
              <w:pStyle w:val="TableText"/>
              <w:ind w:left="49"/>
              <w:spacing w:before="118" w:line="186" w:lineRule="auto"/>
              <w:rPr>
                <w:sz w:val="15"/>
                <w:szCs w:val="15"/>
              </w:rPr>
            </w:pPr>
            <w:r>
              <w:rPr>
                <w:sz w:val="15"/>
                <w:szCs w:val="15"/>
                <w:spacing w:val="-2"/>
              </w:rPr>
              <w:t>343</w:t>
            </w:r>
          </w:p>
        </w:tc>
        <w:tc>
          <w:tcPr>
            <w:tcW w:w="320" w:type="dxa"/>
            <w:vAlign w:val="top"/>
          </w:tcPr>
          <w:p>
            <w:pPr>
              <w:pStyle w:val="TableText"/>
              <w:ind w:left="39"/>
              <w:spacing w:before="118" w:line="186" w:lineRule="auto"/>
              <w:rPr>
                <w:sz w:val="15"/>
                <w:szCs w:val="15"/>
              </w:rPr>
            </w:pPr>
            <w:r>
              <w:rPr>
                <w:sz w:val="15"/>
                <w:szCs w:val="15"/>
                <w:spacing w:val="-2"/>
              </w:rPr>
              <w:t>358</w:t>
            </w:r>
          </w:p>
        </w:tc>
        <w:tc>
          <w:tcPr>
            <w:tcW w:w="344" w:type="dxa"/>
            <w:vAlign w:val="top"/>
          </w:tcPr>
          <w:p>
            <w:pPr>
              <w:pStyle w:val="TableText"/>
              <w:ind w:left="50"/>
              <w:spacing w:before="99" w:line="210" w:lineRule="auto"/>
              <w:rPr>
                <w:sz w:val="15"/>
                <w:szCs w:val="15"/>
              </w:rPr>
            </w:pPr>
            <w:r>
              <w:rPr>
                <w:sz w:val="15"/>
                <w:szCs w:val="15"/>
                <w:spacing w:val="-2"/>
              </w:rPr>
              <w:t>373</w:t>
            </w:r>
          </w:p>
        </w:tc>
      </w:tr>
      <w:tr>
        <w:trPr>
          <w:trHeight w:val="279" w:hRule="atLeast"/>
        </w:trPr>
        <w:tc>
          <w:tcPr>
            <w:tcW w:w="864" w:type="dxa"/>
            <w:vAlign w:val="top"/>
          </w:tcPr>
          <w:p>
            <w:pPr>
              <w:pStyle w:val="TableText"/>
              <w:ind w:right="2"/>
              <w:spacing w:before="99" w:line="209" w:lineRule="auto"/>
              <w:jc w:val="right"/>
              <w:rPr>
                <w:sz w:val="15"/>
                <w:szCs w:val="15"/>
              </w:rPr>
            </w:pPr>
            <w:r>
              <w:rPr>
                <w:sz w:val="15"/>
                <w:szCs w:val="15"/>
                <w:spacing w:val="-2"/>
              </w:rPr>
              <w:t>20</w:t>
            </w:r>
          </w:p>
        </w:tc>
        <w:tc>
          <w:tcPr>
            <w:tcW w:w="330" w:type="dxa"/>
            <w:vAlign w:val="top"/>
          </w:tcPr>
          <w:p>
            <w:pPr>
              <w:pStyle w:val="TableText"/>
              <w:ind w:left="10"/>
              <w:spacing w:before="99" w:line="209" w:lineRule="auto"/>
              <w:rPr>
                <w:sz w:val="15"/>
                <w:szCs w:val="15"/>
              </w:rPr>
            </w:pPr>
            <w:r>
              <w:rPr>
                <w:sz w:val="15"/>
                <w:szCs w:val="15"/>
                <w:spacing w:val="-4"/>
              </w:rPr>
              <w:t>15.7</w:t>
            </w:r>
          </w:p>
        </w:tc>
        <w:tc>
          <w:tcPr>
            <w:tcW w:w="319" w:type="dxa"/>
            <w:vAlign w:val="top"/>
          </w:tcPr>
          <w:p>
            <w:pPr>
              <w:pStyle w:val="TableText"/>
              <w:ind w:left="11"/>
              <w:spacing w:before="118" w:line="185" w:lineRule="auto"/>
              <w:rPr>
                <w:sz w:val="15"/>
                <w:szCs w:val="15"/>
              </w:rPr>
            </w:pPr>
            <w:r>
              <w:rPr>
                <w:sz w:val="15"/>
                <w:szCs w:val="15"/>
                <w:spacing w:val="-2"/>
              </w:rPr>
              <w:t>31.4</w:t>
            </w:r>
          </w:p>
        </w:tc>
        <w:tc>
          <w:tcPr>
            <w:tcW w:w="329" w:type="dxa"/>
            <w:vAlign w:val="top"/>
          </w:tcPr>
          <w:p>
            <w:pPr>
              <w:pStyle w:val="TableText"/>
              <w:ind w:left="131"/>
              <w:spacing w:before="118" w:line="185" w:lineRule="auto"/>
              <w:rPr>
                <w:sz w:val="15"/>
                <w:szCs w:val="15"/>
              </w:rPr>
            </w:pPr>
            <w:r>
              <w:rPr>
                <w:sz w:val="15"/>
                <w:szCs w:val="15"/>
                <w:spacing w:val="-2"/>
              </w:rPr>
              <w:t>47</w:t>
            </w:r>
          </w:p>
        </w:tc>
        <w:tc>
          <w:tcPr>
            <w:tcW w:w="330" w:type="dxa"/>
            <w:vAlign w:val="top"/>
          </w:tcPr>
          <w:p>
            <w:pPr>
              <w:pStyle w:val="TableText"/>
              <w:spacing w:before="99" w:line="209" w:lineRule="auto"/>
              <w:jc w:val="right"/>
              <w:rPr>
                <w:sz w:val="15"/>
                <w:szCs w:val="15"/>
              </w:rPr>
            </w:pPr>
            <w:r>
              <w:rPr>
                <w:sz w:val="15"/>
                <w:szCs w:val="15"/>
                <w:spacing w:val="-2"/>
              </w:rPr>
              <w:t>63</w:t>
            </w:r>
          </w:p>
        </w:tc>
        <w:tc>
          <w:tcPr>
            <w:tcW w:w="330" w:type="dxa"/>
            <w:vAlign w:val="top"/>
          </w:tcPr>
          <w:p>
            <w:pPr>
              <w:pStyle w:val="TableText"/>
              <w:ind w:right="1"/>
              <w:spacing w:before="129" w:line="172" w:lineRule="auto"/>
              <w:jc w:val="right"/>
              <w:rPr>
                <w:sz w:val="15"/>
                <w:szCs w:val="15"/>
              </w:rPr>
            </w:pPr>
            <w:r>
              <w:rPr>
                <w:sz w:val="15"/>
                <w:szCs w:val="15"/>
                <w:spacing w:val="-3"/>
              </w:rPr>
              <w:t>79</w:t>
            </w:r>
          </w:p>
        </w:tc>
        <w:tc>
          <w:tcPr>
            <w:tcW w:w="330" w:type="dxa"/>
            <w:vAlign w:val="top"/>
          </w:tcPr>
          <w:p>
            <w:pPr>
              <w:pStyle w:val="TableText"/>
              <w:ind w:right="10"/>
              <w:spacing w:before="129" w:line="172" w:lineRule="auto"/>
              <w:jc w:val="right"/>
              <w:rPr>
                <w:sz w:val="15"/>
                <w:szCs w:val="15"/>
              </w:rPr>
            </w:pPr>
            <w:r>
              <w:rPr>
                <w:sz w:val="15"/>
                <w:szCs w:val="15"/>
                <w:spacing w:val="-2"/>
              </w:rPr>
              <w:t>94</w:t>
            </w:r>
          </w:p>
        </w:tc>
        <w:tc>
          <w:tcPr>
            <w:tcW w:w="329" w:type="dxa"/>
            <w:vAlign w:val="top"/>
          </w:tcPr>
          <w:p>
            <w:pPr>
              <w:pStyle w:val="TableText"/>
              <w:ind w:left="43"/>
              <w:spacing w:before="118" w:line="185" w:lineRule="auto"/>
              <w:rPr>
                <w:sz w:val="15"/>
                <w:szCs w:val="15"/>
              </w:rPr>
            </w:pPr>
            <w:r>
              <w:rPr>
                <w:sz w:val="15"/>
                <w:szCs w:val="15"/>
                <w:spacing w:val="-4"/>
              </w:rPr>
              <w:t>110</w:t>
            </w:r>
          </w:p>
        </w:tc>
        <w:tc>
          <w:tcPr>
            <w:tcW w:w="330" w:type="dxa"/>
            <w:vAlign w:val="top"/>
          </w:tcPr>
          <w:p>
            <w:pPr>
              <w:pStyle w:val="TableText"/>
              <w:ind w:left="83"/>
              <w:spacing w:before="118" w:line="185" w:lineRule="auto"/>
              <w:rPr>
                <w:sz w:val="15"/>
                <w:szCs w:val="15"/>
              </w:rPr>
            </w:pPr>
            <w:r>
              <w:rPr>
                <w:sz w:val="15"/>
                <w:szCs w:val="15"/>
                <w:spacing w:val="-4"/>
              </w:rPr>
              <w:t>126</w:t>
            </w:r>
          </w:p>
        </w:tc>
        <w:tc>
          <w:tcPr>
            <w:tcW w:w="330" w:type="dxa"/>
            <w:vAlign w:val="top"/>
          </w:tcPr>
          <w:p>
            <w:pPr>
              <w:pStyle w:val="TableText"/>
              <w:ind w:left="73"/>
              <w:spacing w:before="118" w:line="185" w:lineRule="auto"/>
              <w:rPr>
                <w:sz w:val="15"/>
                <w:szCs w:val="15"/>
              </w:rPr>
            </w:pPr>
            <w:r>
              <w:rPr>
                <w:sz w:val="15"/>
                <w:szCs w:val="15"/>
                <w:spacing w:val="-4"/>
              </w:rPr>
              <w:t>141</w:t>
            </w:r>
          </w:p>
        </w:tc>
        <w:tc>
          <w:tcPr>
            <w:tcW w:w="330" w:type="dxa"/>
            <w:vAlign w:val="top"/>
          </w:tcPr>
          <w:p>
            <w:pPr>
              <w:pStyle w:val="TableText"/>
              <w:ind w:left="64"/>
              <w:spacing w:before="118" w:line="185" w:lineRule="auto"/>
              <w:rPr>
                <w:sz w:val="15"/>
                <w:szCs w:val="15"/>
              </w:rPr>
            </w:pPr>
            <w:r>
              <w:rPr>
                <w:sz w:val="15"/>
                <w:szCs w:val="15"/>
                <w:spacing w:val="-4"/>
              </w:rPr>
              <w:t>157</w:t>
            </w:r>
          </w:p>
        </w:tc>
        <w:tc>
          <w:tcPr>
            <w:tcW w:w="309" w:type="dxa"/>
            <w:vAlign w:val="top"/>
          </w:tcPr>
          <w:p>
            <w:pPr>
              <w:pStyle w:val="TableText"/>
              <w:ind w:left="33"/>
              <w:spacing w:before="118" w:line="185" w:lineRule="auto"/>
              <w:rPr>
                <w:sz w:val="15"/>
                <w:szCs w:val="15"/>
              </w:rPr>
            </w:pPr>
            <w:r>
              <w:rPr>
                <w:sz w:val="15"/>
                <w:szCs w:val="15"/>
                <w:spacing w:val="-4"/>
              </w:rPr>
              <w:t>173</w:t>
            </w:r>
          </w:p>
        </w:tc>
        <w:tc>
          <w:tcPr>
            <w:tcW w:w="330" w:type="dxa"/>
            <w:vAlign w:val="top"/>
          </w:tcPr>
          <w:p>
            <w:pPr>
              <w:pStyle w:val="TableText"/>
              <w:ind w:left="84"/>
              <w:spacing w:before="118" w:line="185" w:lineRule="auto"/>
              <w:rPr>
                <w:sz w:val="15"/>
                <w:szCs w:val="15"/>
              </w:rPr>
            </w:pPr>
            <w:r>
              <w:rPr>
                <w:sz w:val="15"/>
                <w:szCs w:val="15"/>
                <w:spacing w:val="-4"/>
              </w:rPr>
              <w:t>188</w:t>
            </w:r>
          </w:p>
        </w:tc>
        <w:tc>
          <w:tcPr>
            <w:tcW w:w="330" w:type="dxa"/>
            <w:vAlign w:val="top"/>
          </w:tcPr>
          <w:p>
            <w:pPr>
              <w:pStyle w:val="TableText"/>
              <w:ind w:left="74"/>
              <w:spacing w:before="99" w:line="209" w:lineRule="auto"/>
              <w:rPr>
                <w:sz w:val="15"/>
                <w:szCs w:val="15"/>
              </w:rPr>
            </w:pPr>
            <w:r>
              <w:rPr>
                <w:sz w:val="15"/>
                <w:szCs w:val="15"/>
                <w:spacing w:val="-2"/>
              </w:rPr>
              <w:t>204</w:t>
            </w:r>
          </w:p>
        </w:tc>
        <w:tc>
          <w:tcPr>
            <w:tcW w:w="319" w:type="dxa"/>
            <w:vAlign w:val="top"/>
          </w:tcPr>
          <w:p>
            <w:pPr>
              <w:pStyle w:val="TableText"/>
              <w:ind w:left="54"/>
              <w:spacing w:before="89" w:line="221" w:lineRule="auto"/>
              <w:rPr>
                <w:sz w:val="15"/>
                <w:szCs w:val="15"/>
              </w:rPr>
            </w:pPr>
            <w:r>
              <w:rPr>
                <w:sz w:val="15"/>
                <w:szCs w:val="15"/>
                <w:spacing w:val="-2"/>
              </w:rPr>
              <w:t>220</w:t>
            </w:r>
          </w:p>
        </w:tc>
        <w:tc>
          <w:tcPr>
            <w:tcW w:w="339" w:type="dxa"/>
            <w:vAlign w:val="top"/>
          </w:tcPr>
          <w:p>
            <w:pPr>
              <w:pStyle w:val="TableText"/>
              <w:ind w:left="45"/>
              <w:spacing w:before="89" w:line="221" w:lineRule="auto"/>
              <w:rPr>
                <w:sz w:val="15"/>
                <w:szCs w:val="15"/>
              </w:rPr>
            </w:pPr>
            <w:r>
              <w:rPr>
                <w:sz w:val="15"/>
                <w:szCs w:val="15"/>
                <w:spacing w:val="-2"/>
              </w:rPr>
              <w:t>236</w:t>
            </w:r>
          </w:p>
        </w:tc>
        <w:tc>
          <w:tcPr>
            <w:tcW w:w="320" w:type="dxa"/>
            <w:vAlign w:val="top"/>
          </w:tcPr>
          <w:p>
            <w:pPr>
              <w:pStyle w:val="TableText"/>
              <w:ind w:left="37"/>
              <w:spacing w:before="89" w:line="221" w:lineRule="auto"/>
              <w:rPr>
                <w:sz w:val="15"/>
                <w:szCs w:val="15"/>
              </w:rPr>
            </w:pPr>
            <w:r>
              <w:rPr>
                <w:sz w:val="15"/>
                <w:szCs w:val="15"/>
                <w:spacing w:val="-2"/>
              </w:rPr>
              <w:t>251</w:t>
            </w:r>
          </w:p>
        </w:tc>
        <w:tc>
          <w:tcPr>
            <w:tcW w:w="329" w:type="dxa"/>
            <w:vAlign w:val="top"/>
          </w:tcPr>
          <w:p>
            <w:pPr>
              <w:pStyle w:val="TableText"/>
              <w:ind w:left="47"/>
              <w:spacing w:before="129" w:line="172" w:lineRule="auto"/>
              <w:rPr>
                <w:sz w:val="15"/>
                <w:szCs w:val="15"/>
              </w:rPr>
            </w:pPr>
            <w:r>
              <w:rPr>
                <w:sz w:val="15"/>
                <w:szCs w:val="15"/>
                <w:spacing w:val="-2"/>
              </w:rPr>
              <w:t>267</w:t>
            </w:r>
          </w:p>
        </w:tc>
        <w:tc>
          <w:tcPr>
            <w:tcW w:w="340" w:type="dxa"/>
            <w:vAlign w:val="top"/>
          </w:tcPr>
          <w:p>
            <w:pPr>
              <w:pStyle w:val="TableText"/>
              <w:ind w:left="78"/>
              <w:spacing w:before="129" w:line="172" w:lineRule="auto"/>
              <w:rPr>
                <w:sz w:val="15"/>
                <w:szCs w:val="15"/>
              </w:rPr>
            </w:pPr>
            <w:r>
              <w:rPr>
                <w:sz w:val="15"/>
                <w:szCs w:val="15"/>
                <w:spacing w:val="-2"/>
              </w:rPr>
              <w:t>283</w:t>
            </w:r>
          </w:p>
        </w:tc>
        <w:tc>
          <w:tcPr>
            <w:tcW w:w="329" w:type="dxa"/>
            <w:vAlign w:val="top"/>
          </w:tcPr>
          <w:p>
            <w:pPr>
              <w:pStyle w:val="TableText"/>
              <w:ind w:left="48"/>
              <w:spacing w:before="89" w:line="221" w:lineRule="auto"/>
              <w:rPr>
                <w:sz w:val="15"/>
                <w:szCs w:val="15"/>
              </w:rPr>
            </w:pPr>
            <w:r>
              <w:rPr>
                <w:sz w:val="15"/>
                <w:szCs w:val="15"/>
                <w:spacing w:val="-2"/>
              </w:rPr>
              <w:t>293</w:t>
            </w:r>
          </w:p>
        </w:tc>
        <w:tc>
          <w:tcPr>
            <w:tcW w:w="320" w:type="dxa"/>
            <w:vAlign w:val="top"/>
          </w:tcPr>
          <w:p>
            <w:pPr>
              <w:pStyle w:val="TableText"/>
              <w:ind w:left="38"/>
              <w:spacing w:before="89" w:line="221" w:lineRule="auto"/>
              <w:rPr>
                <w:sz w:val="15"/>
                <w:szCs w:val="15"/>
              </w:rPr>
            </w:pPr>
            <w:r>
              <w:rPr>
                <w:sz w:val="15"/>
                <w:szCs w:val="15"/>
                <w:spacing w:val="-2"/>
              </w:rPr>
              <w:t>314</w:t>
            </w:r>
          </w:p>
        </w:tc>
        <w:tc>
          <w:tcPr>
            <w:tcW w:w="330" w:type="dxa"/>
            <w:vAlign w:val="top"/>
          </w:tcPr>
          <w:p>
            <w:pPr>
              <w:pStyle w:val="TableText"/>
              <w:ind w:left="49"/>
              <w:spacing w:before="89" w:line="221" w:lineRule="auto"/>
              <w:rPr>
                <w:sz w:val="15"/>
                <w:szCs w:val="15"/>
              </w:rPr>
            </w:pPr>
            <w:r>
              <w:rPr>
                <w:sz w:val="15"/>
                <w:szCs w:val="15"/>
                <w:spacing w:val="-2"/>
              </w:rPr>
              <w:t>330</w:t>
            </w:r>
          </w:p>
        </w:tc>
        <w:tc>
          <w:tcPr>
            <w:tcW w:w="329" w:type="dxa"/>
            <w:vAlign w:val="top"/>
          </w:tcPr>
          <w:p>
            <w:pPr>
              <w:pStyle w:val="TableText"/>
              <w:ind w:left="49"/>
              <w:spacing w:before="89" w:line="221" w:lineRule="auto"/>
              <w:rPr>
                <w:sz w:val="15"/>
                <w:szCs w:val="15"/>
              </w:rPr>
            </w:pPr>
            <w:r>
              <w:rPr>
                <w:sz w:val="15"/>
                <w:szCs w:val="15"/>
                <w:spacing w:val="-2"/>
              </w:rPr>
              <w:t>345</w:t>
            </w:r>
          </w:p>
        </w:tc>
        <w:tc>
          <w:tcPr>
            <w:tcW w:w="330" w:type="dxa"/>
            <w:vAlign w:val="top"/>
          </w:tcPr>
          <w:p>
            <w:pPr>
              <w:pStyle w:val="TableText"/>
              <w:ind w:left="49"/>
              <w:spacing w:before="89" w:line="221" w:lineRule="auto"/>
              <w:rPr>
                <w:sz w:val="15"/>
                <w:szCs w:val="15"/>
              </w:rPr>
            </w:pPr>
            <w:r>
              <w:rPr>
                <w:sz w:val="15"/>
                <w:szCs w:val="15"/>
                <w:spacing w:val="-2"/>
              </w:rPr>
              <w:t>361</w:t>
            </w:r>
          </w:p>
        </w:tc>
        <w:tc>
          <w:tcPr>
            <w:tcW w:w="320" w:type="dxa"/>
            <w:vAlign w:val="top"/>
          </w:tcPr>
          <w:p>
            <w:pPr>
              <w:pStyle w:val="TableText"/>
              <w:ind w:left="39"/>
              <w:spacing w:before="89" w:line="221" w:lineRule="auto"/>
              <w:rPr>
                <w:sz w:val="15"/>
                <w:szCs w:val="15"/>
              </w:rPr>
            </w:pPr>
            <w:r>
              <w:rPr>
                <w:sz w:val="15"/>
                <w:szCs w:val="15"/>
                <w:spacing w:val="-2"/>
              </w:rPr>
              <w:t>377</w:t>
            </w:r>
          </w:p>
        </w:tc>
        <w:tc>
          <w:tcPr>
            <w:tcW w:w="344" w:type="dxa"/>
            <w:vAlign w:val="top"/>
          </w:tcPr>
          <w:p>
            <w:pPr>
              <w:pStyle w:val="TableText"/>
              <w:ind w:left="50"/>
              <w:spacing w:before="89" w:line="221" w:lineRule="auto"/>
              <w:rPr>
                <w:sz w:val="15"/>
                <w:szCs w:val="15"/>
              </w:rPr>
            </w:pPr>
            <w:r>
              <w:rPr>
                <w:sz w:val="15"/>
                <w:szCs w:val="15"/>
                <w:spacing w:val="-2"/>
              </w:rPr>
              <w:t>393</w:t>
            </w:r>
          </w:p>
        </w:tc>
      </w:tr>
      <w:tr>
        <w:trPr>
          <w:trHeight w:val="270" w:hRule="atLeast"/>
        </w:trPr>
        <w:tc>
          <w:tcPr>
            <w:tcW w:w="864" w:type="dxa"/>
            <w:vAlign w:val="top"/>
          </w:tcPr>
          <w:p>
            <w:pPr>
              <w:pStyle w:val="TableText"/>
              <w:ind w:right="2"/>
              <w:spacing w:before="90" w:line="209" w:lineRule="auto"/>
              <w:jc w:val="right"/>
              <w:rPr>
                <w:sz w:val="15"/>
                <w:szCs w:val="15"/>
              </w:rPr>
            </w:pPr>
            <w:r>
              <w:rPr>
                <w:sz w:val="15"/>
                <w:szCs w:val="15"/>
                <w:spacing w:val="-2"/>
              </w:rPr>
              <w:t>21</w:t>
            </w:r>
          </w:p>
        </w:tc>
        <w:tc>
          <w:tcPr>
            <w:tcW w:w="330" w:type="dxa"/>
            <w:vAlign w:val="top"/>
          </w:tcPr>
          <w:p>
            <w:pPr>
              <w:pStyle w:val="TableText"/>
              <w:ind w:right="1"/>
              <w:spacing w:before="90" w:line="209" w:lineRule="auto"/>
              <w:jc w:val="right"/>
              <w:rPr>
                <w:sz w:val="15"/>
                <w:szCs w:val="15"/>
              </w:rPr>
            </w:pPr>
            <w:r>
              <w:rPr>
                <w:sz w:val="15"/>
                <w:szCs w:val="15"/>
                <w:spacing w:val="-4"/>
              </w:rPr>
              <w:t>16.5</w:t>
            </w:r>
          </w:p>
        </w:tc>
        <w:tc>
          <w:tcPr>
            <w:tcW w:w="319" w:type="dxa"/>
            <w:vAlign w:val="top"/>
          </w:tcPr>
          <w:p>
            <w:pPr>
              <w:pStyle w:val="TableText"/>
              <w:ind w:left="11"/>
              <w:spacing w:before="109" w:line="185" w:lineRule="auto"/>
              <w:rPr>
                <w:sz w:val="15"/>
                <w:szCs w:val="15"/>
              </w:rPr>
            </w:pPr>
            <w:r>
              <w:rPr>
                <w:sz w:val="15"/>
                <w:szCs w:val="15"/>
                <w:spacing w:val="-2"/>
              </w:rPr>
              <w:t>33.0</w:t>
            </w:r>
          </w:p>
        </w:tc>
        <w:tc>
          <w:tcPr>
            <w:tcW w:w="329" w:type="dxa"/>
            <w:vAlign w:val="top"/>
          </w:tcPr>
          <w:p>
            <w:pPr>
              <w:pStyle w:val="TableText"/>
              <w:ind w:left="131"/>
              <w:spacing w:before="90" w:line="209" w:lineRule="auto"/>
              <w:rPr>
                <w:sz w:val="15"/>
                <w:szCs w:val="15"/>
              </w:rPr>
            </w:pPr>
            <w:r>
              <w:rPr>
                <w:sz w:val="15"/>
                <w:szCs w:val="15"/>
                <w:spacing w:val="-2"/>
              </w:rPr>
              <w:t>49</w:t>
            </w:r>
          </w:p>
        </w:tc>
        <w:tc>
          <w:tcPr>
            <w:tcW w:w="330" w:type="dxa"/>
            <w:vAlign w:val="top"/>
          </w:tcPr>
          <w:p>
            <w:pPr>
              <w:pStyle w:val="TableText"/>
              <w:spacing w:before="90" w:line="209" w:lineRule="auto"/>
              <w:jc w:val="right"/>
              <w:rPr>
                <w:sz w:val="15"/>
                <w:szCs w:val="15"/>
              </w:rPr>
            </w:pPr>
            <w:r>
              <w:rPr>
                <w:sz w:val="15"/>
                <w:szCs w:val="15"/>
                <w:spacing w:val="-2"/>
              </w:rPr>
              <w:t>66</w:t>
            </w:r>
          </w:p>
        </w:tc>
        <w:tc>
          <w:tcPr>
            <w:tcW w:w="330" w:type="dxa"/>
            <w:vAlign w:val="top"/>
          </w:tcPr>
          <w:p>
            <w:pPr>
              <w:pStyle w:val="TableText"/>
              <w:spacing w:before="120" w:line="172" w:lineRule="auto"/>
              <w:jc w:val="right"/>
              <w:rPr>
                <w:sz w:val="15"/>
                <w:szCs w:val="15"/>
              </w:rPr>
            </w:pPr>
            <w:r>
              <w:rPr>
                <w:sz w:val="15"/>
                <w:szCs w:val="15"/>
                <w:spacing w:val="-2"/>
              </w:rPr>
              <w:t>82</w:t>
            </w:r>
          </w:p>
        </w:tc>
        <w:tc>
          <w:tcPr>
            <w:tcW w:w="330" w:type="dxa"/>
            <w:vAlign w:val="top"/>
          </w:tcPr>
          <w:p>
            <w:pPr>
              <w:pStyle w:val="TableText"/>
              <w:ind w:right="10"/>
              <w:spacing w:before="120" w:line="172" w:lineRule="auto"/>
              <w:jc w:val="right"/>
              <w:rPr>
                <w:sz w:val="15"/>
                <w:szCs w:val="15"/>
              </w:rPr>
            </w:pPr>
            <w:r>
              <w:rPr>
                <w:sz w:val="15"/>
                <w:szCs w:val="15"/>
                <w:spacing w:val="-2"/>
              </w:rPr>
              <w:t>99</w:t>
            </w:r>
          </w:p>
        </w:tc>
        <w:tc>
          <w:tcPr>
            <w:tcW w:w="329" w:type="dxa"/>
            <w:vAlign w:val="top"/>
          </w:tcPr>
          <w:p>
            <w:pPr>
              <w:pStyle w:val="TableText"/>
              <w:ind w:left="52"/>
              <w:spacing w:before="120" w:line="172" w:lineRule="auto"/>
              <w:rPr>
                <w:sz w:val="15"/>
                <w:szCs w:val="15"/>
              </w:rPr>
            </w:pPr>
            <w:r>
              <w:rPr>
                <w:sz w:val="15"/>
                <w:szCs w:val="15"/>
                <w:spacing w:val="-4"/>
              </w:rPr>
              <w:t>115</w:t>
            </w:r>
          </w:p>
        </w:tc>
        <w:tc>
          <w:tcPr>
            <w:tcW w:w="330" w:type="dxa"/>
            <w:vAlign w:val="top"/>
          </w:tcPr>
          <w:p>
            <w:pPr>
              <w:pStyle w:val="TableText"/>
              <w:ind w:left="83"/>
              <w:spacing w:before="109" w:line="185" w:lineRule="auto"/>
              <w:rPr>
                <w:sz w:val="15"/>
                <w:szCs w:val="15"/>
              </w:rPr>
            </w:pPr>
            <w:r>
              <w:rPr>
                <w:sz w:val="15"/>
                <w:szCs w:val="15"/>
                <w:spacing w:val="-4"/>
              </w:rPr>
              <w:t>132</w:t>
            </w:r>
          </w:p>
        </w:tc>
        <w:tc>
          <w:tcPr>
            <w:tcW w:w="330" w:type="dxa"/>
            <w:vAlign w:val="top"/>
          </w:tcPr>
          <w:p>
            <w:pPr>
              <w:pStyle w:val="TableText"/>
              <w:ind w:left="33"/>
              <w:spacing w:before="109" w:line="185" w:lineRule="auto"/>
              <w:rPr>
                <w:sz w:val="15"/>
                <w:szCs w:val="15"/>
              </w:rPr>
            </w:pPr>
            <w:r>
              <w:rPr>
                <w:sz w:val="15"/>
                <w:szCs w:val="15"/>
                <w:spacing w:val="-4"/>
              </w:rPr>
              <w:t>148</w:t>
            </w:r>
          </w:p>
        </w:tc>
        <w:tc>
          <w:tcPr>
            <w:tcW w:w="330" w:type="dxa"/>
            <w:vAlign w:val="top"/>
          </w:tcPr>
          <w:p>
            <w:pPr>
              <w:pStyle w:val="TableText"/>
              <w:ind w:left="73"/>
              <w:spacing w:before="109" w:line="185" w:lineRule="auto"/>
              <w:rPr>
                <w:sz w:val="15"/>
                <w:szCs w:val="15"/>
              </w:rPr>
            </w:pPr>
            <w:r>
              <w:rPr>
                <w:sz w:val="15"/>
                <w:szCs w:val="15"/>
                <w:spacing w:val="-4"/>
              </w:rPr>
              <w:t>165</w:t>
            </w:r>
          </w:p>
        </w:tc>
        <w:tc>
          <w:tcPr>
            <w:tcW w:w="309" w:type="dxa"/>
            <w:vAlign w:val="top"/>
          </w:tcPr>
          <w:p>
            <w:pPr>
              <w:pStyle w:val="TableText"/>
              <w:ind w:left="33"/>
              <w:spacing w:before="109" w:line="185" w:lineRule="auto"/>
              <w:rPr>
                <w:sz w:val="15"/>
                <w:szCs w:val="15"/>
              </w:rPr>
            </w:pPr>
            <w:r>
              <w:rPr>
                <w:sz w:val="15"/>
                <w:szCs w:val="15"/>
                <w:spacing w:val="-4"/>
              </w:rPr>
              <w:t>181</w:t>
            </w:r>
          </w:p>
        </w:tc>
        <w:tc>
          <w:tcPr>
            <w:tcW w:w="330" w:type="dxa"/>
            <w:vAlign w:val="top"/>
          </w:tcPr>
          <w:p>
            <w:pPr>
              <w:pStyle w:val="TableText"/>
              <w:ind w:right="11"/>
              <w:spacing w:before="109" w:line="185" w:lineRule="auto"/>
              <w:jc w:val="right"/>
              <w:rPr>
                <w:sz w:val="15"/>
                <w:szCs w:val="15"/>
              </w:rPr>
            </w:pPr>
            <w:r>
              <w:rPr>
                <w:sz w:val="15"/>
                <w:szCs w:val="15"/>
                <w:spacing w:val="-4"/>
              </w:rPr>
              <w:t>198</w:t>
            </w:r>
          </w:p>
        </w:tc>
        <w:tc>
          <w:tcPr>
            <w:tcW w:w="330" w:type="dxa"/>
            <w:vAlign w:val="top"/>
          </w:tcPr>
          <w:p>
            <w:pPr>
              <w:pStyle w:val="TableText"/>
              <w:ind w:left="74"/>
              <w:spacing w:before="109" w:line="185" w:lineRule="auto"/>
              <w:rPr>
                <w:sz w:val="15"/>
                <w:szCs w:val="15"/>
              </w:rPr>
            </w:pPr>
            <w:r>
              <w:rPr>
                <w:sz w:val="15"/>
                <w:szCs w:val="15"/>
                <w:spacing w:val="-2"/>
              </w:rPr>
              <w:t>214</w:t>
            </w:r>
          </w:p>
        </w:tc>
        <w:tc>
          <w:tcPr>
            <w:tcW w:w="319" w:type="dxa"/>
            <w:vAlign w:val="top"/>
          </w:tcPr>
          <w:p>
            <w:pPr>
              <w:pStyle w:val="TableText"/>
              <w:ind w:left="54"/>
              <w:spacing w:before="109" w:line="185" w:lineRule="auto"/>
              <w:rPr>
                <w:sz w:val="15"/>
                <w:szCs w:val="15"/>
              </w:rPr>
            </w:pPr>
            <w:r>
              <w:rPr>
                <w:sz w:val="15"/>
                <w:szCs w:val="15"/>
                <w:spacing w:val="-2"/>
              </w:rPr>
              <w:t>231</w:t>
            </w:r>
          </w:p>
        </w:tc>
        <w:tc>
          <w:tcPr>
            <w:tcW w:w="339" w:type="dxa"/>
            <w:vAlign w:val="top"/>
          </w:tcPr>
          <w:p>
            <w:pPr>
              <w:pStyle w:val="TableText"/>
              <w:ind w:left="45"/>
              <w:spacing w:before="80" w:line="221" w:lineRule="auto"/>
              <w:rPr>
                <w:sz w:val="15"/>
                <w:szCs w:val="15"/>
              </w:rPr>
            </w:pPr>
            <w:r>
              <w:rPr>
                <w:sz w:val="15"/>
                <w:szCs w:val="15"/>
                <w:spacing w:val="-2"/>
              </w:rPr>
              <w:t>247</w:t>
            </w:r>
          </w:p>
        </w:tc>
        <w:tc>
          <w:tcPr>
            <w:tcW w:w="320" w:type="dxa"/>
            <w:vAlign w:val="top"/>
          </w:tcPr>
          <w:p>
            <w:pPr>
              <w:pStyle w:val="TableText"/>
              <w:ind w:left="37"/>
              <w:spacing w:before="109" w:line="185" w:lineRule="auto"/>
              <w:rPr>
                <w:sz w:val="15"/>
                <w:szCs w:val="15"/>
              </w:rPr>
            </w:pPr>
            <w:r>
              <w:rPr>
                <w:sz w:val="15"/>
                <w:szCs w:val="15"/>
                <w:spacing w:val="-2"/>
              </w:rPr>
              <w:t>264</w:t>
            </w:r>
          </w:p>
        </w:tc>
        <w:tc>
          <w:tcPr>
            <w:tcW w:w="329" w:type="dxa"/>
            <w:vAlign w:val="top"/>
          </w:tcPr>
          <w:p>
            <w:pPr>
              <w:pStyle w:val="TableText"/>
              <w:ind w:left="47"/>
              <w:spacing w:before="109" w:line="185" w:lineRule="auto"/>
              <w:rPr>
                <w:sz w:val="15"/>
                <w:szCs w:val="15"/>
              </w:rPr>
            </w:pPr>
            <w:r>
              <w:rPr>
                <w:sz w:val="15"/>
                <w:szCs w:val="15"/>
                <w:spacing w:val="-2"/>
              </w:rPr>
              <w:t>280</w:t>
            </w:r>
          </w:p>
        </w:tc>
        <w:tc>
          <w:tcPr>
            <w:tcW w:w="340" w:type="dxa"/>
            <w:vAlign w:val="top"/>
          </w:tcPr>
          <w:p>
            <w:pPr>
              <w:pStyle w:val="TableText"/>
              <w:ind w:left="58"/>
              <w:spacing w:before="109" w:line="185" w:lineRule="auto"/>
              <w:rPr>
                <w:sz w:val="15"/>
                <w:szCs w:val="15"/>
              </w:rPr>
            </w:pPr>
            <w:r>
              <w:rPr>
                <w:sz w:val="15"/>
                <w:szCs w:val="15"/>
                <w:spacing w:val="-2"/>
              </w:rPr>
              <w:t>297</w:t>
            </w:r>
          </w:p>
        </w:tc>
        <w:tc>
          <w:tcPr>
            <w:tcW w:w="329" w:type="dxa"/>
            <w:vAlign w:val="top"/>
          </w:tcPr>
          <w:p>
            <w:pPr>
              <w:pStyle w:val="TableText"/>
              <w:ind w:left="48"/>
              <w:spacing w:before="109" w:line="185" w:lineRule="auto"/>
              <w:rPr>
                <w:sz w:val="15"/>
                <w:szCs w:val="15"/>
              </w:rPr>
            </w:pPr>
            <w:r>
              <w:rPr>
                <w:sz w:val="15"/>
                <w:szCs w:val="15"/>
                <w:spacing w:val="-2"/>
              </w:rPr>
              <w:t>313</w:t>
            </w:r>
          </w:p>
        </w:tc>
        <w:tc>
          <w:tcPr>
            <w:tcW w:w="320" w:type="dxa"/>
            <w:vAlign w:val="top"/>
          </w:tcPr>
          <w:p>
            <w:pPr>
              <w:pStyle w:val="TableText"/>
              <w:ind w:left="38"/>
              <w:spacing w:before="109" w:line="185" w:lineRule="auto"/>
              <w:rPr>
                <w:sz w:val="15"/>
                <w:szCs w:val="15"/>
              </w:rPr>
            </w:pPr>
            <w:r>
              <w:rPr>
                <w:sz w:val="15"/>
                <w:szCs w:val="15"/>
                <w:spacing w:val="-2"/>
              </w:rPr>
              <w:t>330</w:t>
            </w:r>
          </w:p>
        </w:tc>
        <w:tc>
          <w:tcPr>
            <w:tcW w:w="330" w:type="dxa"/>
            <w:vAlign w:val="top"/>
          </w:tcPr>
          <w:p>
            <w:pPr>
              <w:pStyle w:val="TableText"/>
              <w:ind w:left="49"/>
              <w:spacing w:before="109" w:line="185" w:lineRule="auto"/>
              <w:rPr>
                <w:sz w:val="15"/>
                <w:szCs w:val="15"/>
              </w:rPr>
            </w:pPr>
            <w:r>
              <w:rPr>
                <w:sz w:val="15"/>
                <w:szCs w:val="15"/>
                <w:spacing w:val="-2"/>
              </w:rPr>
              <w:t>346</w:t>
            </w:r>
          </w:p>
        </w:tc>
        <w:tc>
          <w:tcPr>
            <w:tcW w:w="329" w:type="dxa"/>
            <w:vAlign w:val="top"/>
          </w:tcPr>
          <w:p>
            <w:pPr>
              <w:pStyle w:val="TableText"/>
              <w:ind w:left="49"/>
              <w:spacing w:before="109" w:line="185" w:lineRule="auto"/>
              <w:rPr>
                <w:sz w:val="15"/>
                <w:szCs w:val="15"/>
              </w:rPr>
            </w:pPr>
            <w:r>
              <w:rPr>
                <w:sz w:val="15"/>
                <w:szCs w:val="15"/>
                <w:spacing w:val="-2"/>
              </w:rPr>
              <w:t>363</w:t>
            </w:r>
          </w:p>
        </w:tc>
        <w:tc>
          <w:tcPr>
            <w:tcW w:w="330" w:type="dxa"/>
            <w:vAlign w:val="top"/>
          </w:tcPr>
          <w:p>
            <w:pPr>
              <w:pStyle w:val="TableText"/>
              <w:ind w:left="49"/>
              <w:spacing w:before="109" w:line="185" w:lineRule="auto"/>
              <w:rPr>
                <w:sz w:val="15"/>
                <w:szCs w:val="15"/>
              </w:rPr>
            </w:pPr>
            <w:r>
              <w:rPr>
                <w:sz w:val="15"/>
                <w:szCs w:val="15"/>
                <w:spacing w:val="-2"/>
              </w:rPr>
              <w:t>379</w:t>
            </w:r>
          </w:p>
        </w:tc>
        <w:tc>
          <w:tcPr>
            <w:tcW w:w="320" w:type="dxa"/>
            <w:vAlign w:val="top"/>
          </w:tcPr>
          <w:p>
            <w:pPr>
              <w:pStyle w:val="TableText"/>
              <w:ind w:left="39"/>
              <w:spacing w:before="109" w:line="185" w:lineRule="auto"/>
              <w:rPr>
                <w:sz w:val="15"/>
                <w:szCs w:val="15"/>
              </w:rPr>
            </w:pPr>
            <w:r>
              <w:rPr>
                <w:sz w:val="15"/>
                <w:szCs w:val="15"/>
                <w:spacing w:val="-2"/>
              </w:rPr>
              <w:t>396</w:t>
            </w:r>
          </w:p>
        </w:tc>
        <w:tc>
          <w:tcPr>
            <w:tcW w:w="344" w:type="dxa"/>
            <w:vAlign w:val="top"/>
          </w:tcPr>
          <w:p>
            <w:pPr>
              <w:pStyle w:val="TableText"/>
              <w:ind w:left="50"/>
              <w:spacing w:before="109" w:line="185" w:lineRule="auto"/>
              <w:rPr>
                <w:sz w:val="15"/>
                <w:szCs w:val="15"/>
              </w:rPr>
            </w:pPr>
            <w:r>
              <w:rPr>
                <w:sz w:val="15"/>
                <w:szCs w:val="15"/>
                <w:spacing w:val="-2"/>
              </w:rPr>
              <w:t>412</w:t>
            </w:r>
          </w:p>
        </w:tc>
      </w:tr>
      <w:tr>
        <w:trPr>
          <w:trHeight w:val="280" w:hRule="atLeast"/>
        </w:trPr>
        <w:tc>
          <w:tcPr>
            <w:tcW w:w="864" w:type="dxa"/>
            <w:vAlign w:val="top"/>
          </w:tcPr>
          <w:p>
            <w:pPr>
              <w:pStyle w:val="TableText"/>
              <w:ind w:right="2"/>
              <w:spacing w:before="140" w:line="160" w:lineRule="auto"/>
              <w:jc w:val="right"/>
              <w:rPr>
                <w:sz w:val="15"/>
                <w:szCs w:val="15"/>
              </w:rPr>
            </w:pPr>
            <w:r>
              <w:rPr>
                <w:sz w:val="15"/>
                <w:szCs w:val="15"/>
                <w:spacing w:val="-2"/>
              </w:rPr>
              <w:t>22</w:t>
            </w:r>
          </w:p>
        </w:tc>
        <w:tc>
          <w:tcPr>
            <w:tcW w:w="330" w:type="dxa"/>
            <w:vAlign w:val="top"/>
          </w:tcPr>
          <w:p>
            <w:pPr>
              <w:pStyle w:val="TableText"/>
              <w:ind w:right="1"/>
              <w:spacing w:before="100" w:line="209" w:lineRule="auto"/>
              <w:jc w:val="right"/>
              <w:rPr>
                <w:sz w:val="15"/>
                <w:szCs w:val="15"/>
              </w:rPr>
            </w:pPr>
            <w:r>
              <w:rPr>
                <w:sz w:val="15"/>
                <w:szCs w:val="15"/>
                <w:spacing w:val="-4"/>
              </w:rPr>
              <w:t>17.3</w:t>
            </w:r>
          </w:p>
        </w:tc>
        <w:tc>
          <w:tcPr>
            <w:tcW w:w="319" w:type="dxa"/>
            <w:vAlign w:val="top"/>
          </w:tcPr>
          <w:p>
            <w:pPr>
              <w:pStyle w:val="TableText"/>
              <w:ind w:left="11"/>
              <w:spacing w:before="120" w:line="184" w:lineRule="auto"/>
              <w:rPr>
                <w:sz w:val="15"/>
                <w:szCs w:val="15"/>
              </w:rPr>
            </w:pPr>
            <w:r>
              <w:rPr>
                <w:sz w:val="15"/>
                <w:szCs w:val="15"/>
                <w:spacing w:val="-2"/>
              </w:rPr>
              <w:t>34.5</w:t>
            </w:r>
          </w:p>
        </w:tc>
        <w:tc>
          <w:tcPr>
            <w:tcW w:w="329" w:type="dxa"/>
            <w:vAlign w:val="top"/>
          </w:tcPr>
          <w:p>
            <w:pPr>
              <w:pStyle w:val="TableText"/>
              <w:ind w:left="131"/>
              <w:spacing w:before="100" w:line="209" w:lineRule="auto"/>
              <w:rPr>
                <w:sz w:val="15"/>
                <w:szCs w:val="15"/>
              </w:rPr>
            </w:pPr>
            <w:r>
              <w:rPr>
                <w:sz w:val="15"/>
                <w:szCs w:val="15"/>
                <w:spacing w:val="-3"/>
              </w:rPr>
              <w:t>52</w:t>
            </w:r>
          </w:p>
        </w:tc>
        <w:tc>
          <w:tcPr>
            <w:tcW w:w="330" w:type="dxa"/>
            <w:vAlign w:val="top"/>
          </w:tcPr>
          <w:p>
            <w:pPr>
              <w:pStyle w:val="TableText"/>
              <w:spacing w:before="100" w:line="209" w:lineRule="auto"/>
              <w:jc w:val="right"/>
              <w:rPr>
                <w:sz w:val="15"/>
                <w:szCs w:val="15"/>
              </w:rPr>
            </w:pPr>
            <w:r>
              <w:rPr>
                <w:sz w:val="15"/>
                <w:szCs w:val="15"/>
                <w:spacing w:val="-2"/>
              </w:rPr>
              <w:t>69</w:t>
            </w:r>
          </w:p>
        </w:tc>
        <w:tc>
          <w:tcPr>
            <w:tcW w:w="330" w:type="dxa"/>
            <w:vAlign w:val="top"/>
          </w:tcPr>
          <w:p>
            <w:pPr>
              <w:pStyle w:val="TableText"/>
              <w:spacing w:before="100" w:line="209" w:lineRule="auto"/>
              <w:jc w:val="right"/>
              <w:rPr>
                <w:sz w:val="15"/>
                <w:szCs w:val="15"/>
              </w:rPr>
            </w:pPr>
            <w:r>
              <w:rPr>
                <w:sz w:val="15"/>
                <w:szCs w:val="15"/>
                <w:spacing w:val="-2"/>
              </w:rPr>
              <w:t>86</w:t>
            </w:r>
          </w:p>
        </w:tc>
        <w:tc>
          <w:tcPr>
            <w:tcW w:w="330" w:type="dxa"/>
            <w:vAlign w:val="top"/>
          </w:tcPr>
          <w:p>
            <w:pPr>
              <w:pStyle w:val="TableText"/>
              <w:ind w:left="82"/>
              <w:spacing w:before="120" w:line="184" w:lineRule="auto"/>
              <w:rPr>
                <w:sz w:val="15"/>
                <w:szCs w:val="15"/>
              </w:rPr>
            </w:pPr>
            <w:r>
              <w:rPr>
                <w:sz w:val="15"/>
                <w:szCs w:val="15"/>
                <w:spacing w:val="-4"/>
              </w:rPr>
              <w:t>104</w:t>
            </w:r>
          </w:p>
        </w:tc>
        <w:tc>
          <w:tcPr>
            <w:tcW w:w="329" w:type="dxa"/>
            <w:vAlign w:val="top"/>
          </w:tcPr>
          <w:p>
            <w:pPr>
              <w:pStyle w:val="TableText"/>
              <w:ind w:left="82"/>
              <w:spacing w:before="120" w:line="184" w:lineRule="auto"/>
              <w:rPr>
                <w:sz w:val="15"/>
                <w:szCs w:val="15"/>
              </w:rPr>
            </w:pPr>
            <w:r>
              <w:rPr>
                <w:sz w:val="15"/>
                <w:szCs w:val="15"/>
                <w:spacing w:val="-4"/>
              </w:rPr>
              <w:t>121</w:t>
            </w:r>
          </w:p>
        </w:tc>
        <w:tc>
          <w:tcPr>
            <w:tcW w:w="330" w:type="dxa"/>
            <w:vAlign w:val="top"/>
          </w:tcPr>
          <w:p>
            <w:pPr>
              <w:pStyle w:val="TableText"/>
              <w:ind w:left="54"/>
              <w:spacing w:before="120" w:line="184" w:lineRule="auto"/>
              <w:rPr>
                <w:sz w:val="15"/>
                <w:szCs w:val="15"/>
              </w:rPr>
            </w:pPr>
            <w:r>
              <w:rPr>
                <w:sz w:val="15"/>
                <w:szCs w:val="15"/>
                <w:spacing w:val="-4"/>
              </w:rPr>
              <w:t>138</w:t>
            </w:r>
          </w:p>
        </w:tc>
        <w:tc>
          <w:tcPr>
            <w:tcW w:w="330" w:type="dxa"/>
            <w:vAlign w:val="top"/>
          </w:tcPr>
          <w:p>
            <w:pPr>
              <w:pStyle w:val="TableText"/>
              <w:ind w:left="54"/>
              <w:spacing w:before="100" w:line="209" w:lineRule="auto"/>
              <w:rPr>
                <w:sz w:val="15"/>
                <w:szCs w:val="15"/>
              </w:rPr>
            </w:pPr>
            <w:r>
              <w:rPr>
                <w:sz w:val="15"/>
                <w:szCs w:val="15"/>
                <w:spacing w:val="-4"/>
              </w:rPr>
              <w:t>155</w:t>
            </w:r>
          </w:p>
        </w:tc>
        <w:tc>
          <w:tcPr>
            <w:tcW w:w="330" w:type="dxa"/>
            <w:vAlign w:val="top"/>
          </w:tcPr>
          <w:p>
            <w:pPr>
              <w:pStyle w:val="TableText"/>
              <w:ind w:left="53"/>
              <w:spacing w:before="120" w:line="184" w:lineRule="auto"/>
              <w:rPr>
                <w:sz w:val="15"/>
                <w:szCs w:val="15"/>
              </w:rPr>
            </w:pPr>
            <w:r>
              <w:rPr>
                <w:sz w:val="15"/>
                <w:szCs w:val="15"/>
                <w:spacing w:val="-4"/>
              </w:rPr>
              <w:t>173</w:t>
            </w:r>
          </w:p>
        </w:tc>
        <w:tc>
          <w:tcPr>
            <w:tcW w:w="309" w:type="dxa"/>
            <w:vAlign w:val="top"/>
          </w:tcPr>
          <w:p>
            <w:pPr>
              <w:pStyle w:val="TableText"/>
              <w:ind w:left="33"/>
              <w:spacing w:before="120" w:line="184" w:lineRule="auto"/>
              <w:rPr>
                <w:sz w:val="15"/>
                <w:szCs w:val="15"/>
              </w:rPr>
            </w:pPr>
            <w:r>
              <w:rPr>
                <w:sz w:val="15"/>
                <w:szCs w:val="15"/>
                <w:spacing w:val="-4"/>
              </w:rPr>
              <w:t>190</w:t>
            </w:r>
          </w:p>
        </w:tc>
        <w:tc>
          <w:tcPr>
            <w:tcW w:w="330" w:type="dxa"/>
            <w:vAlign w:val="top"/>
          </w:tcPr>
          <w:p>
            <w:pPr>
              <w:pStyle w:val="TableText"/>
              <w:ind w:left="74"/>
              <w:spacing w:before="100" w:line="209" w:lineRule="auto"/>
              <w:rPr>
                <w:sz w:val="15"/>
                <w:szCs w:val="15"/>
              </w:rPr>
            </w:pPr>
            <w:r>
              <w:rPr>
                <w:sz w:val="15"/>
                <w:szCs w:val="15"/>
                <w:spacing w:val="-2"/>
              </w:rPr>
              <w:t>207</w:t>
            </w:r>
          </w:p>
        </w:tc>
        <w:tc>
          <w:tcPr>
            <w:tcW w:w="330" w:type="dxa"/>
            <w:vAlign w:val="top"/>
          </w:tcPr>
          <w:p>
            <w:pPr>
              <w:pStyle w:val="TableText"/>
              <w:ind w:left="74"/>
              <w:spacing w:before="100" w:line="209" w:lineRule="auto"/>
              <w:rPr>
                <w:sz w:val="15"/>
                <w:szCs w:val="15"/>
              </w:rPr>
            </w:pPr>
            <w:r>
              <w:rPr>
                <w:sz w:val="15"/>
                <w:szCs w:val="15"/>
                <w:spacing w:val="-2"/>
              </w:rPr>
              <w:t>225</w:t>
            </w:r>
          </w:p>
        </w:tc>
        <w:tc>
          <w:tcPr>
            <w:tcW w:w="319" w:type="dxa"/>
            <w:vAlign w:val="top"/>
          </w:tcPr>
          <w:p>
            <w:pPr>
              <w:pStyle w:val="TableText"/>
              <w:ind w:left="54"/>
              <w:spacing w:before="100" w:line="209" w:lineRule="auto"/>
              <w:rPr>
                <w:sz w:val="15"/>
                <w:szCs w:val="15"/>
              </w:rPr>
            </w:pPr>
            <w:r>
              <w:rPr>
                <w:sz w:val="15"/>
                <w:szCs w:val="15"/>
                <w:spacing w:val="-2"/>
              </w:rPr>
              <w:t>242</w:t>
            </w:r>
          </w:p>
        </w:tc>
        <w:tc>
          <w:tcPr>
            <w:tcW w:w="339" w:type="dxa"/>
            <w:vAlign w:val="top"/>
          </w:tcPr>
          <w:p>
            <w:pPr>
              <w:pStyle w:val="TableText"/>
              <w:ind w:left="45"/>
              <w:spacing w:before="100" w:line="209" w:lineRule="auto"/>
              <w:rPr>
                <w:sz w:val="15"/>
                <w:szCs w:val="15"/>
              </w:rPr>
            </w:pPr>
            <w:r>
              <w:rPr>
                <w:sz w:val="15"/>
                <w:szCs w:val="15"/>
                <w:spacing w:val="-2"/>
              </w:rPr>
              <w:t>259</w:t>
            </w:r>
          </w:p>
        </w:tc>
        <w:tc>
          <w:tcPr>
            <w:tcW w:w="320" w:type="dxa"/>
            <w:vAlign w:val="top"/>
          </w:tcPr>
          <w:p>
            <w:pPr>
              <w:pStyle w:val="TableText"/>
              <w:ind w:left="37"/>
              <w:spacing w:before="100" w:line="209" w:lineRule="auto"/>
              <w:rPr>
                <w:sz w:val="15"/>
                <w:szCs w:val="15"/>
              </w:rPr>
            </w:pPr>
            <w:r>
              <w:rPr>
                <w:sz w:val="15"/>
                <w:szCs w:val="15"/>
                <w:spacing w:val="-2"/>
              </w:rPr>
              <w:t>276</w:t>
            </w:r>
          </w:p>
        </w:tc>
        <w:tc>
          <w:tcPr>
            <w:tcW w:w="329" w:type="dxa"/>
            <w:vAlign w:val="top"/>
          </w:tcPr>
          <w:p>
            <w:pPr>
              <w:pStyle w:val="TableText"/>
              <w:ind w:left="47"/>
              <w:spacing w:before="100" w:line="209" w:lineRule="auto"/>
              <w:rPr>
                <w:sz w:val="15"/>
                <w:szCs w:val="15"/>
              </w:rPr>
            </w:pPr>
            <w:r>
              <w:rPr>
                <w:sz w:val="15"/>
                <w:szCs w:val="15"/>
                <w:spacing w:val="-2"/>
              </w:rPr>
              <w:t>294</w:t>
            </w:r>
          </w:p>
        </w:tc>
        <w:tc>
          <w:tcPr>
            <w:tcW w:w="340" w:type="dxa"/>
            <w:vAlign w:val="top"/>
          </w:tcPr>
          <w:p>
            <w:pPr>
              <w:pStyle w:val="TableText"/>
              <w:ind w:left="47"/>
              <w:spacing w:before="100" w:line="209" w:lineRule="auto"/>
              <w:rPr>
                <w:sz w:val="15"/>
                <w:szCs w:val="15"/>
              </w:rPr>
            </w:pPr>
            <w:r>
              <w:rPr>
                <w:sz w:val="15"/>
                <w:szCs w:val="15"/>
                <w:spacing w:val="-3"/>
              </w:rPr>
              <w:t>31</w:t>
            </w:r>
          </w:p>
        </w:tc>
        <w:tc>
          <w:tcPr>
            <w:tcW w:w="329" w:type="dxa"/>
            <w:vAlign w:val="top"/>
          </w:tcPr>
          <w:p>
            <w:pPr>
              <w:pStyle w:val="TableText"/>
              <w:ind w:left="48"/>
              <w:spacing w:before="100" w:line="209" w:lineRule="auto"/>
              <w:rPr>
                <w:sz w:val="15"/>
                <w:szCs w:val="15"/>
              </w:rPr>
            </w:pPr>
            <w:r>
              <w:rPr>
                <w:sz w:val="15"/>
                <w:szCs w:val="15"/>
                <w:spacing w:val="-2"/>
              </w:rPr>
              <w:t>328</w:t>
            </w:r>
          </w:p>
        </w:tc>
        <w:tc>
          <w:tcPr>
            <w:tcW w:w="320" w:type="dxa"/>
            <w:vAlign w:val="top"/>
          </w:tcPr>
          <w:p>
            <w:pPr>
              <w:pStyle w:val="TableText"/>
              <w:ind w:left="38"/>
              <w:spacing w:before="100" w:line="209" w:lineRule="auto"/>
              <w:rPr>
                <w:sz w:val="15"/>
                <w:szCs w:val="15"/>
              </w:rPr>
            </w:pPr>
            <w:r>
              <w:rPr>
                <w:sz w:val="15"/>
                <w:szCs w:val="15"/>
                <w:spacing w:val="-2"/>
              </w:rPr>
              <w:t>345</w:t>
            </w:r>
          </w:p>
        </w:tc>
        <w:tc>
          <w:tcPr>
            <w:tcW w:w="330" w:type="dxa"/>
            <w:vAlign w:val="top"/>
          </w:tcPr>
          <w:p>
            <w:pPr>
              <w:pStyle w:val="TableText"/>
              <w:ind w:left="49"/>
              <w:spacing w:before="100" w:line="209" w:lineRule="auto"/>
              <w:rPr>
                <w:sz w:val="15"/>
                <w:szCs w:val="15"/>
              </w:rPr>
            </w:pPr>
            <w:r>
              <w:rPr>
                <w:sz w:val="15"/>
                <w:szCs w:val="15"/>
                <w:spacing w:val="-2"/>
              </w:rPr>
              <w:t>383</w:t>
            </w:r>
          </w:p>
        </w:tc>
        <w:tc>
          <w:tcPr>
            <w:tcW w:w="329" w:type="dxa"/>
            <w:vAlign w:val="top"/>
          </w:tcPr>
          <w:p>
            <w:pPr>
              <w:pStyle w:val="TableText"/>
              <w:ind w:left="49"/>
              <w:spacing w:before="100" w:line="209" w:lineRule="auto"/>
              <w:rPr>
                <w:sz w:val="15"/>
                <w:szCs w:val="15"/>
              </w:rPr>
            </w:pPr>
            <w:r>
              <w:rPr>
                <w:sz w:val="15"/>
                <w:szCs w:val="15"/>
                <w:spacing w:val="-2"/>
              </w:rPr>
              <w:t>380</w:t>
            </w:r>
          </w:p>
        </w:tc>
        <w:tc>
          <w:tcPr>
            <w:tcW w:w="330" w:type="dxa"/>
            <w:vAlign w:val="top"/>
          </w:tcPr>
          <w:p>
            <w:pPr>
              <w:pStyle w:val="TableText"/>
              <w:ind w:left="49"/>
              <w:spacing w:before="100" w:line="209" w:lineRule="auto"/>
              <w:rPr>
                <w:sz w:val="15"/>
                <w:szCs w:val="15"/>
              </w:rPr>
            </w:pPr>
            <w:r>
              <w:rPr>
                <w:sz w:val="15"/>
                <w:szCs w:val="15"/>
                <w:spacing w:val="-2"/>
              </w:rPr>
              <w:t>397</w:t>
            </w:r>
          </w:p>
        </w:tc>
        <w:tc>
          <w:tcPr>
            <w:tcW w:w="320" w:type="dxa"/>
            <w:vAlign w:val="top"/>
          </w:tcPr>
          <w:p>
            <w:pPr>
              <w:pStyle w:val="TableText"/>
              <w:ind w:left="39"/>
              <w:spacing w:before="140" w:line="160" w:lineRule="auto"/>
              <w:rPr>
                <w:sz w:val="15"/>
                <w:szCs w:val="15"/>
              </w:rPr>
            </w:pPr>
            <w:r>
              <w:rPr>
                <w:sz w:val="15"/>
                <w:szCs w:val="15"/>
                <w:spacing w:val="-2"/>
              </w:rPr>
              <w:t>414</w:t>
            </w:r>
          </w:p>
        </w:tc>
        <w:tc>
          <w:tcPr>
            <w:tcW w:w="344" w:type="dxa"/>
            <w:vAlign w:val="top"/>
          </w:tcPr>
          <w:p>
            <w:pPr>
              <w:pStyle w:val="TableText"/>
              <w:ind w:left="50"/>
              <w:spacing w:before="140" w:line="160" w:lineRule="auto"/>
              <w:rPr>
                <w:sz w:val="15"/>
                <w:szCs w:val="15"/>
              </w:rPr>
            </w:pPr>
            <w:r>
              <w:rPr>
                <w:sz w:val="15"/>
                <w:szCs w:val="15"/>
                <w:spacing w:val="-2"/>
              </w:rPr>
              <w:t>432</w:t>
            </w:r>
          </w:p>
        </w:tc>
      </w:tr>
      <w:tr>
        <w:trPr>
          <w:trHeight w:val="289" w:hRule="atLeast"/>
        </w:trPr>
        <w:tc>
          <w:tcPr>
            <w:tcW w:w="864" w:type="dxa"/>
            <w:vAlign w:val="top"/>
          </w:tcPr>
          <w:p>
            <w:pPr>
              <w:pStyle w:val="TableText"/>
              <w:ind w:right="2"/>
              <w:spacing w:before="109" w:line="208" w:lineRule="auto"/>
              <w:jc w:val="right"/>
              <w:rPr>
                <w:sz w:val="15"/>
                <w:szCs w:val="15"/>
              </w:rPr>
            </w:pPr>
            <w:r>
              <w:rPr>
                <w:sz w:val="15"/>
                <w:szCs w:val="15"/>
                <w:spacing w:val="-2"/>
              </w:rPr>
              <w:t>23</w:t>
            </w:r>
          </w:p>
        </w:tc>
        <w:tc>
          <w:tcPr>
            <w:tcW w:w="330" w:type="dxa"/>
            <w:vAlign w:val="top"/>
          </w:tcPr>
          <w:p>
            <w:pPr>
              <w:pStyle w:val="TableText"/>
              <w:ind w:left="10"/>
              <w:spacing w:before="109" w:line="208" w:lineRule="auto"/>
              <w:rPr>
                <w:sz w:val="15"/>
                <w:szCs w:val="15"/>
              </w:rPr>
            </w:pPr>
            <w:r>
              <w:rPr>
                <w:sz w:val="15"/>
                <w:szCs w:val="15"/>
                <w:spacing w:val="-4"/>
              </w:rPr>
              <w:t>18.1</w:t>
            </w:r>
          </w:p>
        </w:tc>
        <w:tc>
          <w:tcPr>
            <w:tcW w:w="319" w:type="dxa"/>
            <w:vAlign w:val="top"/>
          </w:tcPr>
          <w:p>
            <w:pPr>
              <w:pStyle w:val="TableText"/>
              <w:ind w:left="11"/>
              <w:spacing w:before="130" w:line="183" w:lineRule="auto"/>
              <w:rPr>
                <w:sz w:val="15"/>
                <w:szCs w:val="15"/>
              </w:rPr>
            </w:pPr>
            <w:r>
              <w:rPr>
                <w:sz w:val="15"/>
                <w:szCs w:val="15"/>
                <w:spacing w:val="-2"/>
              </w:rPr>
              <w:t>36.1</w:t>
            </w:r>
          </w:p>
        </w:tc>
        <w:tc>
          <w:tcPr>
            <w:tcW w:w="329" w:type="dxa"/>
            <w:vAlign w:val="top"/>
          </w:tcPr>
          <w:p>
            <w:pPr>
              <w:pStyle w:val="TableText"/>
              <w:ind w:left="131"/>
              <w:spacing w:before="130" w:line="183" w:lineRule="auto"/>
              <w:rPr>
                <w:sz w:val="15"/>
                <w:szCs w:val="15"/>
              </w:rPr>
            </w:pPr>
            <w:r>
              <w:rPr>
                <w:sz w:val="15"/>
                <w:szCs w:val="15"/>
                <w:spacing w:val="-3"/>
              </w:rPr>
              <w:t>54</w:t>
            </w:r>
          </w:p>
        </w:tc>
        <w:tc>
          <w:tcPr>
            <w:tcW w:w="330" w:type="dxa"/>
            <w:vAlign w:val="top"/>
          </w:tcPr>
          <w:p>
            <w:pPr>
              <w:pStyle w:val="TableText"/>
              <w:ind w:right="1"/>
              <w:spacing w:before="130" w:line="183" w:lineRule="auto"/>
              <w:jc w:val="right"/>
              <w:rPr>
                <w:sz w:val="15"/>
                <w:szCs w:val="15"/>
              </w:rPr>
            </w:pPr>
            <w:r>
              <w:rPr>
                <w:sz w:val="15"/>
                <w:szCs w:val="15"/>
                <w:spacing w:val="-3"/>
              </w:rPr>
              <w:t>72</w:t>
            </w:r>
          </w:p>
        </w:tc>
        <w:tc>
          <w:tcPr>
            <w:tcW w:w="330" w:type="dxa"/>
            <w:vAlign w:val="top"/>
          </w:tcPr>
          <w:p>
            <w:pPr>
              <w:pStyle w:val="TableText"/>
              <w:spacing w:before="109" w:line="208" w:lineRule="auto"/>
              <w:jc w:val="right"/>
              <w:rPr>
                <w:sz w:val="15"/>
                <w:szCs w:val="15"/>
              </w:rPr>
            </w:pPr>
            <w:r>
              <w:rPr>
                <w:sz w:val="15"/>
                <w:szCs w:val="15"/>
                <w:spacing w:val="-2"/>
              </w:rPr>
              <w:t>90</w:t>
            </w:r>
          </w:p>
        </w:tc>
        <w:tc>
          <w:tcPr>
            <w:tcW w:w="330" w:type="dxa"/>
            <w:vAlign w:val="top"/>
          </w:tcPr>
          <w:p>
            <w:pPr>
              <w:pStyle w:val="TableText"/>
              <w:ind w:left="82"/>
              <w:spacing w:before="130" w:line="183" w:lineRule="auto"/>
              <w:rPr>
                <w:sz w:val="15"/>
                <w:szCs w:val="15"/>
              </w:rPr>
            </w:pPr>
            <w:r>
              <w:rPr>
                <w:sz w:val="15"/>
                <w:szCs w:val="15"/>
                <w:spacing w:val="-4"/>
              </w:rPr>
              <w:t>108</w:t>
            </w:r>
          </w:p>
        </w:tc>
        <w:tc>
          <w:tcPr>
            <w:tcW w:w="329" w:type="dxa"/>
            <w:vAlign w:val="top"/>
          </w:tcPr>
          <w:p>
            <w:pPr>
              <w:pStyle w:val="TableText"/>
              <w:ind w:left="62"/>
              <w:spacing w:before="130" w:line="183" w:lineRule="auto"/>
              <w:rPr>
                <w:sz w:val="15"/>
                <w:szCs w:val="15"/>
              </w:rPr>
            </w:pPr>
            <w:r>
              <w:rPr>
                <w:sz w:val="15"/>
                <w:szCs w:val="15"/>
                <w:spacing w:val="-4"/>
              </w:rPr>
              <w:t>126</w:t>
            </w:r>
          </w:p>
        </w:tc>
        <w:tc>
          <w:tcPr>
            <w:tcW w:w="330" w:type="dxa"/>
            <w:vAlign w:val="top"/>
          </w:tcPr>
          <w:p>
            <w:pPr>
              <w:pStyle w:val="TableText"/>
              <w:ind w:left="13"/>
              <w:spacing w:before="130" w:line="183" w:lineRule="auto"/>
              <w:rPr>
                <w:sz w:val="15"/>
                <w:szCs w:val="15"/>
              </w:rPr>
            </w:pPr>
            <w:r>
              <w:rPr>
                <w:sz w:val="15"/>
                <w:szCs w:val="15"/>
                <w:spacing w:val="-4"/>
              </w:rPr>
              <w:t>144</w:t>
            </w:r>
          </w:p>
        </w:tc>
        <w:tc>
          <w:tcPr>
            <w:tcW w:w="330" w:type="dxa"/>
            <w:vAlign w:val="top"/>
          </w:tcPr>
          <w:p>
            <w:pPr>
              <w:pStyle w:val="TableText"/>
              <w:ind w:left="73"/>
              <w:spacing w:before="130" w:line="183" w:lineRule="auto"/>
              <w:rPr>
                <w:sz w:val="15"/>
                <w:szCs w:val="15"/>
              </w:rPr>
            </w:pPr>
            <w:r>
              <w:rPr>
                <w:sz w:val="15"/>
                <w:szCs w:val="15"/>
                <w:spacing w:val="-4"/>
              </w:rPr>
              <w:t>162</w:t>
            </w:r>
          </w:p>
        </w:tc>
        <w:tc>
          <w:tcPr>
            <w:tcW w:w="330" w:type="dxa"/>
            <w:vAlign w:val="top"/>
          </w:tcPr>
          <w:p>
            <w:pPr>
              <w:pStyle w:val="TableText"/>
              <w:ind w:left="64"/>
              <w:spacing w:before="130" w:line="183" w:lineRule="auto"/>
              <w:rPr>
                <w:sz w:val="15"/>
                <w:szCs w:val="15"/>
              </w:rPr>
            </w:pPr>
            <w:r>
              <w:rPr>
                <w:sz w:val="15"/>
                <w:szCs w:val="15"/>
                <w:spacing w:val="-4"/>
              </w:rPr>
              <w:t>181</w:t>
            </w:r>
          </w:p>
        </w:tc>
        <w:tc>
          <w:tcPr>
            <w:tcW w:w="309" w:type="dxa"/>
            <w:vAlign w:val="top"/>
          </w:tcPr>
          <w:p>
            <w:pPr>
              <w:pStyle w:val="TableText"/>
              <w:ind w:left="33"/>
              <w:spacing w:before="130" w:line="183" w:lineRule="auto"/>
              <w:rPr>
                <w:sz w:val="15"/>
                <w:szCs w:val="15"/>
              </w:rPr>
            </w:pPr>
            <w:r>
              <w:rPr>
                <w:sz w:val="15"/>
                <w:szCs w:val="15"/>
                <w:spacing w:val="-4"/>
              </w:rPr>
              <w:t>199</w:t>
            </w:r>
          </w:p>
        </w:tc>
        <w:tc>
          <w:tcPr>
            <w:tcW w:w="330" w:type="dxa"/>
            <w:vAlign w:val="top"/>
          </w:tcPr>
          <w:p>
            <w:pPr>
              <w:pStyle w:val="TableText"/>
              <w:ind w:right="5"/>
              <w:spacing w:before="109" w:line="208" w:lineRule="auto"/>
              <w:jc w:val="right"/>
              <w:rPr>
                <w:sz w:val="15"/>
                <w:szCs w:val="15"/>
              </w:rPr>
            </w:pPr>
            <w:r>
              <w:rPr>
                <w:sz w:val="15"/>
                <w:szCs w:val="15"/>
                <w:spacing w:val="-2"/>
              </w:rPr>
              <w:t>217</w:t>
            </w:r>
          </w:p>
        </w:tc>
        <w:tc>
          <w:tcPr>
            <w:tcW w:w="330" w:type="dxa"/>
            <w:vAlign w:val="top"/>
          </w:tcPr>
          <w:p>
            <w:pPr>
              <w:pStyle w:val="TableText"/>
              <w:ind w:left="74"/>
              <w:spacing w:before="109" w:line="208" w:lineRule="auto"/>
              <w:rPr>
                <w:sz w:val="15"/>
                <w:szCs w:val="15"/>
              </w:rPr>
            </w:pPr>
            <w:r>
              <w:rPr>
                <w:sz w:val="15"/>
                <w:szCs w:val="15"/>
                <w:spacing w:val="-2"/>
              </w:rPr>
              <w:t>235</w:t>
            </w:r>
          </w:p>
        </w:tc>
        <w:tc>
          <w:tcPr>
            <w:tcW w:w="319" w:type="dxa"/>
            <w:vAlign w:val="top"/>
          </w:tcPr>
          <w:p>
            <w:pPr>
              <w:pStyle w:val="TableText"/>
              <w:ind w:left="54"/>
              <w:spacing w:before="109" w:line="208" w:lineRule="auto"/>
              <w:rPr>
                <w:sz w:val="15"/>
                <w:szCs w:val="15"/>
              </w:rPr>
            </w:pPr>
            <w:r>
              <w:rPr>
                <w:sz w:val="15"/>
                <w:szCs w:val="15"/>
                <w:spacing w:val="-2"/>
              </w:rPr>
              <w:t>253</w:t>
            </w:r>
          </w:p>
        </w:tc>
        <w:tc>
          <w:tcPr>
            <w:tcW w:w="339" w:type="dxa"/>
            <w:vAlign w:val="top"/>
          </w:tcPr>
          <w:p>
            <w:pPr>
              <w:pStyle w:val="TableText"/>
              <w:ind w:left="75"/>
              <w:spacing w:before="109" w:line="208" w:lineRule="auto"/>
              <w:rPr>
                <w:sz w:val="15"/>
                <w:szCs w:val="15"/>
              </w:rPr>
            </w:pPr>
            <w:r>
              <w:rPr>
                <w:sz w:val="15"/>
                <w:szCs w:val="15"/>
                <w:spacing w:val="-2"/>
              </w:rPr>
              <w:t>271</w:t>
            </w:r>
          </w:p>
        </w:tc>
        <w:tc>
          <w:tcPr>
            <w:tcW w:w="320" w:type="dxa"/>
            <w:vAlign w:val="top"/>
          </w:tcPr>
          <w:p>
            <w:pPr>
              <w:pStyle w:val="TableText"/>
              <w:ind w:left="37"/>
              <w:spacing w:before="109" w:line="208" w:lineRule="auto"/>
              <w:rPr>
                <w:sz w:val="15"/>
                <w:szCs w:val="15"/>
              </w:rPr>
            </w:pPr>
            <w:r>
              <w:rPr>
                <w:sz w:val="15"/>
                <w:szCs w:val="15"/>
                <w:spacing w:val="-2"/>
              </w:rPr>
              <w:t>289</w:t>
            </w:r>
          </w:p>
        </w:tc>
        <w:tc>
          <w:tcPr>
            <w:tcW w:w="329" w:type="dxa"/>
            <w:vAlign w:val="top"/>
          </w:tcPr>
          <w:p>
            <w:pPr>
              <w:pStyle w:val="TableText"/>
              <w:ind w:left="47"/>
              <w:spacing w:before="109" w:line="208" w:lineRule="auto"/>
              <w:rPr>
                <w:sz w:val="15"/>
                <w:szCs w:val="15"/>
              </w:rPr>
            </w:pPr>
            <w:r>
              <w:rPr>
                <w:sz w:val="15"/>
                <w:szCs w:val="15"/>
                <w:spacing w:val="-2"/>
              </w:rPr>
              <w:t>307</w:t>
            </w:r>
          </w:p>
        </w:tc>
        <w:tc>
          <w:tcPr>
            <w:tcW w:w="340" w:type="dxa"/>
            <w:vAlign w:val="top"/>
          </w:tcPr>
          <w:p>
            <w:pPr>
              <w:pStyle w:val="TableText"/>
              <w:ind w:left="78"/>
              <w:spacing w:before="109" w:line="208" w:lineRule="auto"/>
              <w:rPr>
                <w:sz w:val="15"/>
                <w:szCs w:val="15"/>
              </w:rPr>
            </w:pPr>
            <w:r>
              <w:rPr>
                <w:sz w:val="15"/>
                <w:szCs w:val="15"/>
                <w:spacing w:val="-2"/>
              </w:rPr>
              <w:t>325</w:t>
            </w:r>
          </w:p>
        </w:tc>
        <w:tc>
          <w:tcPr>
            <w:tcW w:w="329" w:type="dxa"/>
            <w:vAlign w:val="top"/>
          </w:tcPr>
          <w:p>
            <w:pPr>
              <w:pStyle w:val="TableText"/>
              <w:ind w:left="48"/>
              <w:spacing w:before="130" w:line="183" w:lineRule="auto"/>
              <w:rPr>
                <w:sz w:val="15"/>
                <w:szCs w:val="15"/>
              </w:rPr>
            </w:pPr>
            <w:r>
              <w:rPr>
                <w:sz w:val="15"/>
                <w:szCs w:val="15"/>
                <w:spacing w:val="-2"/>
              </w:rPr>
              <w:t>343</w:t>
            </w:r>
          </w:p>
        </w:tc>
        <w:tc>
          <w:tcPr>
            <w:tcW w:w="320" w:type="dxa"/>
            <w:vAlign w:val="top"/>
          </w:tcPr>
          <w:p>
            <w:pPr>
              <w:pStyle w:val="TableText"/>
              <w:ind w:left="18"/>
              <w:spacing w:before="130" w:line="183" w:lineRule="auto"/>
              <w:rPr>
                <w:sz w:val="15"/>
                <w:szCs w:val="15"/>
              </w:rPr>
            </w:pPr>
            <w:r>
              <w:rPr>
                <w:sz w:val="15"/>
                <w:szCs w:val="15"/>
                <w:spacing w:val="-3"/>
              </w:rPr>
              <w:t>36</w:t>
            </w:r>
          </w:p>
        </w:tc>
        <w:tc>
          <w:tcPr>
            <w:tcW w:w="330" w:type="dxa"/>
            <w:vAlign w:val="top"/>
          </w:tcPr>
          <w:p>
            <w:pPr>
              <w:pStyle w:val="TableText"/>
              <w:ind w:left="49"/>
              <w:spacing w:before="109" w:line="208" w:lineRule="auto"/>
              <w:rPr>
                <w:sz w:val="15"/>
                <w:szCs w:val="15"/>
              </w:rPr>
            </w:pPr>
            <w:r>
              <w:rPr>
                <w:sz w:val="15"/>
                <w:szCs w:val="15"/>
                <w:spacing w:val="-2"/>
              </w:rPr>
              <w:t>379</w:t>
            </w:r>
          </w:p>
        </w:tc>
        <w:tc>
          <w:tcPr>
            <w:tcW w:w="329" w:type="dxa"/>
            <w:vAlign w:val="top"/>
          </w:tcPr>
          <w:p>
            <w:pPr>
              <w:pStyle w:val="TableText"/>
              <w:ind w:left="49"/>
              <w:spacing w:before="109" w:line="208" w:lineRule="auto"/>
              <w:rPr>
                <w:sz w:val="15"/>
                <w:szCs w:val="15"/>
              </w:rPr>
            </w:pPr>
            <w:r>
              <w:rPr>
                <w:sz w:val="15"/>
                <w:szCs w:val="15"/>
                <w:spacing w:val="-2"/>
              </w:rPr>
              <w:t>397</w:t>
            </w:r>
          </w:p>
        </w:tc>
        <w:tc>
          <w:tcPr>
            <w:tcW w:w="330" w:type="dxa"/>
            <w:vAlign w:val="top"/>
          </w:tcPr>
          <w:p>
            <w:pPr>
              <w:pStyle w:val="TableText"/>
              <w:ind w:left="80"/>
              <w:spacing w:before="130" w:line="183" w:lineRule="auto"/>
              <w:rPr>
                <w:sz w:val="15"/>
                <w:szCs w:val="15"/>
              </w:rPr>
            </w:pPr>
            <w:r>
              <w:rPr>
                <w:sz w:val="15"/>
                <w:szCs w:val="15"/>
                <w:spacing w:val="-2"/>
              </w:rPr>
              <w:t>415</w:t>
            </w:r>
          </w:p>
        </w:tc>
        <w:tc>
          <w:tcPr>
            <w:tcW w:w="320" w:type="dxa"/>
            <w:vAlign w:val="top"/>
          </w:tcPr>
          <w:p>
            <w:pPr>
              <w:pStyle w:val="TableText"/>
              <w:ind w:left="39"/>
              <w:spacing w:before="109" w:line="208" w:lineRule="auto"/>
              <w:rPr>
                <w:sz w:val="15"/>
                <w:szCs w:val="15"/>
              </w:rPr>
            </w:pPr>
            <w:r>
              <w:rPr>
                <w:sz w:val="15"/>
                <w:szCs w:val="15"/>
                <w:spacing w:val="-2"/>
              </w:rPr>
              <w:t>433</w:t>
            </w:r>
          </w:p>
        </w:tc>
        <w:tc>
          <w:tcPr>
            <w:tcW w:w="344" w:type="dxa"/>
            <w:vAlign w:val="top"/>
          </w:tcPr>
          <w:p>
            <w:pPr>
              <w:pStyle w:val="TableText"/>
              <w:ind w:left="50"/>
              <w:spacing w:before="109" w:line="208" w:lineRule="auto"/>
              <w:rPr>
                <w:sz w:val="15"/>
                <w:szCs w:val="15"/>
              </w:rPr>
            </w:pPr>
            <w:r>
              <w:rPr>
                <w:sz w:val="15"/>
                <w:szCs w:val="15"/>
                <w:spacing w:val="-2"/>
              </w:rPr>
              <w:t>451</w:t>
            </w:r>
          </w:p>
        </w:tc>
      </w:tr>
      <w:tr>
        <w:trPr>
          <w:trHeight w:val="264" w:hRule="atLeast"/>
        </w:trPr>
        <w:tc>
          <w:tcPr>
            <w:tcW w:w="864" w:type="dxa"/>
            <w:vAlign w:val="top"/>
          </w:tcPr>
          <w:p>
            <w:pPr>
              <w:pStyle w:val="TableText"/>
              <w:ind w:right="2"/>
              <w:spacing w:before="80" w:line="213" w:lineRule="auto"/>
              <w:jc w:val="right"/>
              <w:rPr>
                <w:sz w:val="15"/>
                <w:szCs w:val="15"/>
              </w:rPr>
            </w:pPr>
            <w:r>
              <w:rPr>
                <w:sz w:val="15"/>
                <w:szCs w:val="15"/>
                <w:spacing w:val="-2"/>
              </w:rPr>
              <w:t>24</w:t>
            </w:r>
          </w:p>
        </w:tc>
        <w:tc>
          <w:tcPr>
            <w:tcW w:w="330" w:type="dxa"/>
            <w:vAlign w:val="top"/>
          </w:tcPr>
          <w:p>
            <w:pPr>
              <w:pStyle w:val="TableText"/>
              <w:ind w:left="20"/>
              <w:spacing w:before="80" w:line="213" w:lineRule="auto"/>
              <w:rPr>
                <w:sz w:val="15"/>
                <w:szCs w:val="15"/>
              </w:rPr>
            </w:pPr>
            <w:r>
              <w:rPr>
                <w:sz w:val="15"/>
                <w:szCs w:val="15"/>
                <w:spacing w:val="-4"/>
              </w:rPr>
              <w:t>18.8</w:t>
            </w:r>
          </w:p>
        </w:tc>
        <w:tc>
          <w:tcPr>
            <w:tcW w:w="319" w:type="dxa"/>
            <w:vAlign w:val="top"/>
          </w:tcPr>
          <w:p>
            <w:pPr>
              <w:pStyle w:val="TableText"/>
              <w:ind w:left="11"/>
              <w:spacing w:before="80" w:line="213" w:lineRule="auto"/>
              <w:rPr>
                <w:sz w:val="15"/>
                <w:szCs w:val="15"/>
              </w:rPr>
            </w:pPr>
            <w:r>
              <w:rPr>
                <w:sz w:val="15"/>
                <w:szCs w:val="15"/>
                <w:spacing w:val="-2"/>
              </w:rPr>
              <w:t>37.7</w:t>
            </w:r>
          </w:p>
        </w:tc>
        <w:tc>
          <w:tcPr>
            <w:tcW w:w="329" w:type="dxa"/>
            <w:vAlign w:val="top"/>
          </w:tcPr>
          <w:p>
            <w:pPr>
              <w:pStyle w:val="TableText"/>
              <w:ind w:left="131"/>
              <w:spacing w:before="80" w:line="213" w:lineRule="auto"/>
              <w:rPr>
                <w:sz w:val="15"/>
                <w:szCs w:val="15"/>
              </w:rPr>
            </w:pPr>
            <w:r>
              <w:rPr>
                <w:sz w:val="15"/>
                <w:szCs w:val="15"/>
                <w:spacing w:val="-3"/>
              </w:rPr>
              <w:t>57</w:t>
            </w:r>
          </w:p>
        </w:tc>
        <w:tc>
          <w:tcPr>
            <w:tcW w:w="330" w:type="dxa"/>
            <w:vAlign w:val="top"/>
          </w:tcPr>
          <w:p>
            <w:pPr>
              <w:pStyle w:val="TableText"/>
              <w:ind w:right="1"/>
              <w:spacing w:before="80" w:line="213" w:lineRule="auto"/>
              <w:jc w:val="right"/>
              <w:rPr>
                <w:sz w:val="15"/>
                <w:szCs w:val="15"/>
              </w:rPr>
            </w:pPr>
            <w:r>
              <w:rPr>
                <w:sz w:val="15"/>
                <w:szCs w:val="15"/>
                <w:spacing w:val="-3"/>
              </w:rPr>
              <w:t>75</w:t>
            </w:r>
          </w:p>
        </w:tc>
        <w:tc>
          <w:tcPr>
            <w:tcW w:w="330" w:type="dxa"/>
            <w:vAlign w:val="top"/>
          </w:tcPr>
          <w:p>
            <w:pPr>
              <w:pStyle w:val="TableText"/>
              <w:spacing w:before="80" w:line="213" w:lineRule="auto"/>
              <w:jc w:val="right"/>
              <w:rPr>
                <w:sz w:val="15"/>
                <w:szCs w:val="15"/>
              </w:rPr>
            </w:pPr>
            <w:r>
              <w:rPr>
                <w:sz w:val="15"/>
                <w:szCs w:val="15"/>
                <w:spacing w:val="-2"/>
              </w:rPr>
              <w:t>94</w:t>
            </w:r>
          </w:p>
        </w:tc>
        <w:tc>
          <w:tcPr>
            <w:tcW w:w="330" w:type="dxa"/>
            <w:vAlign w:val="top"/>
          </w:tcPr>
          <w:p>
            <w:pPr>
              <w:pStyle w:val="TableText"/>
              <w:ind w:left="82"/>
              <w:spacing w:before="80" w:line="213" w:lineRule="auto"/>
              <w:rPr>
                <w:sz w:val="15"/>
                <w:szCs w:val="15"/>
              </w:rPr>
            </w:pPr>
            <w:r>
              <w:rPr>
                <w:sz w:val="15"/>
                <w:szCs w:val="15"/>
                <w:spacing w:val="-4"/>
              </w:rPr>
              <w:t>113</w:t>
            </w:r>
          </w:p>
        </w:tc>
        <w:tc>
          <w:tcPr>
            <w:tcW w:w="329" w:type="dxa"/>
            <w:vAlign w:val="top"/>
          </w:tcPr>
          <w:p>
            <w:pPr>
              <w:pStyle w:val="TableText"/>
              <w:ind w:left="62"/>
              <w:spacing w:before="80" w:line="213" w:lineRule="auto"/>
              <w:rPr>
                <w:sz w:val="15"/>
                <w:szCs w:val="15"/>
              </w:rPr>
            </w:pPr>
            <w:r>
              <w:rPr>
                <w:sz w:val="15"/>
                <w:szCs w:val="15"/>
                <w:spacing w:val="-4"/>
              </w:rPr>
              <w:t>132</w:t>
            </w:r>
          </w:p>
        </w:tc>
        <w:tc>
          <w:tcPr>
            <w:tcW w:w="330" w:type="dxa"/>
            <w:vAlign w:val="top"/>
          </w:tcPr>
          <w:p>
            <w:pPr>
              <w:pStyle w:val="TableText"/>
              <w:ind w:left="83"/>
              <w:spacing w:before="80" w:line="213" w:lineRule="auto"/>
              <w:rPr>
                <w:sz w:val="15"/>
                <w:szCs w:val="15"/>
              </w:rPr>
            </w:pPr>
            <w:r>
              <w:rPr>
                <w:sz w:val="15"/>
                <w:szCs w:val="15"/>
                <w:spacing w:val="-4"/>
              </w:rPr>
              <w:t>151</w:t>
            </w:r>
          </w:p>
        </w:tc>
        <w:tc>
          <w:tcPr>
            <w:tcW w:w="330" w:type="dxa"/>
            <w:vAlign w:val="top"/>
          </w:tcPr>
          <w:p>
            <w:pPr>
              <w:pStyle w:val="TableText"/>
              <w:ind w:left="54"/>
              <w:spacing w:before="101" w:line="188" w:lineRule="auto"/>
              <w:rPr>
                <w:sz w:val="15"/>
                <w:szCs w:val="15"/>
              </w:rPr>
            </w:pPr>
            <w:r>
              <w:rPr>
                <w:sz w:val="15"/>
                <w:szCs w:val="15"/>
                <w:spacing w:val="-4"/>
              </w:rPr>
              <w:t>170</w:t>
            </w:r>
          </w:p>
        </w:tc>
        <w:tc>
          <w:tcPr>
            <w:tcW w:w="330" w:type="dxa"/>
            <w:vAlign w:val="top"/>
          </w:tcPr>
          <w:p>
            <w:pPr>
              <w:pStyle w:val="TableText"/>
              <w:ind w:left="64"/>
              <w:spacing w:before="101" w:line="188" w:lineRule="auto"/>
              <w:rPr>
                <w:sz w:val="15"/>
                <w:szCs w:val="15"/>
              </w:rPr>
            </w:pPr>
            <w:r>
              <w:rPr>
                <w:sz w:val="15"/>
                <w:szCs w:val="15"/>
                <w:spacing w:val="-4"/>
              </w:rPr>
              <w:t>188</w:t>
            </w:r>
          </w:p>
        </w:tc>
        <w:tc>
          <w:tcPr>
            <w:tcW w:w="309" w:type="dxa"/>
            <w:vAlign w:val="top"/>
          </w:tcPr>
          <w:p>
            <w:pPr>
              <w:pStyle w:val="TableText"/>
              <w:ind w:left="33"/>
              <w:spacing w:before="101" w:line="188" w:lineRule="auto"/>
              <w:rPr>
                <w:sz w:val="15"/>
                <w:szCs w:val="15"/>
              </w:rPr>
            </w:pPr>
            <w:r>
              <w:rPr>
                <w:sz w:val="15"/>
                <w:szCs w:val="15"/>
                <w:spacing w:val="-2"/>
              </w:rPr>
              <w:t>207</w:t>
            </w:r>
          </w:p>
        </w:tc>
        <w:tc>
          <w:tcPr>
            <w:tcW w:w="330" w:type="dxa"/>
            <w:vAlign w:val="top"/>
          </w:tcPr>
          <w:p>
            <w:pPr>
              <w:pStyle w:val="TableText"/>
              <w:ind w:left="74"/>
              <w:spacing w:before="80" w:line="213" w:lineRule="auto"/>
              <w:rPr>
                <w:sz w:val="15"/>
                <w:szCs w:val="15"/>
              </w:rPr>
            </w:pPr>
            <w:r>
              <w:rPr>
                <w:sz w:val="15"/>
                <w:szCs w:val="15"/>
                <w:spacing w:val="-2"/>
              </w:rPr>
              <w:t>226</w:t>
            </w:r>
          </w:p>
        </w:tc>
        <w:tc>
          <w:tcPr>
            <w:tcW w:w="330" w:type="dxa"/>
            <w:vAlign w:val="top"/>
          </w:tcPr>
          <w:p>
            <w:pPr>
              <w:pStyle w:val="TableText"/>
              <w:ind w:left="74"/>
              <w:spacing w:before="80" w:line="213" w:lineRule="auto"/>
              <w:rPr>
                <w:sz w:val="15"/>
                <w:szCs w:val="15"/>
              </w:rPr>
            </w:pPr>
            <w:r>
              <w:rPr>
                <w:sz w:val="15"/>
                <w:szCs w:val="15"/>
                <w:spacing w:val="-2"/>
              </w:rPr>
              <w:t>245</w:t>
            </w:r>
          </w:p>
        </w:tc>
        <w:tc>
          <w:tcPr>
            <w:tcW w:w="319" w:type="dxa"/>
            <w:vAlign w:val="top"/>
          </w:tcPr>
          <w:p>
            <w:pPr>
              <w:pStyle w:val="TableText"/>
              <w:ind w:left="54"/>
              <w:spacing w:before="80" w:line="213" w:lineRule="auto"/>
              <w:rPr>
                <w:sz w:val="15"/>
                <w:szCs w:val="15"/>
              </w:rPr>
            </w:pPr>
            <w:r>
              <w:rPr>
                <w:sz w:val="15"/>
                <w:szCs w:val="15"/>
                <w:spacing w:val="-2"/>
              </w:rPr>
              <w:t>264</w:t>
            </w:r>
          </w:p>
        </w:tc>
        <w:tc>
          <w:tcPr>
            <w:tcW w:w="339" w:type="dxa"/>
            <w:vAlign w:val="top"/>
          </w:tcPr>
          <w:p>
            <w:pPr>
              <w:pStyle w:val="TableText"/>
              <w:ind w:left="45"/>
              <w:spacing w:before="80" w:line="213" w:lineRule="auto"/>
              <w:rPr>
                <w:sz w:val="15"/>
                <w:szCs w:val="15"/>
              </w:rPr>
            </w:pPr>
            <w:r>
              <w:rPr>
                <w:sz w:val="15"/>
                <w:szCs w:val="15"/>
                <w:spacing w:val="-2"/>
              </w:rPr>
              <w:t>283</w:t>
            </w:r>
          </w:p>
        </w:tc>
        <w:tc>
          <w:tcPr>
            <w:tcW w:w="320" w:type="dxa"/>
            <w:vAlign w:val="top"/>
          </w:tcPr>
          <w:p>
            <w:pPr>
              <w:pStyle w:val="TableText"/>
              <w:ind w:left="76"/>
              <w:spacing w:before="80" w:line="213" w:lineRule="auto"/>
              <w:rPr>
                <w:sz w:val="15"/>
                <w:szCs w:val="15"/>
              </w:rPr>
            </w:pPr>
            <w:r>
              <w:rPr>
                <w:sz w:val="15"/>
                <w:szCs w:val="15"/>
                <w:spacing w:val="-3"/>
              </w:rPr>
              <w:t>30</w:t>
            </w:r>
          </w:p>
        </w:tc>
        <w:tc>
          <w:tcPr>
            <w:tcW w:w="329" w:type="dxa"/>
            <w:vAlign w:val="top"/>
          </w:tcPr>
          <w:p>
            <w:pPr>
              <w:pStyle w:val="TableText"/>
              <w:ind w:left="47"/>
              <w:spacing w:before="80" w:line="213" w:lineRule="auto"/>
              <w:rPr>
                <w:sz w:val="15"/>
                <w:szCs w:val="15"/>
              </w:rPr>
            </w:pPr>
            <w:r>
              <w:rPr>
                <w:sz w:val="15"/>
                <w:szCs w:val="15"/>
                <w:spacing w:val="-2"/>
              </w:rPr>
              <w:t>320</w:t>
            </w:r>
          </w:p>
        </w:tc>
        <w:tc>
          <w:tcPr>
            <w:tcW w:w="340" w:type="dxa"/>
            <w:vAlign w:val="top"/>
          </w:tcPr>
          <w:p>
            <w:pPr>
              <w:pStyle w:val="TableText"/>
              <w:ind w:left="78"/>
              <w:spacing w:before="80" w:line="213" w:lineRule="auto"/>
              <w:rPr>
                <w:sz w:val="15"/>
                <w:szCs w:val="15"/>
              </w:rPr>
            </w:pPr>
            <w:r>
              <w:rPr>
                <w:sz w:val="15"/>
                <w:szCs w:val="15"/>
                <w:spacing w:val="-2"/>
              </w:rPr>
              <w:t>339</w:t>
            </w:r>
          </w:p>
        </w:tc>
        <w:tc>
          <w:tcPr>
            <w:tcW w:w="329" w:type="dxa"/>
            <w:vAlign w:val="top"/>
          </w:tcPr>
          <w:p>
            <w:pPr>
              <w:pStyle w:val="TableText"/>
              <w:ind w:left="48"/>
              <w:spacing w:before="80" w:line="213" w:lineRule="auto"/>
              <w:rPr>
                <w:sz w:val="15"/>
                <w:szCs w:val="15"/>
              </w:rPr>
            </w:pPr>
            <w:r>
              <w:rPr>
                <w:sz w:val="15"/>
                <w:szCs w:val="15"/>
                <w:spacing w:val="-2"/>
              </w:rPr>
              <w:t>358</w:t>
            </w:r>
          </w:p>
        </w:tc>
        <w:tc>
          <w:tcPr>
            <w:tcW w:w="320" w:type="dxa"/>
            <w:vAlign w:val="top"/>
          </w:tcPr>
          <w:p>
            <w:pPr>
              <w:pStyle w:val="TableText"/>
              <w:ind w:left="79"/>
              <w:spacing w:before="80" w:line="213" w:lineRule="auto"/>
              <w:rPr>
                <w:sz w:val="15"/>
                <w:szCs w:val="15"/>
              </w:rPr>
            </w:pPr>
            <w:r>
              <w:rPr>
                <w:sz w:val="15"/>
                <w:szCs w:val="15"/>
                <w:spacing w:val="-3"/>
              </w:rPr>
              <w:t>37</w:t>
            </w:r>
          </w:p>
        </w:tc>
        <w:tc>
          <w:tcPr>
            <w:tcW w:w="330" w:type="dxa"/>
            <w:vAlign w:val="top"/>
          </w:tcPr>
          <w:p>
            <w:pPr>
              <w:pStyle w:val="TableText"/>
              <w:ind w:left="49"/>
              <w:spacing w:before="80" w:line="213" w:lineRule="auto"/>
              <w:rPr>
                <w:sz w:val="15"/>
                <w:szCs w:val="15"/>
              </w:rPr>
            </w:pPr>
            <w:r>
              <w:rPr>
                <w:sz w:val="15"/>
                <w:szCs w:val="15"/>
                <w:spacing w:val="-2"/>
              </w:rPr>
              <w:t>396</w:t>
            </w:r>
          </w:p>
        </w:tc>
        <w:tc>
          <w:tcPr>
            <w:tcW w:w="329" w:type="dxa"/>
            <w:vAlign w:val="top"/>
          </w:tcPr>
          <w:p>
            <w:pPr>
              <w:pStyle w:val="TableText"/>
              <w:ind w:left="49"/>
              <w:spacing w:before="80" w:line="213" w:lineRule="auto"/>
              <w:rPr>
                <w:sz w:val="15"/>
                <w:szCs w:val="15"/>
              </w:rPr>
            </w:pPr>
            <w:r>
              <w:rPr>
                <w:sz w:val="15"/>
                <w:szCs w:val="15"/>
                <w:spacing w:val="-2"/>
              </w:rPr>
              <w:t>414</w:t>
            </w:r>
          </w:p>
        </w:tc>
        <w:tc>
          <w:tcPr>
            <w:tcW w:w="330" w:type="dxa"/>
            <w:vAlign w:val="top"/>
          </w:tcPr>
          <w:p>
            <w:pPr>
              <w:pStyle w:val="TableText"/>
              <w:ind w:left="49"/>
              <w:spacing w:before="80" w:line="213" w:lineRule="auto"/>
              <w:rPr>
                <w:sz w:val="15"/>
                <w:szCs w:val="15"/>
              </w:rPr>
            </w:pPr>
            <w:r>
              <w:rPr>
                <w:sz w:val="15"/>
                <w:szCs w:val="15"/>
                <w:spacing w:val="-2"/>
              </w:rPr>
              <w:t>433</w:t>
            </w:r>
          </w:p>
        </w:tc>
        <w:tc>
          <w:tcPr>
            <w:tcW w:w="320" w:type="dxa"/>
            <w:vAlign w:val="top"/>
          </w:tcPr>
          <w:p>
            <w:pPr>
              <w:pStyle w:val="TableText"/>
              <w:ind w:left="39"/>
              <w:spacing w:before="80" w:line="213" w:lineRule="auto"/>
              <w:rPr>
                <w:sz w:val="15"/>
                <w:szCs w:val="15"/>
              </w:rPr>
            </w:pPr>
            <w:r>
              <w:rPr>
                <w:sz w:val="15"/>
                <w:szCs w:val="15"/>
                <w:spacing w:val="-2"/>
              </w:rPr>
              <w:t>452</w:t>
            </w:r>
          </w:p>
        </w:tc>
        <w:tc>
          <w:tcPr>
            <w:tcW w:w="344" w:type="dxa"/>
            <w:vAlign w:val="top"/>
          </w:tcPr>
          <w:p>
            <w:pPr>
              <w:pStyle w:val="TableText"/>
              <w:ind w:left="50"/>
              <w:spacing w:before="80" w:line="213" w:lineRule="auto"/>
              <w:rPr>
                <w:sz w:val="15"/>
                <w:szCs w:val="15"/>
              </w:rPr>
            </w:pPr>
            <w:r>
              <w:rPr>
                <w:sz w:val="15"/>
                <w:szCs w:val="15"/>
                <w:spacing w:val="-2"/>
              </w:rPr>
              <w:t>471</w:t>
            </w:r>
          </w:p>
        </w:tc>
      </w:tr>
    </w:tbl>
    <w:p>
      <w:pPr>
        <w:spacing w:line="325" w:lineRule="auto"/>
        <w:rPr>
          <w:rFonts w:ascii="Arial"/>
          <w:sz w:val="21"/>
        </w:rPr>
      </w:pPr>
      <w:r/>
    </w:p>
    <w:p>
      <w:pPr>
        <w:ind w:left="4840"/>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—254—</w:t>
      </w:r>
    </w:p>
    <w:p>
      <w:pPr>
        <w:spacing w:line="41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pgSz w:w="11850" w:h="16140"/>
          <w:pgMar w:top="400" w:right="720" w:bottom="0" w:left="380" w:header="0" w:footer="0" w:gutter="0"/>
        </w:sectPr>
        <w:rPr>
          <w:rFonts w:ascii="Times New Roman" w:hAnsi="Times New Roman" w:eastAsia="Times New Roman" w:cs="Times New Roman"/>
          <w:sz w:val="21"/>
          <w:szCs w:val="21"/>
        </w:rPr>
      </w:pPr>
    </w:p>
    <w:p>
      <w:pPr>
        <w:pStyle w:val="BodyText"/>
        <w:ind w:left="679"/>
        <w:spacing w:before="207" w:line="219" w:lineRule="auto"/>
        <w:rPr/>
      </w:pPr>
      <w:r>
        <w:rPr>
          <w:rFonts w:ascii="Times New Roman" w:hAnsi="Times New Roman" w:eastAsia="Times New Roman" w:cs="Times New Roman"/>
        </w:rPr>
        <w:t>A2. </w:t>
      </w:r>
      <w:r>
        <w:rPr/>
        <w:t>内窥镜碎石设备</w:t>
      </w:r>
    </w:p>
    <w:p>
      <w:pPr>
        <w:pStyle w:val="BodyText"/>
        <w:ind w:left="1070"/>
        <w:spacing w:before="47" w:line="212" w:lineRule="auto"/>
        <w:rPr>
          <w:rFonts w:ascii="Times New Roman" w:hAnsi="Times New Roman" w:eastAsia="Times New Roman" w:cs="Times New Roman"/>
        </w:rPr>
      </w:pPr>
      <w:r>
        <w:rPr/>
        <w:t>液电碎石</w:t>
      </w:r>
      <w:r>
        <w:rPr>
          <w:spacing w:val="-45"/>
        </w:rPr>
        <w:t xml:space="preserve"> </w:t>
      </w:r>
      <w:r>
        <w:rPr>
          <w:rFonts w:ascii="Times New Roman" w:hAnsi="Times New Roman" w:eastAsia="Times New Roman" w:cs="Times New Roman"/>
        </w:rPr>
        <w:t>(EHL)</w:t>
      </w:r>
    </w:p>
    <w:p>
      <w:pPr>
        <w:pStyle w:val="BodyText"/>
        <w:ind w:left="679" w:right="150" w:firstLine="390"/>
        <w:spacing w:before="131" w:line="285" w:lineRule="auto"/>
        <w:rPr/>
      </w:pPr>
      <w:r>
        <w:rPr>
          <w:spacing w:val="4"/>
        </w:rPr>
        <w:t>原理：通过电极尖端的电流放电产生电火花</w:t>
      </w:r>
      <w:r>
        <w:rPr>
          <w:spacing w:val="3"/>
        </w:rPr>
        <w:t>，生成的热能制造出空化气泡，并进一步诱发形成球形</w:t>
      </w:r>
      <w:r>
        <w:rPr/>
        <w:t xml:space="preserve"> </w:t>
      </w:r>
      <w:r>
        <w:rPr>
          <w:spacing w:val="1"/>
        </w:rPr>
        <w:t>的冲击波。</w:t>
      </w:r>
    </w:p>
    <w:p>
      <w:pPr>
        <w:pStyle w:val="BodyText"/>
        <w:ind w:left="1070"/>
        <w:spacing w:before="13" w:line="219" w:lineRule="auto"/>
        <w:rPr/>
      </w:pPr>
      <w:r>
        <w:rPr>
          <w:rFonts w:ascii="Times New Roman" w:hAnsi="Times New Roman" w:eastAsia="Times New Roman" w:cs="Times New Roman"/>
        </w:rPr>
        <w:t>EHL</w:t>
      </w:r>
      <w:r>
        <w:rPr>
          <w:spacing w:val="3"/>
        </w:rPr>
        <w:t>能够粉碎各种化学组成的结石。</w:t>
      </w:r>
    </w:p>
    <w:p>
      <w:pPr>
        <w:pStyle w:val="BodyText"/>
        <w:ind w:left="679" w:right="150" w:firstLine="390"/>
        <w:spacing w:before="99" w:line="280" w:lineRule="auto"/>
        <w:rPr/>
      </w:pPr>
      <w:r>
        <w:rPr>
          <w:spacing w:val="4"/>
        </w:rPr>
        <w:t>热量的非定向传播往往导致周围组织损伤的频繁发生，因此现在已不再将</w:t>
      </w:r>
      <w:r>
        <w:rPr>
          <w:rFonts w:ascii="Times New Roman" w:hAnsi="Times New Roman" w:eastAsia="Times New Roman" w:cs="Times New Roman"/>
        </w:rPr>
        <w:t>EHL</w:t>
      </w:r>
      <w:r>
        <w:rPr>
          <w:spacing w:val="4"/>
        </w:rPr>
        <w:t>做为一种</w:t>
      </w:r>
      <w:r>
        <w:rPr>
          <w:spacing w:val="3"/>
        </w:rPr>
        <w:t>常规的治疗</w:t>
      </w:r>
      <w:r>
        <w:rPr/>
        <w:t xml:space="preserve"> </w:t>
      </w:r>
      <w:r>
        <w:rPr>
          <w:spacing w:val="-2"/>
        </w:rPr>
        <w:t>方法。</w:t>
      </w:r>
    </w:p>
    <w:p>
      <w:pPr>
        <w:pStyle w:val="BodyText"/>
        <w:ind w:left="1070"/>
        <w:spacing w:line="212" w:lineRule="auto"/>
        <w:rPr/>
      </w:pPr>
      <w:r>
        <w:rPr>
          <w:spacing w:val="3"/>
        </w:rPr>
        <w:t>已有多种尺寸的可弯曲的软性液电电极</w:t>
      </w:r>
      <w:r>
        <w:rPr>
          <w:spacing w:val="-53"/>
        </w:rPr>
        <w:t xml:space="preserve"> </w:t>
      </w:r>
      <w:r>
        <w:rPr>
          <w:rFonts w:ascii="Times New Roman" w:hAnsi="Times New Roman" w:eastAsia="Times New Roman" w:cs="Times New Roman"/>
          <w:spacing w:val="3"/>
        </w:rPr>
        <w:t>(</w:t>
      </w:r>
      <w:r>
        <w:rPr>
          <w:rFonts w:ascii="Times New Roman" w:hAnsi="Times New Roman" w:eastAsia="Times New Roman" w:cs="Times New Roman"/>
        </w:rPr>
        <w:t>EHL</w:t>
      </w:r>
      <w:r>
        <w:rPr>
          <w:rFonts w:ascii="Times New Roman" w:hAnsi="Times New Roman" w:eastAsia="Times New Roman" w:cs="Times New Roman"/>
          <w:spacing w:val="3"/>
        </w:rPr>
        <w:t>)    </w:t>
      </w:r>
      <w:r>
        <w:rPr>
          <w:spacing w:val="3"/>
        </w:rPr>
        <w:t>可用于半硬式及软式</w:t>
      </w:r>
      <w:r>
        <w:rPr>
          <w:spacing w:val="2"/>
        </w:rPr>
        <w:t>的内镜。</w:t>
      </w:r>
    </w:p>
    <w:p>
      <w:pPr>
        <w:pStyle w:val="BodyText"/>
        <w:ind w:left="1070"/>
        <w:spacing w:before="101" w:line="219" w:lineRule="auto"/>
        <w:rPr/>
      </w:pPr>
      <w:r>
        <w:rPr>
          <w:spacing w:val="3"/>
        </w:rPr>
        <w:t>气压弹道碎石</w:t>
      </w:r>
    </w:p>
    <w:p>
      <w:pPr>
        <w:pStyle w:val="BodyText"/>
        <w:ind w:left="1070"/>
        <w:spacing w:before="111" w:line="219" w:lineRule="auto"/>
        <w:rPr/>
      </w:pPr>
      <w:r>
        <w:rPr>
          <w:spacing w:val="5"/>
        </w:rPr>
        <w:t>配备2.4</w:t>
      </w:r>
      <w:r>
        <w:rPr>
          <w:rFonts w:ascii="Times New Roman" w:hAnsi="Times New Roman" w:eastAsia="Times New Roman" w:cs="Times New Roman"/>
          <w:spacing w:val="5"/>
        </w:rPr>
        <w:t>F</w:t>
      </w:r>
      <w:r>
        <w:rPr>
          <w:spacing w:val="5"/>
        </w:rPr>
        <w:t>探头的气压弹道碎石装置常常被用于半硬式输尿</w:t>
      </w:r>
      <w:r>
        <w:rPr>
          <w:spacing w:val="4"/>
        </w:rPr>
        <w:t>管镜，其碎石率超过90%。</w:t>
      </w:r>
    </w:p>
    <w:p>
      <w:pPr>
        <w:pStyle w:val="BodyText"/>
        <w:ind w:left="1070"/>
        <w:spacing w:before="90" w:line="218" w:lineRule="auto"/>
        <w:rPr/>
      </w:pPr>
      <w:r>
        <w:rPr>
          <w:spacing w:val="-2"/>
        </w:rPr>
        <w:t>该系统的优点是：使用安全和有极好的性价比[1]。</w:t>
      </w:r>
    </w:p>
    <w:p>
      <w:pPr>
        <w:pStyle w:val="BodyText"/>
        <w:ind w:left="679" w:right="127" w:firstLine="370"/>
        <w:spacing w:before="74" w:line="303" w:lineRule="auto"/>
        <w:rPr/>
      </w:pPr>
      <w:r>
        <w:rPr>
          <w:spacing w:val="7"/>
        </w:rPr>
        <w:t>使结石碎片向尿路近端移位，可能会降低结石的</w:t>
      </w:r>
      <w:r>
        <w:rPr>
          <w:spacing w:val="6"/>
        </w:rPr>
        <w:t>清除率[1]。置入结石网或特殊的收集装置如</w:t>
      </w:r>
      <w:r>
        <w:rPr>
          <w:rFonts w:ascii="Times New Roman" w:hAnsi="Times New Roman" w:eastAsia="Times New Roman" w:cs="Times New Roman"/>
        </w:rPr>
        <w:t>stone </w:t>
      </w:r>
      <w:r>
        <w:rPr>
          <w:rFonts w:ascii="Times New Roman" w:hAnsi="Times New Roman" w:eastAsia="Times New Roman" w:cs="Times New Roman"/>
          <w:spacing w:val="-4"/>
        </w:rPr>
        <w:t>cone</w:t>
      </w:r>
      <w:r>
        <w:rPr>
          <w:rFonts w:ascii="Times New Roman" w:hAnsi="Times New Roman" w:eastAsia="Times New Roman" w:cs="Times New Roman"/>
          <w:spacing w:val="-32"/>
        </w:rPr>
        <w:t xml:space="preserve"> </w:t>
      </w:r>
      <w:r>
        <w:rPr>
          <w:spacing w:val="-4"/>
        </w:rPr>
        <w:t>等，可以防止结石移位[1]。</w:t>
      </w:r>
    </w:p>
    <w:p>
      <w:pPr>
        <w:pStyle w:val="BodyText"/>
        <w:ind w:left="1039"/>
        <w:spacing w:before="1" w:line="218" w:lineRule="auto"/>
        <w:rPr/>
      </w:pPr>
      <w:r>
        <w:rPr/>
        <w:t>可以使用能弯曲的软式探头，但可能会损伤内镜最尖端的弯曲部位[2]。</w:t>
      </w:r>
    </w:p>
    <w:p>
      <w:pPr>
        <w:pStyle w:val="BodyText"/>
        <w:ind w:left="1070"/>
        <w:spacing w:before="72" w:line="219" w:lineRule="auto"/>
        <w:rPr/>
      </w:pPr>
      <w:r>
        <w:rPr>
          <w:spacing w:val="-2"/>
        </w:rPr>
        <w:t>超声碎石</w:t>
      </w:r>
    </w:p>
    <w:p>
      <w:pPr>
        <w:pStyle w:val="BodyText"/>
        <w:ind w:left="679" w:right="91" w:firstLine="390"/>
        <w:spacing w:before="77" w:line="303" w:lineRule="auto"/>
        <w:rPr/>
      </w:pPr>
      <w:r>
        <w:rPr/>
        <w:t>原理：超声碎石装置的探头产生高频振荡，进而引发出超声波(23,000-27,000 </w:t>
      </w:r>
      <w:r>
        <w:rPr>
          <w:rFonts w:ascii="Times New Roman" w:hAnsi="Times New Roman" w:eastAsia="Times New Roman" w:cs="Times New Roman"/>
        </w:rPr>
        <w:t>Hz)</w:t>
      </w:r>
      <w:r>
        <w:rPr/>
        <w:t>。超声波传</w:t>
      </w:r>
      <w:r>
        <w:rPr>
          <w:spacing w:val="-1"/>
        </w:rPr>
        <w:t>导到探</w:t>
      </w:r>
      <w:r>
        <w:rPr/>
        <w:t xml:space="preserve"> </w:t>
      </w:r>
      <w:r>
        <w:rPr>
          <w:spacing w:val="2"/>
        </w:rPr>
        <w:t>头尖端，导致震动并使与其接触的结石碎裂。</w:t>
      </w:r>
    </w:p>
    <w:p>
      <w:pPr>
        <w:pStyle w:val="BodyText"/>
        <w:ind w:left="682" w:right="153" w:firstLine="390"/>
        <w:spacing w:before="1" w:line="290" w:lineRule="auto"/>
        <w:rPr/>
      </w:pPr>
      <w:r>
        <w:rPr>
          <w:b/>
          <w:bCs/>
          <w:spacing w:val="4"/>
        </w:rPr>
        <w:t>兼有超声/气压弹道功能的组合式探头已经问世，并可</w:t>
      </w:r>
      <w:r>
        <w:rPr>
          <w:b/>
          <w:bCs/>
          <w:spacing w:val="3"/>
        </w:rPr>
        <w:t>应用于半硬式的输尿管镜和经皮肾镜取石术</w:t>
      </w:r>
      <w:r>
        <w:rPr/>
        <w:t xml:space="preserve"> </w:t>
      </w:r>
      <w:r>
        <w:rPr>
          <w:b/>
          <w:bCs/>
          <w:spacing w:val="-19"/>
        </w:rPr>
        <w:t>[3,4]。</w:t>
      </w:r>
    </w:p>
    <w:p>
      <w:pPr>
        <w:pStyle w:val="BodyText"/>
        <w:ind w:left="1073"/>
        <w:spacing w:before="1" w:line="219" w:lineRule="auto"/>
        <w:rPr/>
      </w:pPr>
      <w:r>
        <w:rPr>
          <w:b/>
          <w:bCs/>
          <w:spacing w:val="-4"/>
        </w:rPr>
        <w:t>激光碎石</w:t>
      </w:r>
    </w:p>
    <w:p>
      <w:pPr>
        <w:pStyle w:val="BodyText"/>
        <w:ind w:left="1073" w:right="138"/>
        <w:spacing w:before="121" w:line="282" w:lineRule="auto"/>
        <w:rPr/>
      </w:pPr>
      <w:r>
        <w:rPr>
          <w:b/>
          <w:bCs/>
          <w:spacing w:val="2"/>
        </w:rPr>
        <w:t>钕-钇铝石榴石(</w:t>
      </w:r>
      <w:r>
        <w:rPr>
          <w:b/>
          <w:bCs/>
        </w:rPr>
        <w:t>Nd</w:t>
      </w:r>
      <w:r>
        <w:rPr>
          <w:b/>
          <w:bCs/>
          <w:spacing w:val="2"/>
        </w:rPr>
        <w:t>:</w:t>
      </w:r>
      <w:r>
        <w:rPr>
          <w:b/>
          <w:bCs/>
        </w:rPr>
        <w:t>YAG</w:t>
      </w:r>
      <w:r>
        <w:rPr>
          <w:b/>
          <w:bCs/>
          <w:spacing w:val="2"/>
        </w:rPr>
        <w:t>)</w:t>
      </w:r>
      <w:r>
        <w:rPr>
          <w:spacing w:val="2"/>
        </w:rPr>
        <w:t xml:space="preserve"> </w:t>
      </w:r>
      <w:r>
        <w:rPr>
          <w:b/>
          <w:bCs/>
          <w:spacing w:val="2"/>
        </w:rPr>
        <w:t>激光器和钬-钇铝石榴石(</w:t>
      </w:r>
      <w:r>
        <w:rPr>
          <w:b/>
          <w:bCs/>
        </w:rPr>
        <w:t>Ho</w:t>
      </w:r>
      <w:r>
        <w:rPr>
          <w:b/>
          <w:bCs/>
          <w:spacing w:val="2"/>
        </w:rPr>
        <w:t>:</w:t>
      </w:r>
      <w:r>
        <w:rPr>
          <w:b/>
          <w:bCs/>
        </w:rPr>
        <w:t>YAG</w:t>
      </w:r>
      <w:r>
        <w:rPr>
          <w:b/>
          <w:bCs/>
          <w:spacing w:val="2"/>
        </w:rPr>
        <w:t>)</w:t>
      </w:r>
      <w:r>
        <w:rPr>
          <w:spacing w:val="-39"/>
        </w:rPr>
        <w:t xml:space="preserve"> </w:t>
      </w:r>
      <w:r>
        <w:rPr>
          <w:b/>
          <w:bCs/>
          <w:spacing w:val="2"/>
        </w:rPr>
        <w:t>激光器主要被用于体内的激光碎石术。</w:t>
      </w:r>
      <w:r>
        <w:rPr/>
        <w:t xml:space="preserve">  </w:t>
      </w:r>
      <w:r>
        <w:rPr>
          <w:b/>
          <w:bCs/>
          <w:spacing w:val="-5"/>
        </w:rPr>
        <w:t>有数种光纤都可用于两种激光器，365μ</w:t>
      </w:r>
      <w:r>
        <w:rPr>
          <w:rFonts w:ascii="Times New Roman" w:hAnsi="Times New Roman" w:eastAsia="Times New Roman" w:cs="Times New Roman"/>
          <w:b/>
          <w:bCs/>
          <w:spacing w:val="-5"/>
        </w:rPr>
        <w:t>m</w:t>
      </w:r>
      <w:r>
        <w:rPr>
          <w:b/>
          <w:bCs/>
          <w:spacing w:val="-5"/>
        </w:rPr>
        <w:t>的光纤主要用</w:t>
      </w:r>
      <w:r>
        <w:rPr>
          <w:b/>
          <w:bCs/>
          <w:spacing w:val="-6"/>
        </w:rPr>
        <w:t>于半硬式内镜，220μ</w:t>
      </w:r>
      <w:r>
        <w:rPr>
          <w:rFonts w:ascii="Times New Roman" w:hAnsi="Times New Roman" w:eastAsia="Times New Roman" w:cs="Times New Roman"/>
          <w:b/>
          <w:bCs/>
          <w:spacing w:val="-6"/>
        </w:rPr>
        <w:t>m</w:t>
      </w:r>
      <w:r>
        <w:rPr>
          <w:b/>
          <w:bCs/>
          <w:spacing w:val="-6"/>
        </w:rPr>
        <w:t>的光纤用于软镜[2]。</w:t>
      </w:r>
    </w:p>
    <w:p>
      <w:pPr>
        <w:pStyle w:val="BodyText"/>
        <w:ind w:left="1070"/>
        <w:spacing w:line="212" w:lineRule="auto"/>
        <w:rPr/>
      </w:pPr>
      <w:r>
        <w:rPr>
          <w:rFonts w:ascii="Times New Roman" w:hAnsi="Times New Roman" w:eastAsia="Times New Roman" w:cs="Times New Roman"/>
          <w:b/>
          <w:bCs/>
          <w:spacing w:val="-1"/>
        </w:rPr>
        <w:t>Nd:YAG</w:t>
      </w:r>
      <w:r>
        <w:rPr>
          <w:b/>
          <w:bCs/>
          <w:spacing w:val="-1"/>
        </w:rPr>
        <w:t>双频激光</w:t>
      </w:r>
      <w:r>
        <w:rPr>
          <w:spacing w:val="-62"/>
        </w:rPr>
        <w:t xml:space="preserve"> </w:t>
      </w:r>
      <w:r>
        <w:rPr>
          <w:rFonts w:ascii="Times New Roman" w:hAnsi="Times New Roman" w:eastAsia="Times New Roman" w:cs="Times New Roman"/>
          <w:b/>
          <w:bCs/>
          <w:spacing w:val="-1"/>
        </w:rPr>
        <w:t>(FREDDY</w:t>
      </w:r>
      <w:r>
        <w:rPr>
          <w:rFonts w:ascii="Times New Roman" w:hAnsi="Times New Roman" w:eastAsia="Times New Roman" w:cs="Times New Roman"/>
          <w:b/>
          <w:bCs/>
          <w:spacing w:val="26"/>
        </w:rPr>
        <w:t xml:space="preserve">  </w:t>
      </w:r>
      <w:r>
        <w:rPr>
          <w:b/>
          <w:bCs/>
          <w:spacing w:val="-1"/>
        </w:rPr>
        <w:t>波长532</w:t>
      </w:r>
      <w:r>
        <w:rPr>
          <w:rFonts w:ascii="Times New Roman" w:hAnsi="Times New Roman" w:eastAsia="Times New Roman" w:cs="Times New Roman"/>
          <w:b/>
          <w:bCs/>
          <w:spacing w:val="-1"/>
        </w:rPr>
        <w:t>nm</w:t>
      </w:r>
      <w:r>
        <w:rPr>
          <w:b/>
          <w:bCs/>
          <w:spacing w:val="-1"/>
        </w:rPr>
        <w:t>和1064</w:t>
      </w:r>
      <w:r>
        <w:rPr>
          <w:rFonts w:ascii="Times New Roman" w:hAnsi="Times New Roman" w:eastAsia="Times New Roman" w:cs="Times New Roman"/>
          <w:b/>
          <w:bCs/>
          <w:spacing w:val="-1"/>
        </w:rPr>
        <w:t>nm) </w:t>
      </w:r>
      <w:r>
        <w:rPr>
          <w:rFonts w:ascii="Times New Roman" w:hAnsi="Times New Roman" w:eastAsia="Times New Roman" w:cs="Times New Roman"/>
          <w:b/>
          <w:bCs/>
          <w:spacing w:val="-2"/>
        </w:rPr>
        <w:t xml:space="preserve"> </w:t>
      </w:r>
      <w:r>
        <w:rPr>
          <w:b/>
          <w:bCs/>
          <w:spacing w:val="-2"/>
        </w:rPr>
        <w:t>被用于碎石术。</w:t>
      </w:r>
    </w:p>
    <w:p>
      <w:pPr>
        <w:pStyle w:val="BodyText"/>
        <w:ind w:left="1073"/>
        <w:spacing w:before="107" w:line="219" w:lineRule="auto"/>
        <w:rPr/>
      </w:pPr>
      <w:r>
        <w:rPr>
          <w:b/>
          <w:bCs/>
          <w:spacing w:val="8"/>
        </w:rPr>
        <w:t>激光对于硬质结石(一水草酸钙结石)的碎石效率较低。</w:t>
      </w:r>
    </w:p>
    <w:p>
      <w:pPr>
        <w:pStyle w:val="BodyText"/>
        <w:ind w:left="1073"/>
        <w:spacing w:before="81" w:line="219" w:lineRule="auto"/>
        <w:rPr/>
      </w:pPr>
      <w:r>
        <w:rPr>
          <w:b/>
          <w:bCs/>
        </w:rPr>
        <w:t>Nd:YAG</w:t>
      </w:r>
      <w:r>
        <w:rPr/>
        <w:t xml:space="preserve"> </w:t>
      </w:r>
      <w:r>
        <w:rPr>
          <w:b/>
          <w:bCs/>
        </w:rPr>
        <w:t>激光器不能粉碎胱氨酸结石。</w:t>
      </w:r>
    </w:p>
    <w:p>
      <w:pPr>
        <w:pStyle w:val="BodyText"/>
        <w:ind w:left="1073"/>
        <w:spacing w:before="129" w:line="218" w:lineRule="auto"/>
        <w:rPr/>
      </w:pPr>
      <w:r>
        <w:rPr>
          <w:b/>
          <w:bCs/>
        </w:rPr>
        <w:t>Nd:YAG</w:t>
      </w:r>
      <w:r>
        <w:rPr/>
        <w:t xml:space="preserve"> </w:t>
      </w:r>
      <w:r>
        <w:rPr>
          <w:b/>
          <w:bCs/>
        </w:rPr>
        <w:t>激光器具有更低廉的价格，比Ho:YAG</w:t>
      </w:r>
      <w:r>
        <w:rPr/>
        <w:t xml:space="preserve"> </w:t>
      </w:r>
      <w:r>
        <w:rPr>
          <w:b/>
          <w:bCs/>
        </w:rPr>
        <w:t>激光器更有吸引力。</w:t>
      </w:r>
    </w:p>
    <w:p>
      <w:pPr>
        <w:pStyle w:val="BodyText"/>
        <w:ind w:left="1070"/>
        <w:spacing w:before="76" w:line="212" w:lineRule="auto"/>
        <w:rPr/>
      </w:pPr>
      <w:r>
        <w:rPr>
          <w:rFonts w:ascii="Times New Roman" w:hAnsi="Times New Roman" w:eastAsia="Times New Roman" w:cs="Times New Roman"/>
          <w:b/>
          <w:bCs/>
          <w:spacing w:val="-4"/>
        </w:rPr>
        <w:t>Ho:YAG</w:t>
      </w:r>
      <w:r>
        <w:rPr>
          <w:b/>
          <w:bCs/>
          <w:spacing w:val="-4"/>
        </w:rPr>
        <w:t>(波长2100</w:t>
      </w:r>
      <w:r>
        <w:rPr>
          <w:spacing w:val="-4"/>
        </w:rPr>
        <w:t xml:space="preserve"> </w:t>
      </w:r>
      <w:r>
        <w:rPr>
          <w:rFonts w:ascii="Times New Roman" w:hAnsi="Times New Roman" w:eastAsia="Times New Roman" w:cs="Times New Roman"/>
          <w:b/>
          <w:bCs/>
          <w:spacing w:val="-4"/>
        </w:rPr>
        <w:t>nm)</w:t>
      </w:r>
      <w:r>
        <w:rPr>
          <w:b/>
          <w:bCs/>
          <w:spacing w:val="-4"/>
        </w:rPr>
        <w:t>激光能够粉碎各种化学成分的结石。</w:t>
      </w:r>
    </w:p>
    <w:p>
      <w:pPr>
        <w:pStyle w:val="BodyText"/>
        <w:ind w:left="1073"/>
        <w:spacing w:before="117" w:line="219" w:lineRule="auto"/>
        <w:rPr/>
      </w:pPr>
      <w:r>
        <w:rPr>
          <w:b/>
          <w:bCs/>
          <w:spacing w:val="-4"/>
        </w:rPr>
        <w:t>当前所推崇的治疗方式是通过软性输尿管镜进行操作[</w:t>
      </w:r>
      <w:r>
        <w:rPr>
          <w:b/>
          <w:bCs/>
          <w:spacing w:val="-5"/>
        </w:rPr>
        <w:t>5]。</w:t>
      </w:r>
    </w:p>
    <w:p>
      <w:pPr>
        <w:pStyle w:val="BodyText"/>
        <w:ind w:left="1070"/>
        <w:spacing w:before="80" w:line="212" w:lineRule="auto"/>
        <w:rPr/>
      </w:pPr>
      <w:r>
        <w:rPr>
          <w:spacing w:val="1"/>
        </w:rPr>
        <w:t>组织穿透深度不超过0.5</w:t>
      </w:r>
      <w:r>
        <w:rPr>
          <w:rFonts w:ascii="Times New Roman" w:hAnsi="Times New Roman" w:eastAsia="Times New Roman" w:cs="Times New Roman"/>
        </w:rPr>
        <w:t>mm</w:t>
      </w:r>
      <w:r>
        <w:rPr>
          <w:rFonts w:ascii="Times New Roman" w:hAnsi="Times New Roman" w:eastAsia="Times New Roman" w:cs="Times New Roman"/>
          <w:spacing w:val="1"/>
        </w:rPr>
        <w:t>,</w:t>
      </w:r>
      <w:r>
        <w:rPr>
          <w:rFonts w:ascii="Times New Roman" w:hAnsi="Times New Roman" w:eastAsia="Times New Roman" w:cs="Times New Roman"/>
          <w:spacing w:val="19"/>
        </w:rPr>
        <w:t xml:space="preserve">  </w:t>
      </w:r>
      <w:r>
        <w:rPr>
          <w:spacing w:val="1"/>
        </w:rPr>
        <w:t>极大的减少了多余的热损伤。</w:t>
      </w:r>
    </w:p>
    <w:p>
      <w:pPr>
        <w:pStyle w:val="BodyText"/>
        <w:ind w:left="1070"/>
        <w:spacing w:before="111" w:line="219" w:lineRule="auto"/>
        <w:rPr/>
      </w:pPr>
      <w:r>
        <w:rPr>
          <w:spacing w:val="2"/>
        </w:rPr>
        <w:t>引起结石移位的风险远低于气压弹道碎石术。</w:t>
      </w:r>
    </w:p>
    <w:p>
      <w:pPr>
        <w:pStyle w:val="BodyText"/>
        <w:ind w:left="1070"/>
        <w:spacing w:before="92" w:line="219" w:lineRule="auto"/>
        <w:rPr/>
      </w:pPr>
      <w:r>
        <w:drawing>
          <wp:anchor distT="0" distB="0" distL="0" distR="0" simplePos="0" relativeHeight="251725824" behindDoc="1" locked="0" layoutInCell="1" allowOverlap="1">
            <wp:simplePos x="0" y="0"/>
            <wp:positionH relativeFrom="column">
              <wp:posOffset>0</wp:posOffset>
            </wp:positionH>
            <wp:positionV relativeFrom="paragraph">
              <wp:posOffset>65029</wp:posOffset>
            </wp:positionV>
            <wp:extent cx="83984" cy="395629"/>
            <wp:effectExtent l="0" t="0" r="0" b="0"/>
            <wp:wrapNone/>
            <wp:docPr id="94" name="IM 94"/>
            <wp:cNvGraphicFramePr/>
            <a:graphic>
              <a:graphicData uri="http://schemas.openxmlformats.org/drawingml/2006/picture">
                <pic:pic>
                  <pic:nvPicPr>
                    <pic:cNvPr id="94" name="IM 94"/>
                    <pic:cNvPicPr/>
                  </pic:nvPicPr>
                  <pic:blipFill>
                    <a:blip r:embed="rId192"/>
                    <a:stretch>
                      <a:fillRect/>
                    </a:stretch>
                  </pic:blipFill>
                  <pic:spPr>
                    <a:xfrm rot="0">
                      <a:off x="0" y="0"/>
                      <a:ext cx="83984" cy="395629"/>
                    </a:xfrm>
                    <a:prstGeom prst="rect">
                      <a:avLst/>
                    </a:prstGeom>
                  </pic:spPr>
                </pic:pic>
              </a:graphicData>
            </a:graphic>
          </wp:anchor>
        </w:drawing>
      </w:r>
      <w:r>
        <w:rPr>
          <w:spacing w:val="2"/>
        </w:rPr>
        <w:t>激光探头必须与结石表面相接触。</w:t>
      </w:r>
    </w:p>
    <w:p>
      <w:pPr>
        <w:pStyle w:val="BodyText"/>
        <w:ind w:left="1070"/>
        <w:spacing w:before="90" w:line="219" w:lineRule="auto"/>
        <w:rPr/>
      </w:pPr>
      <w:r>
        <w:rPr/>
        <w:t>可能会引起输尿管或肾盂穿孔。但并无证据显示会增加狭窄的发生率[6]。</w:t>
      </w:r>
    </w:p>
    <w:p>
      <w:pPr>
        <w:pStyle w:val="BodyText"/>
        <w:ind w:left="1200"/>
        <w:spacing w:before="102" w:line="219" w:lineRule="auto"/>
        <w:rPr/>
      </w:pPr>
      <w:r>
        <w:rPr>
          <w:rFonts w:ascii="Times New Roman" w:hAnsi="Times New Roman" w:eastAsia="Times New Roman" w:cs="Times New Roman"/>
          <w:spacing w:val="2"/>
        </w:rPr>
        <w:t>A3.</w:t>
      </w:r>
      <w:r>
        <w:rPr>
          <w:rFonts w:ascii="Times New Roman" w:hAnsi="Times New Roman" w:eastAsia="Times New Roman" w:cs="Times New Roman"/>
          <w:spacing w:val="-9"/>
        </w:rPr>
        <w:t xml:space="preserve"> </w:t>
      </w:r>
      <w:r>
        <w:rPr>
          <w:spacing w:val="2"/>
        </w:rPr>
        <w:t>参考文献</w:t>
      </w:r>
    </w:p>
    <w:p>
      <w:pPr>
        <w:ind w:left="770" w:right="25"/>
        <w:spacing w:before="99" w:line="32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1.Tan   PK,Tan    SM,Consigliere   D</w:t>
      </w:r>
      <w:r>
        <w:rPr>
          <w:rFonts w:ascii="Times New Roman" w:hAnsi="Times New Roman" w:eastAsia="Times New Roman" w:cs="Times New Roman"/>
          <w:sz w:val="21"/>
          <w:szCs w:val="21"/>
          <w:spacing w:val="-1"/>
        </w:rPr>
        <w:t>.Ureteroscopic    lithoclast   lithotripsy:a    cost-effective   option.J    Endourol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1998;12:341-344.</w:t>
      </w:r>
    </w:p>
    <w:p>
      <w:pPr>
        <w:ind w:left="770"/>
        <w:spacing w:before="42" w:line="192" w:lineRule="auto"/>
        <w:rPr>
          <w:rFonts w:ascii="Times New Roman" w:hAnsi="Times New Roman" w:eastAsia="Times New Roman" w:cs="Times New Roman"/>
          <w:sz w:val="21"/>
          <w:szCs w:val="21"/>
        </w:rPr>
      </w:pPr>
      <w:hyperlink w:history="true" r:id="rId193">
        <w:r>
          <w:rPr>
            <w:rFonts w:ascii="Times New Roman" w:hAnsi="Times New Roman" w:eastAsia="Times New Roman" w:cs="Times New Roman"/>
            <w:sz w:val="21"/>
            <w:szCs w:val="21"/>
          </w:rPr>
          <w:t>http://www.ncbi.nlm.nih.govlentrezlquery.fcgi?cmd=Retrieve&amp;db=pubmed&amp;dopt=Abstract&amp;list_u</w:t>
        </w:r>
        <w:r>
          <w:rPr>
            <w:rFonts w:ascii="Times New Roman" w:hAnsi="Times New Roman" w:eastAsia="Times New Roman" w:cs="Times New Roman"/>
            <w:sz w:val="21"/>
            <w:szCs w:val="21"/>
            <w:spacing w:val="-1"/>
          </w:rPr>
          <w:t>ids=9726400</w:t>
        </w:r>
      </w:hyperlink>
    </w:p>
    <w:p>
      <w:pPr>
        <w:ind w:left="770"/>
        <w:spacing w:before="128" w:line="327" w:lineRule="auto"/>
        <w:jc w:val="both"/>
        <w:rPr>
          <w:rFonts w:ascii="Times New Roman" w:hAnsi="Times New Roman" w:eastAsia="Times New Roman" w:cs="Times New Roman"/>
          <w:sz w:val="21"/>
          <w:szCs w:val="21"/>
        </w:rPr>
      </w:pPr>
      <w:hyperlink w:history="true" r:id="rId193">
        <w:r>
          <w:rPr>
            <w:rFonts w:ascii="Times New Roman" w:hAnsi="Times New Roman" w:eastAsia="Times New Roman" w:cs="Times New Roman"/>
            <w:sz w:val="21"/>
            <w:szCs w:val="21"/>
            <w:spacing w:val="-1"/>
          </w:rPr>
          <w:t>2.Michel  MS</w:t>
        </w:r>
      </w:hyperlink>
      <w:r>
        <w:rPr>
          <w:rFonts w:ascii="Times New Roman" w:hAnsi="Times New Roman" w:eastAsia="Times New Roman" w:cs="Times New Roman"/>
          <w:sz w:val="21"/>
          <w:szCs w:val="21"/>
          <w:spacing w:val="-1"/>
        </w:rPr>
        <w:t>,</w:t>
      </w:r>
      <w:hyperlink w:history="true" r:id="rId194">
        <w:r>
          <w:rPr>
            <w:rFonts w:ascii="Times New Roman" w:hAnsi="Times New Roman" w:eastAsia="Times New Roman" w:cs="Times New Roman"/>
            <w:sz w:val="21"/>
            <w:szCs w:val="21"/>
            <w:spacing w:val="-1"/>
          </w:rPr>
          <w:t>Knoll</w:t>
        </w:r>
      </w:hyperlink>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T,Pt</w:t>
      </w:r>
      <w:r>
        <w:rPr>
          <w:rFonts w:ascii="Times New Roman" w:hAnsi="Times New Roman" w:eastAsia="Times New Roman" w:cs="Times New Roman"/>
          <w:sz w:val="21"/>
          <w:szCs w:val="21"/>
        </w:rPr>
        <w:t>aschnyk  T,Kohrmann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KU,Alken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P.Flexible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ureterorenoscopy   for  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treat</w:t>
      </w:r>
      <w:r>
        <w:rPr>
          <w:rFonts w:ascii="Times New Roman" w:hAnsi="Times New Roman" w:eastAsia="Times New Roman" w:cs="Times New Roman"/>
          <w:sz w:val="21"/>
          <w:szCs w:val="21"/>
          <w:spacing w:val="-1"/>
        </w:rPr>
        <w:t>ment   o</w:t>
      </w:r>
      <w:r>
        <w:rPr>
          <w:rFonts w:ascii="Times New Roman" w:hAnsi="Times New Roman" w:eastAsia="Times New Roman" w:cs="Times New Roman"/>
          <w:sz w:val="21"/>
          <w:szCs w:val="21"/>
          <w:spacing w:val="21"/>
        </w:rPr>
        <w:t>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lower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pole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calix</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stones:influence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different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probes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stone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extraction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tools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seope</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deflection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irrigation</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flow.Eur</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Uro</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rPr>
        <w:t>20</w:t>
      </w:r>
      <w:r>
        <w:rPr>
          <w:rFonts w:ascii="Times New Roman" w:hAnsi="Times New Roman" w:eastAsia="Times New Roman" w:cs="Times New Roman"/>
          <w:sz w:val="21"/>
          <w:szCs w:val="21"/>
          <w:spacing w:val="-1"/>
        </w:rPr>
        <w:t>02;41:312-316.</w:t>
      </w:r>
    </w:p>
    <w:p>
      <w:pPr>
        <w:ind w:left="770"/>
        <w:spacing w:before="32" w:line="192" w:lineRule="auto"/>
        <w:rPr>
          <w:rFonts w:ascii="Times New Roman" w:hAnsi="Times New Roman" w:eastAsia="Times New Roman" w:cs="Times New Roman"/>
          <w:sz w:val="21"/>
          <w:szCs w:val="21"/>
        </w:rPr>
      </w:pPr>
      <w:hyperlink w:history="true" r:id="rId195">
        <w:r>
          <w:rPr>
            <w:rFonts w:ascii="Times New Roman" w:hAnsi="Times New Roman" w:eastAsia="Times New Roman" w:cs="Times New Roman"/>
            <w:sz w:val="21"/>
            <w:szCs w:val="21"/>
            <w:spacing w:val="-3"/>
          </w:rPr>
          <w:t>http://www.ncbi.nlm.nih.govlentrezlquery.fcgi?cmd=Retrieve&amp;db=pub</w:t>
        </w:r>
        <w:r>
          <w:rPr>
            <w:rFonts w:ascii="Times New Roman" w:hAnsi="Times New Roman" w:eastAsia="Times New Roman" w:cs="Times New Roman"/>
            <w:sz w:val="21"/>
            <w:szCs w:val="21"/>
            <w:spacing w:val="-4"/>
          </w:rPr>
          <w:t>med&amp;dopt=Abstract&amp;list_uids=12180234</w:t>
        </w:r>
      </w:hyperlink>
    </w:p>
    <w:p>
      <w:pPr>
        <w:ind w:left="5330"/>
        <w:spacing w:before="274"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w w:val="88"/>
        </w:rPr>
        <w:t>—255—</w:t>
      </w:r>
    </w:p>
    <w:p>
      <w:pPr>
        <w:spacing w:line="271" w:lineRule="auto"/>
        <w:rPr>
          <w:rFonts w:ascii="Arial"/>
          <w:sz w:val="21"/>
        </w:rPr>
      </w:pPr>
      <w:r/>
    </w:p>
    <w:p>
      <w:pPr>
        <w:ind w:left="380"/>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p>
      <w:pPr>
        <w:spacing w:line="192" w:lineRule="auto"/>
        <w:sectPr>
          <w:headerReference w:type="default" r:id="rId191"/>
          <w:pgSz w:w="11850" w:h="16140"/>
          <w:pgMar w:top="1190" w:right="1449" w:bottom="0" w:left="0" w:header="867" w:footer="0" w:gutter="0"/>
        </w:sectPr>
        <w:rPr>
          <w:rFonts w:ascii="Times New Roman" w:hAnsi="Times New Roman" w:eastAsia="Times New Roman" w:cs="Times New Roman"/>
          <w:sz w:val="21"/>
          <w:szCs w:val="21"/>
        </w:rPr>
      </w:pPr>
    </w:p>
    <w:p>
      <w:pPr>
        <w:ind w:left="529" w:right="614"/>
        <w:spacing w:before="237" w:line="33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3.Kuo   RL,Paterson    RF,Siqueira   TM    Jr,Evan   AP,</w:t>
      </w:r>
      <w:r>
        <w:rPr>
          <w:rFonts w:ascii="Times New Roman" w:hAnsi="Times New Roman" w:eastAsia="Times New Roman" w:cs="Times New Roman"/>
          <w:sz w:val="21"/>
          <w:szCs w:val="21"/>
          <w:spacing w:val="-1"/>
        </w:rPr>
        <w:t>MeAteer    JA,Williams   JC    Jr,Lingeman   JE.In    vitro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assessment  of</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lithoclast  ultra  intracorporeal  lithotripter.JEndourol  2004;18:153-156.</w:t>
      </w:r>
    </w:p>
    <w:p>
      <w:pPr>
        <w:ind w:left="529"/>
        <w:spacing w:before="11" w:line="19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spacing w:val="-4"/>
          </w:rPr>
          <w:t>http://www.ncbi.nlm.nih.govlentrez/query.fcgi?cmd=Retrieve&amp;db=pubmed&amp;dopt=Abstract&amp;list_uids=15072</w:t>
        </w:r>
        <w:r>
          <w:rPr>
            <w:rFonts w:ascii="Times New Roman" w:hAnsi="Times New Roman" w:eastAsia="Times New Roman" w:cs="Times New Roman"/>
            <w:sz w:val="21"/>
            <w:szCs w:val="21"/>
            <w:spacing w:val="-5"/>
          </w:rPr>
          <w:t>622</w:t>
        </w:r>
      </w:hyperlink>
    </w:p>
    <w:p>
      <w:pPr>
        <w:ind w:left="529" w:right="621"/>
        <w:spacing w:before="116" w:line="32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rPr>
          <w:t>4.Auge  BK</w:t>
        </w:r>
      </w:hyperlink>
      <w:r>
        <w:rPr>
          <w:rFonts w:ascii="Times New Roman" w:hAnsi="Times New Roman" w:eastAsia="Times New Roman" w:cs="Times New Roman"/>
          <w:sz w:val="21"/>
          <w:szCs w:val="21"/>
        </w:rPr>
        <w:t>,</w:t>
      </w:r>
      <w:hyperlink w:history="true" r:id="rId198">
        <w:r>
          <w:rPr>
            <w:rFonts w:ascii="Times New Roman" w:hAnsi="Times New Roman" w:eastAsia="Times New Roman" w:cs="Times New Roman"/>
            <w:sz w:val="21"/>
            <w:szCs w:val="21"/>
          </w:rPr>
          <w:t>Lallas</w:t>
        </w:r>
      </w:hyperlink>
      <w:r>
        <w:rPr>
          <w:rFonts w:ascii="Times New Roman" w:hAnsi="Times New Roman" w:eastAsia="Times New Roman" w:cs="Times New Roman"/>
          <w:sz w:val="21"/>
          <w:szCs w:val="21"/>
        </w:rPr>
        <w:t xml:space="preserve">  CD,Pietrow  PK,Zhong  P,Preminger  GM.In  vitro  comparison  of  </w:t>
      </w:r>
      <w:r>
        <w:rPr>
          <w:rFonts w:ascii="Times New Roman" w:hAnsi="Times New Roman" w:eastAsia="Times New Roman" w:cs="Times New Roman"/>
          <w:sz w:val="21"/>
          <w:szCs w:val="21"/>
          <w:spacing w:val="-1"/>
        </w:rPr>
        <w:t>standard  ultrasound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pneumatic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lithotrites</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combination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intracorpore</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lithotripsy</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device.Urology</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2002;60:28-32.</w:t>
      </w:r>
    </w:p>
    <w:p>
      <w:pPr>
        <w:ind w:left="529"/>
        <w:spacing w:before="31" w:line="19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spacing w:val="-4"/>
          </w:rPr>
          <w:t>http://www.ncbi.nlm.nih.govlentrez/query.fcgi?cmd=Retrieve&amp;db=pubmed&amp;dopt=Abstract&amp;list_uids=12100</w:t>
        </w:r>
        <w:r>
          <w:rPr>
            <w:rFonts w:ascii="Times New Roman" w:hAnsi="Times New Roman" w:eastAsia="Times New Roman" w:cs="Times New Roman"/>
            <w:sz w:val="21"/>
            <w:szCs w:val="21"/>
            <w:spacing w:val="-5"/>
          </w:rPr>
          <w:t>916</w:t>
        </w:r>
      </w:hyperlink>
    </w:p>
    <w:p>
      <w:pPr>
        <w:ind w:left="529" w:right="621"/>
        <w:spacing w:before="137" w:line="31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rPr>
          <w:t>5.Sofer  M</w:t>
        </w:r>
      </w:hyperlink>
      <w:r>
        <w:rPr>
          <w:rFonts w:ascii="Times New Roman" w:hAnsi="Times New Roman" w:eastAsia="Times New Roman" w:cs="Times New Roman"/>
          <w:sz w:val="21"/>
          <w:szCs w:val="21"/>
        </w:rPr>
        <w:t>,</w:t>
      </w:r>
      <w:hyperlink w:history="true" r:id="rId199">
        <w:r>
          <w:rPr>
            <w:rFonts w:ascii="Times New Roman" w:hAnsi="Times New Roman" w:eastAsia="Times New Roman" w:cs="Times New Roman"/>
            <w:sz w:val="21"/>
            <w:szCs w:val="21"/>
          </w:rPr>
          <w:t>Watterson</w:t>
        </w:r>
      </w:hyperlink>
      <w:r>
        <w:rPr>
          <w:rFonts w:ascii="Times New Roman" w:hAnsi="Times New Roman" w:eastAsia="Times New Roman" w:cs="Times New Roman"/>
          <w:sz w:val="21"/>
          <w:szCs w:val="21"/>
        </w:rPr>
        <w:t xml:space="preserve">  JD,Wollin  TA,Nott  L,Razvi  H,Denstedt  JD.Holmium:YAG  laser  lith</w:t>
      </w:r>
      <w:r>
        <w:rPr>
          <w:rFonts w:ascii="Times New Roman" w:hAnsi="Times New Roman" w:eastAsia="Times New Roman" w:cs="Times New Roman"/>
          <w:sz w:val="21"/>
          <w:szCs w:val="21"/>
          <w:spacing w:val="-1"/>
        </w:rPr>
        <w:t>otripsy  for  upper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urinary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tract</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calculi</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598</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patients</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Urol</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2002;167:31-34.</w:t>
      </w:r>
    </w:p>
    <w:p>
      <w:pPr>
        <w:ind w:left="529"/>
        <w:spacing w:before="52" w:line="19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spacing w:val="-4"/>
          </w:rPr>
          <w:t>http://www.ncbi.nlm.nih.gov/entrez/query.fcgi?cmd=Retrieve&amp;db=pubmed&amp;dopt=Abstract&amp;list_uids=117432</w:t>
        </w:r>
        <w:r>
          <w:rPr>
            <w:rFonts w:ascii="Times New Roman" w:hAnsi="Times New Roman" w:eastAsia="Times New Roman" w:cs="Times New Roman"/>
            <w:sz w:val="21"/>
            <w:szCs w:val="21"/>
            <w:spacing w:val="-5"/>
          </w:rPr>
          <w:t>69</w:t>
        </w:r>
      </w:hyperlink>
    </w:p>
    <w:p>
      <w:pPr>
        <w:ind w:left="529" w:right="604"/>
        <w:spacing w:before="137" w:line="312" w:lineRule="auto"/>
        <w:rPr>
          <w:rFonts w:ascii="Times New Roman" w:hAnsi="Times New Roman" w:eastAsia="Times New Roman" w:cs="Times New Roman"/>
          <w:sz w:val="21"/>
          <w:szCs w:val="21"/>
        </w:rPr>
      </w:pPr>
      <w:hyperlink w:history="true" r:id="rId197">
        <w:r>
          <w:rPr>
            <w:rFonts w:ascii="Times New Roman" w:hAnsi="Times New Roman" w:eastAsia="Times New Roman" w:cs="Times New Roman"/>
            <w:sz w:val="21"/>
            <w:szCs w:val="21"/>
          </w:rPr>
          <w:t>6</w:t>
        </w:r>
      </w:hyperlink>
      <w:r>
        <w:rPr>
          <w:rFonts w:ascii="Times New Roman" w:hAnsi="Times New Roman" w:eastAsia="Times New Roman" w:cs="Times New Roman"/>
          <w:sz w:val="21"/>
          <w:szCs w:val="21"/>
        </w:rPr>
        <w:t>.     Teichman    JM,Rao     RD,Rogenes    VJ,Harris    JM.Ureteroscopic    management    of    ureteral    calculi:</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electrohydraulic</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versus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holmium:YAG</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lithot</w:t>
      </w:r>
      <w:r>
        <w:rPr>
          <w:rFonts w:ascii="Times New Roman" w:hAnsi="Times New Roman" w:eastAsia="Times New Roman" w:cs="Times New Roman"/>
          <w:sz w:val="21"/>
          <w:szCs w:val="21"/>
          <w:spacing w:val="-1"/>
        </w:rPr>
        <w:t>ripsy.J</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Urol  1997;158:1357-1361.</w:t>
      </w:r>
    </w:p>
    <w:p>
      <w:pPr>
        <w:ind w:left="529"/>
        <w:spacing w:before="32" w:line="192" w:lineRule="auto"/>
        <w:rPr>
          <w:rFonts w:ascii="Times New Roman" w:hAnsi="Times New Roman" w:eastAsia="Times New Roman" w:cs="Times New Roman"/>
          <w:sz w:val="21"/>
          <w:szCs w:val="21"/>
        </w:rPr>
      </w:pPr>
      <w:hyperlink w:history="true" r:id="rId200">
        <w:r>
          <w:rPr>
            <w:rFonts w:ascii="Times New Roman" w:hAnsi="Times New Roman" w:eastAsia="Times New Roman" w:cs="Times New Roman"/>
            <w:sz w:val="21"/>
            <w:szCs w:val="21"/>
          </w:rPr>
          <w:t>http://www.ncbi.nlm.nih.gov/entrez/query.fcgi?cmd=Retrieve&amp;db=pubmed&amp;dopt=Abstract&amp;list_u</w:t>
        </w:r>
        <w:r>
          <w:rPr>
            <w:rFonts w:ascii="Times New Roman" w:hAnsi="Times New Roman" w:eastAsia="Times New Roman" w:cs="Times New Roman"/>
            <w:sz w:val="21"/>
            <w:szCs w:val="21"/>
            <w:spacing w:val="-1"/>
          </w:rPr>
          <w:t>ids=9302119</w:t>
        </w:r>
      </w:hyperlink>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ict>
          <v:shape id="_x0000_s8" style="position:absolute;margin-left:528.599pt;margin-top:3.80153pt;mso-position-vertical-relative:text;mso-position-horizontal-relative:text;width:6.5pt;height:11.35pt;z-index:251730944;" filled="false" stroked="false" type="#_x0000_t202">
            <v:fill on="false"/>
            <v:stroke on="false"/>
            <v:path/>
            <v:imagedata o:title=""/>
            <o:lock v:ext="edit" aspectratio="false"/>
            <v:textbox inset="0mm,0mm,0mm,0mm" style="layout-flow:vertical-ideographic;">
              <w:txbxContent>
                <w:p>
                  <w:pPr>
                    <w:pStyle w:val="BodyText"/>
                    <w:ind w:left="20"/>
                    <w:spacing w:before="19" w:line="201" w:lineRule="auto"/>
                    <w:rPr>
                      <w:sz w:val="8"/>
                      <w:szCs w:val="8"/>
                    </w:rPr>
                  </w:pPr>
                  <w:r>
                    <w:rPr>
                      <w:sz w:val="8"/>
                      <w:szCs w:val="8"/>
                    </w:rPr>
                    <w:t>有</w:t>
                  </w:r>
                  <w:r>
                    <w:rPr>
                      <w:sz w:val="8"/>
                      <w:szCs w:val="8"/>
                      <w:spacing w:val="-14"/>
                    </w:rPr>
                    <w:t xml:space="preserve"> </w:t>
                  </w:r>
                  <w:r>
                    <w:rPr>
                      <w:sz w:val="8"/>
                      <w:szCs w:val="8"/>
                    </w:rPr>
                    <w:t>配</w:t>
                  </w:r>
                </w:p>
              </w:txbxContent>
            </v:textbox>
          </v:shape>
        </w:pict>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4909"/>
        <w:spacing w:before="47"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rPr>
        <w:t>—256—</w:t>
      </w:r>
    </w:p>
    <w:p>
      <w:pPr>
        <w:spacing w:line="401" w:lineRule="auto"/>
        <w:rPr>
          <w:rFonts w:ascii="Arial"/>
          <w:sz w:val="21"/>
        </w:rPr>
      </w:pPr>
      <w:r/>
    </w:p>
    <w:p>
      <w:pPr>
        <w:spacing w:before="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(C)1994-2023</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China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Academic</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rPr>
        <w:t>Electronic</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Publishing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House.All</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rights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reserved.   </w:t>
      </w:r>
      <w:hyperlink w:history="true" r:id="rId3">
        <w:r>
          <w:rPr>
            <w:rFonts w:ascii="Times New Roman" w:hAnsi="Times New Roman" w:eastAsia="Times New Roman" w:cs="Times New Roman"/>
            <w:sz w:val="21"/>
            <w:szCs w:val="21"/>
          </w:rPr>
          <w:t>http://www.</w:t>
        </w:r>
        <w:r>
          <w:rPr>
            <w:rFonts w:ascii="Times New Roman" w:hAnsi="Times New Roman" w:eastAsia="Times New Roman" w:cs="Times New Roman"/>
            <w:sz w:val="21"/>
            <w:szCs w:val="21"/>
            <w:spacing w:val="-1"/>
          </w:rPr>
          <w:t>cnki.net</w:t>
        </w:r>
      </w:hyperlink>
    </w:p>
    <w:sectPr>
      <w:headerReference w:type="default" r:id="rId196"/>
      <w:pgSz w:w="11850" w:h="16140"/>
      <w:pgMar w:top="1109" w:right="788" w:bottom="0" w:left="380" w:header="59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S Gothic">
    <w:panose1 w:val="020B0609070205080204"/>
    <w:charset w:val="86"/>
    <w:family w:val="auto"/>
    <w:pitch w:val="default"/>
    <w:sig w:usb0="E00002FF" w:usb1="6AC7FDFB" w:usb2="08000012" w:usb3="00000000" w:csb0="4002009F" w:csb1="DFD70000"/>
  </w:font>
  <w:font w:name="STXingkai">
    <w:panose1 w:val="02010800040101010101"/>
    <w:charset w:val="86"/>
    <w:family w:val="auto"/>
    <w:pitch w:val="variable"/>
    <w:sig w:usb0="00000001" w:usb1="080F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13"/>
      <w:spacing w:before="46" w:line="294" w:lineRule="exact"/>
      <w:rPr>
        <w:rFonts w:ascii="STXingkai" w:hAnsi="STXingkai" w:eastAsia="STXingkai" w:cs="STXingkai"/>
        <w:sz w:val="21"/>
        <w:szCs w:val="21"/>
      </w:rPr>
    </w:pPr>
    <w:r>
      <w:drawing>
        <wp:anchor distT="0" distB="0" distL="0" distR="0" simplePos="0" relativeHeight="251658240" behindDoc="0" locked="0" layoutInCell="1" allowOverlap="1">
          <wp:simplePos x="0" y="0"/>
          <wp:positionH relativeFrom="column">
            <wp:posOffset>4794244</wp:posOffset>
          </wp:positionH>
          <wp:positionV relativeFrom="paragraph">
            <wp:posOffset>168651</wp:posOffset>
          </wp:positionV>
          <wp:extent cx="1562061" cy="6667"/>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1562061" cy="6667"/>
                  </a:xfrm>
                  <a:prstGeom prst="rect">
                    <a:avLst/>
                  </a:prstGeom>
                </pic:spPr>
              </pic:pic>
            </a:graphicData>
          </a:graphic>
        </wp:anchor>
      </w:drawing>
    </w:r>
    <w:r>
      <w:drawing>
        <wp:anchor distT="0" distB="0" distL="0" distR="0" simplePos="0" relativeHeight="251659264" behindDoc="0" locked="0" layoutInCell="0" allowOverlap="1">
          <wp:simplePos x="0" y="0"/>
          <wp:positionH relativeFrom="page">
            <wp:posOffset>4895827</wp:posOffset>
          </wp:positionH>
          <wp:positionV relativeFrom="page">
            <wp:posOffset>533352</wp:posOffset>
          </wp:positionV>
          <wp:extent cx="222281" cy="215944"/>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222281" cy="215944"/>
                  </a:xfrm>
                  <a:prstGeom prst="rect">
                    <a:avLst/>
                  </a:prstGeom>
                </pic:spPr>
              </pic:pic>
            </a:graphicData>
          </a:graphic>
        </wp:anchor>
      </w:drawing>
    </w:r>
    <w:r>
      <w:rPr>
        <w:rFonts w:ascii="STXingkai" w:hAnsi="STXingkai" w:eastAsia="STXingkai" w:cs="STXingkai"/>
        <w:sz w:val="21"/>
        <w:szCs w:val="21"/>
        <w:b/>
        <w:bCs/>
        <w:spacing w:val="-39"/>
        <w:position w:val="3"/>
      </w:rPr>
      <w:t>附</w:t>
    </w:r>
    <w:r>
      <w:rPr>
        <w:rFonts w:ascii="STXingkai" w:hAnsi="STXingkai" w:eastAsia="STXingkai" w:cs="STXingkai"/>
        <w:sz w:val="21"/>
        <w:szCs w:val="21"/>
        <w:spacing w:val="2"/>
        <w:position w:val="3"/>
      </w:rPr>
      <w:t xml:space="preserve">    </w:t>
    </w:r>
    <w:r>
      <w:rPr>
        <w:rFonts w:ascii="STXingkai" w:hAnsi="STXingkai" w:eastAsia="STXingkai" w:cs="STXingkai"/>
        <w:sz w:val="21"/>
        <w:szCs w:val="21"/>
        <w:b/>
        <w:bCs/>
        <w:spacing w:val="-39"/>
        <w:position w:val="3"/>
      </w:rPr>
      <w:t>录</w:t>
    </w:r>
    <w:r>
      <w:rPr>
        <w:rFonts w:ascii="STXingkai" w:hAnsi="STXingkai" w:eastAsia="STXingkai" w:cs="STXingkai"/>
        <w:sz w:val="21"/>
        <w:szCs w:val="21"/>
        <w:spacing w:val="2"/>
        <w:position w:val="3"/>
      </w:rPr>
      <w:t xml:space="preserve">     </w:t>
    </w:r>
    <w:r>
      <w:rPr>
        <w:rFonts w:ascii="STXingkai" w:hAnsi="STXingkai" w:eastAsia="STXingkai" w:cs="STXingkai"/>
        <w:sz w:val="21"/>
        <w:szCs w:val="21"/>
        <w:b/>
        <w:bCs/>
        <w:spacing w:val="-39"/>
        <w:position w:val="3"/>
      </w:rPr>
      <w:t>·</w:t>
    </w:r>
    <w:r>
      <w:rPr>
        <w:rFonts w:ascii="STXingkai" w:hAnsi="STXingkai" w:eastAsia="STXingkai" w:cs="STXingkai"/>
        <w:sz w:val="21"/>
        <w:szCs w:val="21"/>
        <w:spacing w:val="1"/>
        <w:position w:val="3"/>
      </w:rPr>
      <w:t xml:space="preserve">    </w:t>
    </w:r>
    <w:r>
      <w:rPr>
        <w:rFonts w:ascii="STXingkai" w:hAnsi="STXingkai" w:eastAsia="STXingkai" w:cs="STXingkai"/>
        <w:sz w:val="21"/>
        <w:szCs w:val="21"/>
        <w:b/>
        <w:bCs/>
        <w:spacing w:val="-39"/>
        <w:position w:val="3"/>
      </w:rPr>
      <w:t>指</w:t>
    </w:r>
    <w:r>
      <w:rPr>
        <w:rFonts w:ascii="STXingkai" w:hAnsi="STXingkai" w:eastAsia="STXingkai" w:cs="STXingkai"/>
        <w:sz w:val="21"/>
        <w:szCs w:val="21"/>
        <w:spacing w:val="15"/>
        <w:w w:val="101"/>
        <w:position w:val="3"/>
      </w:rPr>
      <w:t xml:space="preserve">   </w:t>
    </w:r>
    <w:r>
      <w:rPr>
        <w:rFonts w:ascii="STXingkai" w:hAnsi="STXingkai" w:eastAsia="STXingkai" w:cs="STXingkai"/>
        <w:sz w:val="21"/>
        <w:szCs w:val="21"/>
        <w:b/>
        <w:bCs/>
        <w:spacing w:val="-39"/>
        <w:position w:val="3"/>
      </w:rPr>
      <w:t>古</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99"/>
      <w:spacing w:line="510" w:lineRule="exact"/>
      <w:rPr/>
    </w:pPr>
    <w:r>
      <w:rPr>
        <w:position w:val="-10"/>
      </w:rPr>
      <w:drawing>
        <wp:inline distT="0" distB="0" distL="0" distR="0">
          <wp:extent cx="1708118" cy="323869"/>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708118" cy="323869"/>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440"/>
      <w:spacing w:line="500" w:lineRule="exact"/>
      <w:rPr/>
    </w:pPr>
    <w:r>
      <w:rPr>
        <w:position w:val="-10"/>
      </w:rPr>
      <w:drawing>
        <wp:inline distT="0" distB="0" distL="0" distR="0">
          <wp:extent cx="1720834" cy="317514"/>
          <wp:effectExtent l="0" t="0" r="0" b="0"/>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1720834" cy="317514"/>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1"/>
      <w:spacing w:line="204" w:lineRule="auto"/>
      <w:rPr>
        <w:sz w:val="21"/>
        <w:szCs w:val="21"/>
      </w:rPr>
    </w:pPr>
    <w:r>
      <w:drawing>
        <wp:anchor distT="0" distB="0" distL="0" distR="0" simplePos="0" relativeHeight="251684864" behindDoc="1" locked="0" layoutInCell="1" allowOverlap="1">
          <wp:simplePos x="0" y="0"/>
          <wp:positionH relativeFrom="column">
            <wp:posOffset>380978</wp:posOffset>
          </wp:positionH>
          <wp:positionV relativeFrom="paragraph">
            <wp:posOffset>132970</wp:posOffset>
          </wp:positionV>
          <wp:extent cx="1562063" cy="6667"/>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1562063" cy="6667"/>
                  </a:xfrm>
                  <a:prstGeom prst="rect">
                    <a:avLst/>
                  </a:prstGeom>
                </pic:spPr>
              </pic:pic>
            </a:graphicData>
          </a:graphic>
        </wp:anchor>
      </w:drawing>
    </w:r>
    <w:r>
      <w:rPr>
        <w:rFonts w:ascii="STXingkai" w:hAnsi="STXingkai" w:eastAsia="STXingkai" w:cs="STXingkai"/>
        <w:sz w:val="21"/>
        <w:szCs w:val="21"/>
        <w:b/>
        <w:bCs/>
        <w:spacing w:val="-26"/>
      </w:rPr>
      <w:t>附</w:t>
    </w:r>
    <w:r>
      <w:rPr>
        <w:rFonts w:ascii="STXingkai" w:hAnsi="STXingkai" w:eastAsia="STXingkai" w:cs="STXingkai"/>
        <w:sz w:val="21"/>
        <w:szCs w:val="21"/>
        <w:spacing w:val="-26"/>
      </w:rPr>
      <w:t xml:space="preserve">      </w:t>
    </w:r>
    <w:r>
      <w:rPr>
        <w:rFonts w:ascii="STXingkai" w:hAnsi="STXingkai" w:eastAsia="STXingkai" w:cs="STXingkai"/>
        <w:sz w:val="21"/>
        <w:szCs w:val="21"/>
        <w:b/>
        <w:bCs/>
        <w:spacing w:val="-26"/>
      </w:rPr>
      <w:t>灵</w:t>
    </w:r>
    <w:r>
      <w:rPr>
        <w:rFonts w:ascii="STXingkai" w:hAnsi="STXingkai" w:eastAsia="STXingkai" w:cs="STXingkai"/>
        <w:sz w:val="21"/>
        <w:szCs w:val="21"/>
        <w:spacing w:val="11"/>
      </w:rPr>
      <w:t xml:space="preserve">     </w:t>
    </w:r>
    <w:r>
      <w:rPr>
        <w:rFonts w:ascii="STXingkai" w:hAnsi="STXingkai" w:eastAsia="STXingkai" w:cs="STXingkai"/>
        <w:sz w:val="21"/>
        <w:szCs w:val="21"/>
        <w:b/>
        <w:bCs/>
        <w:spacing w:val="-26"/>
      </w:rPr>
      <w:t>·</w:t>
    </w:r>
    <w:r>
      <w:rPr>
        <w:rFonts w:ascii="STXingkai" w:hAnsi="STXingkai" w:eastAsia="STXingkai" w:cs="STXingkai"/>
        <w:sz w:val="21"/>
        <w:szCs w:val="21"/>
        <w:spacing w:val="11"/>
      </w:rPr>
      <w:t xml:space="preserve">    </w:t>
    </w:r>
    <w:r>
      <w:rPr>
        <w:rFonts w:ascii="STXingkai" w:hAnsi="STXingkai" w:eastAsia="STXingkai" w:cs="STXingkai"/>
        <w:sz w:val="21"/>
        <w:szCs w:val="21"/>
        <w:b/>
        <w:bCs/>
        <w:spacing w:val="-26"/>
      </w:rPr>
      <w:t>指</w:t>
    </w:r>
    <w:r>
      <w:rPr>
        <w:rFonts w:ascii="STXingkai" w:hAnsi="STXingkai" w:eastAsia="STXingkai" w:cs="STXingkai"/>
        <w:sz w:val="21"/>
        <w:szCs w:val="21"/>
        <w:spacing w:val="10"/>
      </w:rPr>
      <w:t xml:space="preserve">    </w:t>
    </w:r>
    <w:r>
      <w:rPr>
        <w:rFonts w:ascii="STXingkai" w:hAnsi="STXingkai" w:eastAsia="STXingkai" w:cs="STXingkai"/>
        <w:sz w:val="21"/>
        <w:szCs w:val="21"/>
        <w:b/>
        <w:bCs/>
        <w:spacing w:val="-26"/>
      </w:rPr>
      <w:t>直</w:t>
    </w:r>
    <w:r>
      <w:rPr>
        <w:rFonts w:ascii="STXingkai" w:hAnsi="STXingkai" w:eastAsia="STXingkai" w:cs="STXingkai"/>
        <w:sz w:val="21"/>
        <w:szCs w:val="21"/>
        <w:spacing w:val="8"/>
      </w:rPr>
      <w:t xml:space="preserve">  </w:t>
    </w:r>
    <w:r>
      <w:rPr>
        <w:sz w:val="21"/>
        <w:szCs w:val="21"/>
        <w:position w:val="-17"/>
      </w:rPr>
      <w:drawing>
        <wp:inline distT="0" distB="0" distL="0" distR="0">
          <wp:extent cx="222281" cy="203240"/>
          <wp:effectExtent l="0" t="0" r="0" b="0"/>
          <wp:docPr id="48" name="IM 48"/>
          <wp:cNvGraphicFramePr/>
          <a:graphic>
            <a:graphicData uri="http://schemas.openxmlformats.org/drawingml/2006/picture">
              <pic:pic>
                <pic:nvPicPr>
                  <pic:cNvPr id="48" name="IM 48"/>
                  <pic:cNvPicPr/>
                </pic:nvPicPr>
                <pic:blipFill>
                  <a:blip r:embed="rId2"/>
                  <a:stretch>
                    <a:fillRect/>
                  </a:stretch>
                </pic:blipFill>
                <pic:spPr>
                  <a:xfrm rot="0">
                    <a:off x="0" y="0"/>
                    <a:ext cx="222281" cy="203240"/>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449"/>
      <w:spacing w:line="500" w:lineRule="exact"/>
      <w:rPr/>
    </w:pPr>
    <w:r>
      <w:rPr>
        <w:position w:val="-10"/>
      </w:rPr>
      <w:drawing>
        <wp:inline distT="0" distB="0" distL="0" distR="0">
          <wp:extent cx="1720834" cy="317514"/>
          <wp:effectExtent l="0" t="0" r="0" b="0"/>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1720834" cy="317514"/>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7585"/>
      <w:spacing w:line="510" w:lineRule="exact"/>
      <w:rPr/>
    </w:pPr>
    <w:r>
      <w:rPr>
        <w:position w:val="-10"/>
      </w:rPr>
      <w:drawing>
        <wp:inline distT="0" distB="0" distL="0" distR="0">
          <wp:extent cx="1739872" cy="323869"/>
          <wp:effectExtent l="0" t="0" r="0" b="0"/>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1739872" cy="323869"/>
                  </a:xfrm>
                  <a:prstGeom prst="rect">
                    <a:avLst/>
                  </a:prstGeom>
                </pic:spPr>
              </pic:pic>
            </a:graphicData>
          </a:graphic>
        </wp:inline>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609"/>
      <w:spacing w:before="1" w:line="197" w:lineRule="auto"/>
      <w:rPr>
        <w:rFonts w:ascii="STXingkai" w:hAnsi="STXingkai" w:eastAsia="STXingkai" w:cs="STXingkai"/>
        <w:sz w:val="21"/>
        <w:szCs w:val="21"/>
      </w:rPr>
    </w:pPr>
    <w:r>
      <w:drawing>
        <wp:anchor distT="0" distB="0" distL="0" distR="0" simplePos="0" relativeHeight="251708416" behindDoc="1" locked="0" layoutInCell="1" allowOverlap="1">
          <wp:simplePos x="0" y="0"/>
          <wp:positionH relativeFrom="column">
            <wp:posOffset>4965733</wp:posOffset>
          </wp:positionH>
          <wp:positionV relativeFrom="paragraph">
            <wp:posOffset>130199</wp:posOffset>
          </wp:positionV>
          <wp:extent cx="1574779" cy="6667"/>
          <wp:effectExtent l="0" t="0" r="0" b="0"/>
          <wp:wrapNone/>
          <wp:docPr id="90" name="IM 90"/>
          <wp:cNvGraphicFramePr/>
          <a:graphic>
            <a:graphicData uri="http://schemas.openxmlformats.org/drawingml/2006/picture">
              <pic:pic>
                <pic:nvPicPr>
                  <pic:cNvPr id="90" name="IM 90"/>
                  <pic:cNvPicPr/>
                </pic:nvPicPr>
                <pic:blipFill>
                  <a:blip r:embed="rId1"/>
                  <a:stretch>
                    <a:fillRect/>
                  </a:stretch>
                </pic:blipFill>
                <pic:spPr>
                  <a:xfrm rot="0">
                    <a:off x="0" y="0"/>
                    <a:ext cx="1574779" cy="6667"/>
                  </a:xfrm>
                  <a:prstGeom prst="rect">
                    <a:avLst/>
                  </a:prstGeom>
                </pic:spPr>
              </pic:pic>
            </a:graphicData>
          </a:graphic>
        </wp:anchor>
      </w:drawing>
    </w:r>
    <w:r>
      <w:rPr>
        <w:rFonts w:ascii="STXingkai" w:hAnsi="STXingkai" w:eastAsia="STXingkai" w:cs="STXingkai"/>
        <w:sz w:val="21"/>
        <w:szCs w:val="21"/>
        <w:position w:val="-17"/>
      </w:rPr>
      <w:drawing>
        <wp:inline distT="0" distB="0" distL="0" distR="0">
          <wp:extent cx="222281" cy="197513"/>
          <wp:effectExtent l="0" t="0" r="0" b="0"/>
          <wp:docPr id="92" name="IM 92"/>
          <wp:cNvGraphicFramePr/>
          <a:graphic>
            <a:graphicData uri="http://schemas.openxmlformats.org/drawingml/2006/picture">
              <pic:pic>
                <pic:nvPicPr>
                  <pic:cNvPr id="92" name="IM 92"/>
                  <pic:cNvPicPr/>
                </pic:nvPicPr>
                <pic:blipFill>
                  <a:blip r:embed="rId2"/>
                  <a:stretch>
                    <a:fillRect/>
                  </a:stretch>
                </pic:blipFill>
                <pic:spPr>
                  <a:xfrm rot="0">
                    <a:off x="0" y="0"/>
                    <a:ext cx="222281" cy="197513"/>
                  </a:xfrm>
                  <a:prstGeom prst="rect">
                    <a:avLst/>
                  </a:prstGeom>
                </pic:spPr>
              </pic:pic>
            </a:graphicData>
          </a:graphic>
        </wp:inline>
      </w:drawing>
    </w:r>
    <w:r>
      <w:rPr>
        <w:rFonts w:ascii="STXingkai" w:hAnsi="STXingkai" w:eastAsia="STXingkai" w:cs="STXingkai"/>
        <w:sz w:val="21"/>
        <w:szCs w:val="21"/>
        <w:spacing w:val="12"/>
      </w:rPr>
      <w:t xml:space="preserve">  </w:t>
    </w:r>
    <w:r>
      <w:rPr>
        <w:rFonts w:ascii="STXingkai" w:hAnsi="STXingkai" w:eastAsia="STXingkai" w:cs="STXingkai"/>
        <w:sz w:val="21"/>
        <w:szCs w:val="21"/>
        <w:spacing w:val="-36"/>
      </w:rPr>
      <w:t>附</w:t>
    </w:r>
    <w:r>
      <w:rPr>
        <w:rFonts w:ascii="STXingkai" w:hAnsi="STXingkai" w:eastAsia="STXingkai" w:cs="STXingkai"/>
        <w:sz w:val="21"/>
        <w:szCs w:val="21"/>
        <w:spacing w:val="1"/>
      </w:rPr>
      <w:t xml:space="preserve">    </w:t>
    </w:r>
    <w:r>
      <w:rPr>
        <w:rFonts w:ascii="STXingkai" w:hAnsi="STXingkai" w:eastAsia="STXingkai" w:cs="STXingkai"/>
        <w:sz w:val="21"/>
        <w:szCs w:val="21"/>
        <w:spacing w:val="-36"/>
      </w:rPr>
      <w:t>灵</w:t>
    </w:r>
    <w:r>
      <w:rPr>
        <w:rFonts w:ascii="STXingkai" w:hAnsi="STXingkai" w:eastAsia="STXingkai" w:cs="STXingkai"/>
        <w:sz w:val="21"/>
        <w:szCs w:val="21"/>
        <w:spacing w:val="3"/>
      </w:rPr>
      <w:t xml:space="preserve">     </w:t>
    </w:r>
    <w:r>
      <w:rPr>
        <w:rFonts w:ascii="STXingkai" w:hAnsi="STXingkai" w:eastAsia="STXingkai" w:cs="STXingkai"/>
        <w:sz w:val="21"/>
        <w:szCs w:val="21"/>
        <w:spacing w:val="-36"/>
      </w:rPr>
      <w:t>·</w:t>
    </w:r>
    <w:r>
      <w:rPr>
        <w:rFonts w:ascii="STXingkai" w:hAnsi="STXingkai" w:eastAsia="STXingkai" w:cs="STXingkai"/>
        <w:sz w:val="21"/>
        <w:szCs w:val="21"/>
        <w:spacing w:val="1"/>
      </w:rPr>
      <w:t xml:space="preserve">    </w:t>
    </w:r>
    <w:r>
      <w:rPr>
        <w:rFonts w:ascii="STXingkai" w:hAnsi="STXingkai" w:eastAsia="STXingkai" w:cs="STXingkai"/>
        <w:sz w:val="21"/>
        <w:szCs w:val="21"/>
        <w:spacing w:val="-36"/>
      </w:rPr>
      <w:t>指</w:t>
    </w:r>
    <w:r>
      <w:rPr>
        <w:rFonts w:ascii="STXingkai" w:hAnsi="STXingkai" w:eastAsia="STXingkai" w:cs="STXingkai"/>
        <w:sz w:val="21"/>
        <w:szCs w:val="21"/>
        <w:spacing w:val="2"/>
      </w:rPr>
      <w:t xml:space="preserve">    </w:t>
    </w:r>
    <w:r>
      <w:rPr>
        <w:rFonts w:ascii="STXingkai" w:hAnsi="STXingkai" w:eastAsia="STXingkai" w:cs="STXingkai"/>
        <w:sz w:val="21"/>
        <w:szCs w:val="21"/>
        <w:spacing w:val="-36"/>
      </w:rPr>
      <w:t>直</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510"/>
      <w:spacing w:line="509" w:lineRule="exact"/>
      <w:rPr/>
    </w:pPr>
    <w:r>
      <w:rPr>
        <w:position w:val="-10"/>
      </w:rPr>
      <w:drawing>
        <wp:inline distT="0" distB="0" distL="0" distR="0">
          <wp:extent cx="1727155" cy="323767"/>
          <wp:effectExtent l="0" t="0" r="0" b="0"/>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1727155" cy="323767"/>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25"/>
      <w:szCs w:val="2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yperlink" Target="http://www.uroweb.org/files/uploaded_files/urolithiasis.pdf" TargetMode="External"/><Relationship Id="rId98" Type="http://schemas.openxmlformats.org/officeDocument/2006/relationships/header" Target="header5.xml"/><Relationship Id="rId97" Type="http://schemas.openxmlformats.org/officeDocument/2006/relationships/image" Target="media/image20.jpeg"/><Relationship Id="rId96" Type="http://schemas.openxmlformats.org/officeDocument/2006/relationships/image" Target="media/image19.jpeg"/><Relationship Id="rId95" Type="http://schemas.openxmlformats.org/officeDocument/2006/relationships/image" Target="media/image18.jpeg"/><Relationship Id="rId94" Type="http://schemas.openxmlformats.org/officeDocument/2006/relationships/image" Target="media/image17.jpeg"/><Relationship Id="rId93" Type="http://schemas.openxmlformats.org/officeDocument/2006/relationships/image" Target="media/image16.jpeg"/><Relationship Id="rId92" Type="http://schemas.openxmlformats.org/officeDocument/2006/relationships/image" Target="media/image15.jpeg"/><Relationship Id="rId91" Type="http://schemas.openxmlformats.org/officeDocument/2006/relationships/hyperlink" Target="Buck" TargetMode="External"/><Relationship Id="rId90" Type="http://schemas.openxmlformats.org/officeDocument/2006/relationships/hyperlink" Target="13:251-256" TargetMode="External"/><Relationship Id="rId9" Type="http://schemas.openxmlformats.org/officeDocument/2006/relationships/hyperlink" Target="Hopkins" TargetMode="External"/><Relationship Id="rId89" Type="http://schemas.openxmlformats.org/officeDocument/2006/relationships/hyperlink" Target="Holt" TargetMode="External"/><Relationship Id="rId88" Type="http://schemas.openxmlformats.org/officeDocument/2006/relationships/hyperlink" Target="24:392-403" TargetMode="External"/><Relationship Id="rId87" Type="http://schemas.openxmlformats.org/officeDocument/2006/relationships/hyperlink" Target="Goodman" TargetMode="External"/><Relationship Id="rId86" Type="http://schemas.openxmlformats.org/officeDocument/2006/relationships/hyperlink" Target="http://www.ncbi.nlm.nih.gov/entrez/query.fcgi?cmd=Retrieve&amp;db=PubMed&amp;list_uids=8377380&amp;dopt=Abstract15.CoeFL.Hyperuricosuriccalciumoxalatenephrolithiasis.KidneyInt1983" TargetMode="External"/><Relationship Id="rId85" Type="http://schemas.openxmlformats.org/officeDocument/2006/relationships/image" Target="media/image14.jpeg"/><Relationship Id="rId84" Type="http://schemas.openxmlformats.org/officeDocument/2006/relationships/hyperlink" Target="Iestra" TargetMode="External"/><Relationship Id="rId83" Type="http://schemas.openxmlformats.org/officeDocument/2006/relationships/hyperlink" Target="2:164-172" TargetMode="External"/><Relationship Id="rId82" Type="http://schemas.openxmlformats.org/officeDocument/2006/relationships/hyperlink" Target="13:228-234" TargetMode="External"/><Relationship Id="rId81" Type="http://schemas.openxmlformats.org/officeDocument/2006/relationships/hyperlink" Target="Auer" TargetMode="External"/><Relationship Id="rId80" Type="http://schemas.openxmlformats.org/officeDocument/2006/relationships/hyperlink" Target="Walker" TargetMode="External"/><Relationship Id="rId8" Type="http://schemas.openxmlformats.org/officeDocument/2006/relationships/hyperlink" Target="De" TargetMode="External"/><Relationship Id="rId79" Type="http://schemas.openxmlformats.org/officeDocument/2006/relationships/hyperlink" Target="Tiselius" TargetMode="External"/><Relationship Id="rId78" Type="http://schemas.openxmlformats.org/officeDocument/2006/relationships/hyperlink" Target="Morimoto" TargetMode="External"/><Relationship Id="rId77" Type="http://schemas.openxmlformats.org/officeDocument/2006/relationships/hyperlink" Target="Mauron" TargetMode="External"/><Relationship Id="rId76" Type="http://schemas.openxmlformats.org/officeDocument/2006/relationships/hyperlink" Target="http://www.ncbi.nlm.nih.govlentrez/query.fcgi?cmd=Retrieve&amp;db=PubMed&amp;list_uids=2342165&amp;dopt=Abstract11.KokDJ" TargetMode="External"/><Relationship Id="rId75" Type="http://schemas.openxmlformats.org/officeDocument/2006/relationships/header" Target="header4.xml"/><Relationship Id="rId74" Type="http://schemas.openxmlformats.org/officeDocument/2006/relationships/hyperlink" Target="http://www.ncbi.nlm.nih.gov/entrez/query.fcgi?cmd=Retrieve&amp;db=PubMed&amp;list_uids=8490666&amp;dopt=Abstract2.GrffithDP.Ureteralcalculi.In:StateoftheArtExtracorporealShockWaveLithotripsy.KandelLB" TargetMode="External"/><Relationship Id="rId73" Type="http://schemas.openxmlformats.org/officeDocument/2006/relationships/image" Target="media/image12.png"/><Relationship Id="rId72" Type="http://schemas.openxmlformats.org/officeDocument/2006/relationships/hyperlink" Target="http://www.ncbi.nlm.nih.gov/entrez/query.fcgi?cmd=Retrieve&amp;db=PubMed&amp;list_uids=10360492&amp;dopt=Abstract" TargetMode="External"/><Relationship Id="rId71" Type="http://schemas.openxmlformats.org/officeDocument/2006/relationships/hyperlink" Target="Buchholz" TargetMode="External"/><Relationship Id="rId70" Type="http://schemas.openxmlformats.org/officeDocument/2006/relationships/hyperlink" Target="Norman" TargetMode="External"/><Relationship Id="rId7" Type="http://schemas.openxmlformats.org/officeDocument/2006/relationships/hyperlink" Target="Hofbauer" TargetMode="External"/><Relationship Id="rId69" Type="http://schemas.openxmlformats.org/officeDocument/2006/relationships/hyperlink" Target="Recker" TargetMode="External"/><Relationship Id="rId68" Type="http://schemas.openxmlformats.org/officeDocument/2006/relationships/hyperlink" Target="variations" TargetMode="External"/><Relationship Id="rId67" Type="http://schemas.openxmlformats.org/officeDocument/2006/relationships/hyperlink" Target="Gleeson" TargetMode="External"/><Relationship Id="rId66" Type="http://schemas.openxmlformats.org/officeDocument/2006/relationships/hyperlink" Target="Schmidt" TargetMode="External"/><Relationship Id="rId65" Type="http://schemas.openxmlformats.org/officeDocument/2006/relationships/hyperlink" Target="Claus" TargetMode="External"/><Relationship Id="rId64" Type="http://schemas.openxmlformats.org/officeDocument/2006/relationships/hyperlink" Target="Saltzman" TargetMode="External"/><Relationship Id="rId63" Type="http://schemas.openxmlformats.org/officeDocument/2006/relationships/hyperlink" Target="http://www.ncbi.nlm.nih.gov/entrez/query.fcgi?cmd=Retrieve&amp;db=PubMed&amp;list_uids=9032530&amp;dopt=Abstract27.AckermannD" TargetMode="External"/><Relationship Id="rId62" Type="http://schemas.openxmlformats.org/officeDocument/2006/relationships/hyperlink" Target="http://www.ncbi.nlm.nih.gov/entrez/query.fcgi?cmd=Retrieve&amp;db=PubMed&amp;list_uids=597695&amp;dopt=Abstract&amp;" TargetMode="External"/><Relationship Id="rId61" Type="http://schemas.openxmlformats.org/officeDocument/2006/relationships/image" Target="media/image11.jpeg"/><Relationship Id="rId60" Type="http://schemas.openxmlformats.org/officeDocument/2006/relationships/hyperlink" Target="http://www.ncbi.nlm.nih.gov/entrez/query.fcgi?cmd=Retrieve&amp;db=pubmed&amp;dopt=Abstract&amp;list_uids=8808851" TargetMode="External"/><Relationship Id="rId6" Type="http://schemas.openxmlformats.org/officeDocument/2006/relationships/hyperlink" Target="148:1076-1078" TargetMode="External"/><Relationship Id="rId59" Type="http://schemas.openxmlformats.org/officeDocument/2006/relationships/hyperlink" Target="Wilbert" TargetMode="External"/><Relationship Id="rId58" Type="http://schemas.openxmlformats.org/officeDocument/2006/relationships/hyperlink" Target="Saussine" TargetMode="External"/><Relationship Id="rId57" Type="http://schemas.openxmlformats.org/officeDocument/2006/relationships/hyperlink" Target="Naik" TargetMode="External"/><Relationship Id="rId56" Type="http://schemas.openxmlformats.org/officeDocument/2006/relationships/hyperlink" Target="Dretler" TargetMode="External"/><Relationship Id="rId55" Type="http://schemas.openxmlformats.org/officeDocument/2006/relationships/hyperlink" Target="Lee" TargetMode="External"/><Relationship Id="rId54" Type="http://schemas.openxmlformats.org/officeDocument/2006/relationships/hyperlink" Target="44:1023-1024" TargetMode="External"/><Relationship Id="rId53" Type="http://schemas.openxmlformats.org/officeDocument/2006/relationships/hyperlink" Target="Hanak" TargetMode="External"/><Relationship Id="rId52" Type="http://schemas.openxmlformats.org/officeDocument/2006/relationships/hyperlink" Target="Seveso" TargetMode="External"/><Relationship Id="rId51" Type="http://schemas.openxmlformats.org/officeDocument/2006/relationships/hyperlink" Target="http://www.ncbi.nlm.nih.govlentrez/query.fcgi?cmd=Retrieve&amp;db=PubMed&amp;list_uids=9439396&amp;dopt=Abstract14.YuCC" TargetMode="External"/><Relationship Id="rId50" Type="http://schemas.openxmlformats.org/officeDocument/2006/relationships/header" Target="header3.xml"/><Relationship Id="rId5" Type="http://schemas.openxmlformats.org/officeDocument/2006/relationships/hyperlink" Target="http://www.ncbi.nlm.nih.gov/entrez/query.fcgi?cmd=Retrieve&amp;db=pubmed&amp;dopt=Abstract&amp;list_uids=36258458.BhattaKM" TargetMode="External"/><Relationship Id="rId49" Type="http://schemas.openxmlformats.org/officeDocument/2006/relationships/hyperlink" Target="Yost" TargetMode="External"/><Relationship Id="rId48" Type="http://schemas.openxmlformats.org/officeDocument/2006/relationships/hyperlink" Target="Pak" TargetMode="External"/><Relationship Id="rId47" Type="http://schemas.openxmlformats.org/officeDocument/2006/relationships/hyperlink" Target="Bub" TargetMode="External"/><Relationship Id="rId46" Type="http://schemas.openxmlformats.org/officeDocument/2006/relationships/hyperlink" Target="http://www.ncbi.nlm.nih.gov/entrez/query.fcgi?cmd=Retrieve&amp;db=PubMed&amp;list_uids=7966783&amp;dopt=Abstract6.StreemSB" TargetMode="External"/><Relationship Id="rId45" Type="http://schemas.openxmlformats.org/officeDocument/2006/relationships/image" Target="media/image9.png"/><Relationship Id="rId44" Type="http://schemas.openxmlformats.org/officeDocument/2006/relationships/hyperlink" Target="http://www.ncbi.nlm.nih.gov/entrez/query.fcgi?cmd=Retrieve&amp;db=PubMed&amp;list_uids=9400437&amp;dopt=Abstract" TargetMode="External"/><Relationship Id="rId43" Type="http://schemas.openxmlformats.org/officeDocument/2006/relationships/hyperlink" Target="Steyn" TargetMode="External"/><Relationship Id="rId42" Type="http://schemas.openxmlformats.org/officeDocument/2006/relationships/hyperlink" Target="http://www.ncbi.nlm.nih.gov/entrez/query.fcgi?cmd=Retrieve&amp;db=PubMed&amp;list_uids=8481721&amp;dopt=Abstract33.MeClintonS" TargetMode="External"/><Relationship Id="rId41" Type="http://schemas.openxmlformats.org/officeDocument/2006/relationships/image" Target="media/image8.jpeg"/><Relationship Id="rId40" Type="http://schemas.openxmlformats.org/officeDocument/2006/relationships/hyperlink" Target="Alpi" TargetMode="External"/><Relationship Id="rId4" Type="http://schemas.openxmlformats.org/officeDocument/2006/relationships/image" Target="media/image3.jpeg"/><Relationship Id="rId39" Type="http://schemas.openxmlformats.org/officeDocument/2006/relationships/hyperlink" Target="159:66" TargetMode="External"/><Relationship Id="rId38" Type="http://schemas.openxmlformats.org/officeDocument/2006/relationships/hyperlink" Target="Ackermann" TargetMode="External"/><Relationship Id="rId37" Type="http://schemas.openxmlformats.org/officeDocument/2006/relationships/hyperlink" Target="Liu" TargetMode="External"/><Relationship Id="rId36" Type="http://schemas.openxmlformats.org/officeDocument/2006/relationships/hyperlink" Target="Fried" TargetMode="External"/><Relationship Id="rId35" Type="http://schemas.openxmlformats.org/officeDocument/2006/relationships/hyperlink" Target="Chandhoke" TargetMode="External"/><Relationship Id="rId34" Type="http://schemas.openxmlformats.org/officeDocument/2006/relationships/hyperlink" Target="Badlani" TargetMode="External"/><Relationship Id="rId33" Type="http://schemas.openxmlformats.org/officeDocument/2006/relationships/hyperlink" Target="Masuda" TargetMode="External"/><Relationship Id="rId32" Type="http://schemas.openxmlformats.org/officeDocument/2006/relationships/hyperlink" Target="Coptcoat" TargetMode="External"/><Relationship Id="rId31" Type="http://schemas.openxmlformats.org/officeDocument/2006/relationships/hyperlink" Target="http://www.ncbi.nlm.nih.govlentrezlquery.fcgi?cmd=Retrieve&amp;db=PubMed&amp;list_uids=3336099&amp;dopt=Abstract17.PayneSR" TargetMode="External"/><Relationship Id="rId30" Type="http://schemas.openxmlformats.org/officeDocument/2006/relationships/image" Target="media/image7.jpeg"/><Relationship Id="rId3" Type="http://schemas.openxmlformats.org/officeDocument/2006/relationships/hyperlink" Target="http://www.cnki.net" TargetMode="External"/><Relationship Id="rId29" Type="http://schemas.openxmlformats.org/officeDocument/2006/relationships/hyperlink" Target="Bush" TargetMode="External"/><Relationship Id="rId28" Type="http://schemas.openxmlformats.org/officeDocument/2006/relationships/hyperlink" Target="Miller" TargetMode="External"/><Relationship Id="rId27" Type="http://schemas.openxmlformats.org/officeDocument/2006/relationships/hyperlink" Target="155:69-70" TargetMode="External"/><Relationship Id="rId26" Type="http://schemas.openxmlformats.org/officeDocument/2006/relationships/hyperlink" Target="Ueda" TargetMode="External"/><Relationship Id="rId25" Type="http://schemas.openxmlformats.org/officeDocument/2006/relationships/hyperlink" Target="Streem" TargetMode="External"/><Relationship Id="rId24" Type="http://schemas.openxmlformats.org/officeDocument/2006/relationships/hyperlink" Target="Denstedt" TargetMode="External"/><Relationship Id="rId23" Type="http://schemas.openxmlformats.org/officeDocument/2006/relationships/hyperlink" Target="Webster" TargetMode="External"/><Relationship Id="rId22" Type="http://schemas.openxmlformats.org/officeDocument/2006/relationships/hyperlink" Target="Chang" TargetMode="External"/><Relationship Id="rId21" Type="http://schemas.openxmlformats.org/officeDocument/2006/relationships/hyperlink" Target="Newman" TargetMode="External"/><Relationship Id="rId203" Type="http://schemas.openxmlformats.org/officeDocument/2006/relationships/fontTable" Target="fontTable.xml"/><Relationship Id="rId202" Type="http://schemas.openxmlformats.org/officeDocument/2006/relationships/styles" Target="styles.xml"/><Relationship Id="rId201" Type="http://schemas.openxmlformats.org/officeDocument/2006/relationships/settings" Target="settings.xml"/><Relationship Id="rId200" Type="http://schemas.openxmlformats.org/officeDocument/2006/relationships/hyperlink" Target="http://www.ncbi.nlm.nih.gov/entrez/query.fcgi?cmd=Retrieve&amp;db=pubmed&amp;dopt=Abstract&amp;list_uids=9302119" TargetMode="External"/><Relationship Id="rId20" Type="http://schemas.openxmlformats.org/officeDocument/2006/relationships/hyperlink" Target="Rey" TargetMode="External"/><Relationship Id="rId2" Type="http://schemas.openxmlformats.org/officeDocument/2006/relationships/image" Target="media/image2.jpeg"/><Relationship Id="rId199" Type="http://schemas.openxmlformats.org/officeDocument/2006/relationships/hyperlink" Target="Watterson" TargetMode="External"/><Relationship Id="rId198" Type="http://schemas.openxmlformats.org/officeDocument/2006/relationships/hyperlink" Target="Lallas" TargetMode="External"/><Relationship Id="rId197" Type="http://schemas.openxmlformats.org/officeDocument/2006/relationships/hyperlink" Target="http://www.ncbi.nlm.nih.gov/entrez/query.fcgi?cmd=Retrieve&amp;db=pubmed&amp;dopt=Abstract&amp;list_uids=117432696" TargetMode="External"/><Relationship Id="rId196" Type="http://schemas.openxmlformats.org/officeDocument/2006/relationships/header" Target="header9.xml"/><Relationship Id="rId195" Type="http://schemas.openxmlformats.org/officeDocument/2006/relationships/hyperlink" Target="http://www.ncbi.nlm.nih.govlentrezlquery.fcgi?cmd=Retrieve&amp;db=pubmed&amp;dopt=Abstract&amp;list_uids=12180234" TargetMode="External"/><Relationship Id="rId194" Type="http://schemas.openxmlformats.org/officeDocument/2006/relationships/hyperlink" Target="Knoll" TargetMode="External"/><Relationship Id="rId193" Type="http://schemas.openxmlformats.org/officeDocument/2006/relationships/hyperlink" Target="http://www.ncbi.nlm.nih.govlentrezlquery.fcgi?cmd=Retrieve&amp;db=pubmed&amp;dopt=Abstract&amp;list_uids=97264002.MichelMS" TargetMode="External"/><Relationship Id="rId192" Type="http://schemas.openxmlformats.org/officeDocument/2006/relationships/image" Target="media/image45.png"/><Relationship Id="rId191" Type="http://schemas.openxmlformats.org/officeDocument/2006/relationships/header" Target="header8.xml"/><Relationship Id="rId190" Type="http://schemas.openxmlformats.org/officeDocument/2006/relationships/image" Target="media/image42.png"/><Relationship Id="rId19" Type="http://schemas.openxmlformats.org/officeDocument/2006/relationships/hyperlink" Target="Agarwal" TargetMode="External"/><Relationship Id="rId189" Type="http://schemas.openxmlformats.org/officeDocument/2006/relationships/image" Target="media/image41.png"/><Relationship Id="rId188" Type="http://schemas.openxmlformats.org/officeDocument/2006/relationships/image" Target="media/image40.jpeg"/><Relationship Id="rId187" Type="http://schemas.openxmlformats.org/officeDocument/2006/relationships/image" Target="media/image39.jpeg"/><Relationship Id="rId186" Type="http://schemas.openxmlformats.org/officeDocument/2006/relationships/image" Target="media/image38.png"/><Relationship Id="rId185" Type="http://schemas.openxmlformats.org/officeDocument/2006/relationships/hyperlink" Target="http://www.ncbi.nlm.nih.gov/entrez/query.fcgi?cmd=Retrieve&amp;db=pubmed&amp;dopt=Abstract&amp;list_uids=6472365" TargetMode="External"/><Relationship Id="rId184" Type="http://schemas.openxmlformats.org/officeDocument/2006/relationships/hyperlink" Target="Riedl" TargetMode="External"/><Relationship Id="rId183" Type="http://schemas.openxmlformats.org/officeDocument/2006/relationships/hyperlink" Target="http://www.ncbi.nlm.nih.gov/entrez/query.fcgi?cmd=Retrieve&amp;db=pubmed&amp;dopt=Abstract&amp;list_uids=1113405" TargetMode="External"/><Relationship Id="rId182" Type="http://schemas.openxmlformats.org/officeDocument/2006/relationships/hyperlink" Target="http://www.ncbi.nlm.nih.govlentrez/query.fcgi?cmd=Retrieve&amp;db=pubmed&amp;dopt=Abstract&amp;list_uids=107518484" TargetMode="External"/><Relationship Id="rId181" Type="http://schemas.openxmlformats.org/officeDocument/2006/relationships/image" Target="media/image37.jpeg"/><Relationship Id="rId180" Type="http://schemas.openxmlformats.org/officeDocument/2006/relationships/hyperlink" Target="ItoH.Thelong-term" TargetMode="External"/><Relationship Id="rId18" Type="http://schemas.openxmlformats.org/officeDocument/2006/relationships/hyperlink" Target="11:175-177" TargetMode="External"/><Relationship Id="rId179" Type="http://schemas.openxmlformats.org/officeDocument/2006/relationships/hyperlink" Target="MasaiM" TargetMode="External"/><Relationship Id="rId178" Type="http://schemas.openxmlformats.org/officeDocument/2006/relationships/hyperlink" Target="KotakeT" TargetMode="External"/><Relationship Id="rId177" Type="http://schemas.openxmlformats.org/officeDocument/2006/relationships/hyperlink" Target="NozumiK" TargetMode="External"/><Relationship Id="rId176" Type="http://schemas.openxmlformats.org/officeDocument/2006/relationships/hyperlink" Target="UedaT" TargetMode="External"/><Relationship Id="rId175" Type="http://schemas.openxmlformats.org/officeDocument/2006/relationships/hyperlink" Target="EgoshiK" TargetMode="External"/><Relationship Id="rId174" Type="http://schemas.openxmlformats.org/officeDocument/2006/relationships/image" Target="media/image36.png"/><Relationship Id="rId173" Type="http://schemas.openxmlformats.org/officeDocument/2006/relationships/hyperlink" Target="Waters" TargetMode="External"/><Relationship Id="rId172" Type="http://schemas.openxmlformats.org/officeDocument/2006/relationships/hyperlink" Target="Stoller" TargetMode="External"/><Relationship Id="rId171" Type="http://schemas.openxmlformats.org/officeDocument/2006/relationships/hyperlink" Target="http://www.ncbi.nlm.nih.gov/entrez/query.fcgi?cmd=Retrieve&amp;db=pubmed&amp;dopt=Abstract&amp;list_uids=37842846.PakCY" TargetMode="External"/><Relationship Id="rId170" Type="http://schemas.openxmlformats.org/officeDocument/2006/relationships/image" Target="media/image35.png"/><Relationship Id="rId17" Type="http://schemas.openxmlformats.org/officeDocument/2006/relationships/hyperlink" Target="7:501-503" TargetMode="External"/><Relationship Id="rId169" Type="http://schemas.openxmlformats.org/officeDocument/2006/relationships/image" Target="media/image34.jpeg"/><Relationship Id="rId168" Type="http://schemas.openxmlformats.org/officeDocument/2006/relationships/image" Target="media/image33.jpeg"/><Relationship Id="rId167" Type="http://schemas.openxmlformats.org/officeDocument/2006/relationships/image" Target="media/image32.jpeg"/><Relationship Id="rId166" Type="http://schemas.openxmlformats.org/officeDocument/2006/relationships/hyperlink" Target="Sandvall" TargetMode="External"/><Relationship Id="rId165" Type="http://schemas.openxmlformats.org/officeDocument/2006/relationships/hyperlink" Target="Ayiomamitis" TargetMode="External"/><Relationship Id="rId164" Type="http://schemas.openxmlformats.org/officeDocument/2006/relationships/hyperlink" Target="Eickholt" TargetMode="External"/><Relationship Id="rId163" Type="http://schemas.openxmlformats.org/officeDocument/2006/relationships/hyperlink" Target="http://www.ncbi.nlm.nih.govlentrez/query.fcgi?cmd=Retrieve&amp;db=pubmed&amp;dopt=Abstract&amp;list_uids=317010574.AhlstrandC" TargetMode="External"/><Relationship Id="rId162" Type="http://schemas.openxmlformats.org/officeDocument/2006/relationships/image" Target="media/image31.jpeg"/><Relationship Id="rId161" Type="http://schemas.openxmlformats.org/officeDocument/2006/relationships/image" Target="media/image30.jpeg"/><Relationship Id="rId160" Type="http://schemas.openxmlformats.org/officeDocument/2006/relationships/hyperlink" Target="http://www.ncbi.nlm.nih.gov/entrezlquery.fcgi?cmd=Retrieve&amp;db=PubMed&amp;list_uids=4084717&amp;dopt=Abstract" TargetMode="External"/><Relationship Id="rId16" Type="http://schemas.openxmlformats.org/officeDocument/2006/relationships/hyperlink" Target="http://www.ncbi.nlm.nih.govlentrez/query.fcgi?cmd=Retrieve&amp;db=PubMed&amp;list_uids=7490901&amp;dopt=Abstract15.RamsayJWA" TargetMode="External"/><Relationship Id="rId159" Type="http://schemas.openxmlformats.org/officeDocument/2006/relationships/hyperlink" Target="Tsc?pe" TargetMode="External"/><Relationship Id="rId158" Type="http://schemas.openxmlformats.org/officeDocument/2006/relationships/hyperlink" Target="19:187-190" TargetMode="External"/><Relationship Id="rId157" Type="http://schemas.openxmlformats.org/officeDocument/2006/relationships/hyperlink" Target="19:451-457" TargetMode="External"/><Relationship Id="rId156" Type="http://schemas.openxmlformats.org/officeDocument/2006/relationships/hyperlink" Target="Hering" TargetMode="External"/><Relationship Id="rId155" Type="http://schemas.openxmlformats.org/officeDocument/2006/relationships/hyperlink" Target="Rose" TargetMode="External"/><Relationship Id="rId154" Type="http://schemas.openxmlformats.org/officeDocument/2006/relationships/hyperlink" Target="Raisen" TargetMode="External"/><Relationship Id="rId153" Type="http://schemas.openxmlformats.org/officeDocument/2006/relationships/hyperlink" Target="Petta" TargetMode="External"/><Relationship Id="rId152" Type="http://schemas.openxmlformats.org/officeDocument/2006/relationships/image" Target="media/image29.png"/><Relationship Id="rId151" Type="http://schemas.openxmlformats.org/officeDocument/2006/relationships/hyperlink" Target="Coe" TargetMode="External"/><Relationship Id="rId150" Type="http://schemas.openxmlformats.org/officeDocument/2006/relationships/hyperlink" Target="http://www.ncbi.nlm.nih.gov/entrez/query.fcgi?cmd=Retrieve&amp;db=PubMed&amp;list_uids=753493&amp;dopt=Abstract65.HautmannR" TargetMode="External"/><Relationship Id="rId15" Type="http://schemas.openxmlformats.org/officeDocument/2006/relationships/image" Target="media/image6.jpeg"/><Relationship Id="rId149" Type="http://schemas.openxmlformats.org/officeDocument/2006/relationships/header" Target="header7.xml"/><Relationship Id="rId148" Type="http://schemas.openxmlformats.org/officeDocument/2006/relationships/hyperlink" Target="http://www.ncbi.nlm.nih.govlentrez/query.fcgi?cmd=Retrieve&amp;db=pubmed&amp;dopt=Abstract&amp;list_uids=6764473" TargetMode="External"/><Relationship Id="rId147" Type="http://schemas.openxmlformats.org/officeDocument/2006/relationships/hyperlink" Target="http://www.ncbi.nlm.nih.gov/entrez/query.fcgi?cmd=Retrieve&amp;db=PubMed&amp;list_uids=3280829&amp;dopt=Abstract" TargetMode="External"/><Relationship Id="rId146" Type="http://schemas.openxmlformats.org/officeDocument/2006/relationships/hyperlink" Target="Citron" TargetMode="External"/><Relationship Id="rId145" Type="http://schemas.openxmlformats.org/officeDocument/2006/relationships/hyperlink" Target="Bruce" TargetMode="External"/><Relationship Id="rId144" Type="http://schemas.openxmlformats.org/officeDocument/2006/relationships/hyperlink" Target="Heller" TargetMode="External"/><Relationship Id="rId143" Type="http://schemas.openxmlformats.org/officeDocument/2006/relationships/hyperlink" Target="Danielson" TargetMode="External"/><Relationship Id="rId142" Type="http://schemas.openxmlformats.org/officeDocument/2006/relationships/hyperlink" Target="Werness" TargetMode="External"/><Relationship Id="rId141" Type="http://schemas.openxmlformats.org/officeDocument/2006/relationships/hyperlink" Target="SandvallK.How" TargetMode="External"/><Relationship Id="rId140" Type="http://schemas.openxmlformats.org/officeDocument/2006/relationships/hyperlink" Target="61:200-206" TargetMode="External"/><Relationship Id="rId14" Type="http://schemas.openxmlformats.org/officeDocument/2006/relationships/header" Target="header2.xml"/><Relationship Id="rId139" Type="http://schemas.openxmlformats.org/officeDocument/2006/relationships/hyperlink" Target="26:452-462" TargetMode="External"/><Relationship Id="rId138" Type="http://schemas.openxmlformats.org/officeDocument/2006/relationships/hyperlink" Target="http://www.ncbi.nlm.nih.gov/entrez/query.fcgi?cmd=Retrieve&amp;db=pubmed&amp;dopt=Abstract&amp;list_uids=664520844.TiseliusHG.Stoneincidenceandprevention.BrazJUrol2000" TargetMode="External"/><Relationship Id="rId137" Type="http://schemas.openxmlformats.org/officeDocument/2006/relationships/header" Target="header6.xml"/><Relationship Id="rId136" Type="http://schemas.openxmlformats.org/officeDocument/2006/relationships/hyperlink" Target="Nicar" TargetMode="External"/><Relationship Id="rId135" Type="http://schemas.openxmlformats.org/officeDocument/2006/relationships/hyperlink" Target="Larsson" TargetMode="External"/><Relationship Id="rId134" Type="http://schemas.openxmlformats.org/officeDocument/2006/relationships/hyperlink" Target="Akbay" TargetMode="External"/><Relationship Id="rId133" Type="http://schemas.openxmlformats.org/officeDocument/2006/relationships/image" Target="media/image26.png"/><Relationship Id="rId132" Type="http://schemas.openxmlformats.org/officeDocument/2006/relationships/hyperlink" Target="Meyers" TargetMode="External"/><Relationship Id="rId131" Type="http://schemas.openxmlformats.org/officeDocument/2006/relationships/hyperlink" Target="Harvey" TargetMode="External"/><Relationship Id="rId130" Type="http://schemas.openxmlformats.org/officeDocument/2006/relationships/hyperlink" Target="Peterson" TargetMode="External"/><Relationship Id="rId13" Type="http://schemas.openxmlformats.org/officeDocument/2006/relationships/header" Target="header1.xml"/><Relationship Id="rId129" Type="http://schemas.openxmlformats.org/officeDocument/2006/relationships/hyperlink" Target="Fuller" TargetMode="External"/><Relationship Id="rId128" Type="http://schemas.openxmlformats.org/officeDocument/2006/relationships/hyperlink" Target="Huang" TargetMode="External"/><Relationship Id="rId127" Type="http://schemas.openxmlformats.org/officeDocument/2006/relationships/hyperlink" Target="Biri" TargetMode="External"/><Relationship Id="rId126" Type="http://schemas.openxmlformats.org/officeDocument/2006/relationships/hyperlink" Target="Wuhl" TargetMode="External"/><Relationship Id="rId125" Type="http://schemas.openxmlformats.org/officeDocument/2006/relationships/hyperlink" Target="http://www.ncbi.nlm.nih.gov/entrezlquery.fcgi?cmd=Retrieve&amp;db=pubmed&amp;dopt=Abstract&amp;list_uids=831680731.BarceloB" TargetMode="External"/><Relationship Id="rId124" Type="http://schemas.openxmlformats.org/officeDocument/2006/relationships/image" Target="media/image25.jpeg"/><Relationship Id="rId123" Type="http://schemas.openxmlformats.org/officeDocument/2006/relationships/hyperlink" Target="Berg" TargetMode="External"/><Relationship Id="rId122" Type="http://schemas.openxmlformats.org/officeDocument/2006/relationships/hyperlink" Target="Roehrborn" TargetMode="External"/><Relationship Id="rId121" Type="http://schemas.openxmlformats.org/officeDocument/2006/relationships/hyperlink" Target="Peters" TargetMode="External"/><Relationship Id="rId120" Type="http://schemas.openxmlformats.org/officeDocument/2006/relationships/hyperlink" Target="Vitale" TargetMode="External"/><Relationship Id="rId12" Type="http://schemas.openxmlformats.org/officeDocument/2006/relationships/hyperlink" Target="DretlerSP.Cystinecalculi:twotypes.In:ShockWaveLithotripsy" TargetMode="External"/><Relationship Id="rId119" Type="http://schemas.openxmlformats.org/officeDocument/2006/relationships/hyperlink" Target="Backman" TargetMode="External"/><Relationship Id="rId118" Type="http://schemas.openxmlformats.org/officeDocument/2006/relationships/hyperlink" Target="Juttman" TargetMode="External"/><Relationship Id="rId117" Type="http://schemas.openxmlformats.org/officeDocument/2006/relationships/hyperlink" Target="Kavalach" TargetMode="External"/><Relationship Id="rId116" Type="http://schemas.openxmlformats.org/officeDocument/2006/relationships/hyperlink" Target="Sandwall" TargetMode="External"/><Relationship Id="rId115" Type="http://schemas.openxmlformats.org/officeDocument/2006/relationships/hyperlink" Target="Meschi" TargetMode="External"/><Relationship Id="rId114" Type="http://schemas.openxmlformats.org/officeDocument/2006/relationships/hyperlink" Target="http://www.ncbi.nlm.nih.gov/entrez/query.fcgi?cmd=Retrieve&amp;db=pubmed&amp;dopt=Abstract&amp;list_uids=1060852130.TiseliusHG" TargetMode="External"/><Relationship Id="rId113" Type="http://schemas.openxmlformats.org/officeDocument/2006/relationships/hyperlink" Target="http://www.ncbi.nlm.nih.gov/entrez/query.fegi?cmd=Retrieve&amp;db=PubMed&amp;list_uids=3280829&amp;dopt=Abstract" TargetMode="External"/><Relationship Id="rId112" Type="http://schemas.openxmlformats.org/officeDocument/2006/relationships/image" Target="media/image24.jpeg"/><Relationship Id="rId111" Type="http://schemas.openxmlformats.org/officeDocument/2006/relationships/hyperlink" Target="Strauss" TargetMode="External"/><Relationship Id="rId110" Type="http://schemas.openxmlformats.org/officeDocument/2006/relationships/hyperlink" Target="Larsen" TargetMode="External"/><Relationship Id="rId11" Type="http://schemas.openxmlformats.org/officeDocument/2006/relationships/hyperlink" Target="PrienELJr" TargetMode="External"/><Relationship Id="rId109" Type="http://schemas.openxmlformats.org/officeDocument/2006/relationships/hyperlink" Target="Schwille" TargetMode="External"/><Relationship Id="rId108" Type="http://schemas.openxmlformats.org/officeDocument/2006/relationships/hyperlink" Target="Dahl" TargetMode="External"/><Relationship Id="rId107" Type="http://schemas.openxmlformats.org/officeDocument/2006/relationships/hyperlink" Target="102:479-489" TargetMode="External"/><Relationship Id="rId106" Type="http://schemas.openxmlformats.org/officeDocument/2006/relationships/hyperlink" Target="Harrison" TargetMode="External"/><Relationship Id="rId105" Type="http://schemas.openxmlformats.org/officeDocument/2006/relationships/hyperlink" Target="Yendt" TargetMode="External"/><Relationship Id="rId104" Type="http://schemas.openxmlformats.org/officeDocument/2006/relationships/hyperlink" Target="BE" TargetMode="External"/><Relationship Id="rId103" Type="http://schemas.openxmlformats.org/officeDocument/2006/relationships/hyperlink" Target="88:158-168" TargetMode="External"/><Relationship Id="rId102" Type="http://schemas.openxmlformats.org/officeDocument/2006/relationships/hyperlink" Target="http://www.ncbi.nlm.nih.govlentrezlquery.fcgi?cmd=Retrieve&amp;db=PubMed&amp;list_uids=7176047&amp;dopt=Abstract15.LaerumE" TargetMode="External"/><Relationship Id="rId101" Type="http://schemas.openxmlformats.org/officeDocument/2006/relationships/image" Target="media/image23.jpeg"/><Relationship Id="rId100" Type="http://schemas.openxmlformats.org/officeDocument/2006/relationships/hyperlink" Target="http://www.ncbi.nlm.nih.gov/entrez/query.fcgi?cmd=Retrieve&amp;db=pubmed&amp;dopt=Abstract&amp;list_uids=127090883.TiseliusHG" TargetMode="External"/><Relationship Id="rId10" Type="http://schemas.openxmlformats.org/officeDocument/2006/relationships/hyperlink" Target="Coury" TargetMode="External"/><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_rels/header4.xml.rels><?xml version="1.0" encoding="UTF-8" standalone="yes"?>
<Relationships xmlns="http://schemas.openxmlformats.org/package/2006/relationships"><Relationship Id="rId1" Type="http://schemas.openxmlformats.org/officeDocument/2006/relationships/image" Target="media/image13.jpeg"/></Relationships>
</file>

<file path=word/_rels/header5.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eg"/></Relationships>
</file>

<file path=word/_rels/header6.xml.rels><?xml version="1.0" encoding="UTF-8" standalone="yes"?>
<Relationships xmlns="http://schemas.openxmlformats.org/package/2006/relationships"><Relationship Id="rId1" Type="http://schemas.openxmlformats.org/officeDocument/2006/relationships/image" Target="media/image27.jpeg"/></Relationships>
</file>

<file path=word/_rels/header7.xml.rels><?xml version="1.0" encoding="UTF-8" standalone="yes"?>
<Relationships xmlns="http://schemas.openxmlformats.org/package/2006/relationships"><Relationship Id="rId1" Type="http://schemas.openxmlformats.org/officeDocument/2006/relationships/image" Target="media/image28.jpeg"/></Relationships>
</file>

<file path=word/_rels/header8.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jpeg"/></Relationships>
</file>

<file path=word/_rels/header9.xml.rels><?xml version="1.0" encoding="UTF-8" standalone="yes"?>
<Relationships xmlns="http://schemas.openxmlformats.org/package/2006/relationships"><Relationship Id="rId1" Type="http://schemas.openxmlformats.org/officeDocument/2006/relationships/image" Target="media/image4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2025-10-28T21:34:16Z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2025-10-28T21:34:26</vt:filetime>
  </property>
  <property fmtid="{D5CDD505-2E9C-101B-9397-08002B2CF9AE}" pid="4" name="UsrData">
    <vt:lpwstr>6900c650d9de810020074ebdwl</vt:lpwstr>
  </property>
</Properties>
</file>