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801"/>
        <w:spacing w:before="209" w:line="221" w:lineRule="auto"/>
        <w:rPr>
          <w:rFonts w:ascii="SimHei" w:hAnsi="SimHei" w:eastAsia="SimHei" w:cs="SimHei"/>
          <w:sz w:val="40"/>
          <w:szCs w:val="40"/>
        </w:rPr>
      </w:pP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超声与</w:t>
      </w:r>
      <w:r>
        <w:rPr>
          <w:rFonts w:ascii="SimHei" w:hAnsi="SimHei" w:eastAsia="SimHei" w:cs="SimHei"/>
          <w:sz w:val="40"/>
          <w:szCs w:val="40"/>
          <w:color w:val="231F2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40"/>
          <w:szCs w:val="40"/>
          <w:color w:val="231F20"/>
          <w:spacing w:val="-2"/>
        </w:rPr>
        <w:t>CT </w:t>
      </w:r>
      <w:r>
        <w:rPr>
          <w:rFonts w:ascii="SimHei" w:hAnsi="SimHei" w:eastAsia="SimHei" w:cs="SimHei"/>
          <w:sz w:val="40"/>
          <w:szCs w:val="40"/>
          <w:color w:val="231F20"/>
          <w:spacing w:val="-2"/>
        </w:rPr>
        <w:t>检查诊断泌尿系结石的临床价值</w:t>
      </w:r>
    </w:p>
    <w:p>
      <w:pPr>
        <w:ind w:left="4247"/>
        <w:spacing w:before="151" w:line="212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路以恒，陈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佳（通信作者）</w:t>
      </w:r>
    </w:p>
    <w:p>
      <w:pPr>
        <w:ind w:left="3144"/>
        <w:spacing w:before="50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1"/>
        </w:rPr>
        <w:t>（聊城市第四人民医院超声科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山东</w:t>
      </w:r>
      <w:r>
        <w:rPr>
          <w:rFonts w:ascii="KaiTi" w:hAnsi="KaiTi" w:eastAsia="KaiTi" w:cs="KaiTi"/>
          <w:sz w:val="20"/>
          <w:szCs w:val="20"/>
          <w:color w:val="231F20"/>
          <w:spacing w:val="6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聊城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 xml:space="preserve"> 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252000）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47" w:right="55" w:hanging="7"/>
        <w:spacing w:before="65" w:line="315" w:lineRule="auto"/>
        <w:jc w:val="both"/>
        <w:rPr>
          <w:sz w:val="17"/>
          <w:szCs w:val="17"/>
        </w:rPr>
      </w:pPr>
      <w:r>
        <w:rPr>
          <w:color w:val="231F20"/>
        </w:rPr>
        <w:t>【摘要】</w:t>
      </w:r>
      <w:r>
        <w:rPr>
          <w:sz w:val="17"/>
          <w:szCs w:val="17"/>
          <w:color w:val="231F20"/>
        </w:rPr>
        <w:t>目的：探讨超声及</w:t>
      </w:r>
      <w:r>
        <w:rPr>
          <w:sz w:val="17"/>
          <w:szCs w:val="17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 </w:t>
      </w:r>
      <w:r>
        <w:rPr>
          <w:sz w:val="17"/>
          <w:szCs w:val="17"/>
          <w:color w:val="231F20"/>
        </w:rPr>
        <w:t>检查诊断泌尿系结石的临床效果。方法：选择202</w:t>
      </w:r>
      <w:r>
        <w:rPr>
          <w:sz w:val="17"/>
          <w:szCs w:val="17"/>
          <w:color w:val="231F20"/>
          <w:spacing w:val="-1"/>
        </w:rPr>
        <w:t>2年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1"/>
        </w:rPr>
        <w:t>1月—2023年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  <w:spacing w:val="-1"/>
        </w:rPr>
        <w:t>1月聊城市第四人民医院收治的疑似泌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尿系结石患者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</w:rPr>
        <w:t>120例，均实施超声及</w:t>
      </w:r>
      <w:r>
        <w:rPr>
          <w:sz w:val="17"/>
          <w:szCs w:val="17"/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color w:val="231F20"/>
        </w:rPr>
        <w:t>CT </w:t>
      </w:r>
      <w:r>
        <w:rPr>
          <w:sz w:val="17"/>
          <w:szCs w:val="17"/>
          <w:color w:val="231F20"/>
        </w:rPr>
        <w:t>检查，以手术或病理学结</w:t>
      </w:r>
      <w:r>
        <w:rPr>
          <w:sz w:val="17"/>
          <w:szCs w:val="17"/>
          <w:color w:val="231F20"/>
          <w:spacing w:val="-1"/>
        </w:rPr>
        <w:t>果为依据，分析两种检查方式的诊断效能。结果：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1"/>
        </w:rPr>
        <w:t>CT </w:t>
      </w:r>
      <w:r>
        <w:rPr>
          <w:sz w:val="17"/>
          <w:szCs w:val="17"/>
          <w:color w:val="231F20"/>
          <w:spacing w:val="-1"/>
        </w:rPr>
        <w:t>检查泌尿系结石的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</w:rPr>
        <w:t>灵敏度、准确率均高于超声检查（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27"/>
        </w:rPr>
        <w:t xml:space="preserve"> </w:t>
      </w:r>
      <w:r>
        <w:rPr>
          <w:sz w:val="17"/>
          <w:szCs w:val="17"/>
          <w:color w:val="231F20"/>
        </w:rPr>
        <w:t>＜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</w:rPr>
        <w:t>0.05）。手术或病理学检查检出肾结石46例、输尿管结石30例、膀胱结石</w:t>
      </w:r>
      <w:r>
        <w:rPr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</w:rPr>
        <w:t>16例、尿道结石</w:t>
      </w:r>
      <w:r>
        <w:rPr>
          <w:sz w:val="17"/>
          <w:szCs w:val="17"/>
          <w:color w:val="231F20"/>
          <w:spacing w:val="-26"/>
        </w:rPr>
        <w:t xml:space="preserve"> </w:t>
      </w:r>
      <w:r>
        <w:rPr>
          <w:sz w:val="17"/>
          <w:szCs w:val="17"/>
          <w:color w:val="231F20"/>
        </w:rPr>
        <w:t>19例， 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CT </w:t>
      </w:r>
      <w:r>
        <w:rPr>
          <w:sz w:val="17"/>
          <w:szCs w:val="17"/>
          <w:color w:val="231F20"/>
          <w:spacing w:val="-3"/>
        </w:rPr>
        <w:t>检查不同类型结石的检出率均高于超声，但差异无统计学意义（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-3"/>
        </w:rPr>
        <w:t>P</w:t>
      </w:r>
      <w:r>
        <w:rPr>
          <w:rFonts w:ascii="Times New Roman" w:hAnsi="Times New Roman" w:eastAsia="Times New Roman" w:cs="Times New Roman"/>
          <w:sz w:val="17"/>
          <w:szCs w:val="17"/>
          <w:i/>
          <w:iCs/>
          <w:color w:val="231F20"/>
          <w:spacing w:val="16"/>
          <w:w w:val="102"/>
        </w:rPr>
        <w:t xml:space="preserve"> </w:t>
      </w:r>
      <w:r>
        <w:rPr>
          <w:sz w:val="17"/>
          <w:szCs w:val="17"/>
          <w:color w:val="231F20"/>
          <w:spacing w:val="-3"/>
        </w:rPr>
        <w:t>＞</w:t>
      </w:r>
      <w:r>
        <w:rPr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3"/>
        </w:rPr>
        <w:t>0.05）。结论：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CT </w:t>
      </w:r>
      <w:r>
        <w:rPr>
          <w:sz w:val="17"/>
          <w:szCs w:val="17"/>
          <w:color w:val="231F20"/>
          <w:spacing w:val="-4"/>
        </w:rPr>
        <w:t>技术被认为是一种对泌尿系统结石诊断较好的方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式，其优势在于诊断灵敏度、特异度、准确率都胜于超声检</w:t>
      </w:r>
      <w:r>
        <w:rPr>
          <w:sz w:val="17"/>
          <w:szCs w:val="17"/>
          <w:color w:val="231F20"/>
          <w:spacing w:val="-4"/>
        </w:rPr>
        <w:t>查，建议将其应用于实际的医疗工作中。</w:t>
      </w:r>
    </w:p>
    <w:p>
      <w:pPr>
        <w:pStyle w:val="BodyText"/>
        <w:ind w:left="440"/>
        <w:spacing w:line="220" w:lineRule="auto"/>
        <w:rPr>
          <w:sz w:val="17"/>
          <w:szCs w:val="17"/>
        </w:rPr>
      </w:pPr>
      <w:r>
        <w:rPr>
          <w:color w:val="231F20"/>
          <w:spacing w:val="-3"/>
        </w:rPr>
        <w:t>【关键词】</w:t>
      </w:r>
      <w:r>
        <w:rPr>
          <w:sz w:val="17"/>
          <w:szCs w:val="17"/>
          <w:color w:val="231F20"/>
          <w:spacing w:val="-3"/>
        </w:rPr>
        <w:t>超声检查；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</w:rPr>
        <w:t>CT </w:t>
      </w:r>
      <w:r>
        <w:rPr>
          <w:sz w:val="17"/>
          <w:szCs w:val="17"/>
          <w:color w:val="231F20"/>
          <w:spacing w:val="-3"/>
        </w:rPr>
        <w:t>检查；泌尿系结石</w:t>
      </w:r>
    </w:p>
    <w:p>
      <w:pPr>
        <w:pStyle w:val="BodyText"/>
        <w:ind w:left="440"/>
        <w:spacing w:before="61" w:line="219" w:lineRule="auto"/>
        <w:rPr>
          <w:sz w:val="17"/>
          <w:szCs w:val="17"/>
        </w:rPr>
      </w:pPr>
      <w:r>
        <w:rPr>
          <w:color w:val="231F20"/>
          <w:spacing w:val="-3"/>
        </w:rPr>
        <w:t>【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3"/>
        </w:rPr>
        <w:t>中图分类号】</w:t>
      </w:r>
      <w:r>
        <w:rPr>
          <w:sz w:val="17"/>
          <w:szCs w:val="17"/>
          <w:color w:val="231F20"/>
          <w:spacing w:val="-3"/>
        </w:rPr>
        <w:t>R445                     </w:t>
      </w:r>
      <w:r>
        <w:rPr>
          <w:color w:val="231F20"/>
          <w:spacing w:val="-3"/>
        </w:rPr>
        <w:t>【文献标识码】</w:t>
      </w:r>
      <w:r>
        <w:rPr>
          <w:sz w:val="17"/>
          <w:szCs w:val="17"/>
          <w:color w:val="231F20"/>
          <w:spacing w:val="-3"/>
        </w:rPr>
        <w:t>A                      </w:t>
      </w:r>
      <w:r>
        <w:rPr>
          <w:color w:val="231F20"/>
          <w:spacing w:val="-3"/>
        </w:rPr>
        <w:t>【文章编号】</w:t>
      </w:r>
      <w:r>
        <w:rPr>
          <w:sz w:val="17"/>
          <w:szCs w:val="17"/>
          <w:color w:val="231F20"/>
          <w:spacing w:val="-3"/>
        </w:rPr>
        <w:t>2096-3807（2024）04-0172-04</w:t>
      </w:r>
    </w:p>
    <w:p>
      <w:pPr>
        <w:spacing w:before="195"/>
        <w:rPr/>
      </w:pPr>
      <w:r/>
    </w:p>
    <w:p>
      <w:pPr>
        <w:sectPr>
          <w:headerReference w:type="default" r:id="rId1"/>
          <w:footerReference w:type="default" r:id="rId2"/>
          <w:pgSz w:w="11906" w:h="16158"/>
          <w:pgMar w:top="1037" w:right="795" w:bottom="698" w:left="407" w:header="657" w:footer="356" w:gutter="0"/>
          <w:cols w:equalWidth="0" w:num="1">
            <w:col w:w="10703" w:space="0"/>
          </w:cols>
        </w:sectPr>
        <w:rPr/>
      </w:pPr>
    </w:p>
    <w:p>
      <w:pPr>
        <w:pStyle w:val="BodyText"/>
        <w:ind w:left="449" w:right="246" w:firstLine="400"/>
        <w:spacing w:before="35" w:line="277" w:lineRule="auto"/>
        <w:jc w:val="both"/>
        <w:rPr/>
      </w:pPr>
      <w:r>
        <w:rPr>
          <w:color w:val="231F20"/>
          <w:spacing w:val="5"/>
        </w:rPr>
        <w:t>泌尿系结石可能在肾、尿道、膀胱以及输尿管等部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位形成，而输尿管与尿道则是结石的高发地带。结石在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每个地区的临床症状都有所差异，但均给患者的生活质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"/>
        </w:rPr>
        <w:t>量带来极大的危害</w:t>
      </w:r>
      <w:r>
        <w:rPr>
          <w:color w:val="231F20"/>
          <w:spacing w:val="-26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[1]</w:t>
      </w:r>
      <w:r>
        <w:rPr>
          <w:sz w:val="11"/>
          <w:szCs w:val="11"/>
          <w:color w:val="231F20"/>
          <w:spacing w:val="-27"/>
          <w:position w:val="9"/>
        </w:rPr>
        <w:t xml:space="preserve"> </w:t>
      </w:r>
      <w:r>
        <w:rPr>
          <w:color w:val="231F20"/>
          <w:spacing w:val="2"/>
        </w:rPr>
        <w:t>。临床中可以通过观察</w:t>
      </w:r>
      <w:r>
        <w:rPr>
          <w:color w:val="231F20"/>
          <w:spacing w:val="1"/>
        </w:rPr>
        <w:t>患者的临床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表现、进行尿液分析来大致确定泌尿系结石的存在，但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是诊断的准确度不足。在某些情况下，即使经过前面的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检测，也无法准确地识别泌尿系结石</w:t>
      </w:r>
      <w:r>
        <w:rPr>
          <w:color w:val="231F20"/>
          <w:spacing w:val="-19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[2]</w:t>
      </w:r>
      <w:r>
        <w:rPr>
          <w:color w:val="231F20"/>
          <w:spacing w:val="3"/>
        </w:rPr>
        <w:t>。超声技术的优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势在于无辐射、能够反复操作且精度极高，能够清晰地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展示泌尿系结石的尺寸、位置、是否存在肾积</w:t>
      </w:r>
      <w:r>
        <w:rPr>
          <w:color w:val="231F20"/>
          <w:spacing w:val="4"/>
        </w:rPr>
        <w:t>水、肾脏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的厚度是否减小或者尿道是否存在异常</w:t>
      </w:r>
      <w:r>
        <w:rPr>
          <w:color w:val="231F20"/>
          <w:spacing w:val="-18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[3]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-2"/>
        </w:rPr>
        <w:t>。</w:t>
      </w:r>
      <w:r>
        <w:rPr>
          <w:rFonts w:ascii="Times New Roman" w:hAnsi="Times New Roman" w:eastAsia="Times New Roman" w:cs="Times New Roman"/>
          <w:color w:val="231F20"/>
          <w:spacing w:val="-2"/>
        </w:rPr>
        <w:t>CT </w:t>
      </w:r>
      <w:r>
        <w:rPr>
          <w:color w:val="231F20"/>
          <w:spacing w:val="-2"/>
        </w:rPr>
        <w:t>诊断是一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种先进的医疗成像方法，利用计算机技术展示人</w:t>
      </w:r>
      <w:r>
        <w:rPr>
          <w:color w:val="231F20"/>
          <w:spacing w:val="4"/>
        </w:rPr>
        <w:t>体的组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织与病灶，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扫描拥有较高的解析精度和更</w:t>
      </w:r>
      <w:r>
        <w:rPr>
          <w:color w:val="231F20"/>
        </w:rPr>
        <w:t>精确的诊断 </w:t>
      </w:r>
      <w:r>
        <w:rPr>
          <w:color w:val="231F20"/>
          <w:spacing w:val="-8"/>
        </w:rPr>
        <w:t>效果，在临床中应用广泛。鉴于此，本文选择2022年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8"/>
        </w:rPr>
        <w:t>1</w:t>
      </w:r>
      <w:r>
        <w:rPr>
          <w:color w:val="231F20"/>
          <w:spacing w:val="-9"/>
        </w:rPr>
        <w:t>月—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2023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1"/>
        </w:rPr>
        <w:t>年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1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1"/>
        </w:rPr>
        <w:t>月聊城市第四人民医院收治的疑似泌尿系结石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患者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4"/>
        </w:rPr>
        <w:t>120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4"/>
        </w:rPr>
        <w:t>例进行研究，报道如下。</w:t>
      </w:r>
    </w:p>
    <w:p>
      <w:pPr>
        <w:ind w:left="460"/>
        <w:spacing w:before="4" w:line="221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1</w:t>
      </w:r>
      <w:r>
        <w:rPr>
          <w:rFonts w:ascii="SimHei" w:hAnsi="SimHei" w:eastAsia="SimHei" w:cs="SimHei"/>
          <w:sz w:val="20"/>
          <w:szCs w:val="20"/>
          <w:color w:val="231F20"/>
          <w:spacing w:val="7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资料与方法</w:t>
      </w:r>
    </w:p>
    <w:p>
      <w:pPr>
        <w:pStyle w:val="BodyText"/>
        <w:ind w:left="861"/>
        <w:spacing w:before="61" w:line="220" w:lineRule="auto"/>
        <w:rPr/>
      </w:pPr>
      <w:r>
        <w:rPr>
          <w:color w:val="231F20"/>
          <w:spacing w:val="-5"/>
        </w:rPr>
        <w:t>1.1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5"/>
        </w:rPr>
        <w:t>一般资料</w:t>
      </w:r>
    </w:p>
    <w:p>
      <w:pPr>
        <w:pStyle w:val="BodyText"/>
        <w:ind w:left="449" w:right="176" w:firstLine="396"/>
        <w:spacing w:before="61" w:line="277" w:lineRule="auto"/>
        <w:rPr/>
      </w:pPr>
      <w:r>
        <w:rPr>
          <w:color w:val="231F20"/>
          <w:spacing w:val="2"/>
        </w:rPr>
        <w:t>选择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2022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月—2023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年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1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月聊城市第四人民医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院收治的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3"/>
        </w:rPr>
        <w:t>120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3"/>
        </w:rPr>
        <w:t>例疑似泌尿系结石患者，均实施超声检查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及</w:t>
      </w:r>
      <w:r>
        <w:rPr>
          <w:rFonts w:ascii="Times New Roman" w:hAnsi="Times New Roman" w:eastAsia="Times New Roman" w:cs="Times New Roman"/>
          <w:color w:val="231F20"/>
          <w:spacing w:val="-10"/>
        </w:rPr>
        <w:t>CT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10"/>
        </w:rPr>
        <w:t>检查，患者年龄41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10"/>
        </w:rPr>
        <w:t>～</w:t>
      </w:r>
      <w:r>
        <w:rPr>
          <w:color w:val="231F20"/>
          <w:spacing w:val="-60"/>
        </w:rPr>
        <w:t xml:space="preserve"> </w:t>
      </w:r>
      <w:r>
        <w:rPr>
          <w:color w:val="231F20"/>
          <w:spacing w:val="-10"/>
        </w:rPr>
        <w:t>65</w:t>
      </w:r>
      <w:r>
        <w:rPr>
          <w:color w:val="231F20"/>
          <w:spacing w:val="-55"/>
        </w:rPr>
        <w:t xml:space="preserve"> </w:t>
      </w:r>
      <w:r>
        <w:rPr>
          <w:color w:val="231F20"/>
          <w:spacing w:val="-10"/>
        </w:rPr>
        <w:t>岁，平均（52.16±4.28）岁。</w:t>
      </w:r>
    </w:p>
    <w:p>
      <w:pPr>
        <w:pStyle w:val="BodyText"/>
        <w:ind w:left="848"/>
        <w:spacing w:line="220" w:lineRule="auto"/>
        <w:rPr/>
      </w:pPr>
      <w:r>
        <w:rPr>
          <w:color w:val="231F20"/>
          <w:spacing w:val="16"/>
        </w:rPr>
        <w:t>纳入标准</w:t>
      </w:r>
      <w:r>
        <w:rPr>
          <w:color w:val="231F20"/>
          <w:spacing w:val="-9"/>
        </w:rPr>
        <w:t>：（</w:t>
      </w:r>
      <w:r>
        <w:rPr>
          <w:color w:val="231F20"/>
          <w:spacing w:val="16"/>
        </w:rPr>
        <w:t>1）</w:t>
      </w:r>
      <w:r>
        <w:rPr>
          <w:color w:val="231F20"/>
          <w:spacing w:val="-58"/>
        </w:rPr>
        <w:t xml:space="preserve"> </w:t>
      </w:r>
      <w:r>
        <w:rPr>
          <w:color w:val="231F20"/>
          <w:spacing w:val="16"/>
        </w:rPr>
        <w:t>无慢性泌尿系</w:t>
      </w:r>
      <w:r>
        <w:rPr>
          <w:color w:val="231F20"/>
          <w:spacing w:val="-59"/>
        </w:rPr>
        <w:t xml:space="preserve"> </w:t>
      </w:r>
      <w:r>
        <w:rPr>
          <w:color w:val="231F20"/>
          <w:spacing w:val="16"/>
        </w:rPr>
        <w:t>统疾病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16"/>
        </w:rPr>
        <w:t>的病史；</w:t>
      </w:r>
    </w:p>
    <w:p>
      <w:pPr>
        <w:pStyle w:val="BodyText"/>
        <w:ind w:left="450" w:right="245" w:firstLine="5"/>
        <w:spacing w:before="61" w:line="277" w:lineRule="auto"/>
        <w:jc w:val="both"/>
        <w:rPr/>
      </w:pPr>
      <w:r>
        <w:rPr>
          <w:color w:val="231F20"/>
          <w:spacing w:val="5"/>
        </w:rPr>
        <w:t>（2）临床资料齐全</w:t>
      </w:r>
      <w:r>
        <w:rPr>
          <w:color w:val="231F20"/>
          <w:spacing w:val="-6"/>
        </w:rPr>
        <w:t>；（</w:t>
      </w:r>
      <w:r>
        <w:rPr>
          <w:color w:val="231F20"/>
          <w:spacing w:val="5"/>
        </w:rPr>
        <w:t>3）自愿参与研究，签订</w:t>
      </w:r>
      <w:r>
        <w:rPr>
          <w:color w:val="231F20"/>
          <w:spacing w:val="4"/>
        </w:rPr>
        <w:t>知情同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意书。排除标准</w:t>
      </w:r>
      <w:r>
        <w:rPr>
          <w:color w:val="231F20"/>
          <w:spacing w:val="-4"/>
        </w:rPr>
        <w:t>：（</w:t>
      </w:r>
      <w:r>
        <w:rPr>
          <w:color w:val="231F20"/>
          <w:spacing w:val="10"/>
        </w:rPr>
        <w:t>1）伴随着慢性胃肠疾病、肾功能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衰退、尿路异常、尿路感染以及甲状旁腺功能过剩等病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7"/>
        </w:rPr>
        <w:t>症患者</w:t>
      </w:r>
      <w:r>
        <w:rPr>
          <w:color w:val="231F20"/>
          <w:spacing w:val="-8"/>
        </w:rPr>
        <w:t>；（</w:t>
      </w:r>
      <w:r>
        <w:rPr>
          <w:color w:val="231F20"/>
          <w:spacing w:val="7"/>
        </w:rPr>
        <w:t>2）合并恶性肿瘤</w:t>
      </w:r>
      <w:r>
        <w:rPr>
          <w:color w:val="231F20"/>
          <w:spacing w:val="-8"/>
        </w:rPr>
        <w:t>；（</w:t>
      </w:r>
      <w:r>
        <w:rPr>
          <w:color w:val="231F20"/>
          <w:spacing w:val="7"/>
        </w:rPr>
        <w:t>3）有精神、意识障碍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等依从性差患者。</w:t>
      </w:r>
    </w:p>
    <w:p>
      <w:pPr>
        <w:pStyle w:val="BodyText"/>
        <w:ind w:left="862"/>
        <w:spacing w:before="1" w:line="220" w:lineRule="auto"/>
        <w:rPr/>
      </w:pPr>
      <w:r>
        <w:rPr>
          <w:color w:val="231F20"/>
          <w:spacing w:val="-6"/>
        </w:rPr>
        <w:t>1.2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方法</w:t>
      </w:r>
    </w:p>
    <w:p>
      <w:pPr>
        <w:pStyle w:val="BodyText"/>
        <w:ind w:left="449" w:right="246" w:firstLine="412"/>
        <w:spacing w:before="59" w:line="263" w:lineRule="auto"/>
        <w:rPr/>
      </w:pPr>
      <w:r>
        <w:rPr>
          <w:color w:val="231F20"/>
          <w:spacing w:val="-2"/>
        </w:rPr>
        <w:t>1.2.1 </w:t>
      </w:r>
      <w:r>
        <w:rPr>
          <w:rFonts w:ascii="Times New Roman" w:hAnsi="Times New Roman" w:eastAsia="Times New Roman" w:cs="Times New Roman"/>
          <w:color w:val="231F20"/>
          <w:spacing w:val="-2"/>
        </w:rPr>
        <w:t>CT </w:t>
      </w:r>
      <w:r>
        <w:rPr>
          <w:color w:val="231F20"/>
          <w:spacing w:val="-2"/>
        </w:rPr>
        <w:t>检查  选用西门子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Somatom Go</w:t>
      </w:r>
      <w:r>
        <w:rPr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color w:val="231F20"/>
          <w:spacing w:val="-2"/>
        </w:rPr>
        <w:t>Top  </w:t>
      </w:r>
      <w:r>
        <w:rPr>
          <w:color w:val="231F20"/>
          <w:spacing w:val="-2"/>
        </w:rPr>
        <w:t>64</w:t>
      </w:r>
      <w:r>
        <w:rPr>
          <w:color w:val="231F20"/>
          <w:spacing w:val="-56"/>
        </w:rPr>
        <w:t xml:space="preserve"> </w:t>
      </w:r>
      <w:r>
        <w:rPr>
          <w:color w:val="231F20"/>
          <w:spacing w:val="-2"/>
        </w:rPr>
        <w:t>排</w:t>
      </w:r>
      <w:r>
        <w:rPr>
          <w:color w:val="231F20"/>
        </w:rPr>
        <w:t xml:space="preserve"> </w:t>
      </w:r>
      <w:r>
        <w:rPr>
          <w:color w:val="231F20"/>
        </w:rPr>
        <w:t>螺旋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color w:val="231F20"/>
        </w:rPr>
        <w:t>，参数设定为电压 120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kV</w:t>
      </w:r>
      <w:r>
        <w:rPr>
          <w:color w:val="231F20"/>
        </w:rPr>
        <w:t>，</w:t>
      </w:r>
      <w:r>
        <w:rPr>
          <w:color w:val="231F20"/>
          <w:spacing w:val="-60"/>
        </w:rPr>
        <w:t xml:space="preserve"> </w:t>
      </w:r>
      <w:r>
        <w:rPr>
          <w:color w:val="231F20"/>
        </w:rPr>
        <w:t>电流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220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ms</w:t>
      </w:r>
      <w:r>
        <w:rPr>
          <w:color w:val="231F20"/>
        </w:rPr>
        <w:t>，层厚 </w:t>
      </w:r>
      <w:r>
        <w:rPr>
          <w:color w:val="231F20"/>
          <w:spacing w:val="3"/>
        </w:rPr>
        <w:t>1</w:t>
      </w:r>
      <w:r>
        <w:rPr>
          <w:color w:val="231F20"/>
          <w:spacing w:val="-3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mm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color w:val="231F20"/>
          <w:spacing w:val="3"/>
        </w:rPr>
        <w:t>，螺距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0.601，进行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3"/>
        </w:rPr>
        <w:t>薄层平扫，并记录肾脏和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输尿管中的结石情况，包括结石的数量、大小等率。</w:t>
      </w:r>
    </w:p>
    <w:p>
      <w:pPr>
        <w:pStyle w:val="BodyText"/>
        <w:ind w:left="459" w:right="263" w:firstLine="402"/>
        <w:spacing w:before="62" w:line="231" w:lineRule="auto"/>
        <w:rPr/>
      </w:pPr>
      <w:r>
        <w:rPr>
          <w:color w:val="231F20"/>
          <w:spacing w:val="-1"/>
        </w:rPr>
        <w:t>1.2.2 超声检查  应用飞利浦</w:t>
      </w:r>
      <w:r>
        <w:rPr>
          <w:rFonts w:ascii="Times New Roman" w:hAnsi="Times New Roman" w:eastAsia="Times New Roman" w:cs="Times New Roman"/>
          <w:color w:val="231F20"/>
          <w:spacing w:val="-1"/>
        </w:rPr>
        <w:t>EPIQ</w:t>
      </w:r>
      <w:r>
        <w:rPr>
          <w:color w:val="231F20"/>
          <w:spacing w:val="-1"/>
        </w:rPr>
        <w:t>7</w:t>
      </w:r>
      <w:r>
        <w:rPr>
          <w:rFonts w:ascii="Times New Roman" w:hAnsi="Times New Roman" w:eastAsia="Times New Roman" w:cs="Times New Roman"/>
          <w:color w:val="231F20"/>
          <w:spacing w:val="-1"/>
        </w:rPr>
        <w:t>C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-1"/>
        </w:rPr>
        <w:t>超声诊断仪，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患者配合侧卧、俯卧或仰卧等体位。采用斜切、横切和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/>
        <w:spacing w:before="38" w:line="220" w:lineRule="auto"/>
        <w:rPr/>
      </w:pPr>
      <w:r>
        <w:rPr>
          <w:color w:val="231F20"/>
          <w:spacing w:val="-4"/>
        </w:rPr>
        <w:t>纵切等多种方式进行扫描。</w:t>
      </w:r>
    </w:p>
    <w:p>
      <w:pPr>
        <w:pStyle w:val="BodyText"/>
        <w:ind w:firstLine="412"/>
        <w:spacing w:before="64" w:line="274" w:lineRule="auto"/>
        <w:rPr/>
      </w:pPr>
      <w:r>
        <w:rPr>
          <w:color w:val="231F20"/>
        </w:rPr>
        <w:t>1.2.3 各部位检查方法  （1）肾脏检查：仪器频率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7"/>
        </w:rPr>
        <w:t>设置为（3.5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7"/>
        </w:rPr>
        <w:t>～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5.0）</w:t>
      </w:r>
      <w:r>
        <w:rPr>
          <w:rFonts w:ascii="Times New Roman" w:hAnsi="Times New Roman" w:eastAsia="Times New Roman" w:cs="Times New Roman"/>
          <w:color w:val="231F20"/>
        </w:rPr>
        <w:t>MHz</w:t>
      </w:r>
      <w:r>
        <w:rPr>
          <w:color w:val="231F20"/>
          <w:spacing w:val="7"/>
        </w:rPr>
        <w:t>，以侧卧位检查，选</w:t>
      </w:r>
      <w:r>
        <w:rPr>
          <w:color w:val="231F20"/>
          <w:spacing w:val="6"/>
        </w:rPr>
        <w:t>用冠状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切口检查。考虑到侧腰的腹壁比较薄，</w:t>
      </w:r>
      <w:r>
        <w:rPr>
          <w:color w:val="231F20"/>
          <w:spacing w:val="72"/>
        </w:rPr>
        <w:t xml:space="preserve"> </w:t>
      </w:r>
      <w:r>
        <w:rPr>
          <w:color w:val="231F20"/>
          <w:spacing w:val="-2"/>
        </w:rPr>
        <w:t>有些可以采用仰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卧体位。为了能够更加准确地展现出肾脏的开口，同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时也能够得到更加鲜明的影像信息，可以考虑在偏向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一边的腰部进行冠状切口的检查。（2）输尿管检查：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探测器频率调整至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2"/>
        </w:rPr>
        <w:t>3.5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MHz</w:t>
      </w:r>
      <w:r>
        <w:rPr>
          <w:color w:val="231F20"/>
          <w:spacing w:val="12"/>
        </w:rPr>
        <w:t>，确保患者的膀胱处于充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盈状态，并采取仰卧的姿势。为使输尿管全程能够完全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显现，在进行肾脏检查的同时，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把探测器放在腹部和阴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茎位置，并对尿道口到尿道外口的膀胱尿道口进行连续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3"/>
        </w:rPr>
        <w:t>的横向和纵向扫描，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从而能够更清楚地找出输尿管的起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始端，然后沿患者的输尿管方向进行扫描。为了减轻检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3"/>
        </w:rPr>
        <w:t>查结果受到肠气干扰的影响，可以使患者取仰卧位进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3"/>
        </w:rPr>
        <w:t>行加压扫描。尽量在患者的髂血管第二狭窄部位进行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3"/>
        </w:rPr>
        <w:t>追踪检查，然后从上往下进行输尿管的扩大检查，以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3"/>
        </w:rPr>
        <w:t>便全方位地观察输尿管。在膀胱充盈程度达到中度后，  </w:t>
      </w:r>
      <w:r>
        <w:rPr>
          <w:color w:val="231F20"/>
          <w:spacing w:val="-2"/>
        </w:rPr>
        <w:t>对盆内段的输尿管进行扫查。通过横切面扫查，</w:t>
      </w:r>
      <w:r>
        <w:rPr>
          <w:color w:val="231F20"/>
          <w:spacing w:val="72"/>
        </w:rPr>
        <w:t xml:space="preserve"> </w:t>
      </w:r>
      <w:r>
        <w:rPr>
          <w:color w:val="231F20"/>
          <w:spacing w:val="-2"/>
        </w:rPr>
        <w:t>可以确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定壁内段的输尿管，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1"/>
        </w:rPr>
        <w:t>并通过逆行检查的方式，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了解位于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膀胱后方的输尿管的状况。使用直肠（阴道）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内的探测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器检查未婚女性患者，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其暴露状态并不理想。所以对于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输尿管结石的表现不理想和伴随输尿管积水的患者，</w:t>
      </w:r>
      <w:r>
        <w:rPr>
          <w:color w:val="231F20"/>
          <w:spacing w:val="72"/>
        </w:rPr>
        <w:t xml:space="preserve"> </w:t>
      </w:r>
      <w:r>
        <w:rPr>
          <w:color w:val="231F20"/>
          <w:spacing w:val="-2"/>
        </w:rPr>
        <w:t>可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以通过肌肉注射或口服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1"/>
        </w:rPr>
        <w:t>20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color w:val="231F20"/>
          <w:spacing w:val="11"/>
        </w:rPr>
        <w:t>呋塞米和补充液体，使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患者的膀胱在较短的时间内达到充盈状态， 然后进行深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入检查，使患者盆腔内的输尿管结石得到完整的展现。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如果患者的膀胱达到大约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400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的充盈状态，尤其超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过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550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mL</w:t>
      </w:r>
      <w:r>
        <w:rPr>
          <w:color w:val="231F20"/>
          <w:spacing w:val="8"/>
        </w:rPr>
        <w:t>，可能导致盆腔内的器官受到压迫</w:t>
      </w:r>
      <w:r>
        <w:rPr>
          <w:color w:val="231F20"/>
          <w:spacing w:val="7"/>
        </w:rPr>
        <w:t>，这将引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发患者的不适感和抵抗，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从而影响多角度、全面和重复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地检查。（3）膀胱检查：探测器的频率调整至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6"/>
        </w:rPr>
        <w:t>3.5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6"/>
        </w:rPr>
        <w:t>MHz</w:t>
      </w:r>
      <w:r>
        <w:rPr>
          <w:color w:val="231F20"/>
          <w:spacing w:val="-6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开始检查前，充盈膀胱，患者取仰卧体位，</w:t>
      </w:r>
      <w:r>
        <w:rPr>
          <w:color w:val="231F20"/>
          <w:spacing w:val="-48"/>
        </w:rPr>
        <w:t xml:space="preserve"> </w:t>
      </w:r>
      <w:r>
        <w:rPr>
          <w:color w:val="231F20"/>
          <w:spacing w:val="3"/>
        </w:rPr>
        <w:t>引导患者改</w:t>
      </w:r>
      <w:r>
        <w:rPr>
          <w:color w:val="231F20"/>
        </w:rPr>
        <w:t xml:space="preserve"> </w:t>
      </w:r>
      <w:r>
        <w:rPr>
          <w:color w:val="231F20"/>
        </w:rPr>
        <w:t>变不同的姿势，</w:t>
      </w:r>
      <w:r>
        <w:rPr>
          <w:color w:val="231F20"/>
          <w:spacing w:val="-46"/>
        </w:rPr>
        <w:t xml:space="preserve"> </w:t>
      </w:r>
      <w:r>
        <w:rPr>
          <w:color w:val="231F20"/>
        </w:rPr>
        <w:t>如左右弯曲，进行全面的扫描，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以便观 </w:t>
      </w:r>
      <w:r>
        <w:rPr>
          <w:color w:val="231F20"/>
          <w:spacing w:val="-3"/>
        </w:rPr>
        <w:t>察结石与壁的相互关系。同时沿着尿道进行扫描，</w:t>
      </w:r>
      <w:r>
        <w:rPr>
          <w:color w:val="231F20"/>
          <w:spacing w:val="96"/>
        </w:rPr>
        <w:t xml:space="preserve"> </w:t>
      </w:r>
      <w:r>
        <w:rPr>
          <w:color w:val="231F20"/>
          <w:spacing w:val="-3"/>
        </w:rPr>
        <w:t>以确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定尿道中的结石位置。</w:t>
      </w:r>
    </w:p>
    <w:p>
      <w:pPr>
        <w:spacing w:line="274" w:lineRule="auto"/>
        <w:sectPr>
          <w:type w:val="continuous"/>
          <w:pgSz w:w="11906" w:h="16158"/>
          <w:pgMar w:top="1037" w:right="795" w:bottom="698" w:left="407" w:header="657" w:footer="356" w:gutter="0"/>
          <w:cols w:equalWidth="0" w:num="2">
            <w:col w:w="5622" w:space="100"/>
            <w:col w:w="4981" w:space="0"/>
          </w:cols>
        </w:sectPr>
        <w:rPr/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3"/>
          <w:footerReference w:type="default" r:id="rId4"/>
          <w:pgSz w:w="11906" w:h="16158"/>
          <w:pgMar w:top="1038" w:right="779" w:bottom="698" w:left="407" w:header="656" w:footer="356" w:gutter="0"/>
          <w:cols w:equalWidth="0" w:num="1">
            <w:col w:w="10718" w:space="0"/>
          </w:cols>
        </w:sectPr>
        <w:rPr/>
      </w:pPr>
    </w:p>
    <w:p>
      <w:pPr>
        <w:pStyle w:val="BodyText"/>
        <w:ind w:left="861"/>
        <w:spacing w:before="39" w:line="220" w:lineRule="auto"/>
        <w:rPr/>
      </w:pPr>
      <w:r>
        <w:rPr>
          <w:color w:val="231F20"/>
          <w:spacing w:val="-3"/>
        </w:rPr>
        <w:t>1.3 观察指标</w:t>
      </w:r>
    </w:p>
    <w:p>
      <w:pPr>
        <w:pStyle w:val="BodyText"/>
        <w:ind w:left="449" w:right="240" w:firstLine="403"/>
        <w:spacing w:before="61" w:line="277" w:lineRule="auto"/>
        <w:jc w:val="both"/>
        <w:rPr/>
      </w:pPr>
      <w:r>
        <w:rPr>
          <w:color w:val="231F20"/>
          <w:spacing w:val="9"/>
        </w:rPr>
        <w:t>（1）以手术或病理学结果为依据，比较超声检查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1"/>
        </w:rPr>
        <w:t>及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11"/>
        </w:rPr>
        <w:t>检查的诊断效能</w:t>
      </w:r>
      <w:r>
        <w:rPr>
          <w:color w:val="231F20"/>
          <w:spacing w:val="-2"/>
        </w:rPr>
        <w:t>；（</w:t>
      </w:r>
      <w:r>
        <w:rPr>
          <w:color w:val="231F20"/>
          <w:spacing w:val="11"/>
        </w:rPr>
        <w:t>2）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11"/>
        </w:rPr>
        <w:t>比较超声检查及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color w:val="231F20"/>
          <w:spacing w:val="11"/>
        </w:rPr>
        <w:t>检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查对不同位置结石检出情况</w:t>
      </w:r>
      <w:r>
        <w:rPr>
          <w:color w:val="231F20"/>
          <w:spacing w:val="-2"/>
        </w:rPr>
        <w:t>；（</w:t>
      </w:r>
      <w:r>
        <w:rPr>
          <w:color w:val="231F20"/>
          <w:spacing w:val="10"/>
        </w:rPr>
        <w:t>3）分析典型病例影像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表现。</w:t>
      </w:r>
    </w:p>
    <w:p>
      <w:pPr>
        <w:pStyle w:val="BodyText"/>
        <w:ind w:left="861"/>
        <w:spacing w:before="1" w:line="220" w:lineRule="auto"/>
        <w:rPr/>
      </w:pPr>
      <w:r>
        <w:rPr>
          <w:color w:val="231F20"/>
          <w:spacing w:val="-5"/>
        </w:rPr>
        <w:t>1.4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5"/>
        </w:rPr>
        <w:t>统计学方法</w:t>
      </w:r>
    </w:p>
    <w:p>
      <w:pPr>
        <w:pStyle w:val="BodyText"/>
        <w:ind w:left="437" w:right="169" w:firstLine="408"/>
        <w:spacing w:before="61" w:line="275" w:lineRule="auto"/>
        <w:rPr/>
      </w:pPr>
      <w:r>
        <w:rPr>
          <w:color w:val="231F20"/>
        </w:rPr>
        <w:t>采用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SPSS   </w:t>
      </w:r>
      <w:r>
        <w:rPr>
          <w:color w:val="231F20"/>
        </w:rPr>
        <w:t>19.0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统计软件分析数据，符合</w:t>
      </w:r>
      <w:r>
        <w:rPr>
          <w:color w:val="231F20"/>
          <w:spacing w:val="-1"/>
        </w:rPr>
        <w:t>正态分布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的计量资料以均数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5"/>
        </w:rPr>
        <w:t>±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5"/>
        </w:rPr>
        <w:t>标准差（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x</w:t>
      </w:r>
      <w:r>
        <w:rPr>
          <w:sz w:val="11"/>
          <w:szCs w:val="11"/>
          <w:color w:val="231F20"/>
          <w:spacing w:val="-5"/>
          <w:position w:val="9"/>
        </w:rPr>
        <w:t>-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± s</w:t>
      </w:r>
      <w:r>
        <w:rPr>
          <w:color w:val="231F20"/>
          <w:spacing w:val="-5"/>
        </w:rPr>
        <w:t>）表示，采用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5"/>
        </w:rPr>
        <w:t>t </w:t>
      </w:r>
      <w:r>
        <w:rPr>
          <w:color w:val="231F20"/>
          <w:spacing w:val="-5"/>
        </w:rPr>
        <w:t>检验；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计数资料以频数（</w:t>
      </w:r>
      <w:r>
        <w:rPr>
          <w:rFonts w:ascii="Times New Roman" w:hAnsi="Times New Roman" w:eastAsia="Times New Roman" w:cs="Times New Roman"/>
          <w:i/>
          <w:iCs/>
          <w:color w:val="231F20"/>
          <w:spacing w:val="-7"/>
        </w:rPr>
        <w:t>n</w:t>
      </w:r>
      <w:r>
        <w:rPr>
          <w:color w:val="231F20"/>
          <w:spacing w:val="-7"/>
        </w:rPr>
        <w:t>）、百分率（%）表示，采用 </w:t>
      </w:r>
      <w:r>
        <w:rPr>
          <w:i/>
          <w:iCs/>
          <w:color w:val="231F20"/>
          <w:spacing w:val="-7"/>
        </w:rPr>
        <w:t>χ</w:t>
      </w:r>
      <w:r>
        <w:rPr>
          <w:sz w:val="11"/>
          <w:szCs w:val="11"/>
          <w:color w:val="231F20"/>
          <w:spacing w:val="-7"/>
          <w:position w:val="9"/>
        </w:rPr>
        <w:t>2 </w:t>
      </w:r>
      <w:r>
        <w:rPr>
          <w:color w:val="231F20"/>
          <w:spacing w:val="-7"/>
        </w:rPr>
        <w:t>检验。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-4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8"/>
        </w:rPr>
        <w:t xml:space="preserve"> </w:t>
      </w:r>
      <w:r>
        <w:rPr>
          <w:color w:val="231F20"/>
          <w:spacing w:val="-4"/>
        </w:rPr>
        <w:t>＜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0.05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4"/>
        </w:rPr>
        <w:t>提示差异有统计学意义。</w:t>
      </w:r>
    </w:p>
    <w:p>
      <w:pPr>
        <w:ind w:left="448"/>
        <w:spacing w:before="7" w:line="226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2</w:t>
      </w:r>
      <w:r>
        <w:rPr>
          <w:rFonts w:ascii="SimHei" w:hAnsi="SimHei" w:eastAsia="SimHei" w:cs="SimHei"/>
          <w:sz w:val="20"/>
          <w:szCs w:val="20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结果</w:t>
      </w:r>
    </w:p>
    <w:p>
      <w:pPr>
        <w:pStyle w:val="BodyText"/>
        <w:ind w:left="849"/>
        <w:spacing w:before="55" w:line="220" w:lineRule="auto"/>
        <w:rPr/>
      </w:pPr>
      <w:r>
        <w:rPr>
          <w:color w:val="231F20"/>
          <w:spacing w:val="-2"/>
        </w:rPr>
        <w:t>2.1 超声及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CT </w:t>
      </w:r>
      <w:r>
        <w:rPr>
          <w:color w:val="231F20"/>
          <w:spacing w:val="-2"/>
        </w:rPr>
        <w:t>检查诊断结果</w:t>
      </w:r>
    </w:p>
    <w:p>
      <w:pPr>
        <w:pStyle w:val="BodyText"/>
        <w:ind w:left="449" w:right="169" w:firstLine="397"/>
        <w:spacing w:before="62" w:line="278" w:lineRule="auto"/>
        <w:rPr/>
      </w:pPr>
      <w:r>
        <w:rPr>
          <w:color w:val="231F20"/>
          <w:spacing w:val="-4"/>
        </w:rPr>
        <w:t>手术或病理学结果显示阳性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101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例，阴性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4"/>
        </w:rPr>
        <w:t>19</w:t>
      </w:r>
      <w:r>
        <w:rPr>
          <w:color w:val="231F20"/>
          <w:spacing w:val="-44"/>
        </w:rPr>
        <w:t xml:space="preserve"> </w:t>
      </w:r>
      <w:r>
        <w:rPr>
          <w:color w:val="231F20"/>
          <w:spacing w:val="-4"/>
        </w:rPr>
        <w:t>例；</w:t>
      </w:r>
      <w:r>
        <w:rPr>
          <w:rFonts w:ascii="Times New Roman" w:hAnsi="Times New Roman" w:eastAsia="Times New Roman" w:cs="Times New Roman"/>
          <w:color w:val="231F20"/>
          <w:spacing w:val="-4"/>
        </w:rPr>
        <w:t>CT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-1"/>
        </w:rPr>
        <w:t>检查阳性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103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1"/>
        </w:rPr>
        <w:t>例，阴性 17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例；超声检查</w:t>
      </w:r>
      <w:r>
        <w:rPr>
          <w:color w:val="231F20"/>
          <w:spacing w:val="-2"/>
        </w:rPr>
        <w:t>阳性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2"/>
        </w:rPr>
        <w:t>98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2"/>
        </w:rPr>
        <w:t>例，阴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22</w:t>
      </w:r>
      <w:r>
        <w:rPr>
          <w:color w:val="231F20"/>
          <w:spacing w:val="-39"/>
        </w:rPr>
        <w:t xml:space="preserve"> </w:t>
      </w:r>
      <w:r>
        <w:rPr>
          <w:color w:val="231F20"/>
          <w:spacing w:val="3"/>
        </w:rPr>
        <w:t>例；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检查泌尿系结石的灵敏度、准确率均高于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超声检查，差异有统计学意义（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8"/>
        </w:rPr>
        <w:t>P</w:t>
      </w:r>
      <w:r>
        <w:rPr>
          <w:color w:val="231F20"/>
          <w:spacing w:val="-8"/>
        </w:rPr>
        <w:t>＜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8"/>
        </w:rPr>
        <w:t>0.05</w:t>
      </w:r>
      <w:r>
        <w:rPr>
          <w:color w:val="231F20"/>
          <w:spacing w:val="-46"/>
        </w:rPr>
        <w:t>），</w:t>
      </w:r>
      <w:r>
        <w:rPr>
          <w:color w:val="231F20"/>
          <w:spacing w:val="-8"/>
        </w:rPr>
        <w:t>见表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8"/>
        </w:rPr>
        <w:t>1、表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8"/>
        </w:rPr>
        <w:t>2。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ind w:left="1995"/>
        <w:spacing w:before="52" w:line="222" w:lineRule="auto"/>
        <w:outlineLvl w:val="0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10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超声及</w:t>
      </w:r>
      <w:r>
        <w:rPr>
          <w:rFonts w:ascii="SimHei" w:hAnsi="SimHei" w:eastAsia="SimHei" w:cs="SimHei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检查结果</w:t>
      </w:r>
      <w:r>
        <w:rPr>
          <w:rFonts w:ascii="SimHei" w:hAnsi="SimHei" w:eastAsia="SimHei" w:cs="SimHei"/>
          <w:sz w:val="16"/>
          <w:szCs w:val="16"/>
          <w:color w:val="231F20"/>
        </w:rPr>
        <w:t xml:space="preserve">         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单位：例</w:t>
      </w:r>
    </w:p>
    <w:p>
      <w:pPr>
        <w:spacing w:line="44" w:lineRule="exact"/>
        <w:rPr/>
      </w:pPr>
      <w:r/>
    </w:p>
    <w:tbl>
      <w:tblPr>
        <w:tblStyle w:val="TableNormal"/>
        <w:tblW w:w="4932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0"/>
        <w:gridCol w:w="983"/>
        <w:gridCol w:w="985"/>
        <w:gridCol w:w="988"/>
        <w:gridCol w:w="986"/>
      </w:tblGrid>
      <w:tr>
        <w:trPr>
          <w:trHeight w:val="252" w:hRule="atLeast"/>
        </w:trPr>
        <w:tc>
          <w:tcPr>
            <w:tcW w:w="1973" w:type="dxa"/>
            <w:vAlign w:val="top"/>
            <w:gridSpan w:val="2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79"/>
              <w:spacing w:before="173" w:line="220" w:lineRule="auto"/>
              <w:rPr/>
            </w:pPr>
            <w:r>
              <w:rPr>
                <w:color w:val="231F20"/>
                <w:spacing w:val="-2"/>
              </w:rPr>
              <w:t>检查方法</w:t>
            </w:r>
          </w:p>
        </w:tc>
        <w:tc>
          <w:tcPr>
            <w:tcW w:w="1973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52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手术或病理学结果</w:t>
            </w:r>
          </w:p>
        </w:tc>
        <w:tc>
          <w:tcPr>
            <w:tcW w:w="986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spacing w:before="173" w:line="221" w:lineRule="auto"/>
              <w:jc w:val="right"/>
              <w:rPr/>
            </w:pPr>
            <w:r>
              <w:rPr>
                <w:color w:val="231F20"/>
                <w:spacing w:val="-10"/>
              </w:rPr>
              <w:t>合计（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10"/>
              </w:rPr>
              <w:t>n</w:t>
            </w:r>
            <w:r>
              <w:rPr>
                <w:color w:val="231F20"/>
                <w:spacing w:val="-10"/>
              </w:rPr>
              <w:t>=120）</w:t>
            </w:r>
          </w:p>
        </w:tc>
      </w:tr>
      <w:tr>
        <w:trPr>
          <w:trHeight w:val="245" w:hRule="atLeast"/>
        </w:trPr>
        <w:tc>
          <w:tcPr>
            <w:tcW w:w="1973" w:type="dxa"/>
            <w:vAlign w:val="top"/>
            <w:gridSpan w:val="2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3" w:type="dxa"/>
            <w:vAlign w:val="top"/>
            <w:gridSpan w:val="2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6"/>
              <w:spacing w:before="40" w:line="220" w:lineRule="auto"/>
              <w:rPr/>
            </w:pPr>
            <w:r>
              <w:rPr>
                <w:color w:val="231F20"/>
                <w:spacing w:val="-7"/>
              </w:rPr>
              <w:t>阳性（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=101）阴性（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7"/>
              </w:rPr>
              <w:t>n</w:t>
            </w:r>
            <w:r>
              <w:rPr>
                <w:color w:val="231F20"/>
                <w:spacing w:val="-7"/>
              </w:rPr>
              <w:t>=19）</w:t>
            </w:r>
          </w:p>
        </w:tc>
        <w:tc>
          <w:tcPr>
            <w:tcW w:w="986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990" w:type="dxa"/>
            <w:vAlign w:val="top"/>
            <w:tcBorders>
              <w:top w:val="single" w:color="231F20" w:sz="4" w:space="0"/>
            </w:tcBorders>
          </w:tcPr>
          <w:p>
            <w:pPr>
              <w:ind w:left="396"/>
              <w:spacing w:before="66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CT</w:t>
            </w:r>
          </w:p>
        </w:tc>
        <w:tc>
          <w:tcPr>
            <w:tcW w:w="98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47"/>
              <w:spacing w:before="42" w:line="220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98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19"/>
              <w:spacing w:before="41" w:line="222" w:lineRule="auto"/>
              <w:rPr/>
            </w:pPr>
            <w:r>
              <w:rPr>
                <w:color w:val="231F20"/>
                <w:spacing w:val="-2"/>
              </w:rPr>
              <w:t>99</w:t>
            </w:r>
          </w:p>
        </w:tc>
        <w:tc>
          <w:tcPr>
            <w:tcW w:w="988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99"/>
              <w:spacing w:before="41" w:line="222" w:lineRule="auto"/>
              <w:rPr/>
            </w:pPr>
            <w:r>
              <w:rPr>
                <w:color w:val="231F20"/>
              </w:rPr>
              <w:t>4</w:t>
            </w:r>
          </w:p>
        </w:tc>
        <w:tc>
          <w:tcPr>
            <w:tcW w:w="98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90"/>
              <w:spacing w:before="41" w:line="222" w:lineRule="auto"/>
              <w:rPr/>
            </w:pPr>
            <w:r>
              <w:rPr>
                <w:color w:val="231F20"/>
                <w:spacing w:val="-5"/>
              </w:rPr>
              <w:t>103</w:t>
            </w:r>
          </w:p>
        </w:tc>
      </w:tr>
      <w:tr>
        <w:trPr>
          <w:trHeight w:val="255" w:hRule="atLeast"/>
        </w:trPr>
        <w:tc>
          <w:tcPr>
            <w:tcW w:w="99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3" w:type="dxa"/>
            <w:vAlign w:val="top"/>
          </w:tcPr>
          <w:p>
            <w:pPr>
              <w:pStyle w:val="TableText"/>
              <w:ind w:left="348"/>
              <w:spacing w:before="54" w:line="220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500"/>
              <w:spacing w:before="54" w:line="220" w:lineRule="auto"/>
              <w:rPr/>
            </w:pPr>
            <w:r>
              <w:rPr>
                <w:color w:val="231F20"/>
              </w:rPr>
              <w:t>2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432"/>
              <w:spacing w:before="54" w:line="220" w:lineRule="auto"/>
              <w:rPr/>
            </w:pPr>
            <w:r>
              <w:rPr>
                <w:color w:val="231F20"/>
                <w:spacing w:val="-5"/>
              </w:rPr>
              <w:t>15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470"/>
              <w:spacing w:before="54" w:line="220" w:lineRule="auto"/>
              <w:rPr/>
            </w:pPr>
            <w:r>
              <w:rPr>
                <w:color w:val="231F20"/>
                <w:spacing w:val="-5"/>
              </w:rPr>
              <w:t>17</w:t>
            </w:r>
          </w:p>
        </w:tc>
      </w:tr>
      <w:tr>
        <w:trPr>
          <w:trHeight w:val="255" w:hRule="atLeast"/>
        </w:trPr>
        <w:tc>
          <w:tcPr>
            <w:tcW w:w="990" w:type="dxa"/>
            <w:vAlign w:val="top"/>
          </w:tcPr>
          <w:p>
            <w:pPr>
              <w:pStyle w:val="TableText"/>
              <w:ind w:left="338"/>
              <w:spacing w:before="56" w:line="218" w:lineRule="auto"/>
              <w:rPr/>
            </w:pPr>
            <w:r>
              <w:rPr>
                <w:color w:val="231F20"/>
                <w:spacing w:val="-2"/>
              </w:rPr>
              <w:t>超声</w:t>
            </w:r>
          </w:p>
        </w:tc>
        <w:tc>
          <w:tcPr>
            <w:tcW w:w="983" w:type="dxa"/>
            <w:vAlign w:val="top"/>
          </w:tcPr>
          <w:p>
            <w:pPr>
              <w:pStyle w:val="TableText"/>
              <w:ind w:left="347"/>
              <w:spacing w:before="56" w:line="218" w:lineRule="auto"/>
              <w:rPr/>
            </w:pPr>
            <w:r>
              <w:rPr>
                <w:color w:val="231F20"/>
                <w:spacing w:val="-5"/>
              </w:rPr>
              <w:t>阳性</w:t>
            </w:r>
          </w:p>
        </w:tc>
        <w:tc>
          <w:tcPr>
            <w:tcW w:w="985" w:type="dxa"/>
            <w:vAlign w:val="top"/>
          </w:tcPr>
          <w:p>
            <w:pPr>
              <w:pStyle w:val="TableText"/>
              <w:ind w:left="419"/>
              <w:spacing w:before="56" w:line="218" w:lineRule="auto"/>
              <w:rPr/>
            </w:pPr>
            <w:r>
              <w:rPr>
                <w:color w:val="231F20"/>
                <w:spacing w:val="-2"/>
              </w:rPr>
              <w:t>90</w:t>
            </w:r>
          </w:p>
        </w:tc>
        <w:tc>
          <w:tcPr>
            <w:tcW w:w="988" w:type="dxa"/>
            <w:vAlign w:val="top"/>
          </w:tcPr>
          <w:p>
            <w:pPr>
              <w:pStyle w:val="TableText"/>
              <w:ind w:left="500"/>
              <w:spacing w:before="56" w:line="218" w:lineRule="auto"/>
              <w:rPr/>
            </w:pPr>
            <w:r>
              <w:rPr>
                <w:color w:val="231F20"/>
              </w:rPr>
              <w:t>8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459"/>
              <w:spacing w:before="56" w:line="218" w:lineRule="auto"/>
              <w:rPr/>
            </w:pPr>
            <w:r>
              <w:rPr>
                <w:color w:val="231F20"/>
                <w:spacing w:val="-2"/>
              </w:rPr>
              <w:t>98</w:t>
            </w:r>
          </w:p>
        </w:tc>
      </w:tr>
      <w:tr>
        <w:trPr>
          <w:trHeight w:val="263" w:hRule="atLeast"/>
        </w:trPr>
        <w:tc>
          <w:tcPr>
            <w:tcW w:w="990" w:type="dxa"/>
            <w:vAlign w:val="top"/>
            <w:tcBorders>
              <w:bottom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9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7"/>
              <w:spacing w:before="57" w:line="220" w:lineRule="auto"/>
              <w:rPr/>
            </w:pPr>
            <w:r>
              <w:rPr>
                <w:color w:val="231F20"/>
                <w:spacing w:val="-5"/>
              </w:rPr>
              <w:t>阴性</w:t>
            </w:r>
          </w:p>
        </w:tc>
        <w:tc>
          <w:tcPr>
            <w:tcW w:w="98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0"/>
              <w:spacing w:before="57" w:line="225" w:lineRule="auto"/>
              <w:rPr/>
            </w:pPr>
            <w:r>
              <w:rPr>
                <w:color w:val="231F20"/>
                <w:spacing w:val="-5"/>
              </w:rPr>
              <w:t>11</w:t>
            </w:r>
          </w:p>
        </w:tc>
        <w:tc>
          <w:tcPr>
            <w:tcW w:w="988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31"/>
              <w:spacing w:before="57" w:line="225" w:lineRule="auto"/>
              <w:rPr/>
            </w:pPr>
            <w:r>
              <w:rPr>
                <w:color w:val="231F20"/>
                <w:spacing w:val="-5"/>
              </w:rPr>
              <w:t>11</w:t>
            </w:r>
          </w:p>
        </w:tc>
        <w:tc>
          <w:tcPr>
            <w:tcW w:w="98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60"/>
              <w:spacing w:before="57" w:line="225" w:lineRule="auto"/>
              <w:rPr/>
            </w:pPr>
            <w:r>
              <w:rPr>
                <w:color w:val="231F20"/>
                <w:spacing w:val="-3"/>
              </w:rPr>
              <w:t>22</w:t>
            </w:r>
          </w:p>
        </w:tc>
      </w:tr>
    </w:tbl>
    <w:p>
      <w:pPr>
        <w:spacing w:line="302" w:lineRule="auto"/>
        <w:rPr>
          <w:rFonts w:ascii="Arial"/>
          <w:sz w:val="21"/>
        </w:rPr>
      </w:pPr>
      <w:r/>
    </w:p>
    <w:p>
      <w:pPr>
        <w:ind w:left="1236"/>
        <w:spacing w:before="53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超声及</w:t>
      </w:r>
      <w:r>
        <w:rPr>
          <w:rFonts w:ascii="SimHei" w:hAnsi="SimHei" w:eastAsia="SimHei" w:cs="SimHei"/>
          <w:sz w:val="16"/>
          <w:szCs w:val="16"/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CT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检查诊断效能比较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3"/>
        </w:rPr>
        <w:t>[%（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/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m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44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0"/>
        <w:gridCol w:w="1340"/>
        <w:gridCol w:w="1203"/>
        <w:gridCol w:w="1289"/>
      </w:tblGrid>
      <w:tr>
        <w:trPr>
          <w:trHeight w:val="252" w:hRule="atLeast"/>
        </w:trPr>
        <w:tc>
          <w:tcPr>
            <w:tcW w:w="110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02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检查方法</w:t>
            </w:r>
          </w:p>
        </w:tc>
        <w:tc>
          <w:tcPr>
            <w:tcW w:w="1340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518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灵敏度</w:t>
            </w:r>
          </w:p>
        </w:tc>
        <w:tc>
          <w:tcPr>
            <w:tcW w:w="120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09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特异度</w:t>
            </w:r>
          </w:p>
        </w:tc>
        <w:tc>
          <w:tcPr>
            <w:tcW w:w="1289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440"/>
              <w:spacing w:before="45" w:line="220" w:lineRule="auto"/>
              <w:rPr/>
            </w:pPr>
            <w:r>
              <w:rPr>
                <w:color w:val="231F20"/>
                <w:spacing w:val="-2"/>
              </w:rPr>
              <w:t>准确率</w:t>
            </w:r>
          </w:p>
        </w:tc>
      </w:tr>
      <w:tr>
        <w:trPr>
          <w:trHeight w:val="247" w:hRule="atLeast"/>
        </w:trPr>
        <w:tc>
          <w:tcPr>
            <w:tcW w:w="110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462"/>
              <w:spacing w:before="40" w:line="220" w:lineRule="auto"/>
              <w:rPr/>
            </w:pPr>
            <w:r>
              <w:rPr>
                <w:color w:val="231F20"/>
                <w:spacing w:val="-2"/>
              </w:rPr>
              <w:t>超声</w:t>
            </w:r>
          </w:p>
        </w:tc>
        <w:tc>
          <w:tcPr>
            <w:tcW w:w="1340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right="5"/>
              <w:spacing w:before="39" w:line="225" w:lineRule="auto"/>
              <w:jc w:val="right"/>
              <w:rPr/>
            </w:pPr>
            <w:r>
              <w:rPr>
                <w:color w:val="231F20"/>
                <w:spacing w:val="-3"/>
              </w:rPr>
              <w:t>89.11（90/101）</w:t>
            </w:r>
          </w:p>
        </w:tc>
        <w:tc>
          <w:tcPr>
            <w:tcW w:w="120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right="7"/>
              <w:spacing w:before="39" w:line="225" w:lineRule="auto"/>
              <w:jc w:val="right"/>
              <w:rPr/>
            </w:pPr>
            <w:r>
              <w:rPr>
                <w:color w:val="231F20"/>
                <w:spacing w:val="-2"/>
              </w:rPr>
              <w:t>57.89（11/19）</w:t>
            </w:r>
          </w:p>
        </w:tc>
        <w:tc>
          <w:tcPr>
            <w:tcW w:w="1289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spacing w:before="39" w:line="225" w:lineRule="auto"/>
              <w:jc w:val="right"/>
              <w:rPr/>
            </w:pPr>
            <w:r>
              <w:rPr>
                <w:color w:val="231F20"/>
                <w:spacing w:val="-6"/>
              </w:rPr>
              <w:t>84.17（101/120）</w:t>
            </w:r>
          </w:p>
        </w:tc>
      </w:tr>
      <w:tr>
        <w:trPr>
          <w:trHeight w:val="244" w:hRule="atLeast"/>
        </w:trPr>
        <w:tc>
          <w:tcPr>
            <w:tcW w:w="1100" w:type="dxa"/>
            <w:vAlign w:val="top"/>
          </w:tcPr>
          <w:p>
            <w:pPr>
              <w:ind w:left="521"/>
              <w:spacing w:before="7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CT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right="5"/>
              <w:spacing w:before="49" w:line="213" w:lineRule="auto"/>
              <w:jc w:val="right"/>
              <w:rPr/>
            </w:pPr>
            <w:r>
              <w:rPr>
                <w:color w:val="231F20"/>
                <w:spacing w:val="-3"/>
              </w:rPr>
              <w:t>98.02（99/101）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right="7"/>
              <w:spacing w:before="49" w:line="213" w:lineRule="auto"/>
              <w:jc w:val="right"/>
              <w:rPr/>
            </w:pPr>
            <w:r>
              <w:rPr>
                <w:color w:val="231F20"/>
                <w:spacing w:val="-2"/>
              </w:rPr>
              <w:t>78.95（15/19）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spacing w:before="49" w:line="213" w:lineRule="auto"/>
              <w:jc w:val="right"/>
              <w:rPr/>
            </w:pPr>
            <w:r>
              <w:rPr>
                <w:color w:val="231F20"/>
                <w:spacing w:val="-6"/>
              </w:rPr>
              <w:t>95.00（114/120）</w:t>
            </w:r>
          </w:p>
        </w:tc>
      </w:tr>
      <w:tr>
        <w:trPr>
          <w:trHeight w:val="263" w:hRule="atLeast"/>
        </w:trPr>
        <w:tc>
          <w:tcPr>
            <w:tcW w:w="1100" w:type="dxa"/>
            <w:vAlign w:val="top"/>
          </w:tcPr>
          <w:p>
            <w:pPr>
              <w:pStyle w:val="TableText"/>
              <w:ind w:left="556"/>
              <w:spacing w:before="42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1340" w:type="dxa"/>
            <w:vAlign w:val="top"/>
          </w:tcPr>
          <w:p>
            <w:pPr>
              <w:pStyle w:val="TableText"/>
              <w:ind w:left="557"/>
              <w:spacing w:before="62" w:line="220" w:lineRule="auto"/>
              <w:rPr/>
            </w:pPr>
            <w:r>
              <w:rPr>
                <w:color w:val="231F20"/>
                <w:spacing w:val="-2"/>
              </w:rPr>
              <w:t>6.659</w:t>
            </w:r>
          </w:p>
        </w:tc>
        <w:tc>
          <w:tcPr>
            <w:tcW w:w="1203" w:type="dxa"/>
            <w:vAlign w:val="top"/>
          </w:tcPr>
          <w:p>
            <w:pPr>
              <w:pStyle w:val="TableText"/>
              <w:ind w:left="460"/>
              <w:spacing w:before="62" w:line="220" w:lineRule="auto"/>
              <w:rPr/>
            </w:pPr>
            <w:r>
              <w:rPr>
                <w:color w:val="231F20"/>
                <w:spacing w:val="-3"/>
              </w:rPr>
              <w:t>1.949</w:t>
            </w:r>
          </w:p>
        </w:tc>
        <w:tc>
          <w:tcPr>
            <w:tcW w:w="1289" w:type="dxa"/>
            <w:vAlign w:val="top"/>
          </w:tcPr>
          <w:p>
            <w:pPr>
              <w:pStyle w:val="TableText"/>
              <w:ind w:left="482"/>
              <w:spacing w:before="62" w:line="220" w:lineRule="auto"/>
              <w:rPr/>
            </w:pPr>
            <w:r>
              <w:rPr>
                <w:color w:val="231F20"/>
                <w:spacing w:val="-2"/>
              </w:rPr>
              <w:t>7.546</w:t>
            </w:r>
          </w:p>
        </w:tc>
      </w:tr>
      <w:tr>
        <w:trPr>
          <w:trHeight w:val="261" w:hRule="atLeast"/>
        </w:trPr>
        <w:tc>
          <w:tcPr>
            <w:tcW w:w="1100" w:type="dxa"/>
            <w:vAlign w:val="top"/>
            <w:tcBorders>
              <w:bottom w:val="single" w:color="231F20" w:sz="4" w:space="0"/>
            </w:tcBorders>
          </w:tcPr>
          <w:p>
            <w:pPr>
              <w:ind w:left="565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34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557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0.010</w:t>
            </w:r>
          </w:p>
        </w:tc>
        <w:tc>
          <w:tcPr>
            <w:tcW w:w="12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50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0.163</w:t>
            </w:r>
          </w:p>
        </w:tc>
        <w:tc>
          <w:tcPr>
            <w:tcW w:w="128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480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0.006</w:t>
            </w:r>
          </w:p>
        </w:tc>
      </w:tr>
    </w:tbl>
    <w:p>
      <w:pPr>
        <w:spacing w:line="96" w:lineRule="exact"/>
        <w:rPr>
          <w:rFonts w:ascii="Arial"/>
          <w:sz w:val="8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7"/>
        <w:spacing w:before="38" w:line="220" w:lineRule="auto"/>
        <w:rPr/>
      </w:pPr>
      <w:r>
        <w:rPr>
          <w:color w:val="231F20"/>
          <w:spacing w:val="-1"/>
        </w:rPr>
        <w:t>2.2 不同位置结石检出情况</w:t>
      </w:r>
    </w:p>
    <w:p>
      <w:pPr>
        <w:pStyle w:val="BodyText"/>
        <w:ind w:left="8" w:firstLine="396"/>
        <w:spacing w:before="64" w:line="282" w:lineRule="auto"/>
        <w:rPr/>
      </w:pPr>
      <w:r>
        <w:rPr>
          <w:color w:val="231F20"/>
          <w:spacing w:val="-3"/>
        </w:rPr>
        <w:t>手术或病理学检出肾结石</w:t>
      </w:r>
      <w:r>
        <w:rPr>
          <w:color w:val="231F20"/>
          <w:spacing w:val="-47"/>
        </w:rPr>
        <w:t xml:space="preserve"> </w:t>
      </w:r>
      <w:r>
        <w:rPr>
          <w:color w:val="231F20"/>
          <w:spacing w:val="-3"/>
        </w:rPr>
        <w:t>46</w:t>
      </w:r>
      <w:r>
        <w:rPr>
          <w:color w:val="231F20"/>
          <w:spacing w:val="-51"/>
        </w:rPr>
        <w:t xml:space="preserve"> </w:t>
      </w:r>
      <w:r>
        <w:rPr>
          <w:color w:val="231F20"/>
          <w:spacing w:val="-3"/>
        </w:rPr>
        <w:t>例、输尿管结石</w:t>
      </w:r>
      <w:r>
        <w:rPr>
          <w:color w:val="231F20"/>
          <w:spacing w:val="-46"/>
        </w:rPr>
        <w:t xml:space="preserve"> </w:t>
      </w:r>
      <w:r>
        <w:rPr>
          <w:color w:val="231F20"/>
          <w:spacing w:val="-3"/>
        </w:rPr>
        <w:t>30</w:t>
      </w:r>
      <w:r>
        <w:rPr>
          <w:color w:val="231F20"/>
          <w:spacing w:val="-50"/>
        </w:rPr>
        <w:t xml:space="preserve"> </w:t>
      </w:r>
      <w:r>
        <w:rPr>
          <w:color w:val="231F20"/>
          <w:spacing w:val="-3"/>
        </w:rPr>
        <w:t>例、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膀胱结石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3"/>
        </w:rPr>
        <w:t>16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例、尿道结石 19</w:t>
      </w:r>
      <w:r>
        <w:rPr>
          <w:color w:val="231F20"/>
          <w:spacing w:val="-42"/>
        </w:rPr>
        <w:t xml:space="preserve"> </w:t>
      </w:r>
      <w:r>
        <w:rPr>
          <w:color w:val="231F20"/>
          <w:spacing w:val="-3"/>
        </w:rPr>
        <w:t>例。</w:t>
      </w:r>
      <w:r>
        <w:rPr>
          <w:rFonts w:ascii="Times New Roman" w:hAnsi="Times New Roman" w:eastAsia="Times New Roman" w:cs="Times New Roman"/>
          <w:color w:val="231F20"/>
          <w:spacing w:val="-3"/>
        </w:rPr>
        <w:t>CT </w:t>
      </w:r>
      <w:r>
        <w:rPr>
          <w:color w:val="231F20"/>
          <w:spacing w:val="-3"/>
        </w:rPr>
        <w:t>检查不同类型结石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的检出率均高于超声，但差异无统计学意义（</w:t>
      </w:r>
      <w:r>
        <w:rPr>
          <w:rFonts w:ascii="Times New Roman" w:hAnsi="Times New Roman" w:eastAsia="Times New Roman" w:cs="Times New Roman"/>
          <w:i/>
          <w:iCs/>
          <w:color w:val="231F20"/>
          <w:spacing w:val="-9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7"/>
        </w:rPr>
        <w:t xml:space="preserve"> </w:t>
      </w:r>
      <w:r>
        <w:rPr>
          <w:color w:val="231F20"/>
          <w:spacing w:val="-9"/>
        </w:rPr>
        <w:t>＞</w:t>
      </w:r>
      <w:r>
        <w:rPr>
          <w:color w:val="231F20"/>
          <w:spacing w:val="-54"/>
        </w:rPr>
        <w:t xml:space="preserve"> </w:t>
      </w:r>
      <w:r>
        <w:rPr>
          <w:color w:val="231F20"/>
          <w:spacing w:val="-9"/>
        </w:rPr>
        <w:t>0.05）。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见表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6"/>
        </w:rPr>
        <w:t>3。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674"/>
        <w:spacing w:before="52" w:line="221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表</w:t>
      </w:r>
      <w:r>
        <w:rPr>
          <w:rFonts w:ascii="SimHei" w:hAnsi="SimHei" w:eastAsia="SimHei" w:cs="SimHei"/>
          <w:sz w:val="16"/>
          <w:szCs w:val="16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超声及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CT</w:t>
      </w:r>
      <w:r>
        <w:rPr>
          <w:rFonts w:ascii="SimHei" w:hAnsi="SimHei" w:eastAsia="SimHei" w:cs="SimHei"/>
          <w:sz w:val="16"/>
          <w:szCs w:val="16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检查各类型结石检出情况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>n</w:t>
      </w:r>
      <w:r>
        <w:rPr>
          <w:rFonts w:ascii="SimHei" w:hAnsi="SimHei" w:eastAsia="SimHei" w:cs="SimHei"/>
          <w:sz w:val="16"/>
          <w:szCs w:val="16"/>
          <w:color w:val="231F20"/>
          <w:spacing w:val="-4"/>
        </w:rPr>
        <w:t>（%）]</w:t>
      </w:r>
    </w:p>
    <w:p>
      <w:pPr>
        <w:spacing w:line="45" w:lineRule="exact"/>
        <w:rPr/>
      </w:pPr>
      <w:r/>
    </w:p>
    <w:tbl>
      <w:tblPr>
        <w:tblStyle w:val="TableNormal"/>
        <w:tblW w:w="4932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26"/>
        <w:gridCol w:w="1005"/>
        <w:gridCol w:w="1013"/>
        <w:gridCol w:w="965"/>
        <w:gridCol w:w="1023"/>
      </w:tblGrid>
      <w:tr>
        <w:trPr>
          <w:trHeight w:val="550" w:hRule="atLeast"/>
        </w:trPr>
        <w:tc>
          <w:tcPr>
            <w:tcW w:w="926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79"/>
              <w:spacing w:before="195" w:line="220" w:lineRule="auto"/>
              <w:rPr/>
            </w:pPr>
            <w:r>
              <w:rPr>
                <w:color w:val="231F20"/>
                <w:spacing w:val="-2"/>
              </w:rPr>
              <w:t>检查方法</w:t>
            </w:r>
          </w:p>
        </w:tc>
        <w:tc>
          <w:tcPr>
            <w:tcW w:w="100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333"/>
              <w:spacing w:before="45" w:line="220" w:lineRule="auto"/>
              <w:rPr/>
            </w:pPr>
            <w:r>
              <w:rPr>
                <w:color w:val="231F20"/>
                <w:spacing w:val="-5"/>
              </w:rPr>
              <w:t>肾结石</w:t>
            </w:r>
          </w:p>
          <w:p>
            <w:pPr>
              <w:pStyle w:val="TableText"/>
              <w:ind w:left="244"/>
              <w:spacing w:before="110" w:line="22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=46）</w:t>
            </w:r>
          </w:p>
        </w:tc>
        <w:tc>
          <w:tcPr>
            <w:tcW w:w="101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40"/>
              <w:spacing w:before="45" w:line="220" w:lineRule="auto"/>
              <w:rPr/>
            </w:pPr>
            <w:r>
              <w:rPr>
                <w:color w:val="231F20"/>
                <w:spacing w:val="-1"/>
              </w:rPr>
              <w:t>输尿管结石</w:t>
            </w:r>
          </w:p>
          <w:p>
            <w:pPr>
              <w:pStyle w:val="TableText"/>
              <w:ind w:left="225"/>
              <w:spacing w:before="110" w:line="22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=30）</w:t>
            </w:r>
          </w:p>
        </w:tc>
        <w:tc>
          <w:tcPr>
            <w:tcW w:w="96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195"/>
              <w:spacing w:before="45" w:line="219" w:lineRule="auto"/>
              <w:rPr/>
            </w:pPr>
            <w:r>
              <w:rPr>
                <w:color w:val="231F20"/>
                <w:spacing w:val="-2"/>
              </w:rPr>
              <w:t>膀胱结石</w:t>
            </w:r>
          </w:p>
          <w:p>
            <w:pPr>
              <w:pStyle w:val="TableText"/>
              <w:ind w:left="198"/>
              <w:spacing w:before="110" w:line="22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=16）</w:t>
            </w:r>
          </w:p>
        </w:tc>
        <w:tc>
          <w:tcPr>
            <w:tcW w:w="1023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pStyle w:val="TableText"/>
              <w:ind w:left="215"/>
              <w:spacing w:before="45" w:line="221" w:lineRule="auto"/>
              <w:rPr/>
            </w:pPr>
            <w:r>
              <w:rPr>
                <w:color w:val="231F20"/>
                <w:spacing w:val="-2"/>
              </w:rPr>
              <w:t>尿道结石</w:t>
            </w:r>
          </w:p>
          <w:p>
            <w:pPr>
              <w:pStyle w:val="TableText"/>
              <w:ind w:left="220"/>
              <w:spacing w:before="108" w:line="224" w:lineRule="auto"/>
              <w:rPr/>
            </w:pPr>
            <w:r>
              <w:rPr>
                <w:color w:val="231F20"/>
                <w:spacing w:val="-3"/>
              </w:rPr>
              <w:t>（</w:t>
            </w:r>
            <w:r>
              <w:rPr>
                <w:rFonts w:ascii="Times New Roman" w:hAnsi="Times New Roman" w:eastAsia="Times New Roman" w:cs="Times New Roman"/>
                <w:i/>
                <w:iCs/>
                <w:color w:val="231F20"/>
                <w:spacing w:val="-3"/>
              </w:rPr>
              <w:t>n</w:t>
            </w:r>
            <w:r>
              <w:rPr>
                <w:color w:val="231F20"/>
                <w:spacing w:val="-3"/>
              </w:rPr>
              <w:t>=19）</w:t>
            </w:r>
          </w:p>
        </w:tc>
      </w:tr>
      <w:tr>
        <w:trPr>
          <w:trHeight w:val="248" w:hRule="atLeast"/>
        </w:trPr>
        <w:tc>
          <w:tcPr>
            <w:tcW w:w="926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338"/>
              <w:spacing w:before="42" w:line="220" w:lineRule="auto"/>
              <w:rPr/>
            </w:pPr>
            <w:r>
              <w:rPr>
                <w:color w:val="231F20"/>
                <w:spacing w:val="-2"/>
              </w:rPr>
              <w:t>超声</w:t>
            </w:r>
          </w:p>
        </w:tc>
        <w:tc>
          <w:tcPr>
            <w:tcW w:w="100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right="13"/>
              <w:spacing w:before="42" w:line="226" w:lineRule="auto"/>
              <w:jc w:val="right"/>
              <w:rPr/>
            </w:pPr>
            <w:r>
              <w:rPr>
                <w:color w:val="231F20"/>
                <w:spacing w:val="-2"/>
              </w:rPr>
              <w:t>38（82.61）</w:t>
            </w:r>
          </w:p>
        </w:tc>
        <w:tc>
          <w:tcPr>
            <w:tcW w:w="101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3"/>
              <w:spacing w:before="42" w:line="226" w:lineRule="auto"/>
              <w:rPr/>
            </w:pPr>
            <w:r>
              <w:rPr>
                <w:color w:val="231F20"/>
                <w:spacing w:val="-1"/>
              </w:rPr>
              <w:t>25（83.33）</w:t>
            </w:r>
          </w:p>
        </w:tc>
        <w:tc>
          <w:tcPr>
            <w:tcW w:w="96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86"/>
              <w:spacing w:before="42" w:line="226" w:lineRule="auto"/>
              <w:rPr/>
            </w:pPr>
            <w:r>
              <w:rPr>
                <w:color w:val="231F20"/>
                <w:spacing w:val="-3"/>
              </w:rPr>
              <w:t>12（75.00）</w:t>
            </w:r>
          </w:p>
        </w:tc>
        <w:tc>
          <w:tcPr>
            <w:tcW w:w="1023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07"/>
              <w:spacing w:before="42" w:line="226" w:lineRule="auto"/>
              <w:rPr/>
            </w:pPr>
            <w:r>
              <w:rPr>
                <w:color w:val="231F20"/>
                <w:spacing w:val="-3"/>
              </w:rPr>
              <w:t>15（78.95）</w:t>
            </w:r>
          </w:p>
        </w:tc>
      </w:tr>
      <w:tr>
        <w:trPr>
          <w:trHeight w:val="241" w:hRule="atLeast"/>
        </w:trPr>
        <w:tc>
          <w:tcPr>
            <w:tcW w:w="926" w:type="dxa"/>
            <w:vAlign w:val="top"/>
          </w:tcPr>
          <w:p>
            <w:pPr>
              <w:ind w:left="397"/>
              <w:spacing w:before="7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CT</w:t>
            </w:r>
          </w:p>
        </w:tc>
        <w:tc>
          <w:tcPr>
            <w:tcW w:w="1005" w:type="dxa"/>
            <w:vAlign w:val="top"/>
          </w:tcPr>
          <w:p>
            <w:pPr>
              <w:pStyle w:val="TableText"/>
              <w:ind w:right="16"/>
              <w:spacing w:before="50" w:line="208" w:lineRule="auto"/>
              <w:jc w:val="right"/>
              <w:rPr/>
            </w:pPr>
            <w:r>
              <w:rPr>
                <w:color w:val="231F20"/>
                <w:spacing w:val="-2"/>
              </w:rPr>
              <w:t>43（93.48）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102"/>
              <w:spacing w:before="50" w:line="208" w:lineRule="auto"/>
              <w:rPr/>
            </w:pPr>
            <w:r>
              <w:rPr>
                <w:color w:val="231F20"/>
                <w:spacing w:val="-2"/>
              </w:rPr>
              <w:t>26（86.67）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86"/>
              <w:spacing w:before="50" w:line="208" w:lineRule="auto"/>
              <w:rPr/>
            </w:pPr>
            <w:r>
              <w:rPr>
                <w:color w:val="231F20"/>
                <w:spacing w:val="-3"/>
              </w:rPr>
              <w:t>14（87.50）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107"/>
              <w:spacing w:before="50" w:line="208" w:lineRule="auto"/>
              <w:rPr/>
            </w:pPr>
            <w:r>
              <w:rPr>
                <w:color w:val="231F20"/>
                <w:spacing w:val="-3"/>
              </w:rPr>
              <w:t>16（84.21）</w:t>
            </w:r>
          </w:p>
        </w:tc>
      </w:tr>
      <w:tr>
        <w:trPr>
          <w:trHeight w:val="267" w:hRule="atLeast"/>
        </w:trPr>
        <w:tc>
          <w:tcPr>
            <w:tcW w:w="926" w:type="dxa"/>
            <w:vAlign w:val="top"/>
          </w:tcPr>
          <w:p>
            <w:pPr>
              <w:pStyle w:val="TableText"/>
              <w:ind w:left="433"/>
              <w:spacing w:before="46" w:line="210" w:lineRule="exact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-41"/>
              </w:rPr>
              <w:t>χ</w:t>
            </w:r>
            <w:r>
              <w:rPr>
                <w:sz w:val="9"/>
                <w:szCs w:val="9"/>
                <w:color w:val="231F20"/>
                <w:position w:val="6"/>
              </w:rPr>
              <w:t>2</w:t>
            </w:r>
          </w:p>
        </w:tc>
        <w:tc>
          <w:tcPr>
            <w:tcW w:w="1005" w:type="dxa"/>
            <w:vAlign w:val="top"/>
          </w:tcPr>
          <w:p>
            <w:pPr>
              <w:pStyle w:val="TableText"/>
              <w:ind w:left="361"/>
              <w:spacing w:before="66" w:line="220" w:lineRule="auto"/>
              <w:rPr/>
            </w:pPr>
            <w:r>
              <w:rPr>
                <w:color w:val="231F20"/>
                <w:spacing w:val="-2"/>
              </w:rPr>
              <w:t>2.581</w:t>
            </w:r>
          </w:p>
        </w:tc>
        <w:tc>
          <w:tcPr>
            <w:tcW w:w="1013" w:type="dxa"/>
            <w:vAlign w:val="top"/>
          </w:tcPr>
          <w:p>
            <w:pPr>
              <w:pStyle w:val="TableText"/>
              <w:ind w:left="342"/>
              <w:spacing w:before="66" w:line="220" w:lineRule="auto"/>
              <w:rPr/>
            </w:pPr>
            <w:r>
              <w:rPr>
                <w:color w:val="231F20"/>
                <w:spacing w:val="-2"/>
              </w:rPr>
              <w:t>0.131</w:t>
            </w:r>
          </w:p>
        </w:tc>
        <w:tc>
          <w:tcPr>
            <w:tcW w:w="965" w:type="dxa"/>
            <w:vAlign w:val="top"/>
          </w:tcPr>
          <w:p>
            <w:pPr>
              <w:pStyle w:val="TableText"/>
              <w:ind w:left="316"/>
              <w:spacing w:before="66" w:line="220" w:lineRule="auto"/>
              <w:rPr/>
            </w:pPr>
            <w:r>
              <w:rPr>
                <w:color w:val="231F20"/>
                <w:spacing w:val="-2"/>
              </w:rPr>
              <w:t>0.821</w:t>
            </w:r>
          </w:p>
        </w:tc>
        <w:tc>
          <w:tcPr>
            <w:tcW w:w="1023" w:type="dxa"/>
            <w:vAlign w:val="top"/>
          </w:tcPr>
          <w:p>
            <w:pPr>
              <w:pStyle w:val="TableText"/>
              <w:ind w:left="337"/>
              <w:spacing w:before="66" w:line="220" w:lineRule="auto"/>
              <w:rPr/>
            </w:pPr>
            <w:r>
              <w:rPr>
                <w:color w:val="231F20"/>
                <w:spacing w:val="-2"/>
              </w:rPr>
              <w:t>0.175</w:t>
            </w:r>
          </w:p>
        </w:tc>
      </w:tr>
      <w:tr>
        <w:trPr>
          <w:trHeight w:val="261" w:hRule="atLeast"/>
        </w:trPr>
        <w:tc>
          <w:tcPr>
            <w:tcW w:w="926" w:type="dxa"/>
            <w:vAlign w:val="top"/>
            <w:tcBorders>
              <w:bottom w:val="single" w:color="231F20" w:sz="4" w:space="0"/>
            </w:tcBorders>
          </w:tcPr>
          <w:p>
            <w:pPr>
              <w:ind w:left="441"/>
              <w:spacing w:before="8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spacing w:val="5"/>
              </w:rPr>
              <w:t>P</w:t>
            </w:r>
          </w:p>
        </w:tc>
        <w:tc>
          <w:tcPr>
            <w:tcW w:w="100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61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0.108</w:t>
            </w:r>
          </w:p>
        </w:tc>
        <w:tc>
          <w:tcPr>
            <w:tcW w:w="101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2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0.718</w:t>
            </w:r>
          </w:p>
        </w:tc>
        <w:tc>
          <w:tcPr>
            <w:tcW w:w="9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5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0.365</w:t>
            </w:r>
          </w:p>
        </w:tc>
        <w:tc>
          <w:tcPr>
            <w:tcW w:w="10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7"/>
              <w:spacing w:before="55" w:line="225" w:lineRule="auto"/>
              <w:rPr/>
            </w:pPr>
            <w:r>
              <w:rPr>
                <w:color w:val="231F20"/>
                <w:spacing w:val="-2"/>
              </w:rPr>
              <w:t>0.676</w:t>
            </w:r>
          </w:p>
        </w:tc>
      </w:tr>
    </w:tbl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407"/>
        <w:spacing w:before="65" w:line="220" w:lineRule="auto"/>
        <w:rPr/>
      </w:pPr>
      <w:r>
        <w:rPr>
          <w:color w:val="231F20"/>
          <w:spacing w:val="-1"/>
        </w:rPr>
        <w:t>2.3 典型病例影像表现</w:t>
      </w:r>
    </w:p>
    <w:p>
      <w:pPr>
        <w:pStyle w:val="BodyText"/>
        <w:ind w:left="7" w:right="15" w:firstLine="400"/>
        <w:spacing w:before="63" w:line="281" w:lineRule="auto"/>
        <w:rPr/>
      </w:pPr>
      <w:r>
        <w:rPr>
          <w:color w:val="231F20"/>
          <w:spacing w:val="2"/>
        </w:rPr>
        <w:t>泌尿系结石患者，男性，43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岁，二维超声图像显示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病人左侧集合系统下极见一大小约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5"/>
        </w:rPr>
        <w:t>1.1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×0</w:t>
      </w:r>
      <w:r>
        <w:rPr>
          <w:color w:val="231F20"/>
          <w:spacing w:val="4"/>
        </w:rPr>
        <w:t>.6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28"/>
          <w:w w:val="101"/>
        </w:rPr>
        <w:t xml:space="preserve"> </w:t>
      </w:r>
      <w:r>
        <w:rPr>
          <w:color w:val="231F20"/>
          <w:spacing w:val="4"/>
        </w:rPr>
        <w:t>的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强回声，后伴声影，双肾集合系统排列规整，右肾集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4"/>
        </w:rPr>
        <w:t>合系分离，</w:t>
      </w:r>
      <w:r>
        <w:rPr>
          <w:color w:val="231F20"/>
          <w:spacing w:val="-53"/>
        </w:rPr>
        <w:t xml:space="preserve"> </w:t>
      </w:r>
      <w:r>
        <w:rPr>
          <w:color w:val="231F20"/>
          <w:spacing w:val="4"/>
        </w:rPr>
        <w:t>约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3.9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（上下径</w:t>
      </w:r>
      <w:r>
        <w:rPr>
          <w:color w:val="231F20"/>
          <w:spacing w:val="15"/>
        </w:rPr>
        <w:t>）</w:t>
      </w:r>
      <w:r>
        <w:rPr>
          <w:color w:val="231F20"/>
          <w:spacing w:val="-57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4"/>
        </w:rPr>
        <w:t>右侧输尿管上段扩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张，</w:t>
      </w:r>
      <w:r>
        <w:rPr>
          <w:color w:val="231F20"/>
          <w:spacing w:val="-49"/>
        </w:rPr>
        <w:t xml:space="preserve"> </w:t>
      </w:r>
      <w:r>
        <w:rPr>
          <w:color w:val="231F20"/>
          <w:spacing w:val="2"/>
        </w:rPr>
        <w:t>内径约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1.8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color w:val="231F20"/>
          <w:spacing w:val="2"/>
        </w:rPr>
        <w:t>，距离肾门约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7.8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color w:val="231F20"/>
          <w:spacing w:val="2"/>
        </w:rPr>
        <w:t>处见一大小约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1.3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cm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0"/>
        </w:rPr>
        <w:t>×0.8</w:t>
      </w:r>
      <w:r>
        <w:rPr>
          <w:color w:val="231F20"/>
          <w:spacing w:val="-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cm </w:t>
      </w:r>
      <w:r>
        <w:rPr>
          <w:color w:val="231F20"/>
          <w:spacing w:val="-10"/>
        </w:rPr>
        <w:t>的强回声，后伴声影，左肾未见明显分离，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左侧输尿管未见扩张，见图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2"/>
        </w:rPr>
        <w:t>1。</w:t>
      </w:r>
    </w:p>
    <w:p>
      <w:pPr>
        <w:ind w:left="8"/>
        <w:spacing w:before="1" w:line="223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3</w:t>
      </w:r>
      <w:r>
        <w:rPr>
          <w:rFonts w:ascii="SimHei" w:hAnsi="SimHei" w:eastAsia="SimHei" w:cs="SimHei"/>
          <w:sz w:val="20"/>
          <w:szCs w:val="20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0"/>
          <w:szCs w:val="20"/>
          <w:color w:val="231F20"/>
          <w:spacing w:val="-5"/>
        </w:rPr>
        <w:t>讨论</w:t>
      </w:r>
    </w:p>
    <w:p>
      <w:pPr>
        <w:pStyle w:val="BodyText"/>
        <w:ind w:left="7" w:right="15" w:firstLine="436"/>
        <w:spacing w:before="64" w:line="277" w:lineRule="auto"/>
        <w:jc w:val="both"/>
        <w:rPr/>
      </w:pPr>
      <w:r>
        <w:rPr>
          <w:color w:val="231F20"/>
          <w:spacing w:val="3"/>
        </w:rPr>
        <w:t>目前，中国的泌尿系结石患者数量相当多，并且它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5"/>
        </w:rPr>
        <w:t>能够触发急性肾绞痛。根据相关文献，通常肾绞痛的发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生源于泌尿系结石所造成的输尿管堵塞</w:t>
      </w:r>
      <w:r>
        <w:rPr>
          <w:color w:val="231F20"/>
          <w:spacing w:val="-25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[4]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2"/>
        </w:rPr>
        <w:t>。若</w:t>
      </w:r>
      <w:r>
        <w:rPr>
          <w:color w:val="231F20"/>
          <w:spacing w:val="1"/>
        </w:rPr>
        <w:t>堵塞区域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之上的肾盂与输尿管发生剧烈扩张，为缓解堵塞的影响，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5"/>
        </w:rPr>
        <w:t>输尿管的活动性将显著增强，从而触发平滑</w:t>
      </w:r>
      <w:r>
        <w:rPr>
          <w:color w:val="231F20"/>
          <w:spacing w:val="4"/>
        </w:rPr>
        <w:t>肌痉挛的状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态。若肾盂与输尿管持续扩张，将可能引发肾脏中的尿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量增大，从而使得肾内的压力更大</w:t>
      </w:r>
      <w:r>
        <w:rPr>
          <w:color w:val="231F20"/>
          <w:spacing w:val="-34"/>
        </w:rPr>
        <w:t xml:space="preserve"> </w:t>
      </w:r>
      <w:r>
        <w:rPr>
          <w:sz w:val="11"/>
          <w:szCs w:val="11"/>
          <w:color w:val="231F20"/>
          <w:spacing w:val="-9"/>
          <w:position w:val="9"/>
        </w:rPr>
        <w:t>[5]</w:t>
      </w:r>
      <w:r>
        <w:rPr>
          <w:color w:val="231F20"/>
          <w:spacing w:val="-9"/>
        </w:rPr>
        <w:t>。如果状况更加严峻，</w:t>
      </w:r>
    </w:p>
    <w:p>
      <w:pPr>
        <w:spacing w:line="277" w:lineRule="auto"/>
        <w:sectPr>
          <w:type w:val="continuous"/>
          <w:pgSz w:w="11906" w:h="16158"/>
          <w:pgMar w:top="1038" w:right="779" w:bottom="698" w:left="407" w:header="656" w:footer="356" w:gutter="0"/>
          <w:cols w:equalWidth="0" w:num="2">
            <w:col w:w="5615" w:space="100"/>
            <w:col w:w="5004" w:space="0"/>
          </w:cols>
        </w:sectPr>
        <w:rPr/>
      </w:pPr>
    </w:p>
    <w:p>
      <w:pPr>
        <w:spacing w:line="430" w:lineRule="auto"/>
        <w:rPr>
          <w:rFonts w:ascii="Arial"/>
          <w:sz w:val="21"/>
        </w:rPr>
      </w:pPr>
      <w:r/>
    </w:p>
    <w:p>
      <w:pPr>
        <w:ind w:firstLine="869"/>
        <w:spacing w:before="1" w:line="4055" w:lineRule="exact"/>
        <w:rPr/>
      </w:pPr>
      <w:r>
        <w:rPr>
          <w:position w:val="-81"/>
        </w:rPr>
        <w:drawing>
          <wp:inline distT="0" distB="0" distL="0" distR="0">
            <wp:extent cx="5937588" cy="257508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7588" cy="257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58"/>
        <w:spacing w:before="100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（a）</w:t>
      </w:r>
    </w:p>
    <w:p>
      <w:pPr>
        <w:ind w:left="4718"/>
        <w:spacing w:before="59" w:line="187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5"/>
        </w:rPr>
        <w:t>典型病例影像表现</w:t>
      </w:r>
    </w:p>
    <w:p>
      <w:pPr>
        <w:spacing w:line="187" w:lineRule="auto"/>
        <w:sectPr>
          <w:type w:val="continuous"/>
          <w:pgSz w:w="11906" w:h="16158"/>
          <w:pgMar w:top="1038" w:right="779" w:bottom="698" w:left="407" w:header="656" w:footer="356" w:gutter="0"/>
          <w:cols w:equalWidth="0" w:num="1">
            <w:col w:w="10718" w:space="0"/>
          </w:cols>
        </w:sectPr>
        <w:rPr>
          <w:rFonts w:ascii="SimHei" w:hAnsi="SimHei" w:eastAsia="SimHei" w:cs="SimHei"/>
          <w:sz w:val="16"/>
          <w:szCs w:val="16"/>
        </w:rPr>
      </w:pPr>
    </w:p>
    <w:p>
      <w:pPr>
        <w:ind w:firstLine="943"/>
        <w:spacing w:before="213" w:line="4094" w:lineRule="exact"/>
        <w:rPr/>
      </w:pPr>
      <w:r>
        <w:rPr>
          <w:position w:val="-81"/>
        </w:rPr>
        <w:drawing>
          <wp:inline distT="0" distB="0" distL="0" distR="0">
            <wp:extent cx="5844066" cy="25992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4066" cy="25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358"/>
        <w:spacing w:before="82" w:line="232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6"/>
        </w:rPr>
        <w:t>（b）</w:t>
      </w:r>
    </w:p>
    <w:p>
      <w:pPr>
        <w:ind w:left="5186"/>
        <w:spacing w:before="59" w:line="222" w:lineRule="auto"/>
        <w:outlineLvl w:val="1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9"/>
        </w:rPr>
        <w:t>1（续）</w:t>
      </w:r>
    </w:p>
    <w:p>
      <w:pPr>
        <w:spacing w:line="217" w:lineRule="exact"/>
        <w:rPr/>
      </w:pPr>
      <w:r/>
    </w:p>
    <w:p>
      <w:pPr>
        <w:spacing w:line="217" w:lineRule="exact"/>
        <w:sectPr>
          <w:headerReference w:type="default" r:id="rId6"/>
          <w:footerReference w:type="default" r:id="rId7"/>
          <w:pgSz w:w="11906" w:h="16158"/>
          <w:pgMar w:top="1037" w:right="800" w:bottom="698" w:left="407" w:header="657" w:footer="356" w:gutter="0"/>
          <w:cols w:equalWidth="0" w:num="1">
            <w:col w:w="10697" w:space="0"/>
          </w:cols>
        </w:sectPr>
        <w:rPr/>
      </w:pPr>
    </w:p>
    <w:p>
      <w:pPr>
        <w:pStyle w:val="BodyText"/>
        <w:ind w:left="449" w:right="238"/>
        <w:spacing w:before="39" w:line="277" w:lineRule="auto"/>
        <w:rPr/>
      </w:pPr>
      <w:r>
        <w:rPr>
          <w:color w:val="231F20"/>
          <w:spacing w:val="5"/>
        </w:rPr>
        <w:t>还可能诱发肾脏肿大和尿液外渗。此种尿液</w:t>
      </w:r>
      <w:r>
        <w:rPr>
          <w:color w:val="231F20"/>
          <w:spacing w:val="4"/>
        </w:rPr>
        <w:t>外渗的情况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还有可能触发肾周感染，从而使患者的腰部和腹部产生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长期的疼痛。精确识别泌尿系结石能够使患</w:t>
      </w:r>
      <w:r>
        <w:rPr>
          <w:color w:val="231F20"/>
          <w:spacing w:val="4"/>
        </w:rPr>
        <w:t>者及时接受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适当的医疗处理，有利于增强其临床治愈率，推动疾病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的快速恢复，并优化预后结果。临床诊断泌尿系结石方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法较多，实验室测试对于泌尿系结石的确定具有关键性，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通过对尿液的组成、肾脏的功能、血清钙含量的观察，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可以协助医师掌握患者的结石种类、肾脏的运行状态及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其钙的新陈代谢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[6]</w:t>
      </w:r>
      <w:r>
        <w:rPr>
          <w:color w:val="231F20"/>
          <w:spacing w:val="-9"/>
        </w:rPr>
        <w:t>。此外，</w:t>
      </w:r>
      <w:r>
        <w:rPr>
          <w:color w:val="231F20"/>
          <w:spacing w:val="-41"/>
        </w:rPr>
        <w:t xml:space="preserve"> </w:t>
      </w:r>
      <w:r>
        <w:rPr>
          <w:color w:val="231F20"/>
          <w:spacing w:val="-9"/>
        </w:rPr>
        <w:t>也需要密切关注患者的尿酸、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胱氨酸等指标，以便识别出特定类型的结石。</w:t>
      </w:r>
    </w:p>
    <w:p>
      <w:pPr>
        <w:pStyle w:val="BodyText"/>
        <w:ind w:left="448" w:right="238" w:firstLine="397"/>
        <w:spacing w:before="11" w:line="276" w:lineRule="auto"/>
        <w:rPr/>
      </w:pP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扫描在诊断泌尿系结石方面的使用日益普遍。其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高分辨率使得能够清楚地展现泌尿系统的每一个区域，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5"/>
        </w:rPr>
        <w:t>进而精确地评估结石的位置、大小、形态和数量。另外，</w:t>
      </w:r>
      <w:r>
        <w:rPr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</w:rPr>
        <w:t>扫描也能显示出结石所在的组织情况，这对于临床诊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5"/>
        </w:rPr>
        <w:t>断和治疗具有重要的参考价值。超声技术亦是</w:t>
      </w:r>
      <w:r>
        <w:rPr>
          <w:color w:val="231F20"/>
          <w:spacing w:val="4"/>
        </w:rPr>
        <w:t>高频率运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用的一项诊断技术，利用超声技术来诊断泌尿系结石， </w:t>
      </w:r>
      <w:r>
        <w:rPr>
          <w:color w:val="231F20"/>
          <w:spacing w:val="4"/>
        </w:rPr>
        <w:t>主要依据结石和正常肾脏组织的声阻力不同。结石的回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4"/>
        </w:rPr>
        <w:t>声较大，相对的正常的肾脏组织则表现为较小的回声。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当超声波穿透结石，其反射的回声会加大，从而产生较 </w:t>
      </w:r>
      <w:r>
        <w:rPr>
          <w:color w:val="231F20"/>
          <w:spacing w:val="4"/>
        </w:rPr>
        <w:t>大的回声区。通过对肾窦、肾盏、肾盂等区域的回声波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动的研究，能够确定其中是否有结石。</w:t>
      </w:r>
    </w:p>
    <w:p>
      <w:pPr>
        <w:pStyle w:val="BodyText"/>
        <w:ind w:left="449" w:right="238" w:firstLine="398"/>
        <w:spacing w:before="8" w:line="276" w:lineRule="auto"/>
        <w:jc w:val="both"/>
        <w:rPr/>
      </w:pPr>
      <w:r>
        <w:rPr>
          <w:color w:val="231F20"/>
          <w:spacing w:val="21"/>
        </w:rPr>
        <w:t>本文研究结果显示，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color w:val="231F20"/>
          <w:spacing w:val="21"/>
        </w:rPr>
        <w:t>检查泌尿系结石的灵敏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度、准确率均高于超声检查（</w:t>
      </w:r>
      <w:r>
        <w:rPr>
          <w:rFonts w:ascii="Times New Roman" w:hAnsi="Times New Roman" w:eastAsia="Times New Roman" w:cs="Times New Roman"/>
          <w:i/>
          <w:iCs/>
          <w:color w:val="231F20"/>
          <w:spacing w:val="8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5"/>
        </w:rPr>
        <w:t xml:space="preserve"> </w:t>
      </w:r>
      <w:r>
        <w:rPr>
          <w:color w:val="231F20"/>
          <w:spacing w:val="8"/>
        </w:rPr>
        <w:t>＜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8"/>
        </w:rPr>
        <w:t>0.05</w:t>
      </w:r>
      <w:r>
        <w:rPr>
          <w:color w:val="231F20"/>
          <w:spacing w:val="-13"/>
        </w:rPr>
        <w:t>）；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检查不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同类型结石的检出率均高于超声，但差异无统计学意义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i/>
          <w:iCs/>
          <w:color w:val="231F20"/>
          <w:spacing w:val="-1"/>
        </w:rPr>
        <w:t>P</w:t>
      </w:r>
      <w:r>
        <w:rPr>
          <w:rFonts w:ascii="Times New Roman" w:hAnsi="Times New Roman" w:eastAsia="Times New Roman" w:cs="Times New Roman"/>
          <w:i/>
          <w:iCs/>
          <w:color w:val="231F20"/>
          <w:spacing w:val="25"/>
          <w:w w:val="101"/>
        </w:rPr>
        <w:t xml:space="preserve"> </w:t>
      </w:r>
      <w:r>
        <w:rPr>
          <w:color w:val="231F20"/>
          <w:spacing w:val="-1"/>
        </w:rPr>
        <w:t>＞</w:t>
      </w:r>
      <w:r>
        <w:rPr>
          <w:color w:val="231F20"/>
          <w:spacing w:val="-40"/>
        </w:rPr>
        <w:t xml:space="preserve"> </w:t>
      </w:r>
      <w:r>
        <w:rPr>
          <w:color w:val="231F20"/>
          <w:spacing w:val="-1"/>
        </w:rPr>
        <w:t>0.05</w:t>
      </w:r>
      <w:r>
        <w:rPr>
          <w:color w:val="231F20"/>
          <w:spacing w:val="-4"/>
        </w:rPr>
        <w:t>），</w:t>
      </w:r>
      <w:r>
        <w:rPr>
          <w:color w:val="231F20"/>
          <w:spacing w:val="-1"/>
        </w:rPr>
        <w:t>与王勇敢</w:t>
      </w:r>
      <w:r>
        <w:rPr>
          <w:color w:val="231F20"/>
          <w:spacing w:val="-27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[7] </w:t>
      </w:r>
      <w:r>
        <w:rPr>
          <w:color w:val="231F20"/>
          <w:spacing w:val="-1"/>
        </w:rPr>
        <w:t>研究一致，分析原因为，超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声检查可以发现患者的输尿管内部团块或线</w:t>
      </w:r>
      <w:r>
        <w:rPr>
          <w:color w:val="231F20"/>
          <w:spacing w:val="4"/>
        </w:rPr>
        <w:t>性回声，伴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有强烈或微弱的声波影像，并且可以显示肾脏和输尿管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扩张和积水的情况。螺旋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检查可显示输尿管结石的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位置、大小及输尿管扩张及肾盂积水程度。出现漏诊和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误诊的主要的原因在于，肠道疾病的干扰、患者的体重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 w:right="48" w:firstLine="1"/>
        <w:spacing w:before="33" w:line="277" w:lineRule="auto"/>
        <w:rPr/>
      </w:pPr>
      <w:r>
        <w:rPr>
          <w:color w:val="231F20"/>
          <w:spacing w:val="4"/>
        </w:rPr>
        <w:t>偏大、医生的临床经验不足和患者的膀胱充盈状况等因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素。经过分析发现超声检查方式因其高度的重复性、经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6"/>
        </w:rPr>
        <w:t>济实惠、不产生辐射和无疼痛感等优势，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6"/>
        </w:rPr>
        <w:t>临床</w:t>
      </w:r>
      <w:r>
        <w:rPr>
          <w:color w:val="231F20"/>
          <w:spacing w:val="-7"/>
        </w:rPr>
        <w:t>应用广泛。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孕妇的泌尿系结石风险大约为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1/1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1"/>
        </w:rPr>
        <w:t>500，与非孕妇并没有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太大的区别</w:t>
      </w:r>
      <w:r>
        <w:rPr>
          <w:color w:val="231F20"/>
          <w:spacing w:val="-20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[7]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3"/>
        </w:rPr>
        <w:t>。由于</w:t>
      </w:r>
      <w:r>
        <w:rPr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技术存在着对人体造成辐射伤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害的风险，并且它还可能导致胎儿出现异常，因此，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  <w:spacing w:val="4"/>
        </w:rPr>
        <w:t>技术并非孕妇泌尿系结石的一种理想的诊疗手段。超声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的无辐射特性使其在孕妇诊断泌尿系结石时具有极高的 </w:t>
      </w:r>
      <w:r>
        <w:rPr>
          <w:color w:val="231F20"/>
          <w:spacing w:val="5"/>
        </w:rPr>
        <w:t>安全性和可靠性，并且不会导致胎儿畸形</w:t>
      </w:r>
      <w:r>
        <w:rPr>
          <w:color w:val="231F20"/>
          <w:spacing w:val="-14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[8]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5"/>
        </w:rPr>
        <w:t>。螺旋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  <w:spacing w:val="5"/>
        </w:rPr>
        <w:t>平扫在诊断泌尿系结石方面表现出较高的符合</w:t>
      </w:r>
      <w:r>
        <w:rPr>
          <w:color w:val="231F20"/>
          <w:spacing w:val="4"/>
        </w:rPr>
        <w:t>度，它通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过三维重建方式处理扫描图像，使临床医师</w:t>
      </w:r>
      <w:r>
        <w:rPr>
          <w:color w:val="231F20"/>
          <w:spacing w:val="4"/>
        </w:rPr>
        <w:t>可以从多个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角度观察，从而提升结石位置判断的准确性，相对于超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声检查，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</w:rPr>
        <w:t>扫描具备迅速、无需憋尿和肠道预处理等优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势，且检查结果不会受到患者身材和肠气等因素的干扰。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因为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7"/>
        </w:rPr>
        <w:t xml:space="preserve"> </w:t>
      </w:r>
      <w:r>
        <w:rPr>
          <w:color w:val="231F20"/>
          <w:spacing w:val="7"/>
        </w:rPr>
        <w:t>扫描能够大幅度提升泌尿系结石患者的诊</w:t>
      </w:r>
      <w:r>
        <w:rPr>
          <w:color w:val="231F20"/>
          <w:spacing w:val="6"/>
        </w:rPr>
        <w:t>断精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度，这对于医生深入了解病人的泌尿系结石状况非常有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2"/>
        </w:rPr>
        <w:t>帮助，同时也能为病人后续的治疗计划提供关键的引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3"/>
        </w:rPr>
        <w:t>导</w:t>
      </w:r>
      <w:r>
        <w:rPr>
          <w:color w:val="231F20"/>
          <w:spacing w:val="-21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[9]</w:t>
      </w:r>
      <w:r>
        <w:rPr>
          <w:sz w:val="11"/>
          <w:szCs w:val="11"/>
          <w:color w:val="231F20"/>
          <w:spacing w:val="-28"/>
          <w:position w:val="9"/>
        </w:rPr>
        <w:t xml:space="preserve"> </w:t>
      </w:r>
      <w:r>
        <w:rPr>
          <w:color w:val="231F20"/>
          <w:spacing w:val="3"/>
        </w:rPr>
        <w:t>。另外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诊断泌尿系统结石的影像学特征比较典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型，无论是哪种化学成分的泌尿系结石，其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值均大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于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100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HU</w:t>
      </w:r>
      <w:r>
        <w:rPr>
          <w:sz w:val="11"/>
          <w:szCs w:val="11"/>
          <w:color w:val="231F20"/>
          <w:spacing w:val="-1"/>
          <w:position w:val="9"/>
        </w:rPr>
        <w:t>[10]</w:t>
      </w:r>
      <w:r>
        <w:rPr>
          <w:color w:val="231F20"/>
          <w:spacing w:val="-1"/>
        </w:rPr>
        <w:t>，远远高于周围软组织的密度。泌尿结石在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</w:rPr>
        <w:t>检查图像上表现出高密度影，能够更加准确地发现并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诊断出泌尿结石，为临床医生提供可靠的依据。</w:t>
      </w:r>
    </w:p>
    <w:p>
      <w:pPr>
        <w:pStyle w:val="BodyText"/>
        <w:ind w:left="8" w:right="49" w:firstLine="399"/>
        <w:spacing w:before="3" w:line="278" w:lineRule="auto"/>
        <w:jc w:val="both"/>
        <w:rPr/>
      </w:pPr>
      <w:r>
        <w:rPr>
          <w:color w:val="231F20"/>
        </w:rPr>
        <w:t>综上所述，在泌尿系结石的治疗过程中，</w:t>
      </w:r>
      <w:r>
        <w:rPr>
          <w:rFonts w:ascii="Times New Roman" w:hAnsi="Times New Roman" w:eastAsia="Times New Roman" w:cs="Times New Roman"/>
          <w:color w:val="231F20"/>
        </w:rPr>
        <w:t>CT </w:t>
      </w:r>
      <w:r>
        <w:rPr>
          <w:color w:val="231F20"/>
        </w:rPr>
        <w:t>检查较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超声检查的诊断灵敏度、特异度、准确率都有其特有的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优势，能够更好地发现和诊断泌尿系结石，可作为临床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2"/>
        </w:rPr>
        <w:t>医生为排除泌尿结石的常用检查方法。</w:t>
      </w:r>
    </w:p>
    <w:p>
      <w:pPr>
        <w:spacing w:before="295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41"/>
        <w:spacing w:before="60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谢玉财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彩色多普勒快闪伪像鉴别诊断泌尿系统结石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J].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吉林医</w:t>
      </w:r>
    </w:p>
    <w:p>
      <w:pPr>
        <w:ind w:left="357"/>
        <w:spacing w:before="114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学，2023，44(8):2096-2098.</w:t>
      </w:r>
    </w:p>
    <w:p>
      <w:pPr>
        <w:ind w:left="3365"/>
        <w:spacing w:before="16" w:line="184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9"/>
        </w:rPr>
        <w:t>（下转第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177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页）</w:t>
      </w:r>
    </w:p>
    <w:p>
      <w:pPr>
        <w:spacing w:line="184" w:lineRule="auto"/>
        <w:sectPr>
          <w:type w:val="continuous"/>
          <w:pgSz w:w="11906" w:h="16158"/>
          <w:pgMar w:top="1037" w:right="800" w:bottom="698" w:left="407" w:header="657" w:footer="356" w:gutter="0"/>
          <w:cols w:equalWidth="0" w:num="2">
            <w:col w:w="5614" w:space="100"/>
            <w:col w:w="4984" w:space="0"/>
          </w:cols>
        </w:sectPr>
        <w:rPr>
          <w:rFonts w:ascii="KaiTi" w:hAnsi="KaiTi" w:eastAsia="KaiTi" w:cs="KaiTi"/>
          <w:sz w:val="20"/>
          <w:szCs w:val="20"/>
        </w:rPr>
      </w:pPr>
    </w:p>
    <w:p>
      <w:pPr>
        <w:spacing w:line="169" w:lineRule="exact"/>
        <w:rPr/>
      </w:pPr>
      <w:r/>
    </w:p>
    <w:p>
      <w:pPr>
        <w:spacing w:line="169" w:lineRule="exact"/>
        <w:sectPr>
          <w:headerReference w:type="default" r:id="rId9"/>
          <w:footerReference w:type="default" r:id="rId10"/>
          <w:pgSz w:w="11906" w:h="16158"/>
          <w:pgMar w:top="1038" w:right="848" w:bottom="698" w:left="407" w:header="656" w:footer="356" w:gutter="0"/>
          <w:cols w:equalWidth="0" w:num="1">
            <w:col w:w="10649" w:space="0"/>
          </w:cols>
        </w:sectPr>
        <w:rPr/>
      </w:pPr>
    </w:p>
    <w:p>
      <w:pPr>
        <w:pStyle w:val="BodyText"/>
        <w:ind w:left="452" w:right="247"/>
        <w:spacing w:before="40" w:line="274" w:lineRule="auto"/>
        <w:jc w:val="both"/>
        <w:rPr/>
      </w:pPr>
      <w:r>
        <w:rPr>
          <w:color w:val="231F20"/>
          <w:spacing w:val="-4"/>
        </w:rPr>
        <w:t>疑部位，便于超声医师获取更充分的影像信息和发现部分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比较隐蔽的畸形。此外，三维超声还可以保留影像结果，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为后续研究和对比分析提供可参考的资料</w:t>
      </w:r>
      <w:r>
        <w:rPr>
          <w:color w:val="231F20"/>
          <w:spacing w:val="-31"/>
        </w:rPr>
        <w:t xml:space="preserve"> </w:t>
      </w:r>
      <w:r>
        <w:rPr>
          <w:sz w:val="11"/>
          <w:szCs w:val="11"/>
          <w:color w:val="231F20"/>
          <w:spacing w:val="-4"/>
          <w:position w:val="8"/>
        </w:rPr>
        <w:t>[</w:t>
      </w:r>
      <w:r>
        <w:rPr>
          <w:sz w:val="11"/>
          <w:szCs w:val="11"/>
          <w:color w:val="231F20"/>
          <w:spacing w:val="-5"/>
          <w:position w:val="8"/>
        </w:rPr>
        <w:t>11]</w:t>
      </w:r>
      <w:r>
        <w:rPr>
          <w:color w:val="231F20"/>
          <w:spacing w:val="-5"/>
        </w:rPr>
        <w:t>。</w:t>
      </w:r>
    </w:p>
    <w:p>
      <w:pPr>
        <w:pStyle w:val="BodyText"/>
        <w:ind w:left="449" w:right="167" w:firstLine="398"/>
        <w:spacing w:before="5" w:line="277" w:lineRule="auto"/>
        <w:rPr/>
      </w:pPr>
      <w:r>
        <w:pict>
          <v:shape id="_x0000_s18" style="position:absolute;margin-left:22.3697pt;margin-top:473.158pt;mso-position-vertical-relative:text;mso-position-horizontal-relative:text;width:510.25pt;height:0.5pt;z-index:251658240;" filled="false" strokecolor="#231F20" strokeweight="0.50pt" coordsize="10205,10" coordorigin="0,0" path="m0,5l10204,5e">
            <v:stroke joinstyle="miter" miterlimit="4"/>
          </v:shape>
        </w:pict>
      </w:r>
      <w:r>
        <w:rPr>
          <w:color w:val="231F20"/>
          <w:spacing w:val="-3"/>
        </w:rPr>
        <w:t>有文献报道，三维超声检查胎儿体表异常的</w:t>
      </w:r>
      <w:r>
        <w:rPr>
          <w:color w:val="231F20"/>
          <w:spacing w:val="-4"/>
        </w:rPr>
        <w:t>准确性及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特异性均较二维超声高，在胎儿颜面发育异常方面有其独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"/>
        </w:rPr>
        <w:t>特的优越性</w:t>
      </w:r>
      <w:r>
        <w:rPr>
          <w:color w:val="231F20"/>
          <w:spacing w:val="-30"/>
        </w:rPr>
        <w:t xml:space="preserve"> </w:t>
      </w:r>
      <w:r>
        <w:rPr>
          <w:sz w:val="11"/>
          <w:szCs w:val="11"/>
          <w:color w:val="231F20"/>
          <w:spacing w:val="1"/>
          <w:position w:val="9"/>
        </w:rPr>
        <w:t>[12]</w:t>
      </w:r>
      <w:r>
        <w:rPr>
          <w:color w:val="231F20"/>
          <w:spacing w:val="1"/>
        </w:rPr>
        <w:t>。本研究表明，二维超声、二维联合</w:t>
      </w:r>
      <w:r>
        <w:rPr>
          <w:color w:val="231F20"/>
        </w:rPr>
        <w:t>三维 </w:t>
      </w:r>
      <w:r>
        <w:rPr>
          <w:color w:val="231F20"/>
          <w:spacing w:val="-7"/>
        </w:rPr>
        <w:t>超声诊断胎儿面部畸形的准确率分别为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-7"/>
        </w:rPr>
        <w:t>63.16%（12/19）、</w:t>
      </w:r>
      <w:r>
        <w:rPr>
          <w:color w:val="231F20"/>
        </w:rPr>
        <w:t xml:space="preserve"> </w:t>
      </w:r>
      <w:r>
        <w:rPr>
          <w:color w:val="231F20"/>
        </w:rPr>
        <w:t>78.95%（15/19</w:t>
      </w:r>
      <w:r>
        <w:rPr>
          <w:color w:val="231F20"/>
          <w:spacing w:val="9"/>
        </w:rPr>
        <w:t>），</w:t>
      </w:r>
      <w:r>
        <w:rPr>
          <w:color w:val="231F20"/>
        </w:rPr>
        <w:t>实时三维超声的表面成像</w:t>
      </w:r>
      <w:r>
        <w:rPr>
          <w:color w:val="231F20"/>
          <w:spacing w:val="-1"/>
        </w:rPr>
        <w:t>模式可对唇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裂的胎儿唇部连续性中断及豁口直观显示，还能显示鼻孔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4"/>
        </w:rPr>
        <w:t>的塌陷等形态的改变。三维超声对手足部发育畸形、姿势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异常、空间位置连接关系及活动异常进行实时三维动态观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察，图像更直观。胎儿腹壁缺陷畸形如脐膨出、腹裂畸形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4"/>
        </w:rPr>
        <w:t>及神经系统畸形如无脑儿、颅脑畸形、脑膨出在外在形态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4"/>
        </w:rPr>
        <w:t>上有明显特征，可采用三维成像直接显示，能够使孕妇及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4"/>
        </w:rPr>
        <w:t>家属一目了然，更有利于产前咨询，方便制定处</w:t>
      </w:r>
      <w:r>
        <w:rPr>
          <w:color w:val="231F20"/>
          <w:spacing w:val="-5"/>
        </w:rPr>
        <w:t>理方案。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三维超声透明成像及最大模式成像对骨骼系统发育、畸形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4"/>
        </w:rPr>
        <w:t>有重要作用，包括颅骨、胸廓、脊柱、四肢异常，最常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用的脊柱三维成像可清楚显示脊柱全貌及肋骨结构及连 </w:t>
      </w:r>
      <w:r>
        <w:rPr>
          <w:color w:val="231F20"/>
          <w:spacing w:val="5"/>
        </w:rPr>
        <w:t>接关系，发现半椎体、椎体融合、脊柱侧凸</w:t>
      </w:r>
      <w:r>
        <w:rPr>
          <w:color w:val="231F20"/>
          <w:spacing w:val="4"/>
        </w:rPr>
        <w:t>、脊柱裂等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异常，根据第 12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1"/>
        </w:rPr>
        <w:t>肋骨连接椎体空间位置关</w:t>
      </w:r>
      <w:r>
        <w:rPr>
          <w:color w:val="231F20"/>
          <w:spacing w:val="-2"/>
        </w:rPr>
        <w:t>系可进行椎体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定位。随着超声技术水平发展，四维超声时空关联成像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color w:val="231F20"/>
        </w:rPr>
        <w:t>STIC</w:t>
      </w:r>
      <w:r>
        <w:rPr>
          <w:color w:val="231F20"/>
          <w:spacing w:val="4"/>
        </w:rPr>
        <w:t>）技术是一种新的胎儿心脏动态三维超声成像方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4"/>
        </w:rPr>
        <w:t>法，它能获取心脏任意方向的动态断面，同时对连接的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大血管进行动态立体成像观察，对先天性心脏病进行筛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查及诊断。此外，</w:t>
      </w:r>
      <w:r>
        <w:rPr>
          <w:color w:val="231F20"/>
          <w:spacing w:val="-45"/>
        </w:rPr>
        <w:t xml:space="preserve"> </w:t>
      </w:r>
      <w:r>
        <w:rPr>
          <w:color w:val="231F20"/>
          <w:spacing w:val="-10"/>
        </w:rPr>
        <w:t>利用三维重建技术，可以显示透明隔腔、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胼胝体、第三脑室、四脑室、小脑后颅窝等多个解剖结 </w:t>
      </w:r>
      <w:r>
        <w:rPr>
          <w:color w:val="231F20"/>
          <w:spacing w:val="5"/>
        </w:rPr>
        <w:t>构的颅脑正中矢状平面，弥补二维超声在宫内一般仅能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获得头颅横切面的局限，从而提高了对颅内畸形的诊断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灵敏度。值得指出的是，在临床应用过程中发现三维超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5"/>
        </w:rPr>
        <w:t>声具有有效诊断价值的同时也有一定的局限性，如分辨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4"/>
        </w:rPr>
        <w:t>率不如二维超声，易出现假阳假阴性，必须选择合适的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5"/>
        </w:rPr>
        <w:t>孕周，胎儿宜在安静状态下，有充足的羊水，重点观察 </w:t>
      </w:r>
      <w:r>
        <w:rPr>
          <w:color w:val="231F20"/>
          <w:spacing w:val="5"/>
        </w:rPr>
        <w:t>区域前方不能有遮挡情况下才能获得满意的三维成像。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因此二维和三维超声需要充分结合，互为补充。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right="1" w:firstLine="399"/>
        <w:spacing w:before="41" w:line="277" w:lineRule="auto"/>
        <w:jc w:val="both"/>
        <w:rPr/>
      </w:pPr>
      <w:r>
        <w:rPr>
          <w:color w:val="231F20"/>
          <w:spacing w:val="5"/>
        </w:rPr>
        <w:t>综上所述，三维超声以二维超声为基础，根据具体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情况全面、立体和动态地对胎儿器官结构进</w:t>
      </w:r>
      <w:r>
        <w:rPr>
          <w:color w:val="231F20"/>
          <w:spacing w:val="4"/>
        </w:rPr>
        <w:t>行不同形式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的成像，联合二维超声在诊断胎儿畸形中具有较高的准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5"/>
        </w:rPr>
        <w:t>确率和灵敏度，且显著降低了误诊和漏诊率，是产前胎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儿畸形筛查极具价值的方法。</w:t>
      </w:r>
    </w:p>
    <w:p>
      <w:pPr>
        <w:spacing w:before="296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</w:rPr>
        <w:t>【参考文献】</w:t>
      </w:r>
    </w:p>
    <w:p>
      <w:pPr>
        <w:ind w:left="344" w:right="1" w:hanging="303"/>
        <w:spacing w:before="61" w:line="3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[1]</w:t>
      </w:r>
      <w:r>
        <w:rPr>
          <w:rFonts w:ascii="KaiTi" w:hAnsi="KaiTi" w:eastAsia="KaiTi" w:cs="KaiTi"/>
          <w:sz w:val="16"/>
          <w:szCs w:val="16"/>
          <w:color w:val="231F20"/>
          <w:spacing w:val="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刘妍，吴青青，杨怡珂，等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外显子目标区域捕获技</w:t>
      </w:r>
      <w:r>
        <w:rPr>
          <w:rFonts w:ascii="KaiTi" w:hAnsi="KaiTi" w:eastAsia="KaiTi" w:cs="KaiTi"/>
          <w:sz w:val="16"/>
          <w:szCs w:val="16"/>
          <w:color w:val="231F20"/>
        </w:rPr>
        <w:t>术在胎儿骨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骼畸形产前诊断中的应用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: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附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30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例临床病例分析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医学综述，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2018，24(16):3279-32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88.</w:t>
      </w:r>
    </w:p>
    <w:p>
      <w:pPr>
        <w:ind w:left="346" w:right="1" w:hanging="305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6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陶大昌，刘默涵，杨元，等</w:t>
      </w:r>
      <w:r>
        <w:rPr>
          <w:rFonts w:ascii="KaiTi" w:hAnsi="KaiTi" w:eastAsia="KaiTi" w:cs="KaiTi"/>
          <w:sz w:val="16"/>
          <w:szCs w:val="16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两对多次发生胎儿畸形夫妻的遗传学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分析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中华医学遗传学杂志，2021，38(7):643-646.</w:t>
      </w:r>
    </w:p>
    <w:p>
      <w:pPr>
        <w:ind w:left="343" w:right="1" w:hanging="302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高晓华，李合欣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四维彩超与系统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B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超在胎儿先天性畸形筛查中的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应用价值对比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中国实用医刊，2020，47(11):23-25.</w:t>
      </w:r>
    </w:p>
    <w:p>
      <w:pPr>
        <w:ind w:left="353" w:right="37" w:hanging="312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董晓秋</w:t>
      </w:r>
      <w:r>
        <w:rPr>
          <w:rFonts w:ascii="KaiTi" w:hAnsi="KaiTi" w:eastAsia="KaiTi" w:cs="KaiTi"/>
          <w:sz w:val="16"/>
          <w:szCs w:val="16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预防出生缺陷建设健康中国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中华医学信息导</w:t>
      </w:r>
      <w:r>
        <w:rPr>
          <w:rFonts w:ascii="KaiTi" w:hAnsi="KaiTi" w:eastAsia="KaiTi" w:cs="KaiTi"/>
          <w:sz w:val="16"/>
          <w:szCs w:val="16"/>
          <w:color w:val="231F20"/>
        </w:rPr>
        <w:t>报，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2019，34(17):15.</w:t>
      </w:r>
    </w:p>
    <w:p>
      <w:pPr>
        <w:ind w:left="342" w:right="1" w:hanging="301"/>
        <w:spacing w:before="116" w:line="31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WATAGANARA 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>GRUNEBA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UM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CHERVENAK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>Deliver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modes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of 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malformation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Perinat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>Med,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2017,</w:t>
      </w:r>
      <w:r>
        <w:rPr>
          <w:rFonts w:ascii="KaiTi" w:hAnsi="KaiTi" w:eastAsia="KaiTi" w:cs="KaiTi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45(3):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273-279.</w:t>
      </w:r>
    </w:p>
    <w:p>
      <w:pPr>
        <w:ind w:left="353" w:right="1" w:hanging="312"/>
        <w:spacing w:before="93" w:line="3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要迎春，栗河舟，乔木，等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胎儿颈项透明层厚度超声检测联合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四维彩超在孕早中期胎儿畸形筛查中的效能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中国民康医学，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2021，33(3):107-109.</w:t>
      </w:r>
    </w:p>
    <w:p>
      <w:pPr>
        <w:ind w:left="345" w:right="1" w:hanging="304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5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中华医学会妇产科学分会产科学组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孕前和孕期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保健指南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(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第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1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版</w:t>
      </w:r>
      <w:r>
        <w:rPr>
          <w:rFonts w:ascii="KaiTi" w:hAnsi="KaiTi" w:eastAsia="KaiTi" w:cs="KaiTi"/>
          <w:sz w:val="16"/>
          <w:szCs w:val="16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)[J].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中华妇产科杂志，2011，46(2):150-153.</w:t>
      </w:r>
    </w:p>
    <w:p>
      <w:pPr>
        <w:ind w:left="346" w:hanging="305"/>
        <w:spacing w:before="115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冯灿，韩芳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胎儿畸形超声筛查应用于产前诊断中的临床价值探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讨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中外医疗，2023，42(15):39-42，52.</w:t>
      </w:r>
    </w:p>
    <w:p>
      <w:pPr>
        <w:ind w:left="343" w:right="2" w:hanging="302"/>
        <w:spacing w:before="115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5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李梅梅，高明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胎儿畸形超声筛查应用在产前诊断中的临床价值分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析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贵州医药，2023，47(10):1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629-1630.</w:t>
      </w:r>
    </w:p>
    <w:p>
      <w:pPr>
        <w:ind w:left="400" w:hanging="359"/>
        <w:spacing w:before="114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</w:rPr>
        <w:t>[10]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霍金平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</w:rPr>
        <w:t>二维超声联合四维超声对产前诊断胎儿畸形的临床价值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评价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影像研究与医学应用，2022，6(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22):80-82.</w:t>
      </w:r>
    </w:p>
    <w:p>
      <w:pPr>
        <w:ind w:left="399" w:right="2" w:hanging="358"/>
        <w:spacing w:before="115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1"/>
        </w:rPr>
        <w:t>[11]</w:t>
      </w:r>
      <w:r>
        <w:rPr>
          <w:rFonts w:ascii="KaiTi" w:hAnsi="KaiTi" w:eastAsia="KaiTi" w:cs="KaiTi"/>
          <w:sz w:val="16"/>
          <w:szCs w:val="16"/>
          <w:color w:val="231F20"/>
          <w:spacing w:val="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张泽微，陈娟燕，陈廷财，等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胎儿体表畸形应用四维超声成像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技术诊断临床价值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河北医学，202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0，26(3):418-421.</w:t>
      </w:r>
    </w:p>
    <w:p>
      <w:pPr>
        <w:ind w:left="399" w:right="1" w:hanging="358"/>
        <w:spacing w:before="115" w:line="280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6"/>
        </w:rPr>
        <w:t>[12]</w:t>
      </w:r>
      <w:r>
        <w:rPr>
          <w:rFonts w:ascii="KaiTi" w:hAnsi="KaiTi" w:eastAsia="KaiTi" w:cs="KaiTi"/>
          <w:sz w:val="16"/>
          <w:szCs w:val="16"/>
          <w:color w:val="231F20"/>
          <w:spacing w:val="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张洁，张云山，朱海燕，等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胎儿颜面部畸形的超声检测与其染色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体异常的相关分析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中国超声医学杂志，2017，33(2):153-1</w:t>
      </w:r>
      <w:r>
        <w:rPr>
          <w:rFonts w:ascii="KaiTi" w:hAnsi="KaiTi" w:eastAsia="KaiTi" w:cs="KaiTi"/>
          <w:sz w:val="16"/>
          <w:szCs w:val="16"/>
          <w:color w:val="231F20"/>
          <w:spacing w:val="-7"/>
        </w:rPr>
        <w:t>56.</w:t>
      </w:r>
    </w:p>
    <w:p>
      <w:pPr>
        <w:spacing w:line="280" w:lineRule="auto"/>
        <w:sectPr>
          <w:type w:val="continuous"/>
          <w:pgSz w:w="11906" w:h="16158"/>
          <w:pgMar w:top="1038" w:right="848" w:bottom="698" w:left="407" w:header="656" w:footer="356" w:gutter="0"/>
          <w:cols w:equalWidth="0" w:num="2">
            <w:col w:w="5614" w:space="100"/>
            <w:col w:w="4936" w:space="0"/>
          </w:cols>
        </w:sectPr>
        <w:rPr>
          <w:rFonts w:ascii="KaiTi" w:hAnsi="KaiTi" w:eastAsia="KaiTi" w:cs="KaiTi"/>
          <w:sz w:val="16"/>
          <w:szCs w:val="16"/>
        </w:rPr>
      </w:pPr>
    </w:p>
    <w:p>
      <w:pPr>
        <w:spacing w:line="351" w:lineRule="auto"/>
        <w:rPr>
          <w:rFonts w:ascii="Arial"/>
          <w:sz w:val="21"/>
        </w:rPr>
      </w:pPr>
      <w:r/>
    </w:p>
    <w:p>
      <w:pPr>
        <w:ind w:left="442"/>
        <w:spacing w:before="65" w:line="216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-9"/>
        </w:rPr>
        <w:t>（上接第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174</w:t>
      </w:r>
      <w:r>
        <w:rPr>
          <w:rFonts w:ascii="KaiTi" w:hAnsi="KaiTi" w:eastAsia="KaiTi" w:cs="KaiTi"/>
          <w:sz w:val="20"/>
          <w:szCs w:val="20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9"/>
        </w:rPr>
        <w:t>页）</w:t>
      </w:r>
    </w:p>
    <w:p>
      <w:pPr>
        <w:spacing w:line="186" w:lineRule="exact"/>
        <w:rPr/>
      </w:pPr>
      <w:r/>
    </w:p>
    <w:p>
      <w:pPr>
        <w:spacing w:line="186" w:lineRule="exact"/>
        <w:sectPr>
          <w:type w:val="continuous"/>
          <w:pgSz w:w="11906" w:h="16158"/>
          <w:pgMar w:top="1038" w:right="848" w:bottom="698" w:left="407" w:header="656" w:footer="356" w:gutter="0"/>
          <w:cols w:equalWidth="0" w:num="1">
            <w:col w:w="10649" w:space="0"/>
          </w:cols>
        </w:sectPr>
        <w:rPr/>
      </w:pPr>
    </w:p>
    <w:p>
      <w:pPr>
        <w:ind w:left="784" w:right="280" w:hanging="302"/>
        <w:spacing w:before="31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[2]</w:t>
      </w:r>
      <w:r>
        <w:rPr>
          <w:rFonts w:ascii="KaiTi" w:hAnsi="KaiTi" w:eastAsia="KaiTi" w:cs="KaiTi"/>
          <w:sz w:val="16"/>
          <w:szCs w:val="16"/>
          <w:color w:val="231F20"/>
          <w:spacing w:val="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陈文敏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CT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常规平扫与低剂量扫描对泌尿系结石的诊断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价值比较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基层医学论坛，2023，27(19):9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1-93.</w:t>
      </w:r>
    </w:p>
    <w:p>
      <w:pPr>
        <w:ind w:left="782" w:right="280" w:hanging="300"/>
        <w:spacing w:before="117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4"/>
        </w:rPr>
        <w:t>[3]</w:t>
      </w:r>
      <w:r>
        <w:rPr>
          <w:rFonts w:ascii="KaiTi" w:hAnsi="KaiTi" w:eastAsia="KaiTi" w:cs="KaiTi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张丽春，汪莹，胡鹏飞，等</w:t>
      </w:r>
      <w:r>
        <w:rPr>
          <w:rFonts w:ascii="KaiTi" w:hAnsi="KaiTi" w:eastAsia="KaiTi" w:cs="KaiTi"/>
          <w:sz w:val="16"/>
          <w:szCs w:val="16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彩色多普勒超声快闪伪像与二维超声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检查对泌尿系结石的诊断价值研究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蛇志，2023，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35(1):59-61.</w:t>
      </w:r>
    </w:p>
    <w:p>
      <w:pPr>
        <w:ind w:left="798" w:right="278" w:hanging="316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[4]</w:t>
      </w:r>
      <w:r>
        <w:rPr>
          <w:rFonts w:ascii="KaiTi" w:hAnsi="KaiTi" w:eastAsia="KaiTi" w:cs="KaiTi"/>
          <w:sz w:val="16"/>
          <w:szCs w:val="16"/>
          <w:color w:val="231F20"/>
          <w:spacing w:val="4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郭小维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超声在泌尿系结石快速诊断和定位中的应用价值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医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学食疗与健康，2022，20(17):50-52，122.</w:t>
      </w:r>
    </w:p>
    <w:p>
      <w:pPr>
        <w:ind w:left="482"/>
        <w:spacing w:before="117" w:line="21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[5]</w:t>
      </w:r>
      <w:r>
        <w:rPr>
          <w:rFonts w:ascii="KaiTi" w:hAnsi="KaiTi" w:eastAsia="KaiTi" w:cs="KaiTi"/>
          <w:sz w:val="16"/>
          <w:szCs w:val="16"/>
          <w:color w:val="231F20"/>
          <w:spacing w:val="4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韦娟芳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彩色多普勒超声快闪伪像在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泌尿系结石中的诊断价值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6"/>
        </w:rPr>
        <w:t>[J].</w:t>
      </w:r>
    </w:p>
    <w:p>
      <w:pPr>
        <w:ind w:left="788"/>
        <w:spacing w:before="114" w:line="212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3"/>
        </w:rPr>
        <w:t>影像研究与医学应用，2022，6(9):10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0-102.</w:t>
      </w:r>
    </w:p>
    <w:p>
      <w:pPr>
        <w:ind w:left="792" w:right="279" w:hanging="310"/>
        <w:spacing w:before="116" w:line="26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6"/>
        </w:rPr>
        <w:t>[6]</w:t>
      </w:r>
      <w:r>
        <w:rPr>
          <w:rFonts w:ascii="KaiTi" w:hAnsi="KaiTi" w:eastAsia="KaiTi" w:cs="KaiTi"/>
          <w:sz w:val="16"/>
          <w:szCs w:val="16"/>
          <w:color w:val="231F20"/>
          <w:spacing w:val="5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李翠蓉，高清清，杨进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6"/>
        </w:rPr>
        <w:t>经直肠超声诊断膀胱憩室肉瘤样癌伴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憩室结石</w:t>
      </w:r>
      <w:r>
        <w:rPr>
          <w:rFonts w:ascii="KaiTi" w:hAnsi="KaiTi" w:eastAsia="KaiTi" w:cs="KaiTi"/>
          <w:sz w:val="16"/>
          <w:szCs w:val="16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1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例及文献复习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2"/>
        </w:rPr>
        <w:t>中国临床医学影像杂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志，2022，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18"/>
        <w:spacing w:before="30" w:line="224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5"/>
        </w:rPr>
        <w:t>33(4):300-301.</w:t>
      </w:r>
    </w:p>
    <w:p>
      <w:pPr>
        <w:ind w:left="310" w:right="1" w:hanging="310"/>
        <w:spacing w:before="10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[7]</w:t>
      </w:r>
      <w:r>
        <w:rPr>
          <w:rFonts w:ascii="KaiTi" w:hAnsi="KaiTi" w:eastAsia="KaiTi" w:cs="KaiTi"/>
          <w:sz w:val="16"/>
          <w:szCs w:val="16"/>
          <w:color w:val="231F20"/>
          <w:spacing w:val="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王勇敢</w:t>
      </w:r>
      <w:r>
        <w:rPr>
          <w:rFonts w:ascii="KaiTi" w:hAnsi="KaiTi" w:eastAsia="KaiTi" w:cs="KaiTi"/>
          <w:sz w:val="16"/>
          <w:szCs w:val="16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观察分析多层螺旋</w:t>
      </w:r>
      <w:r>
        <w:rPr>
          <w:rFonts w:ascii="KaiTi" w:hAnsi="KaiTi" w:eastAsia="KaiTi" w:cs="KaiTi"/>
          <w:sz w:val="16"/>
          <w:szCs w:val="16"/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检查在诊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断泌尿系结石中的应用效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果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影像研究与医学应用，201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9，3(20):213-214.</w:t>
      </w:r>
    </w:p>
    <w:p>
      <w:pPr>
        <w:ind w:left="340" w:hanging="340"/>
        <w:spacing w:before="116" w:line="279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1"/>
        </w:rPr>
        <w:t>[8]</w:t>
      </w:r>
      <w:r>
        <w:rPr>
          <w:rFonts w:ascii="KaiTi" w:hAnsi="KaiTi" w:eastAsia="KaiTi" w:cs="KaiTi"/>
          <w:sz w:val="16"/>
          <w:szCs w:val="16"/>
          <w:color w:val="231F20"/>
          <w:spacing w:val="4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席德辉，李新</w:t>
      </w:r>
      <w:r>
        <w:rPr>
          <w:rFonts w:ascii="KaiTi" w:hAnsi="KaiTi" w:eastAsia="KaiTi" w:cs="KaiTi"/>
          <w:sz w:val="16"/>
          <w:szCs w:val="16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1"/>
        </w:rPr>
        <w:t>超声在泌尿系结石快速诊断和定位中的应用价值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影像研究与医学应用，2020，4(1</w:t>
      </w:r>
      <w:r>
        <w:rPr>
          <w:rFonts w:ascii="KaiTi" w:hAnsi="KaiTi" w:eastAsia="KaiTi" w:cs="KaiTi"/>
          <w:sz w:val="16"/>
          <w:szCs w:val="16"/>
          <w:color w:val="231F20"/>
          <w:spacing w:val="-5"/>
        </w:rPr>
        <w:t>5):188-189.</w:t>
      </w:r>
    </w:p>
    <w:p>
      <w:pPr>
        <w:ind w:left="303" w:hanging="303"/>
        <w:spacing w:before="117" w:line="301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2"/>
        </w:rPr>
        <w:t>[9]</w:t>
      </w:r>
      <w:r>
        <w:rPr>
          <w:rFonts w:ascii="KaiTi" w:hAnsi="KaiTi" w:eastAsia="KaiTi" w:cs="KaiTi"/>
          <w:sz w:val="16"/>
          <w:szCs w:val="16"/>
          <w:color w:val="231F20"/>
          <w:spacing w:val="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杨聪聪，徐静，吕言玲，等</w:t>
      </w:r>
      <w:r>
        <w:rPr>
          <w:rFonts w:ascii="KaiTi" w:hAnsi="KaiTi" w:eastAsia="KaiTi" w:cs="KaiTi"/>
          <w:sz w:val="16"/>
          <w:szCs w:val="16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与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CDFI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联合应用对</w:t>
      </w:r>
      <w:r>
        <w:rPr>
          <w:rFonts w:ascii="KaiTi" w:hAnsi="KaiTi" w:eastAsia="KaiTi" w:cs="KaiTi"/>
          <w:sz w:val="16"/>
          <w:szCs w:val="16"/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PHPT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的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诊断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及甲状旁腺病灶大小与泌尿系结石相关性研究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1"/>
        </w:rPr>
        <w:t>医学影</w:t>
      </w:r>
      <w:r>
        <w:rPr>
          <w:rFonts w:ascii="KaiTi" w:hAnsi="KaiTi" w:eastAsia="KaiTi" w:cs="KaiTi"/>
          <w:sz w:val="16"/>
          <w:szCs w:val="16"/>
          <w:color w:val="231F20"/>
          <w:spacing w:val="-2"/>
        </w:rPr>
        <w:t>像学杂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3"/>
        </w:rPr>
        <w:t>志，2021，31(10):1656-16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60.</w:t>
      </w:r>
    </w:p>
    <w:p>
      <w:pPr>
        <w:ind w:left="371" w:right="1" w:hanging="371"/>
        <w:spacing w:before="117" w:line="265" w:lineRule="auto"/>
        <w:rPr>
          <w:rFonts w:ascii="KaiTi" w:hAnsi="KaiTi" w:eastAsia="KaiTi" w:cs="KaiTi"/>
          <w:sz w:val="16"/>
          <w:szCs w:val="16"/>
        </w:rPr>
      </w:pPr>
      <w:r>
        <w:rPr>
          <w:rFonts w:ascii="KaiTi" w:hAnsi="KaiTi" w:eastAsia="KaiTi" w:cs="KaiTi"/>
          <w:sz w:val="16"/>
          <w:szCs w:val="16"/>
          <w:color w:val="231F20"/>
          <w:spacing w:val="-9"/>
        </w:rPr>
        <w:t>[10]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林丽红，段凯，胡毅，等</w:t>
      </w:r>
      <w:r>
        <w:rPr>
          <w:rFonts w:ascii="KaiTi" w:hAnsi="KaiTi" w:eastAsia="KaiTi" w:cs="KaiTi"/>
          <w:sz w:val="16"/>
          <w:szCs w:val="16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.</w:t>
      </w:r>
      <w:r>
        <w:rPr>
          <w:rFonts w:ascii="KaiTi" w:hAnsi="KaiTi" w:eastAsia="KaiTi" w:cs="KaiTi"/>
          <w:sz w:val="16"/>
          <w:szCs w:val="16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多层螺旋</w:t>
      </w:r>
      <w:r>
        <w:rPr>
          <w:rFonts w:ascii="KaiTi" w:hAnsi="KaiTi" w:eastAsia="KaiTi" w:cs="KaiTi"/>
          <w:sz w:val="16"/>
          <w:szCs w:val="16"/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>CT </w:t>
      </w:r>
      <w:r>
        <w:rPr>
          <w:rFonts w:ascii="KaiTi" w:hAnsi="KaiTi" w:eastAsia="KaiTi" w:cs="KaiTi"/>
          <w:sz w:val="16"/>
          <w:szCs w:val="16"/>
          <w:color w:val="231F20"/>
          <w:spacing w:val="-8"/>
        </w:rPr>
        <w:t>非增强扫描在泌尿系结石</w:t>
      </w:r>
      <w:r>
        <w:rPr>
          <w:rFonts w:ascii="KaiTi" w:hAnsi="KaiTi" w:eastAsia="KaiTi" w:cs="KaiTi"/>
          <w:sz w:val="16"/>
          <w:szCs w:val="16"/>
          <w:color w:val="231F20"/>
          <w:spacing w:val="-4"/>
        </w:rPr>
        <w:t>诊</w:t>
      </w:r>
      <w:r>
        <w:rPr>
          <w:rFonts w:ascii="KaiTi" w:hAnsi="KaiTi" w:eastAsia="KaiTi" w:cs="KaiTi"/>
          <w:sz w:val="16"/>
          <w:szCs w:val="16"/>
          <w:color w:val="231F2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断及治疗中的应用价值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[J].</w:t>
      </w:r>
      <w:r>
        <w:rPr>
          <w:rFonts w:ascii="KaiTi" w:hAnsi="KaiTi" w:eastAsia="KaiTi" w:cs="KaiTi"/>
          <w:sz w:val="16"/>
          <w:szCs w:val="16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6"/>
          <w:szCs w:val="16"/>
          <w:color w:val="231F20"/>
          <w:spacing w:val="-9"/>
        </w:rPr>
        <w:t>罕少疾病杂志，2014，21(4):5-7，15.</w:t>
      </w:r>
    </w:p>
    <w:sectPr>
      <w:type w:val="continuous"/>
      <w:pgSz w:w="11906" w:h="16158"/>
      <w:pgMar w:top="1038" w:right="848" w:bottom="698" w:left="407" w:header="656" w:footer="356" w:gutter="0"/>
      <w:cols w:equalWidth="0" w:num="2">
        <w:col w:w="5655" w:space="100"/>
        <w:col w:w="489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1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7"/>
        <w:position w:val="1"/>
      </w:rPr>
      <w:t>172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286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7"/>
        <w:position w:val="1"/>
      </w:rPr>
      <w:t>173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1"/>
      <w:spacing w:line="332" w:lineRule="exac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7"/>
        <w:position w:val="1"/>
      </w:rPr>
      <w:t>174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32" w:lineRule="exact"/>
      <w:jc w:val="right"/>
      <w:rPr>
        <w:rFonts w:ascii="Times New Roman" w:hAnsi="Times New Roman" w:eastAsia="Times New Roman" w:cs="Times New Roma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color w:val="231F20"/>
        <w:spacing w:val="-10"/>
        <w:position w:val="1"/>
      </w:rPr>
      <w:t>177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2" style="position:absolute;margin-left:20.4pt;margin-top:780.474pt;mso-position-vertical-relative:page;mso-position-horizontal-relative:page;width:475.5pt;height:9.7pt;z-index:251658240;" o:allowincell="f" filled="false" stroked="false" type="#_x0000_t75">
          <v:imagedata o:title="" r:id="rId1"/>
        </v:shape>
      </w:pict>
    </w:r>
    <w:r>
      <w:pict>
        <v:shape id="_x0000_s4" style="position:absolute;margin-left:42.5197pt;margin-top:48.7803pt;mso-position-vertical-relative:page;mso-position-horizontal-relative:page;width:512.75pt;height:0.75pt;z-index:25165926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2024年2月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第8卷第4期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84"/>
      <w:spacing w:before="48" w:line="224" w:lineRule="auto"/>
      <w:rPr>
        <w:rFonts w:ascii="SimHei" w:hAnsi="SimHei" w:eastAsia="SimHei" w:cs="SimHei"/>
        <w:sz w:val="21"/>
        <w:szCs w:val="21"/>
      </w:rPr>
    </w:pPr>
    <w:r>
      <w:pict>
        <v:shape id="WordPictureWatermark6" style="position:absolute;margin-left:20.4pt;margin-top:780.47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pict>
        <v:shape id="_x0000_s8" style="position:absolute;margin-left:39.685pt;margin-top:48.7803pt;mso-position-vertical-relative:page;mso-position-horizontal-relative:page;width:513.1pt;height:0.75pt;z-index:25166131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2024年2月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第8卷第4</w:t>
    </w:r>
    <w:r>
      <w:rPr>
        <w:rFonts w:ascii="KaiTi" w:hAnsi="KaiTi" w:eastAsia="KaiTi" w:cs="KaiTi"/>
        <w:sz w:val="21"/>
        <w:szCs w:val="21"/>
        <w:color w:val="231F20"/>
        <w:spacing w:val="11"/>
      </w:rPr>
      <w:t>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before="47" w:line="225" w:lineRule="auto"/>
      <w:rPr>
        <w:rFonts w:ascii="KaiTi" w:hAnsi="KaiTi" w:eastAsia="KaiTi" w:cs="KaiTi"/>
        <w:sz w:val="21"/>
        <w:szCs w:val="21"/>
      </w:rPr>
    </w:pPr>
    <w:r>
      <w:pict>
        <v:shape id="WordPictureWatermark10" style="position:absolute;margin-left:20.4pt;margin-top:780.474pt;mso-position-vertical-relative:page;mso-position-horizontal-relative:page;width:475.5pt;height:9.7pt;z-index:251663360;" o:allowincell="f" filled="false" stroked="false" type="#_x0000_t75">
          <v:imagedata o:title="" r:id="rId1"/>
        </v:shape>
      </w:pict>
    </w:r>
    <w:r>
      <w:pict>
        <v:shape id="_x0000_s12" style="position:absolute;margin-left:42.5197pt;margin-top:48.7803pt;mso-position-vertical-relative:page;mso-position-horizontal-relative:page;width:512.75pt;height:0.75pt;z-index:251664384;" o:allowincell="f" filled="false" strokecolor="#231F20" strokeweight="0.71pt" coordsize="10255,15" coordorigin="0,0" path="m0,7l10254,7e">
          <v:stroke joinstyle="miter" miterlimit="4"/>
        </v:shape>
      </w:pic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>医学影像</w:t>
    </w:r>
    <w:r>
      <w:rPr>
        <w:rFonts w:ascii="SimHei" w:hAnsi="SimHei" w:eastAsia="SimHei" w:cs="SimHei"/>
        <w:sz w:val="21"/>
        <w:szCs w:val="21"/>
        <w:color w:val="231F20"/>
        <w:spacing w:val="10"/>
        <w:position w:val="-1"/>
      </w:rPr>
      <w:t xml:space="preserve">                </w:t>
    </w:r>
    <w:r>
      <w:rPr>
        <w:rFonts w:ascii="KaiTi" w:hAnsi="KaiTi" w:eastAsia="KaiTi" w:cs="KaiTi"/>
        <w:sz w:val="21"/>
        <w:szCs w:val="21"/>
        <w:color w:val="231F20"/>
        <w:spacing w:val="10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70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2024年2月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0"/>
      </w:rPr>
      <w:t>第8卷第4期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9"/>
      <w:spacing w:before="48" w:line="224" w:lineRule="auto"/>
      <w:jc w:val="right"/>
      <w:rPr>
        <w:rFonts w:ascii="SimHei" w:hAnsi="SimHei" w:eastAsia="SimHei" w:cs="SimHei"/>
        <w:sz w:val="21"/>
        <w:szCs w:val="21"/>
      </w:rPr>
    </w:pPr>
    <w:r>
      <w:pict>
        <v:shape id="WordPictureWatermark14" style="position:absolute;margin-left:20.4pt;margin-top:780.474pt;mso-position-vertical-relative:page;mso-position-horizontal-relative:page;width:475.5pt;height:9.7pt;z-index:-251651072;" o:allowincell="f" filled="false" stroked="false" type="#_x0000_t75">
          <v:imagedata o:title="" r:id="rId1"/>
        </v:shape>
      </w:pict>
    </w:r>
    <w:r>
      <w:pict>
        <v:shape id="_x0000_s16" style="position:absolute;margin-left:39.685pt;margin-top:48.7803pt;mso-position-vertical-relative:page;mso-position-horizontal-relative:page;width:513.1pt;height:0.75pt;z-index:251666432;" o:allowincell="f" filled="false" strokecolor="#231F20" strokeweight="0.71pt" coordsize="10261,15" coordorigin="0,0" path="m0,7l10261,7e">
          <v:stroke joinstyle="miter" miterlimit="4"/>
        </v:shape>
      </w:pict>
    </w:r>
    <w:r>
      <w:rPr>
        <w:rFonts w:ascii="KaiTi" w:hAnsi="KaiTi" w:eastAsia="KaiTi" w:cs="KaiTi"/>
        <w:sz w:val="21"/>
        <w:szCs w:val="21"/>
        <w:color w:val="231F20"/>
        <w:spacing w:val="12"/>
      </w:rPr>
      <w:t>影像研究与医学应用</w:t>
    </w:r>
    <w:r>
      <w:rPr>
        <w:rFonts w:ascii="KaiTi" w:hAnsi="KaiTi" w:eastAsia="KaiTi" w:cs="KaiTi"/>
        <w:sz w:val="21"/>
        <w:szCs w:val="21"/>
        <w:color w:val="231F20"/>
        <w:spacing w:val="54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2024年2月</w:t>
    </w:r>
    <w:r>
      <w:rPr>
        <w:rFonts w:ascii="KaiTi" w:hAnsi="KaiTi" w:eastAsia="KaiTi" w:cs="KaiTi"/>
        <w:sz w:val="21"/>
        <w:szCs w:val="21"/>
        <w:color w:val="231F20"/>
        <w:spacing w:val="52"/>
      </w:rPr>
      <w:t xml:space="preserve"> </w:t>
    </w:r>
    <w:r>
      <w:rPr>
        <w:rFonts w:ascii="KaiTi" w:hAnsi="KaiTi" w:eastAsia="KaiTi" w:cs="KaiTi"/>
        <w:sz w:val="21"/>
        <w:szCs w:val="21"/>
        <w:color w:val="231F20"/>
        <w:spacing w:val="12"/>
      </w:rPr>
      <w:t>第8卷第4</w:t>
    </w:r>
    <w:r>
      <w:rPr>
        <w:rFonts w:ascii="KaiTi" w:hAnsi="KaiTi" w:eastAsia="KaiTi" w:cs="KaiTi"/>
        <w:sz w:val="21"/>
        <w:szCs w:val="21"/>
        <w:color w:val="231F20"/>
        <w:spacing w:val="11"/>
      </w:rPr>
      <w:t>期</w:t>
    </w:r>
    <w:r>
      <w:rPr>
        <w:rFonts w:ascii="KaiTi" w:hAnsi="KaiTi" w:eastAsia="KaiTi" w:cs="KaiTi"/>
        <w:sz w:val="21"/>
        <w:szCs w:val="21"/>
        <w:color w:val="231F20"/>
        <w:spacing w:val="5"/>
      </w:rPr>
      <w:t xml:space="preserve">                 </w:t>
    </w:r>
    <w:r>
      <w:rPr>
        <w:rFonts w:ascii="SimHei" w:hAnsi="SimHei" w:eastAsia="SimHei" w:cs="SimHei"/>
        <w:sz w:val="21"/>
        <w:szCs w:val="21"/>
        <w:color w:val="231F20"/>
        <w:spacing w:val="11"/>
        <w:position w:val="-1"/>
      </w:rPr>
      <w:t>医学影像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image" Target="media/image5.jpeg"/><Relationship Id="rId7" Type="http://schemas.openxmlformats.org/officeDocument/2006/relationships/footer" Target="footer3.xml"/><Relationship Id="rId6" Type="http://schemas.openxmlformats.org/officeDocument/2006/relationships/header" Target="header3.xml"/><Relationship Id="rId5" Type="http://schemas.openxmlformats.org/officeDocument/2006/relationships/image" Target="media/image3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2024-04-07T17:13:50Z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2025-10-28T21:34:06</vt:filetime>
  </property>
</Properties>
</file>