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120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30"/>
          <w:szCs w:val="30"/>
          <w:color w:val="231F20"/>
          <w:spacing w:val="1"/>
          <w:position w:val="-3"/>
        </w:rPr>
        <w:t>26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2"/>
        </w:rPr>
        <w:t>● 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1"/>
          <w:position w:val="-2"/>
        </w:rPr>
        <w:t>中国循证指南共识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2"/>
        </w:rPr>
        <w:t>●                               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2"/>
        </w:rPr>
        <w:t xml:space="preserve">                            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-49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position w:val="3"/>
        </w:rPr>
        <w:t>肿瘤综合治疗电子杂志 </w:t>
      </w:r>
      <w:r>
        <w:rPr>
          <w:sz w:val="20"/>
          <w:szCs w:val="20"/>
          <w:b/>
          <w:bCs/>
          <w:u w:val="single" w:color="auto"/>
          <w:color w:val="231F20"/>
          <w:position w:val="3"/>
        </w:rPr>
        <w:t>2023</w:t>
      </w:r>
      <w:r>
        <w:rPr>
          <w:sz w:val="20"/>
          <w:szCs w:val="20"/>
          <w:b/>
          <w:bCs/>
          <w:u w:val="single" w:color="auto"/>
          <w:color w:val="231F20"/>
          <w:spacing w:val="15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position w:val="3"/>
        </w:rPr>
        <w:t>年第 </w:t>
      </w:r>
      <w:r>
        <w:rPr>
          <w:sz w:val="20"/>
          <w:szCs w:val="20"/>
          <w:b/>
          <w:bCs/>
          <w:u w:val="single" w:color="auto"/>
          <w:color w:val="231F20"/>
          <w:position w:val="3"/>
        </w:rPr>
        <w:t>9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position w:val="3"/>
        </w:rPr>
        <w:t>卷第 </w:t>
      </w:r>
      <w:r>
        <w:rPr>
          <w:sz w:val="20"/>
          <w:szCs w:val="20"/>
          <w:b/>
          <w:bCs/>
          <w:u w:val="single" w:color="auto"/>
          <w:color w:val="231F20"/>
          <w:position w:val="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position w:val="3"/>
        </w:rPr>
        <w:t>期</w:t>
      </w:r>
    </w:p>
    <w:p>
      <w:pPr>
        <w:ind w:left="725"/>
        <w:spacing w:before="133" w:line="21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945070</wp:posOffset>
            </wp:positionH>
            <wp:positionV relativeFrom="paragraph">
              <wp:posOffset>276952</wp:posOffset>
            </wp:positionV>
            <wp:extent cx="15621" cy="156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945057</wp:posOffset>
            </wp:positionH>
            <wp:positionV relativeFrom="paragraph">
              <wp:posOffset>339423</wp:posOffset>
            </wp:positionV>
            <wp:extent cx="15621" cy="1562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460919</wp:posOffset>
            </wp:positionH>
            <wp:positionV relativeFrom="paragraph">
              <wp:posOffset>105153</wp:posOffset>
            </wp:positionV>
            <wp:extent cx="577853" cy="57786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53" cy="57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929449</wp:posOffset>
            </wp:positionH>
            <wp:positionV relativeFrom="paragraph">
              <wp:posOffset>261331</wp:posOffset>
            </wp:positionV>
            <wp:extent cx="15621" cy="156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36.523pt;margin-top:30.6452pt;mso-position-vertical-relative:text;mso-position-horizontal-relative:text;width:46.3pt;height:6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5620" cy="15620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620" cy="15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position w:val="-1"/>
                    </w:rPr>
                    <w:drawing>
                      <wp:inline distT="0" distB="0" distL="0" distR="0">
                        <wp:extent cx="78092" cy="6247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8092" cy="62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-8"/>
                      <w:w w:val="84"/>
                    </w:rPr>
                    <w:t>"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144"/>
                      <w:w w:val="175"/>
                    </w:rPr>
                    <w:t>,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drawing>
                      <wp:inline distT="0" distB="0" distL="0" distR="0">
                        <wp:extent cx="31229" cy="31241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229" cy="3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  <w:position w:val="-25"/>
        </w:rPr>
        <w:drawing>
          <wp:inline distT="0" distB="0" distL="0" distR="0">
            <wp:extent cx="359206" cy="28111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206" cy="2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position w:val="-5"/>
        </w:rPr>
        <w:drawing>
          <wp:inline distT="0" distB="0" distL="0" distR="0">
            <wp:extent cx="31229" cy="3124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9" cy="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              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DOI ：10.12151/JMCM.2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023.02-04</w:t>
      </w:r>
    </w:p>
    <w:p>
      <w:pPr>
        <w:ind w:left="996"/>
        <w:spacing w:before="147" w:line="25" w:lineRule="exact"/>
        <w:rPr/>
      </w:pPr>
      <w:r>
        <w:rPr/>
        <w:drawing>
          <wp:inline distT="0" distB="0" distL="0" distR="0">
            <wp:extent cx="15621" cy="1562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5"/>
        <w:spacing w:line="49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476542</wp:posOffset>
            </wp:positionH>
            <wp:positionV relativeFrom="paragraph">
              <wp:posOffset>31242</wp:posOffset>
            </wp:positionV>
            <wp:extent cx="15620" cy="1562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0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5378" cy="312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78" cy="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5"/>
        <w:spacing w:before="24" w:line="25" w:lineRule="exact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929449</wp:posOffset>
            </wp:positionH>
            <wp:positionV relativeFrom="paragraph">
              <wp:posOffset>46850</wp:posOffset>
            </wp:positionV>
            <wp:extent cx="78092" cy="1562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92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617092</wp:posOffset>
            </wp:positionH>
            <wp:positionV relativeFrom="paragraph">
              <wp:posOffset>93700</wp:posOffset>
            </wp:positionV>
            <wp:extent cx="421678" cy="6247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78" cy="6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663943</wp:posOffset>
            </wp:positionH>
            <wp:positionV relativeFrom="paragraph">
              <wp:posOffset>31229</wp:posOffset>
            </wp:positionV>
            <wp:extent cx="15621" cy="1562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" cy="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374815" cy="1563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815" cy="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6" w:right="1027" w:firstLine="260"/>
        <w:spacing w:before="337" w:line="216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color w:val="231F20"/>
          <w:spacing w:val="-4"/>
        </w:rPr>
        <w:t>中国消化道肿瘤免疫治疗不良反应专家共识</w:t>
      </w:r>
      <w:r>
        <w:rPr>
          <w:rFonts w:ascii="SimSun" w:hAnsi="SimSun" w:eastAsia="SimSun" w:cs="SimSun"/>
          <w:sz w:val="46"/>
          <w:szCs w:val="46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46"/>
          <w:szCs w:val="46"/>
          <w:color w:val="231F20"/>
          <w:spacing w:val="-7"/>
        </w:rPr>
        <w:t>（</w:t>
      </w:r>
      <w:r>
        <w:rPr>
          <w:sz w:val="46"/>
          <w:szCs w:val="46"/>
          <w:color w:val="231F20"/>
          <w:spacing w:val="-7"/>
        </w:rPr>
        <w:t>2023</w:t>
      </w:r>
      <w:r>
        <w:rPr>
          <w:rFonts w:ascii="SimSun" w:hAnsi="SimSun" w:eastAsia="SimSun" w:cs="SimSun"/>
          <w:sz w:val="46"/>
          <w:szCs w:val="46"/>
          <w:color w:val="231F20"/>
          <w:spacing w:val="-7"/>
        </w:rPr>
        <w:t>年版）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29"/>
        <w:spacing w:before="68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《中国消化道肿瘤免疫治疗不良反应专家共识（</w:t>
      </w:r>
      <w:r>
        <w:rPr>
          <w:sz w:val="21"/>
          <w:szCs w:val="21"/>
          <w:color w:val="231F20"/>
          <w:spacing w:val="-4"/>
        </w:rPr>
        <w:t>2023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年版）》编写组</w:t>
      </w:r>
    </w:p>
    <w:p>
      <w:pPr>
        <w:pStyle w:val="BodyText"/>
        <w:ind w:left="733" w:right="73" w:hanging="99"/>
        <w:spacing w:before="313" w:line="26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【</w:t>
      </w:r>
      <w:r>
        <w:rPr>
          <w:rFonts w:ascii="Microsoft YaHei" w:hAnsi="Microsoft YaHei" w:eastAsia="Microsoft YaHei" w:cs="Microsoft YaHei"/>
          <w:color w:val="231F20"/>
          <w:spacing w:val="2"/>
        </w:rPr>
        <w:t>摘要</w:t>
      </w:r>
      <w:r>
        <w:rPr>
          <w:rFonts w:ascii="SimSun" w:hAnsi="SimSun" w:eastAsia="SimSun" w:cs="SimSun"/>
          <w:color w:val="231F20"/>
          <w:spacing w:val="2"/>
        </w:rPr>
        <w:t>】 免疫检查点抑制剂（</w:t>
      </w:r>
      <w:r>
        <w:rPr>
          <w:color w:val="231F20"/>
        </w:rPr>
        <w:t>immune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checkpoint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inhibitor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，</w:t>
      </w:r>
      <w:r>
        <w:rPr>
          <w:color w:val="231F20"/>
        </w:rPr>
        <w:t>ICI</w:t>
      </w:r>
      <w:r>
        <w:rPr>
          <w:rFonts w:ascii="SimSun" w:hAnsi="SimSun" w:eastAsia="SimSun" w:cs="SimSun"/>
          <w:color w:val="231F20"/>
          <w:spacing w:val="2"/>
        </w:rPr>
        <w:t>）通过激活人体对癌细胞的免疫反应，彻底改变了多种癌症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的治疗策略，包括多种消化道肿瘤。然而，</w:t>
      </w:r>
      <w:r>
        <w:rPr>
          <w:color w:val="231F20"/>
          <w:spacing w:val="-2"/>
        </w:rPr>
        <w:t>ICI</w:t>
      </w:r>
      <w:r>
        <w:rPr>
          <w:rFonts w:ascii="SimSun" w:hAnsi="SimSun" w:eastAsia="SimSun" w:cs="SimSun"/>
          <w:color w:val="231F20"/>
          <w:spacing w:val="-2"/>
        </w:rPr>
        <w:t>导致的不良反应累及多器官和系统，威胁抗肿瘤疗效带来的生存</w:t>
      </w:r>
      <w:r>
        <w:rPr>
          <w:rFonts w:ascii="SimSun" w:hAnsi="SimSun" w:eastAsia="SimSun" w:cs="SimSun"/>
          <w:color w:val="231F20"/>
          <w:spacing w:val="-3"/>
        </w:rPr>
        <w:t>获益。《中国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消化道肿瘤免疫治疗不良反应专家共识（</w:t>
      </w:r>
      <w:r>
        <w:rPr>
          <w:color w:val="231F20"/>
        </w:rPr>
        <w:t>20</w:t>
      </w:r>
      <w:r>
        <w:rPr>
          <w:color w:val="231F20"/>
          <w:spacing w:val="-1"/>
        </w:rPr>
        <w:t>23</w:t>
      </w:r>
      <w:r>
        <w:rPr>
          <w:rFonts w:ascii="SimSun" w:hAnsi="SimSun" w:eastAsia="SimSun" w:cs="SimSun"/>
          <w:color w:val="231F20"/>
          <w:spacing w:val="-1"/>
        </w:rPr>
        <w:t>年版）》聚焦于消化道肿瘤，针对消化道肿瘤不同免疫联合治疗模式相关不良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反应以及消化道肿瘤常见免疫相关不良事件的临床诊疗提供管理</w:t>
      </w:r>
      <w:r>
        <w:rPr>
          <w:rFonts w:ascii="SimSun" w:hAnsi="SimSun" w:eastAsia="SimSun" w:cs="SimSun"/>
          <w:color w:val="231F20"/>
          <w:spacing w:val="-2"/>
        </w:rPr>
        <w:t>建议。</w:t>
      </w:r>
    </w:p>
    <w:p>
      <w:pPr>
        <w:ind w:left="634"/>
        <w:spacing w:before="1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关键词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】 免疫检查点抑制剂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；免疫相关不良事件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；消化道肿瘤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；免疫联合治疗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52" w:line="186" w:lineRule="auto"/>
        <w:rPr/>
      </w:pPr>
      <w:r>
        <w:rPr>
          <w:b/>
          <w:bCs/>
          <w:color w:val="231F20"/>
        </w:rPr>
        <w:t>Consensus on immune-related adverse events of gastrointest</w:t>
      </w:r>
      <w:r>
        <w:rPr>
          <w:b/>
          <w:bCs/>
          <w:color w:val="231F20"/>
          <w:spacing w:val="-1"/>
        </w:rPr>
        <w:t>inal tumor in China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1"/>
        </w:rPr>
        <w:t>(2023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1"/>
        </w:rPr>
        <w:t>edition)</w:t>
      </w:r>
    </w:p>
    <w:p>
      <w:pPr>
        <w:pStyle w:val="BodyText"/>
        <w:ind w:left="732" w:right="1378"/>
        <w:spacing w:before="102" w:line="284" w:lineRule="auto"/>
        <w:rPr/>
      </w:pPr>
      <w:r>
        <w:rPr>
          <w:color w:val="231F20"/>
        </w:rPr>
        <w:t>Compilation group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consensus on immune-related adverse events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tumor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China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(2023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edition)</w:t>
      </w:r>
      <w:r>
        <w:rPr>
          <w:color w:val="231F20"/>
        </w:rPr>
        <w:t xml:space="preserve"> </w:t>
      </w:r>
      <w:r>
        <w:rPr>
          <w:color w:val="231F20"/>
        </w:rPr>
        <w:t>Corresponding author: Liu Tianshu, E-mail: liu.tianshu@zs-hospital.sh.cn;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Shen Lin</w:t>
      </w:r>
      <w:r>
        <w:rPr>
          <w:color w:val="231F20"/>
          <w:spacing w:val="-1"/>
        </w:rPr>
        <w:t>, E-mail: linshenpku@163.com</w:t>
      </w:r>
    </w:p>
    <w:p>
      <w:pPr>
        <w:pStyle w:val="BodyText"/>
        <w:ind w:left="730" w:right="68" w:hanging="96"/>
        <w:spacing w:before="4" w:line="293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Abstract</w:t>
      </w:r>
      <w:r>
        <w:rPr>
          <w:rFonts w:ascii="SimSun" w:hAnsi="SimSun" w:eastAsia="SimSun" w:cs="SimSun"/>
          <w:color w:val="231F20"/>
        </w:rPr>
        <w:t>】 </w:t>
      </w:r>
      <w:r>
        <w:rPr>
          <w:color w:val="231F20"/>
        </w:rPr>
        <w:t>Immune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checkpoint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inhibitor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(ICI)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revolutionized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strategies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cancers,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includin</w:t>
      </w:r>
      <w:r>
        <w:rPr>
          <w:color w:val="231F20"/>
          <w:spacing w:val="-1"/>
        </w:rPr>
        <w:t>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gastro-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intestinal system tumor, by activating the immune response 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cancer cells.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adverse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events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caused by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ICI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involve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multiple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organs,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threatening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survival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beneﬁts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against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anti-tumor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eﬃcacy.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1"/>
        </w:rPr>
        <w:t>Consensus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immune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1"/>
        </w:rPr>
        <w:t>related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1"/>
        </w:rPr>
        <w:t>adverse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1"/>
        </w:rPr>
        <w:t>events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1"/>
        </w:rPr>
        <w:t>of gastroi</w:t>
      </w:r>
      <w:r>
        <w:rPr>
          <w:i/>
          <w:iCs/>
          <w:color w:val="231F20"/>
          <w:spacing w:val="-2"/>
        </w:rPr>
        <w:t>ntestinal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tumor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</w:rPr>
        <w:t>in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2"/>
        </w:rPr>
        <w:t>(2023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</w:rPr>
        <w:t>edition</w:t>
      </w:r>
      <w:r>
        <w:rPr>
          <w:i/>
          <w:iCs/>
          <w:color w:val="231F20"/>
          <w:spacing w:val="2"/>
        </w:rPr>
        <w:t>)</w:t>
      </w:r>
      <w:r>
        <w:rPr>
          <w:i/>
          <w:iCs/>
          <w:color w:val="231F20"/>
          <w:spacing w:val="19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diﬀerent combined i</w:t>
      </w:r>
      <w:r>
        <w:rPr>
          <w:color w:val="231F20"/>
          <w:spacing w:val="-1"/>
        </w:rPr>
        <w:t>mmunotherapy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gastrointestinal tumor and common immune-related adverse events 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gastrointestinal tumor.</w:t>
      </w:r>
    </w:p>
    <w:p>
      <w:pPr>
        <w:pStyle w:val="BodyText"/>
        <w:ind w:left="634"/>
        <w:spacing w:line="212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Keywords</w:t>
      </w:r>
      <w:r>
        <w:rPr>
          <w:rFonts w:ascii="SimSun" w:hAnsi="SimSun" w:eastAsia="SimSun" w:cs="SimSun"/>
          <w:color w:val="231F20"/>
        </w:rPr>
        <w:t>】 </w:t>
      </w:r>
      <w:r>
        <w:rPr>
          <w:color w:val="231F20"/>
        </w:rPr>
        <w:t>Immune checkpoint inhibitor; Immune-related adverse events; Gastrointestinal tumor;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imm</w:t>
      </w:r>
      <w:r>
        <w:rPr>
          <w:color w:val="231F20"/>
          <w:spacing w:val="-1"/>
        </w:rPr>
        <w:t>unotherapy</w:t>
      </w:r>
    </w:p>
    <w:p>
      <w:pPr>
        <w:spacing w:before="56"/>
        <w:rPr/>
      </w:pPr>
      <w:r/>
    </w:p>
    <w:p>
      <w:pPr>
        <w:sectPr>
          <w:headerReference w:type="default" r:id="rId1"/>
          <w:pgSz w:w="11906" w:h="16158"/>
          <w:pgMar w:top="400" w:right="1004" w:bottom="0" w:left="407" w:header="0" w:footer="0" w:gutter="0"/>
          <w:cols w:equalWidth="0" w:num="1">
            <w:col w:w="10494" w:space="0"/>
          </w:cols>
        </w:sectPr>
        <w:rPr/>
      </w:pPr>
    </w:p>
    <w:p>
      <w:pPr>
        <w:ind w:left="748"/>
        <w:spacing w:before="47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1</w:t>
      </w:r>
      <w:r>
        <w:rPr>
          <w:rFonts w:ascii="Arial" w:hAnsi="Arial" w:eastAsia="Arial" w:cs="Arial"/>
          <w:sz w:val="21"/>
          <w:szCs w:val="21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消化道肿瘤免疫治疗概述</w:t>
      </w:r>
    </w:p>
    <w:p>
      <w:pPr>
        <w:pStyle w:val="BodyText"/>
        <w:ind w:left="732" w:right="204" w:firstLine="18"/>
        <w:spacing w:before="7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1.1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概述  消化道肿瘤是我国和全球发病率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最高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的恶性肿瘤之一，</w:t>
      </w:r>
      <w:r>
        <w:rPr>
          <w:sz w:val="21"/>
          <w:szCs w:val="21"/>
          <w:color w:val="231F20"/>
          <w:spacing w:val="-1"/>
        </w:rPr>
        <w:t>2022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年发布的最新中国癌症注册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中心流行病学数据显示，我国结直肠癌、胃癌和食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管癌的新发病例数分别位列全部癌症新发病例数的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第</w:t>
      </w:r>
      <w:r>
        <w:rPr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sz w:val="21"/>
          <w:szCs w:val="21"/>
          <w:color w:val="231F20"/>
          <w:spacing w:val="3"/>
        </w:rPr>
        <w:t>3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sz w:val="21"/>
          <w:szCs w:val="21"/>
          <w:color w:val="231F20"/>
          <w:spacing w:val="3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位</w:t>
      </w:r>
      <w:r>
        <w:rPr>
          <w:sz w:val="12"/>
          <w:szCs w:val="12"/>
          <w:color w:val="231F20"/>
          <w:spacing w:val="3"/>
          <w:position w:val="9"/>
        </w:rPr>
        <w:t>[1]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。大多数消化道肿瘤患者确诊时已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处于晚期，化疗和放疗是晚期患者的传统治疗方法，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可适当延长患者的生存期，而分子靶向药物的出现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进一步延长了部分患者的生存期。近年来，免疫治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疗迅速发展成为一种有效的抗肿瘤方法，也是消化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道肿瘤未来的主要方向之一。</w:t>
      </w:r>
    </w:p>
    <w:p>
      <w:pPr>
        <w:pStyle w:val="BodyText"/>
        <w:ind w:left="729" w:right="201" w:firstLine="429"/>
        <w:spacing w:before="5" w:line="306" w:lineRule="auto"/>
        <w:jc w:val="both"/>
        <w:rPr>
          <w:sz w:val="21"/>
          <w:szCs w:val="21"/>
        </w:rPr>
      </w:pPr>
      <w:r>
        <w:pict>
          <v:shape id="_x0000_s6" style="position:absolute;margin-left:36.5429pt;margin-top:116.281pt;mso-position-vertical-relative:text;mso-position-horizontal-relative:text;width:73.7pt;height:0.5pt;z-index:251661312;" filled="false" strokecolor="#231F20" strokeweight="0.50pt" coordsize="1473,10" coordorigin="0,0" path="m0,5l1473,5e">
            <v:stroke joinstyle="miter" miterlimit="10"/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免疫检查点抑制剂（</w:t>
      </w:r>
      <w:r>
        <w:rPr>
          <w:sz w:val="21"/>
          <w:szCs w:val="21"/>
          <w:color w:val="231F20"/>
          <w:spacing w:val="-8"/>
        </w:rPr>
        <w:t>immune checkpoint inhibitor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）是目前被批准的最主要的免疫疗法，包括针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对程序性死亡蛋白</w:t>
      </w:r>
      <w:r>
        <w:rPr>
          <w:sz w:val="21"/>
          <w:szCs w:val="21"/>
          <w:color w:val="231F20"/>
          <w:spacing w:val="-1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programmed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  <w:spacing w:val="-1"/>
        </w:rPr>
        <w:t>death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prot</w:t>
      </w:r>
      <w:r>
        <w:rPr>
          <w:sz w:val="21"/>
          <w:szCs w:val="21"/>
          <w:color w:val="231F20"/>
          <w:spacing w:val="-2"/>
        </w:rPr>
        <w:t>ein-1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3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>）（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如帕博利珠单抗、纳武利尤单抗、卡瑞利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珠单抗、替雷利珠单抗、特瑞普利单抗和信迪利单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抗等）和程序性死亡蛋白配体</w:t>
      </w:r>
      <w:r>
        <w:rPr>
          <w:sz w:val="21"/>
          <w:szCs w:val="21"/>
          <w:color w:val="231F20"/>
          <w:spacing w:val="-2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pro</w:t>
      </w:r>
      <w:r>
        <w:rPr>
          <w:sz w:val="21"/>
          <w:szCs w:val="21"/>
          <w:color w:val="231F20"/>
          <w:spacing w:val="-3"/>
        </w:rPr>
        <w:t>grammed death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 w:firstLine="97"/>
        <w:spacing w:before="4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ligand-1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PD-L1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>）（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如阿替利珠单抗、</w:t>
      </w:r>
      <w:r>
        <w:rPr>
          <w:sz w:val="21"/>
          <w:szCs w:val="21"/>
          <w:color w:val="231F20"/>
          <w:spacing w:val="-4"/>
        </w:rPr>
        <w:t>avelumab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沃利单抗等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以及细胞毒性</w:t>
      </w:r>
      <w:r>
        <w:rPr>
          <w:sz w:val="21"/>
          <w:szCs w:val="21"/>
          <w:color w:val="231F20"/>
          <w:spacing w:val="3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淋巴细胞相关抗原</w:t>
      </w:r>
      <w:r>
        <w:rPr>
          <w:sz w:val="21"/>
          <w:szCs w:val="21"/>
          <w:color w:val="231F20"/>
          <w:spacing w:val="3"/>
        </w:rPr>
        <w:t>4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cytotoxic T lymphocyte antigen-4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CTLA-4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>）（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如伊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匹木单抗）的抗体。虽然消化道肿瘤不是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首批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获批的瘤种，但近</w:t>
      </w:r>
      <w:r>
        <w:rPr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开始在消化道肿瘤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中崭露头角。</w:t>
      </w:r>
    </w:p>
    <w:p>
      <w:pPr>
        <w:pStyle w:val="BodyText"/>
        <w:ind w:left="94" w:firstLine="423"/>
        <w:spacing w:before="11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在食管癌中，基于全球多中心、Ⅲ期临床研究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KEYNOTE-181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的结果，帕博利珠单抗率先在我国获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批用于表达</w:t>
      </w:r>
      <w:r>
        <w:rPr>
          <w:sz w:val="21"/>
          <w:szCs w:val="21"/>
          <w:color w:val="231F20"/>
          <w:spacing w:val="-3"/>
        </w:rPr>
        <w:t>PD-L1[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联合阳性评分（</w:t>
      </w:r>
      <w:r>
        <w:rPr>
          <w:sz w:val="21"/>
          <w:szCs w:val="21"/>
          <w:color w:val="231F20"/>
          <w:spacing w:val="-3"/>
        </w:rPr>
        <w:t>combined positive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4"/>
        </w:rPr>
        <w:t>score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CPS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7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4"/>
        </w:rPr>
        <w:t>10]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的、既往一线全身治疗失败的、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局部晚期或转移性食管鳞状细胞癌（</w:t>
      </w:r>
      <w:r>
        <w:rPr>
          <w:sz w:val="21"/>
          <w:szCs w:val="21"/>
          <w:color w:val="231F20"/>
        </w:rPr>
        <w:t>esophageal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14"/>
        </w:rPr>
        <w:t>squamous cell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-14"/>
        </w:rPr>
        <w:t>carcinoma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，</w:t>
      </w:r>
      <w:r>
        <w:rPr>
          <w:sz w:val="21"/>
          <w:szCs w:val="21"/>
          <w:color w:val="231F20"/>
          <w:spacing w:val="-15"/>
        </w:rPr>
        <w:t>ESCC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）的治疗</w:t>
      </w:r>
      <w:r>
        <w:rPr>
          <w:sz w:val="12"/>
          <w:szCs w:val="12"/>
          <w:color w:val="231F20"/>
          <w:spacing w:val="-5"/>
          <w:position w:val="9"/>
        </w:rPr>
        <w:t>[2]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。另外</w:t>
      </w:r>
      <w:r>
        <w:rPr>
          <w:sz w:val="21"/>
          <w:szCs w:val="21"/>
          <w:color w:val="231F20"/>
          <w:spacing w:val="-1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项Ⅲ期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研究</w:t>
      </w:r>
      <w:r>
        <w:rPr>
          <w:sz w:val="21"/>
          <w:szCs w:val="21"/>
          <w:color w:val="231F20"/>
          <w:spacing w:val="-9"/>
        </w:rPr>
        <w:t>ESCORT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、</w:t>
      </w:r>
      <w:r>
        <w:rPr>
          <w:sz w:val="21"/>
          <w:szCs w:val="21"/>
          <w:color w:val="231F20"/>
          <w:spacing w:val="-9"/>
        </w:rPr>
        <w:t>ATTRACTION-3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以及</w:t>
      </w:r>
      <w:r>
        <w:rPr>
          <w:sz w:val="21"/>
          <w:szCs w:val="21"/>
          <w:color w:val="231F20"/>
          <w:spacing w:val="-9"/>
        </w:rPr>
        <w:t>RATIONALE 3</w:t>
      </w:r>
      <w:r>
        <w:rPr>
          <w:sz w:val="21"/>
          <w:szCs w:val="21"/>
          <w:color w:val="231F20"/>
          <w:spacing w:val="-10"/>
        </w:rPr>
        <w:t>02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也分别证实了卡瑞利珠单抗、纳武利尤单抗、替雷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利珠单抗单药在二线治疗</w:t>
      </w:r>
      <w:r>
        <w:rPr>
          <w:sz w:val="21"/>
          <w:szCs w:val="21"/>
          <w:color w:val="231F20"/>
        </w:rPr>
        <w:t>ESCC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中的价值</w:t>
      </w:r>
      <w:r>
        <w:rPr>
          <w:sz w:val="12"/>
          <w:szCs w:val="12"/>
          <w:color w:val="231F20"/>
          <w:spacing w:val="1"/>
          <w:position w:val="9"/>
        </w:rPr>
        <w:t>[3-5]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  <w:spacing w:val="1"/>
        </w:rPr>
        <w:t>2020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年欧洲肿瘤内科学会（</w:t>
      </w:r>
      <w:r>
        <w:rPr>
          <w:sz w:val="21"/>
          <w:szCs w:val="21"/>
          <w:color w:val="231F20"/>
        </w:rPr>
        <w:t>European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</w:rPr>
        <w:t>Society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</w:rPr>
        <w:t>of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Medical  </w:t>
      </w:r>
      <w:r>
        <w:rPr>
          <w:sz w:val="21"/>
          <w:szCs w:val="21"/>
          <w:color w:val="231F20"/>
          <w:spacing w:val="-3"/>
        </w:rPr>
        <w:t>Oncology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ESMO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）年会报道的</w:t>
      </w:r>
      <w:r>
        <w:rPr>
          <w:sz w:val="21"/>
          <w:szCs w:val="21"/>
          <w:color w:val="231F20"/>
          <w:spacing w:val="-3"/>
        </w:rPr>
        <w:t>KEYNOTE-590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研究</w:t>
      </w:r>
    </w:p>
    <w:p>
      <w:pPr>
        <w:spacing w:line="306" w:lineRule="auto"/>
        <w:sectPr>
          <w:type w:val="continuous"/>
          <w:pgSz w:w="11906" w:h="16158"/>
          <w:pgMar w:top="400" w:right="1004" w:bottom="0" w:left="407" w:header="0" w:footer="0" w:gutter="0"/>
          <w:cols w:equalWidth="0" w:num="2">
            <w:col w:w="5609" w:space="100"/>
            <w:col w:w="47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092"/>
        <w:spacing w:before="59" w:line="198" w:lineRule="auto"/>
        <w:rPr/>
      </w:pPr>
      <w:r>
        <w:rPr>
          <w:rFonts w:ascii="SimSun" w:hAnsi="SimSun" w:eastAsia="SimSun" w:cs="SimSun"/>
          <w:color w:val="231F20"/>
          <w:spacing w:val="-2"/>
        </w:rPr>
        <w:t>通信作者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：刘天舒  </w:t>
      </w:r>
      <w:r>
        <w:rPr>
          <w:color w:val="231F20"/>
          <w:spacing w:val="-2"/>
        </w:rPr>
        <w:t>E-mail </w:t>
      </w:r>
      <w:r>
        <w:rPr>
          <w:rFonts w:ascii="SimSun" w:hAnsi="SimSun" w:eastAsia="SimSun" w:cs="SimSun"/>
          <w:color w:val="231F20"/>
          <w:spacing w:val="-2"/>
        </w:rPr>
        <w:t>：</w:t>
      </w:r>
      <w:r>
        <w:rPr>
          <w:color w:val="231F20"/>
          <w:spacing w:val="-2"/>
        </w:rPr>
        <w:t>liu.tianshu@zs-hospital.sh.cn </w:t>
      </w:r>
      <w:r>
        <w:rPr>
          <w:rFonts w:ascii="SimSun" w:hAnsi="SimSun" w:eastAsia="SimSun" w:cs="SimSun"/>
          <w:color w:val="231F20"/>
          <w:spacing w:val="-2"/>
        </w:rPr>
        <w:t>；</w:t>
      </w:r>
      <w:r>
        <w:rPr>
          <w:rFonts w:ascii="SimSun" w:hAnsi="SimSun" w:eastAsia="SimSun" w:cs="SimSun"/>
          <w:color w:val="231F20"/>
          <w:spacing w:val="-3"/>
        </w:rPr>
        <w:t>沈琳  </w:t>
      </w:r>
      <w:r>
        <w:rPr>
          <w:color w:val="231F20"/>
          <w:spacing w:val="-3"/>
        </w:rPr>
        <w:t>E-mail </w:t>
      </w:r>
      <w:r>
        <w:rPr>
          <w:rFonts w:ascii="SimSun" w:hAnsi="SimSun" w:eastAsia="SimSun" w:cs="SimSun"/>
          <w:color w:val="231F20"/>
          <w:spacing w:val="-3"/>
        </w:rPr>
        <w:t>：</w:t>
      </w:r>
      <w:r>
        <w:rPr>
          <w:color w:val="231F20"/>
          <w:spacing w:val="-3"/>
        </w:rPr>
        <w:t>linshenpku@163.com</w:t>
      </w:r>
    </w:p>
    <w:p>
      <w:pPr>
        <w:spacing w:line="198" w:lineRule="auto"/>
        <w:sectPr>
          <w:type w:val="continuous"/>
          <w:pgSz w:w="11906" w:h="16158"/>
          <w:pgMar w:top="400" w:right="1004" w:bottom="0" w:left="407" w:header="0" w:footer="0" w:gutter="0"/>
          <w:cols w:equalWidth="0" w:num="1">
            <w:col w:w="10494" w:space="0"/>
          </w:cols>
        </w:sectPr>
        <w:rPr/>
      </w:pPr>
    </w:p>
    <w:p>
      <w:pPr>
        <w:spacing w:before="140"/>
        <w:rPr/>
      </w:pPr>
      <w:r/>
    </w:p>
    <w:p>
      <w:pPr>
        <w:sectPr>
          <w:headerReference w:type="default" r:id="rId18"/>
          <w:pgSz w:w="11906" w:h="16158"/>
          <w:pgMar w:top="400" w:right="1058" w:bottom="0" w:left="407" w:header="0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680"/>
        <w:spacing w:before="63" w:line="1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2"/>
        </w:rPr>
        <w:t>肿瘤综合治疗电子杂志 </w:t>
      </w:r>
      <w:r>
        <w:rPr>
          <w:sz w:val="20"/>
          <w:szCs w:val="20"/>
          <w:b/>
          <w:bCs/>
          <w:u w:val="single" w:color="auto"/>
          <w:color w:val="231F20"/>
          <w:spacing w:val="2"/>
        </w:rPr>
        <w:t>2023</w:t>
      </w:r>
      <w:r>
        <w:rPr>
          <w:sz w:val="20"/>
          <w:szCs w:val="20"/>
          <w:b/>
          <w:bCs/>
          <w:u w:val="single" w:color="auto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2"/>
        </w:rPr>
        <w:t>年第 </w:t>
      </w:r>
      <w:r>
        <w:rPr>
          <w:sz w:val="20"/>
          <w:szCs w:val="20"/>
          <w:b/>
          <w:bCs/>
          <w:u w:val="single" w:color="auto"/>
          <w:color w:val="231F20"/>
          <w:spacing w:val="2"/>
        </w:rPr>
        <w:t>9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2"/>
        </w:rPr>
        <w:t>卷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1"/>
        </w:rPr>
        <w:t>第 </w:t>
      </w:r>
      <w:r>
        <w:rPr>
          <w:sz w:val="20"/>
          <w:szCs w:val="20"/>
          <w:b/>
          <w:bCs/>
          <w:u w:val="single" w:color="auto"/>
          <w:color w:val="231F20"/>
          <w:spacing w:val="1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u w:val="single" w:color="auto"/>
          <w:color w:val="231F20"/>
          <w:spacing w:val="1"/>
        </w:rPr>
        <w:t>期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77" w:right="284" w:firstLine="5"/>
        <w:spacing w:before="6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结果显示，帕博利珠单抗联合化疗较单纯化疗一线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用于晚期食管癌可显著改善患者生存获益</w:t>
      </w:r>
      <w:r>
        <w:rPr>
          <w:sz w:val="12"/>
          <w:szCs w:val="12"/>
          <w:color w:val="231F20"/>
          <w:spacing w:val="2"/>
          <w:position w:val="9"/>
        </w:rPr>
        <w:t>[6]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。帕博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利珠单抗成为第一个在我国获批上市用于一线治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疗食管癌的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。随后</w:t>
      </w:r>
      <w:r>
        <w:rPr>
          <w:sz w:val="21"/>
          <w:szCs w:val="21"/>
          <w:color w:val="231F20"/>
        </w:rPr>
        <w:t>JUPITER</w:t>
      </w:r>
      <w:r>
        <w:rPr>
          <w:sz w:val="21"/>
          <w:szCs w:val="21"/>
          <w:color w:val="231F20"/>
          <w:spacing w:val="8"/>
        </w:rPr>
        <w:t>-06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sz w:val="21"/>
          <w:szCs w:val="21"/>
          <w:color w:val="231F20"/>
        </w:rPr>
        <w:t>ORIENT</w:t>
      </w:r>
      <w:r>
        <w:rPr>
          <w:sz w:val="21"/>
          <w:szCs w:val="21"/>
          <w:color w:val="231F20"/>
          <w:spacing w:val="8"/>
        </w:rPr>
        <w:t>-15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1"/>
        </w:rPr>
        <w:t>-648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、</w:t>
      </w:r>
      <w:r>
        <w:rPr>
          <w:sz w:val="21"/>
          <w:szCs w:val="21"/>
          <w:color w:val="231F20"/>
        </w:rPr>
        <w:t>ESCORT</w:t>
      </w:r>
      <w:r>
        <w:rPr>
          <w:sz w:val="21"/>
          <w:szCs w:val="21"/>
          <w:color w:val="231F20"/>
          <w:spacing w:val="1"/>
        </w:rPr>
        <w:t>-1</w:t>
      </w:r>
      <w:r>
        <w:rPr>
          <w:sz w:val="21"/>
          <w:szCs w:val="21"/>
          <w:color w:val="231F20"/>
        </w:rPr>
        <w:t>st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研究结果也再次证明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了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抑制剂联合标准化疗一线治疗晚期食管癌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可以带来额外生存获益</w:t>
      </w:r>
      <w:r>
        <w:rPr>
          <w:sz w:val="12"/>
          <w:szCs w:val="12"/>
          <w:color w:val="231F20"/>
          <w:spacing w:val="-1"/>
          <w:position w:val="8"/>
        </w:rPr>
        <w:t>[7-10]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578" w:right="284" w:firstLine="524"/>
        <w:spacing w:before="1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另外，在胃癌中，</w:t>
      </w:r>
      <w:r>
        <w:rPr>
          <w:sz w:val="21"/>
          <w:szCs w:val="21"/>
          <w:color w:val="231F20"/>
          <w:spacing w:val="-9"/>
        </w:rPr>
        <w:t>CheckMate-649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研究结果显示，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纳武利尤单抗联合化疗较单纯化疗一线用于人表皮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生长因子受体</w:t>
      </w:r>
      <w:r>
        <w:rPr>
          <w:sz w:val="21"/>
          <w:szCs w:val="21"/>
          <w:color w:val="231F20"/>
        </w:rPr>
        <w:t>2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human epidermal growth factor rece-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</w:rPr>
        <w:t>ptor</w:t>
      </w:r>
      <w:r>
        <w:rPr>
          <w:sz w:val="21"/>
          <w:szCs w:val="21"/>
          <w:color w:val="231F20"/>
          <w:spacing w:val="10"/>
        </w:rPr>
        <w:t>-2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10"/>
        </w:rPr>
        <w:t>-2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）阴性晚期胃或胃食管交界处癌可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显著改善患者生存获益</w:t>
      </w:r>
      <w:r>
        <w:rPr>
          <w:sz w:val="12"/>
          <w:szCs w:val="12"/>
          <w:color w:val="231F20"/>
          <w:spacing w:val="4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。免疫治疗联合化疗在一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线治疗中国晚期胃癌患者中的价值于</w:t>
      </w:r>
      <w:r>
        <w:rPr>
          <w:sz w:val="21"/>
          <w:szCs w:val="21"/>
          <w:color w:val="231F20"/>
        </w:rPr>
        <w:t>ORIENT</w:t>
      </w:r>
      <w:r>
        <w:rPr>
          <w:sz w:val="21"/>
          <w:szCs w:val="21"/>
          <w:color w:val="231F20"/>
          <w:spacing w:val="8"/>
        </w:rPr>
        <w:t>-16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2"/>
        </w:rPr>
        <w:t>-859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sz w:val="21"/>
          <w:szCs w:val="21"/>
          <w:color w:val="231F20"/>
        </w:rPr>
        <w:t>RATIONALE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2"/>
        </w:rPr>
        <w:t>305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研究中也得到证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实</w:t>
      </w:r>
      <w:r>
        <w:rPr>
          <w:sz w:val="12"/>
          <w:szCs w:val="12"/>
          <w:color w:val="231F20"/>
          <w:spacing w:val="8"/>
          <w:position w:val="9"/>
        </w:rPr>
        <w:t>[12-14]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8"/>
        </w:rPr>
        <w:t>-062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研究发现帕博利珠单抗单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药一线治疗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5"/>
        </w:rPr>
        <w:t>-2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阴性、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5"/>
        </w:rPr>
        <w:t>-L1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CPS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的胃癌患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者的疗效不劣于标准化疗</w:t>
      </w:r>
      <w:r>
        <w:rPr>
          <w:sz w:val="12"/>
          <w:szCs w:val="12"/>
          <w:color w:val="231F20"/>
          <w:spacing w:val="7"/>
          <w:position w:val="9"/>
        </w:rPr>
        <w:t>[15]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7"/>
        </w:rPr>
        <w:t>-811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研究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结果则显示，帕博利珠单抗联合曲妥珠单抗及化疗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较曲妥珠单抗联合化疗一线用于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6"/>
        </w:rPr>
        <w:t>-2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阳性晚期胃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或胃食管交界处癌也可显著提高患者客观缓解率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objective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response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3"/>
        </w:rPr>
        <w:t>rate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ORR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w w:val="9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被美国食品药品监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督管理局（</w:t>
      </w:r>
      <w:r>
        <w:rPr>
          <w:sz w:val="21"/>
          <w:szCs w:val="21"/>
          <w:color w:val="231F20"/>
        </w:rPr>
        <w:t>Food and Drug Ad</w:t>
      </w:r>
      <w:r>
        <w:rPr>
          <w:sz w:val="21"/>
          <w:szCs w:val="21"/>
          <w:color w:val="231F20"/>
          <w:spacing w:val="-1"/>
        </w:rPr>
        <w:t>ministration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FDA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批用于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6"/>
        </w:rPr>
        <w:t>-2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阳性晚期胃或胃食管交界处癌的一线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</w:t>
      </w:r>
      <w:r>
        <w:rPr>
          <w:sz w:val="12"/>
          <w:szCs w:val="12"/>
          <w:color w:val="231F20"/>
          <w:spacing w:val="4"/>
          <w:position w:val="9"/>
        </w:rPr>
        <w:t>[16]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。另外，基于</w:t>
      </w:r>
      <w:r>
        <w:rPr>
          <w:sz w:val="21"/>
          <w:szCs w:val="21"/>
          <w:color w:val="231F20"/>
        </w:rPr>
        <w:t>ATTRACTION</w:t>
      </w:r>
      <w:r>
        <w:rPr>
          <w:sz w:val="21"/>
          <w:szCs w:val="21"/>
          <w:color w:val="231F20"/>
          <w:spacing w:val="4"/>
        </w:rPr>
        <w:t>-2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研究的结果，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纳武利尤单抗也已获批用于治疗既往接受过</w:t>
      </w:r>
      <w:r>
        <w:rPr>
          <w:sz w:val="21"/>
          <w:szCs w:val="21"/>
          <w:color w:val="231F20"/>
          <w:spacing w:val="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种或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种以上全身性治疗方案的晚期或复发性胃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或胃食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管交界处腺癌</w:t>
      </w:r>
      <w:r>
        <w:rPr>
          <w:sz w:val="12"/>
          <w:szCs w:val="12"/>
          <w:color w:val="231F20"/>
          <w:spacing w:val="8"/>
          <w:position w:val="8"/>
        </w:rPr>
        <w:t>[17]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。</w:t>
      </w:r>
    </w:p>
    <w:p>
      <w:pPr>
        <w:pStyle w:val="BodyText"/>
        <w:ind w:left="677" w:right="358" w:firstLine="420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在肠癌中，</w:t>
      </w:r>
      <w:r>
        <w:rPr>
          <w:sz w:val="21"/>
          <w:szCs w:val="21"/>
          <w:color w:val="231F20"/>
        </w:rPr>
        <w:t>KEYNOTE-164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</w:rPr>
        <w:t>CheckM</w:t>
      </w:r>
      <w:r>
        <w:rPr>
          <w:sz w:val="21"/>
          <w:szCs w:val="21"/>
          <w:color w:val="231F20"/>
          <w:spacing w:val="-1"/>
        </w:rPr>
        <w:t>ate-142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究证明了帕博利珠单抗、纳武利尤单抗单药或纳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武利尤单抗联合伊匹木单抗在晚期微卫星高度不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稳定（</w:t>
      </w:r>
      <w:r>
        <w:rPr>
          <w:sz w:val="21"/>
          <w:szCs w:val="21"/>
          <w:color w:val="231F20"/>
        </w:rPr>
        <w:t>microsatellite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sz w:val="21"/>
          <w:szCs w:val="21"/>
          <w:color w:val="231F20"/>
        </w:rPr>
        <w:t>instability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high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sz w:val="21"/>
          <w:szCs w:val="21"/>
          <w:color w:val="231F20"/>
        </w:rPr>
        <w:t>MSI</w:t>
      </w:r>
      <w:r>
        <w:rPr>
          <w:sz w:val="21"/>
          <w:szCs w:val="21"/>
          <w:color w:val="231F20"/>
          <w:spacing w:val="1"/>
        </w:rPr>
        <w:t>-H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）结直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肠癌后线治疗中出色的疗效</w:t>
      </w:r>
      <w:r>
        <w:rPr>
          <w:sz w:val="12"/>
          <w:szCs w:val="12"/>
          <w:color w:val="231F20"/>
          <w:spacing w:val="4"/>
          <w:position w:val="9"/>
        </w:rPr>
        <w:t>[18-19]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4"/>
        </w:rPr>
        <w:t>-177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研究结果显示，帕博利珠单抗单药一线用于</w:t>
      </w:r>
      <w:r>
        <w:rPr>
          <w:sz w:val="21"/>
          <w:szCs w:val="21"/>
          <w:color w:val="231F20"/>
        </w:rPr>
        <w:t>MSI</w:t>
      </w:r>
      <w:r>
        <w:rPr>
          <w:sz w:val="21"/>
          <w:szCs w:val="21"/>
          <w:color w:val="231F20"/>
          <w:spacing w:val="1"/>
        </w:rPr>
        <w:t>-H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晚期结直肠癌患者的无进展生存（</w:t>
      </w:r>
      <w:r>
        <w:rPr>
          <w:sz w:val="21"/>
          <w:szCs w:val="21"/>
          <w:color w:val="231F20"/>
        </w:rPr>
        <w:t>progression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free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</w:rPr>
        <w:t>survival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</w:rPr>
        <w:t>）时间显著优于标准化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疗方案</w:t>
      </w:r>
      <w:r>
        <w:rPr>
          <w:sz w:val="12"/>
          <w:szCs w:val="12"/>
          <w:color w:val="231F20"/>
          <w:spacing w:val="-1"/>
          <w:position w:val="9"/>
        </w:rPr>
        <w:t>[20]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国已批准帕博利珠单抗用于</w:t>
      </w:r>
      <w:r>
        <w:rPr>
          <w:sz w:val="21"/>
          <w:szCs w:val="21"/>
          <w:color w:val="231F20"/>
        </w:rPr>
        <w:t>MSI</w:t>
      </w:r>
      <w:r>
        <w:rPr>
          <w:sz w:val="21"/>
          <w:szCs w:val="21"/>
          <w:color w:val="231F20"/>
          <w:spacing w:val="9"/>
        </w:rPr>
        <w:t>-</w:t>
      </w:r>
      <w:r>
        <w:rPr>
          <w:sz w:val="21"/>
          <w:szCs w:val="21"/>
          <w:color w:val="231F20"/>
        </w:rPr>
        <w:t>H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i/>
          <w:iCs/>
          <w:color w:val="231F20"/>
        </w:rPr>
        <w:t>RAS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</w:t>
      </w:r>
      <w:r>
        <w:rPr>
          <w:sz w:val="21"/>
          <w:szCs w:val="21"/>
          <w:i/>
          <w:iCs/>
          <w:color w:val="231F20"/>
        </w:rPr>
        <w:t>BRAF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生型晚期结直肠癌的一线治疗。</w:t>
      </w:r>
    </w:p>
    <w:p>
      <w:pPr>
        <w:ind w:left="678" w:right="357" w:firstLine="423"/>
        <w:spacing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未来随着免疫治疗在消化道肿瘤中的临床应用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愈发广泛，临床试验的开展越来越多，联合各种药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物，如抗血管生成药物也越来越多，由此引发的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71"/>
        <w:spacing w:before="62" w:line="203" w:lineRule="auto"/>
        <w:outlineLvl w:val="0"/>
        <w:rPr>
          <w:sz w:val="30"/>
          <w:szCs w:val="30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5"/>
        </w:rPr>
        <w:t>● 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</w:rPr>
        <w:t>中国循证指南共识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82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5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5"/>
        </w:rPr>
        <w:t xml:space="preserve">        </w:t>
      </w:r>
      <w:r>
        <w:rPr>
          <w:sz w:val="30"/>
          <w:szCs w:val="30"/>
          <w:color w:val="231F20"/>
        </w:rPr>
        <w:t>27</w:t>
      </w:r>
    </w:p>
    <w:p>
      <w:pPr>
        <w:pStyle w:val="BodyText"/>
        <w:ind w:right="16" w:firstLine="7"/>
        <w:spacing w:before="16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免疫相关不良事件（</w:t>
      </w:r>
      <w:r>
        <w:rPr>
          <w:sz w:val="21"/>
          <w:szCs w:val="21"/>
          <w:color w:val="231F20"/>
          <w:spacing w:val="-2"/>
        </w:rPr>
        <w:t>immune-related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adverse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2"/>
        </w:rPr>
        <w:t>events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）愈发引起关注，考虑到其独特的毒性特征，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临床医生应充分了解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的相关特点，并熟悉如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何诊断和管理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firstLine="19"/>
        <w:spacing w:before="11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1.2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消化道肿瘤</w:t>
      </w:r>
      <w:r>
        <w:rPr>
          <w:sz w:val="21"/>
          <w:szCs w:val="21"/>
          <w:color w:val="231F20"/>
          <w:spacing w:val="-2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的发生机制  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介导的</w:t>
      </w:r>
      <w:r>
        <w:rPr>
          <w:sz w:val="21"/>
          <w:szCs w:val="21"/>
          <w:color w:val="231F20"/>
          <w:spacing w:val="-3"/>
        </w:rPr>
        <w:t>irAEs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的确切病理生理机制目前尚不清楚。转化研究提供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了一些证据，认为</w:t>
      </w:r>
      <w:r>
        <w:rPr>
          <w:sz w:val="21"/>
          <w:szCs w:val="21"/>
          <w:color w:val="231F20"/>
          <w:spacing w:val="-5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可能是由自身免疫性</w:t>
      </w:r>
      <w:r>
        <w:rPr>
          <w:sz w:val="21"/>
          <w:szCs w:val="21"/>
          <w:color w:val="231F20"/>
          <w:spacing w:val="-5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细胞、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自身抗体和</w:t>
      </w:r>
      <w:r>
        <w:rPr>
          <w:sz w:val="21"/>
          <w:szCs w:val="21"/>
          <w:color w:val="231F20"/>
          <w:spacing w:val="-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或促炎细胞因子</w:t>
      </w:r>
      <w:r>
        <w:rPr>
          <w:sz w:val="21"/>
          <w:szCs w:val="21"/>
          <w:color w:val="231F20"/>
          <w:spacing w:val="-3"/>
        </w:rPr>
        <w:t>[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例如白介素</w:t>
      </w:r>
      <w:r>
        <w:rPr>
          <w:sz w:val="21"/>
          <w:szCs w:val="21"/>
          <w:color w:val="231F20"/>
          <w:spacing w:val="-3"/>
        </w:rPr>
        <w:t>-17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interl-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1"/>
        </w:rPr>
        <w:t>eukin-17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IL-17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sz w:val="21"/>
          <w:szCs w:val="21"/>
          <w:color w:val="231F20"/>
          <w:spacing w:val="-1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的某个组合引起的</w:t>
      </w:r>
      <w:r>
        <w:rPr>
          <w:sz w:val="12"/>
          <w:szCs w:val="12"/>
          <w:color w:val="231F20"/>
          <w:spacing w:val="-1"/>
          <w:position w:val="9"/>
        </w:rPr>
        <w:t>[21]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。其中一种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可能机制认为肿瘤细胞和健康组织中均存在相同的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特异性抗原，</w:t>
      </w:r>
      <w:r>
        <w:rPr>
          <w:sz w:val="21"/>
          <w:szCs w:val="21"/>
          <w:color w:val="231F20"/>
          <w:spacing w:val="6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细胞的活化可直接作用于靶器官。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此外，其他正常组织中的炎症也可能是</w:t>
      </w:r>
      <w:r>
        <w:rPr>
          <w:sz w:val="21"/>
          <w:szCs w:val="21"/>
          <w:color w:val="231F20"/>
          <w:spacing w:val="13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细胞活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化下游效应的炎性细胞因子水平升高所致。另外，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产生的抗体与正常组织中表达的靶点（例如垂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体中的</w:t>
      </w:r>
      <w:r>
        <w:rPr>
          <w:sz w:val="21"/>
          <w:szCs w:val="21"/>
          <w:color w:val="231F20"/>
        </w:rPr>
        <w:t>CTLA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表达）直接结合可能导致补体介导的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炎症。免疫治疗或许会增加已存在的自身反应性抗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体水平而导致一些相关不良事件。</w:t>
      </w:r>
    </w:p>
    <w:p>
      <w:pPr>
        <w:pStyle w:val="BodyText"/>
        <w:ind w:firstLine="423"/>
        <w:spacing w:before="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早发性与迟发性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可能是由截然不同的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机制引起的，尚待阐明。典型的早发性、普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通的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似乎涉及全身性上皮炎症，因此可见到皮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疹、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结肠炎和肺炎。这些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通常涉及到将中性粒细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胞募集到正常组织中。迟发性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一般不太常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见，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包括神经系统事件和垂体炎等，这些往往是更局限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的器官特异性反应</w:t>
      </w:r>
      <w:r>
        <w:rPr>
          <w:sz w:val="12"/>
          <w:szCs w:val="12"/>
          <w:color w:val="231F20"/>
          <w:spacing w:val="-1"/>
          <w:position w:val="8"/>
        </w:rPr>
        <w:t>[22]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2" w:right="16" w:firstLine="17"/>
        <w:spacing w:line="30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1.3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消化道肿瘤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的发生率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总体上，报道的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与单药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治疗相关的任何级别的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的发生率在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不同药物和试验之间变化很大（</w:t>
      </w:r>
      <w:r>
        <w:rPr>
          <w:sz w:val="21"/>
          <w:szCs w:val="21"/>
          <w:color w:val="231F20"/>
          <w:spacing w:val="-3"/>
        </w:rPr>
        <w:t>15%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3"/>
        </w:rPr>
        <w:t>90%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）。单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药治疗中需要暂停或停止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治疗的重度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发生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率为</w:t>
      </w:r>
      <w:r>
        <w:rPr>
          <w:sz w:val="21"/>
          <w:szCs w:val="21"/>
          <w:color w:val="231F20"/>
          <w:spacing w:val="2"/>
        </w:rPr>
        <w:t>0.5%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2"/>
        </w:rPr>
        <w:t>13.0%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。在纳武利尤单抗</w:t>
      </w:r>
      <w:r>
        <w:rPr>
          <w:sz w:val="21"/>
          <w:szCs w:val="21"/>
          <w:color w:val="231F20"/>
          <w:spacing w:val="2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伊匹木单抗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联合治疗汇总试验数据的分析中发现，</w:t>
      </w:r>
      <w:r>
        <w:rPr>
          <w:sz w:val="21"/>
          <w:szCs w:val="21"/>
          <w:color w:val="231F20"/>
          <w:spacing w:val="1"/>
        </w:rPr>
        <w:t>43%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由于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而停止联合治疗，其中胃肠道事件是最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常报道的停药原因。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一般具有多样性、滞后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性和不可预测性。多样性即大多的人体器官均可能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被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影响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；滞后性是指大多数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不会立即发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生，而是发生在治疗的几周或十几周之后，其发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生时间与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类型和免疫治疗类型相关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；不可预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测性是指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可能发生在整个治疗期的任何时间，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因此尽早诊断并进行治疗非常重要。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的类型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似乎并不特异于肿瘤类型，但目前比较的结果有待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谨慎解释，仍有一些数据提示在接受相同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</w:t>
      </w:r>
    </w:p>
    <w:p>
      <w:pPr>
        <w:spacing w:line="300" w:lineRule="auto"/>
        <w:sectPr>
          <w:type w:val="continuous"/>
          <w:pgSz w:w="11906" w:h="16158"/>
          <w:pgMar w:top="400" w:right="1058" w:bottom="0" w:left="407" w:header="0" w:footer="0" w:gutter="0"/>
          <w:cols w:equalWidth="0" w:num="2">
            <w:col w:w="5649" w:space="100"/>
            <w:col w:w="469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19"/>
          <w:pgSz w:w="11906" w:h="16158"/>
          <w:pgMar w:top="1233" w:right="1002" w:bottom="0" w:left="407" w:header="772" w:footer="0" w:gutter="0"/>
          <w:cols w:equalWidth="0" w:num="1">
            <w:col w:w="10496" w:space="0"/>
          </w:cols>
        </w:sectPr>
        <w:rPr/>
      </w:pPr>
    </w:p>
    <w:p>
      <w:pPr>
        <w:pStyle w:val="BodyText"/>
        <w:ind w:left="734" w:right="296" w:firstLine="16"/>
        <w:spacing w:before="4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的不同肿瘤的不同个体间特定的</w:t>
      </w:r>
      <w:r>
        <w:rPr>
          <w:sz w:val="21"/>
          <w:szCs w:val="21"/>
          <w:color w:val="231F20"/>
          <w:spacing w:val="-2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仍存在差异，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这提示在一些肿瘤中，不同器官的免疫微环境可驱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动特异性</w:t>
      </w:r>
      <w:r>
        <w:rPr>
          <w:sz w:val="21"/>
          <w:szCs w:val="21"/>
          <w:color w:val="231F20"/>
          <w:spacing w:val="-1"/>
          <w:position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模式</w:t>
      </w:r>
      <w:r>
        <w:rPr>
          <w:sz w:val="12"/>
          <w:szCs w:val="12"/>
          <w:color w:val="231F20"/>
          <w:spacing w:val="-1"/>
          <w:position w:val="9"/>
        </w:rPr>
        <w:t>[23]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20" w:right="279" w:firstLine="29"/>
        <w:spacing w:before="9" w:line="29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2"/>
        </w:rPr>
        <w:t>1.4  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消化道肿瘤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作为治疗应答的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生物标志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物  尽管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发生的确切病理生理机制仍不清楚，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但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在某种程度上可能意味着免疫系统的激活。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能否预测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的抗肿瘤应答目前仍存争议，值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得进一步研究。一项回顾性队列分析考察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对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消化道肿瘤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治疗应答的影响，结果显示，发生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的患者较未发生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的患者的中位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时间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和总生存（</w:t>
      </w:r>
      <w:r>
        <w:rPr>
          <w:sz w:val="21"/>
          <w:szCs w:val="21"/>
          <w:color w:val="231F20"/>
        </w:rPr>
        <w:t>overall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sz w:val="21"/>
          <w:szCs w:val="21"/>
          <w:color w:val="231F20"/>
        </w:rPr>
        <w:t>survival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）时间均显著延长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6"/>
        </w:rPr>
        <w:t>[PFS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时间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：未达到（</w:t>
      </w:r>
      <w:r>
        <w:rPr>
          <w:sz w:val="21"/>
          <w:szCs w:val="21"/>
          <w:color w:val="231F20"/>
          <w:spacing w:val="-6"/>
        </w:rPr>
        <w:t>not reached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NR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∶</w:t>
      </w:r>
      <w:r>
        <w:rPr>
          <w:rFonts w:ascii="SimSun" w:hAnsi="SimSun" w:eastAsia="SimSun" w:cs="SimSun"/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  <w:spacing w:val="-7"/>
        </w:rPr>
        <w:t>3.9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个月，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i/>
          <w:iCs/>
          <w:color w:val="231F20"/>
          <w:spacing w:val="-7"/>
        </w:rPr>
        <w:t>HR</w:t>
      </w:r>
      <w:r>
        <w:rPr>
          <w:sz w:val="21"/>
          <w:szCs w:val="21"/>
          <w:i/>
          <w:iCs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7"/>
        </w:rPr>
        <w:t>0.13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95%</w:t>
      </w:r>
      <w:r>
        <w:rPr>
          <w:sz w:val="21"/>
          <w:szCs w:val="21"/>
          <w:i/>
          <w:iCs/>
          <w:color w:val="231F20"/>
          <w:spacing w:val="-7"/>
        </w:rPr>
        <w:t>CI</w:t>
      </w:r>
      <w:r>
        <w:rPr>
          <w:sz w:val="21"/>
          <w:szCs w:val="21"/>
          <w:i/>
          <w:iCs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：</w:t>
      </w:r>
      <w:r>
        <w:rPr>
          <w:sz w:val="21"/>
          <w:szCs w:val="21"/>
          <w:color w:val="231F20"/>
          <w:spacing w:val="-7"/>
        </w:rPr>
        <w:t>0.05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7"/>
        </w:rPr>
        <w:t>0.30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i/>
          <w:iCs/>
          <w:color w:val="231F20"/>
          <w:spacing w:val="-7"/>
        </w:rPr>
        <w:t>P</w:t>
      </w:r>
      <w:r>
        <w:rPr>
          <w:sz w:val="21"/>
          <w:szCs w:val="21"/>
          <w:i/>
          <w:iCs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7"/>
        </w:rPr>
        <w:t>0.001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；</w:t>
      </w:r>
      <w:r>
        <w:rPr>
          <w:sz w:val="21"/>
          <w:szCs w:val="21"/>
          <w:color w:val="231F20"/>
          <w:spacing w:val="-7"/>
        </w:rPr>
        <w:t>OS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时间：</w:t>
      </w:r>
      <w:r>
        <w:rPr>
          <w:sz w:val="21"/>
          <w:szCs w:val="21"/>
          <w:color w:val="231F20"/>
          <w:spacing w:val="-6"/>
        </w:rPr>
        <w:t>NR</w:t>
      </w:r>
      <w:r>
        <w:rPr>
          <w:sz w:val="21"/>
          <w:szCs w:val="21"/>
          <w:color w:val="231F20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∶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6"/>
        </w:rPr>
        <w:t>7.4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个月，</w:t>
      </w:r>
      <w:r>
        <w:rPr>
          <w:sz w:val="21"/>
          <w:szCs w:val="21"/>
          <w:i/>
          <w:iCs/>
          <w:color w:val="231F20"/>
          <w:spacing w:val="-6"/>
        </w:rPr>
        <w:t>HR</w:t>
      </w:r>
      <w:r>
        <w:rPr>
          <w:sz w:val="21"/>
          <w:szCs w:val="21"/>
          <w:i/>
          <w:iCs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6"/>
        </w:rPr>
        <w:t>0.11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9</w:t>
      </w:r>
      <w:r>
        <w:rPr>
          <w:sz w:val="21"/>
          <w:szCs w:val="21"/>
          <w:color w:val="231F20"/>
          <w:spacing w:val="-7"/>
        </w:rPr>
        <w:t>5%</w:t>
      </w:r>
      <w:r>
        <w:rPr>
          <w:sz w:val="21"/>
          <w:szCs w:val="21"/>
          <w:i/>
          <w:iCs/>
          <w:color w:val="231F20"/>
          <w:spacing w:val="-7"/>
        </w:rPr>
        <w:t>CI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：</w:t>
      </w:r>
      <w:r>
        <w:rPr>
          <w:sz w:val="21"/>
          <w:szCs w:val="21"/>
          <w:color w:val="231F20"/>
          <w:spacing w:val="-7"/>
        </w:rPr>
        <w:t>0.03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~</w:t>
      </w:r>
    </w:p>
    <w:p>
      <w:pPr>
        <w:pStyle w:val="BodyText"/>
        <w:ind w:left="731" w:right="354" w:firstLine="1"/>
        <w:spacing w:before="97" w:line="29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0.36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sz w:val="21"/>
          <w:szCs w:val="21"/>
          <w:i/>
          <w:iCs/>
          <w:color w:val="231F20"/>
          <w:spacing w:val="6"/>
        </w:rPr>
        <w:t>P</w:t>
      </w:r>
      <w:r>
        <w:rPr>
          <w:sz w:val="21"/>
          <w:szCs w:val="21"/>
          <w:i/>
          <w:iCs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6"/>
        </w:rPr>
        <w:t>0.001]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。在发生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的患者中，不同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程度、管理和开始时间对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</w:t>
      </w:r>
      <w:r>
        <w:rPr>
          <w:sz w:val="21"/>
          <w:szCs w:val="21"/>
          <w:color w:val="231F20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结果的影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响差异均无统计学意义</w:t>
      </w:r>
      <w:r>
        <w:rPr>
          <w:sz w:val="12"/>
          <w:szCs w:val="12"/>
          <w:color w:val="231F20"/>
          <w:position w:val="9"/>
        </w:rPr>
        <w:t>[24]</w:t>
      </w:r>
      <w:r>
        <w:rPr>
          <w:rFonts w:ascii="SimSun" w:hAnsi="SimSun" w:eastAsia="SimSun" w:cs="SimSun"/>
          <w:sz w:val="21"/>
          <w:szCs w:val="21"/>
          <w:color w:val="231F20"/>
        </w:rPr>
        <w:t>。另外一项回顾性研究观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察了纳武利尤单抗治疗晚期胃癌患者中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生与疗效的关系，相似的，结果显示发生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患者较未发生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的患者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</w:t>
      </w:r>
      <w:r>
        <w:rPr>
          <w:sz w:val="21"/>
          <w:szCs w:val="21"/>
          <w:color w:val="231F20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均更优</w:t>
      </w:r>
      <w:r>
        <w:rPr>
          <w:sz w:val="12"/>
          <w:szCs w:val="12"/>
          <w:color w:val="231F20"/>
          <w:spacing w:val="5"/>
          <w:position w:val="9"/>
        </w:rPr>
        <w:t>[25]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。值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得注意的是，以上均为回顾性研究，结果有待进一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步证实。</w:t>
      </w:r>
    </w:p>
    <w:p>
      <w:pPr>
        <w:pStyle w:val="BodyText"/>
        <w:ind w:left="731" w:right="280" w:firstLine="18"/>
        <w:spacing w:before="97" w:line="30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1.5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消化道肿瘤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的多学科管理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疫治疗是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把“双刃剑”，在兼顾疗效的同时，</w:t>
      </w:r>
      <w:r>
        <w:rPr>
          <w:sz w:val="21"/>
          <w:szCs w:val="21"/>
          <w:color w:val="231F20"/>
          <w:spacing w:val="-3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管理也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非常关键。临床医生在临床实践中面对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要注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意</w:t>
      </w:r>
      <w:r>
        <w:rPr>
          <w:sz w:val="21"/>
          <w:szCs w:val="21"/>
          <w:color w:val="231F20"/>
          <w:spacing w:val="-4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个关键步骤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：预防、评估、检测、治疗和监测。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即临床医生提前预防，了解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的毒性谱、识别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免疫相关风险因素，在治疗前给予患者充分的检查，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并在治疗期间与停药后进行随访，做到动态监测、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及时发现。若患者发生了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，临床医生应正确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评估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的严重程度，根据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等级给予患者个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体化治疗，并动态监测患者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恢复情况以及能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否继续进行免疫治疗。即早期感知、早期监测、早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期干预。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涉及全身各个系统、多个器官，可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能不是一个孤立器官的不良反应，可能同时多个脏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器受累，也可能是先后不同脏器受累。虽然严重的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发生率低，但危害性很大，尤其一些少见的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心肌毒性、嗜血综合征等，任何一个专科都无法单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独解决，因此组建一支高水平的多学科团队是解决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的关键。多学科团队为患者提供独立的医疗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17" w:firstLine="6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意见和专业的医疗服务，遵循患者获益的原则，在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规范实践的同时共同合作研究，促进跨学科的互动，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建立有效的团队合作，旨在确保患者得到最佳的治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疗和支持。</w:t>
      </w:r>
    </w:p>
    <w:p>
      <w:pPr>
        <w:ind w:left="11" w:right="76" w:hanging="7"/>
        <w:spacing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3"/>
        </w:rPr>
        <w:t>2</w:t>
      </w:r>
      <w:r>
        <w:rPr>
          <w:rFonts w:ascii="Arial" w:hAnsi="Arial" w:eastAsia="Arial" w:cs="Arial"/>
          <w:sz w:val="21"/>
          <w:szCs w:val="21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消化道肿瘤不同联合治疗模式相关不良反应的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管理</w:t>
      </w:r>
    </w:p>
    <w:p>
      <w:pPr>
        <w:pStyle w:val="BodyText"/>
        <w:ind w:firstLine="3"/>
        <w:spacing w:before="67" w:line="30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2.1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免疫治疗联合免疫治疗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目前在消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化道肿瘤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中，基于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6"/>
        </w:rPr>
        <w:t>-142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研究，纳武利尤单抗联合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伊匹木单抗的双免疫联合治疗已获批的适应证为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经治的</w:t>
      </w:r>
      <w:r>
        <w:rPr>
          <w:sz w:val="21"/>
          <w:szCs w:val="21"/>
          <w:color w:val="231F20"/>
        </w:rPr>
        <w:t>MSI</w:t>
      </w:r>
      <w:r>
        <w:rPr>
          <w:sz w:val="21"/>
          <w:szCs w:val="21"/>
          <w:color w:val="231F20"/>
          <w:spacing w:val="7"/>
        </w:rPr>
        <w:t>-H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或错配修复缺陷（</w:t>
      </w:r>
      <w:r>
        <w:rPr>
          <w:sz w:val="21"/>
          <w:szCs w:val="21"/>
          <w:color w:val="231F20"/>
        </w:rPr>
        <w:t>de</w:t>
      </w:r>
      <w:r>
        <w:rPr>
          <w:sz w:val="21"/>
          <w:szCs w:val="21"/>
          <w:color w:val="231F20"/>
          <w:spacing w:val="7"/>
        </w:rPr>
        <w:t>ﬁ</w:t>
      </w:r>
      <w:r>
        <w:rPr>
          <w:sz w:val="21"/>
          <w:szCs w:val="21"/>
          <w:color w:val="231F20"/>
        </w:rPr>
        <w:t>cient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</w:rPr>
        <w:t>mismatch  </w:t>
      </w:r>
      <w:r>
        <w:rPr>
          <w:sz w:val="21"/>
          <w:szCs w:val="21"/>
          <w:color w:val="231F20"/>
        </w:rPr>
        <w:t>repair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sz w:val="21"/>
          <w:szCs w:val="21"/>
          <w:color w:val="231F20"/>
        </w:rPr>
        <w:t>dMMR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）的转移性结直肠癌</w:t>
      </w:r>
      <w:r>
        <w:rPr>
          <w:sz w:val="12"/>
          <w:szCs w:val="12"/>
          <w:color w:val="231F20"/>
          <w:spacing w:val="4"/>
          <w:position w:val="9"/>
        </w:rPr>
        <w:t>[19]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。此外，这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种组合方式在胃癌、食管癌中的一线治疗结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果也已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发表。基于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6"/>
        </w:rPr>
        <w:t>-648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研究，纳武利尤单抗联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合伊匹木单抗可用于</w:t>
      </w:r>
      <w:r>
        <w:rPr>
          <w:sz w:val="21"/>
          <w:szCs w:val="21"/>
          <w:color w:val="231F20"/>
        </w:rPr>
        <w:t>CPS</w:t>
      </w:r>
      <w:r>
        <w:rPr>
          <w:sz w:val="21"/>
          <w:szCs w:val="21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的晚期</w:t>
      </w:r>
      <w:r>
        <w:rPr>
          <w:sz w:val="21"/>
          <w:szCs w:val="21"/>
          <w:color w:val="231F20"/>
        </w:rPr>
        <w:t>ESCC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</w:t>
      </w:r>
      <w:r>
        <w:rPr>
          <w:sz w:val="12"/>
          <w:szCs w:val="12"/>
          <w:color w:val="231F20"/>
          <w:spacing w:val="1"/>
          <w:position w:val="9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而该双免疫联合治疗方案也同样获得</w:t>
      </w:r>
      <w:r>
        <w:rPr>
          <w:sz w:val="21"/>
          <w:szCs w:val="21"/>
          <w:color w:val="231F20"/>
        </w:rPr>
        <w:t>MSI</w:t>
      </w:r>
      <w:r>
        <w:rPr>
          <w:sz w:val="21"/>
          <w:szCs w:val="21"/>
          <w:color w:val="231F20"/>
          <w:spacing w:val="12"/>
        </w:rPr>
        <w:t>-H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晚期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胃癌人群的Ⅲ级推荐</w:t>
      </w:r>
      <w:r>
        <w:rPr>
          <w:sz w:val="12"/>
          <w:szCs w:val="12"/>
          <w:color w:val="231F20"/>
          <w:spacing w:val="7"/>
          <w:position w:val="9"/>
        </w:rPr>
        <w:t>[26]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。另有不同的组合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，例如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特瑞普利单抗联合瑞戈非尼或度伐利尤单抗联合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tremelimumab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在微卫星稳定（</w:t>
      </w:r>
      <w:r>
        <w:rPr>
          <w:sz w:val="21"/>
          <w:szCs w:val="21"/>
          <w:color w:val="231F20"/>
        </w:rPr>
        <w:t>microsatellite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sz w:val="21"/>
          <w:szCs w:val="21"/>
          <w:color w:val="231F20"/>
        </w:rPr>
        <w:t>stable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MSS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）转移性结直肠癌后线治疗中也有相关探索。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初步研究结果显示，与双免疫联合治疗在其他瘤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种中应用一致的结果，联合治疗相关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发生率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高于单药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7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抑制剂或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7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抑制剂联合化疗。但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多为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2</w:t>
      </w:r>
      <w:r>
        <w:rPr>
          <w:rFonts w:ascii="SimSun" w:hAnsi="SimSun" w:eastAsia="SimSun" w:cs="SimSun"/>
          <w:sz w:val="21"/>
          <w:szCs w:val="21"/>
          <w:color w:val="231F20"/>
        </w:rPr>
        <w:t>级，且基本可控，未见特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殊类型的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新发</w:t>
      </w:r>
      <w:r>
        <w:rPr>
          <w:sz w:val="21"/>
          <w:szCs w:val="21"/>
          <w:color w:val="231F20"/>
          <w:spacing w:val="-3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，也未观察到治疗相关死亡率的增加</w:t>
      </w:r>
      <w:r>
        <w:rPr>
          <w:sz w:val="12"/>
          <w:szCs w:val="12"/>
          <w:color w:val="231F20"/>
          <w:spacing w:val="-3"/>
          <w:position w:val="9"/>
        </w:rPr>
        <w:t>[9,27]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双免疫联合治疗的不良反应主要集中在皮肤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、消化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道、肝脏及内分泌系统，临床表现与所涉及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的各系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统、各器官的自身免疫性疾病类似。</w:t>
      </w:r>
    </w:p>
    <w:p>
      <w:pPr>
        <w:pStyle w:val="BodyText"/>
        <w:ind w:left="6" w:right="75" w:firstLine="420"/>
        <w:spacing w:before="93" w:line="30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双免疫联合治疗相关不良反应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的诊断和治疗与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单药治疗一致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然而有证据显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示双免疫联合治疗的药物剂量或联合方式的调整可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以预防</w:t>
      </w:r>
      <w:r>
        <w:rPr>
          <w:sz w:val="21"/>
          <w:szCs w:val="21"/>
          <w:color w:val="231F20"/>
        </w:rPr>
        <w:t>irAEs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的发生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降低重症</w:t>
      </w:r>
      <w:r>
        <w:rPr>
          <w:sz w:val="21"/>
          <w:szCs w:val="21"/>
          <w:color w:val="231F20"/>
        </w:rPr>
        <w:t>irAEs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的发生率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借</w:t>
      </w:r>
      <w:r>
        <w:rPr>
          <w:rFonts w:ascii="NSimSun" w:hAnsi="NSimSun" w:eastAsia="NSimSun" w:cs="NSimSun"/>
          <w:sz w:val="21"/>
          <w:szCs w:val="21"/>
          <w:color w:val="231F20"/>
          <w:spacing w:val="1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鉴非小细胞肺癌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4"/>
        </w:rPr>
        <w:t>-227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研究</w:t>
      </w:r>
      <w:r>
        <w:rPr>
          <w:sz w:val="12"/>
          <w:szCs w:val="12"/>
          <w:color w:val="231F20"/>
          <w:spacing w:val="4"/>
          <w:position w:val="9"/>
        </w:rPr>
        <w:t>[28]</w:t>
      </w:r>
      <w:r>
        <w:rPr>
          <w:sz w:val="12"/>
          <w:szCs w:val="12"/>
          <w:color w:val="231F20"/>
          <w:position w:val="9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与恶性间皮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瘤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5"/>
        </w:rPr>
        <w:t>-743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研究</w:t>
      </w:r>
      <w:r>
        <w:rPr>
          <w:sz w:val="12"/>
          <w:szCs w:val="12"/>
          <w:color w:val="231F20"/>
          <w:spacing w:val="5"/>
          <w:position w:val="9"/>
        </w:rPr>
        <w:t>[29]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数据显示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将伊匹木单抗</w:t>
      </w:r>
      <w:r>
        <w:rPr>
          <w:rFonts w:ascii="NSimSun" w:hAnsi="NSimSun" w:eastAsia="NSimSun" w:cs="NSimSun"/>
          <w:sz w:val="21"/>
          <w:szCs w:val="21"/>
          <w:color w:val="231F20"/>
          <w:spacing w:val="8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剂量从每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周</w:t>
      </w:r>
      <w:r>
        <w:rPr>
          <w:sz w:val="21"/>
          <w:szCs w:val="21"/>
          <w:color w:val="231F20"/>
          <w:spacing w:val="-1"/>
        </w:rPr>
        <w:t>1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sz w:val="21"/>
          <w:szCs w:val="21"/>
          <w:color w:val="231F20"/>
          <w:spacing w:val="-1"/>
        </w:rPr>
        <w:t>3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1"/>
        </w:rPr>
        <w:t>mg/kg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降至每</w:t>
      </w:r>
      <w:r>
        <w:rPr>
          <w:sz w:val="21"/>
          <w:szCs w:val="21"/>
          <w:color w:val="231F20"/>
          <w:spacing w:val="-1"/>
        </w:rPr>
        <w:t>6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周</w:t>
      </w:r>
      <w:r>
        <w:rPr>
          <w:sz w:val="21"/>
          <w:szCs w:val="21"/>
          <w:color w:val="231F20"/>
          <w:spacing w:val="-1"/>
        </w:rPr>
        <w:t>1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1"/>
        </w:rPr>
        <w:t>mg/kg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双免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组所有治疗相关不良反应发生率较化疗组更低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而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3"/>
        </w:rPr>
        <w:t>3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sz w:val="21"/>
          <w:szCs w:val="21"/>
          <w:color w:val="231F20"/>
          <w:spacing w:val="3"/>
        </w:rPr>
        <w:t>4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级治疗相关性不良反应则与化疗组相当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因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此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双免疫联合治疗相关不良反应的管理需在保证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有效性的同时探索剂量调整或治疗周期的改变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5" w:right="74" w:hanging="2"/>
        <w:spacing w:before="1" w:line="24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2.2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免疫治疗联合化疗  现有临床试验大部分都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在探索</w:t>
      </w:r>
      <w:r>
        <w:rPr>
          <w:sz w:val="21"/>
          <w:szCs w:val="21"/>
          <w:color w:val="231F20"/>
          <w:spacing w:val="-4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联合不同治疗策略，其中化疗为最常见的</w:t>
      </w:r>
    </w:p>
    <w:p>
      <w:pPr>
        <w:spacing w:line="246" w:lineRule="auto"/>
        <w:sectPr>
          <w:type w:val="continuous"/>
          <w:pgSz w:w="11906" w:h="16158"/>
          <w:pgMar w:top="1233" w:right="1002" w:bottom="0" w:left="407" w:header="772" w:footer="0" w:gutter="0"/>
          <w:cols w:equalWidth="0" w:num="2">
            <w:col w:w="5701" w:space="100"/>
            <w:col w:w="469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0"/>
          <w:pgSz w:w="11906" w:h="16158"/>
          <w:pgMar w:top="1233" w:right="1057" w:bottom="0" w:left="407" w:header="772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676" w:right="187" w:firstLine="4"/>
        <w:spacing w:before="36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组合，如食管癌</w:t>
      </w:r>
      <w:r>
        <w:rPr>
          <w:sz w:val="21"/>
          <w:szCs w:val="21"/>
          <w:color w:val="231F20"/>
          <w:spacing w:val="-4"/>
        </w:rPr>
        <w:t>KEYNOTE-590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研究</w:t>
      </w:r>
      <w:r>
        <w:rPr>
          <w:sz w:val="12"/>
          <w:szCs w:val="12"/>
          <w:color w:val="231F20"/>
          <w:spacing w:val="-4"/>
          <w:position w:val="9"/>
        </w:rPr>
        <w:t>[6]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sz w:val="21"/>
          <w:szCs w:val="21"/>
          <w:color w:val="231F20"/>
          <w:spacing w:val="-4"/>
        </w:rPr>
        <w:t>ESCORT-1st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研究</w:t>
      </w:r>
      <w:r>
        <w:rPr>
          <w:sz w:val="12"/>
          <w:szCs w:val="12"/>
          <w:color w:val="231F20"/>
          <w:spacing w:val="3"/>
          <w:position w:val="9"/>
        </w:rPr>
        <w:t>[10]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等，胃癌</w:t>
      </w:r>
      <w:r>
        <w:rPr>
          <w:sz w:val="21"/>
          <w:szCs w:val="21"/>
          <w:color w:val="231F20"/>
          <w:position w:val="-1"/>
        </w:rPr>
        <w:t>CheckMate</w:t>
      </w:r>
      <w:r>
        <w:rPr>
          <w:sz w:val="21"/>
          <w:szCs w:val="21"/>
          <w:color w:val="231F20"/>
          <w:spacing w:val="3"/>
          <w:position w:val="-1"/>
        </w:rPr>
        <w:t>-649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研究等</w:t>
      </w:r>
      <w:r>
        <w:rPr>
          <w:sz w:val="12"/>
          <w:szCs w:val="12"/>
          <w:color w:val="231F20"/>
          <w:spacing w:val="3"/>
          <w:position w:val="9"/>
        </w:rPr>
        <w:t>[11]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。基于此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类研究的阳性结果，免疫治疗联合化疗的治疗策略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也已在食管癌、胃癌一线治疗中获批。这些初步研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究结果显示，免疫治疗联合化疗的不良反应发生率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并不明显高于单纯化疗，免疫联合化疗组</w:t>
      </w:r>
      <w:r>
        <w:rPr>
          <w:sz w:val="21"/>
          <w:szCs w:val="21"/>
          <w:color w:val="231F20"/>
          <w:spacing w:val="7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以上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治疗相关不良反应发生率为</w:t>
      </w:r>
      <w:r>
        <w:rPr>
          <w:sz w:val="21"/>
          <w:szCs w:val="21"/>
          <w:color w:val="231F20"/>
          <w:spacing w:val="5"/>
        </w:rPr>
        <w:t>59%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5"/>
        </w:rPr>
        <w:t>72%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，单纯化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疗组为</w:t>
      </w:r>
      <w:r>
        <w:rPr>
          <w:sz w:val="21"/>
          <w:szCs w:val="21"/>
          <w:color w:val="231F20"/>
          <w:spacing w:val="-8"/>
        </w:rPr>
        <w:t>44%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8"/>
        </w:rPr>
        <w:t>68%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，其中以中性粒细胞减少、乏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力、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贫血、恶心、腹泻最常见</w:t>
      </w:r>
      <w:r>
        <w:rPr>
          <w:sz w:val="12"/>
          <w:szCs w:val="12"/>
          <w:color w:val="231F20"/>
          <w:spacing w:val="2"/>
          <w:position w:val="9"/>
        </w:rPr>
        <w:t>[6,10-11]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。在</w:t>
      </w:r>
      <w:r>
        <w:rPr>
          <w:sz w:val="21"/>
          <w:szCs w:val="21"/>
          <w:color w:val="231F20"/>
          <w:position w:val="-1"/>
        </w:rPr>
        <w:t>KEYNOTE</w:t>
      </w:r>
      <w:r>
        <w:rPr>
          <w:sz w:val="21"/>
          <w:szCs w:val="21"/>
          <w:color w:val="231F20"/>
          <w:spacing w:val="2"/>
          <w:position w:val="-1"/>
        </w:rPr>
        <w:t>-590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研究中，免疫联合化疗组患者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和输注反应发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生率为</w:t>
      </w:r>
      <w:r>
        <w:rPr>
          <w:sz w:val="21"/>
          <w:szCs w:val="21"/>
          <w:color w:val="231F20"/>
          <w:spacing w:val="2"/>
        </w:rPr>
        <w:t>26%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，单纯化疗组为</w:t>
      </w:r>
      <w:r>
        <w:rPr>
          <w:sz w:val="21"/>
          <w:szCs w:val="21"/>
          <w:color w:val="231F20"/>
          <w:spacing w:val="2"/>
        </w:rPr>
        <w:t>12%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，以甲状腺功能异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常（减退</w:t>
      </w:r>
      <w:r>
        <w:rPr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亢进）和肺炎最常见。</w:t>
      </w:r>
      <w:r>
        <w:rPr>
          <w:sz w:val="21"/>
          <w:szCs w:val="21"/>
          <w:color w:val="231F20"/>
          <w:spacing w:val="1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以上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和输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注反应发生率在免疫联合化疗组和单纯化疗组分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别为</w:t>
      </w:r>
      <w:r>
        <w:rPr>
          <w:sz w:val="21"/>
          <w:szCs w:val="21"/>
          <w:color w:val="231F20"/>
          <w:spacing w:val="1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</w:t>
      </w:r>
      <w:r>
        <w:rPr>
          <w:sz w:val="21"/>
          <w:szCs w:val="21"/>
          <w:color w:val="231F20"/>
          <w:spacing w:val="1"/>
        </w:rPr>
        <w:t>2%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，整体可控</w:t>
      </w:r>
      <w:r>
        <w:rPr>
          <w:sz w:val="12"/>
          <w:szCs w:val="12"/>
          <w:color w:val="231F20"/>
          <w:spacing w:val="1"/>
          <w:position w:val="9"/>
        </w:rPr>
        <w:t>[6]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</w:rPr>
        <w:t>ESCORT</w:t>
      </w:r>
      <w:r>
        <w:rPr>
          <w:sz w:val="21"/>
          <w:szCs w:val="21"/>
          <w:color w:val="231F20"/>
          <w:spacing w:val="1"/>
        </w:rPr>
        <w:t>-1</w:t>
      </w:r>
      <w:r>
        <w:rPr>
          <w:sz w:val="21"/>
          <w:szCs w:val="21"/>
          <w:color w:val="231F20"/>
        </w:rPr>
        <w:t>st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研究报道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发生率略高，卡瑞利珠单抗联合化疗组为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4"/>
        </w:rPr>
        <w:t>84.6%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，单纯化疗组为</w:t>
      </w:r>
      <w:r>
        <w:rPr>
          <w:sz w:val="21"/>
          <w:szCs w:val="21"/>
          <w:color w:val="231F20"/>
          <w:spacing w:val="4"/>
        </w:rPr>
        <w:t>33%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，以反应性皮肤毛细血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管增生症最常见，大部分为</w:t>
      </w:r>
      <w:r>
        <w:rPr>
          <w:sz w:val="21"/>
          <w:szCs w:val="21"/>
          <w:color w:val="231F20"/>
          <w:spacing w:val="3"/>
        </w:rPr>
        <w:t>1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级，甲状腺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功能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异常（减退</w:t>
      </w:r>
      <w:r>
        <w:rPr>
          <w:sz w:val="21"/>
          <w:szCs w:val="21"/>
          <w:color w:val="231F20"/>
          <w:spacing w:val="-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亢进）、垂体炎、瘙痒、皮疹和肺炎发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生率亦较高。但整体以</w:t>
      </w:r>
      <w:r>
        <w:rPr>
          <w:sz w:val="21"/>
          <w:szCs w:val="21"/>
          <w:color w:val="231F20"/>
          <w:spacing w:val="-3"/>
        </w:rPr>
        <w:t>G1/G2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为主，</w:t>
      </w:r>
      <w:r>
        <w:rPr>
          <w:sz w:val="21"/>
          <w:szCs w:val="21"/>
          <w:color w:val="231F20"/>
          <w:spacing w:val="-3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以上</w:t>
      </w:r>
      <w:r>
        <w:rPr>
          <w:sz w:val="21"/>
          <w:szCs w:val="21"/>
          <w:color w:val="231F20"/>
          <w:spacing w:val="-3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发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生率分别为</w:t>
      </w:r>
      <w:r>
        <w:rPr>
          <w:sz w:val="21"/>
          <w:szCs w:val="21"/>
          <w:color w:val="231F20"/>
          <w:spacing w:val="-3"/>
        </w:rPr>
        <w:t>9.4%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sz w:val="21"/>
          <w:szCs w:val="21"/>
          <w:color w:val="231F20"/>
          <w:spacing w:val="-3"/>
        </w:rPr>
        <w:t>5.1%</w:t>
      </w:r>
      <w:r>
        <w:rPr>
          <w:sz w:val="12"/>
          <w:szCs w:val="12"/>
          <w:color w:val="231F20"/>
          <w:spacing w:val="-3"/>
          <w:position w:val="9"/>
        </w:rPr>
        <w:t>[10]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。同样的，</w:t>
      </w:r>
      <w:r>
        <w:rPr>
          <w:sz w:val="21"/>
          <w:szCs w:val="21"/>
          <w:color w:val="231F20"/>
          <w:spacing w:val="-3"/>
        </w:rPr>
        <w:t>CheckMate 649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研究推测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1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抑制剂导致的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大部分为</w:t>
      </w:r>
      <w:r>
        <w:rPr>
          <w:sz w:val="21"/>
          <w:szCs w:val="21"/>
          <w:color w:val="231F20"/>
          <w:spacing w:val="1"/>
        </w:rPr>
        <w:t>G1/G2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4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及以上</w:t>
      </w:r>
      <w:r>
        <w:rPr>
          <w:sz w:val="21"/>
          <w:szCs w:val="21"/>
          <w:color w:val="231F20"/>
          <w:spacing w:val="-4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发生率在</w:t>
      </w:r>
      <w:r>
        <w:rPr>
          <w:sz w:val="21"/>
          <w:szCs w:val="21"/>
          <w:color w:val="231F20"/>
          <w:spacing w:val="-4"/>
        </w:rPr>
        <w:t>5%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以下</w:t>
      </w:r>
      <w:r>
        <w:rPr>
          <w:sz w:val="12"/>
          <w:szCs w:val="12"/>
          <w:color w:val="231F20"/>
          <w:spacing w:val="-4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。因此，整体上，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免疫治疗联合化疗较单纯化疗并无特殊的不良反应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报道，发生率和严重程度以及疾病谱方面比较差异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均无统计学意义，且整体可控。</w:t>
      </w:r>
    </w:p>
    <w:p>
      <w:pPr>
        <w:pStyle w:val="BodyText"/>
        <w:ind w:left="675" w:right="262" w:firstLine="422"/>
        <w:spacing w:before="1" w:line="30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整体上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消化道肿瘤免疫治疗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联合化疗不良反应的管理与单纯免疫治疗或其他瘤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种</w:t>
      </w:r>
      <w:r>
        <w:rPr>
          <w:sz w:val="21"/>
          <w:szCs w:val="21"/>
          <w:color w:val="231F20"/>
        </w:rPr>
        <w:t>irAEs</w:t>
      </w: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相似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但因大部分消化道肿瘤患者一般状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况稍差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对不良反应的应激性可能会更加复杂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康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复时间更长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因此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早发现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早诊断和早治疗最为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重要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因不良反应疾病谱范围大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建议有条件的医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院成立多学科讨论组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677" w:right="262" w:firstLine="427"/>
        <w:spacing w:before="7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与单纯免疫治疗相比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免疫治疗联合化疗不良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反应的难点在于鉴别诊断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需要主治医生具备扎实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的临床功底和丰富的免疫治疗经验来判断该不良反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应是免疫药物所致还是化疗药物所致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亦或是肿瘤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进展等其他原因所致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一般来说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化疗药物所致的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不良反应主要包括骨髓抑制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消化道症状等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常规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对症处理可逐步恢复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一些特殊的不良反应如肾上</w:t>
      </w:r>
      <w:r>
        <w:rPr>
          <w:rFonts w:ascii="NSimSun" w:hAnsi="NSimSun" w:eastAsia="NSimSun" w:cs="NSimSun"/>
          <w:sz w:val="21"/>
          <w:szCs w:val="21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腺垂体功能减退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可能更倾向于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所致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0" w:right="17" w:firstLine="420"/>
        <w:spacing w:before="44" w:line="29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在治疗上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一般建议停用临床考虑最相关药物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对症处理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如无明显好转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有条件者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建议尽量完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善活检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根据病理结果判断是否与免疫治疗更相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关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及时加用激素及其他免疫抑制剂等治疗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firstLine="95"/>
        <w:spacing w:before="21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2.3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免疫治疗联合放疗</w:t>
      </w:r>
      <w:r>
        <w:rPr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放化疗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目前免疫治疗联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合放疗</w:t>
      </w:r>
      <w:r>
        <w:rPr>
          <w:sz w:val="21"/>
          <w:szCs w:val="21"/>
          <w:color w:val="231F20"/>
          <w:spacing w:val="1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放化疗治疗消化道肿瘤仍处于积极探索阶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段，尚无大型Ⅲ期临床研究数据报道，安全性相关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数据有限，但一些Ⅰ、Ⅱ期研究可提供部分信息。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总体来讲，免疫治疗联合放疗</w:t>
      </w:r>
      <w:r>
        <w:rPr>
          <w:sz w:val="21"/>
          <w:szCs w:val="21"/>
          <w:color w:val="231F20"/>
          <w:spacing w:val="1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放化疗毒性整体可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控。在食管癌中，Ⅱ期</w:t>
      </w:r>
      <w:r>
        <w:rPr>
          <w:sz w:val="21"/>
          <w:szCs w:val="21"/>
          <w:color w:val="231F20"/>
        </w:rPr>
        <w:t>PALACE</w:t>
      </w:r>
      <w:r>
        <w:rPr>
          <w:sz w:val="21"/>
          <w:szCs w:val="21"/>
          <w:color w:val="231F20"/>
          <w:spacing w:val="7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研究报道了术前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新辅助放化疗和帕博利珠单抗治疗局部晚期</w:t>
      </w:r>
      <w:r>
        <w:rPr>
          <w:sz w:val="21"/>
          <w:szCs w:val="21"/>
          <w:color w:val="231F20"/>
        </w:rPr>
        <w:t>ESCC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患者的毒性可耐受，最常见的治疗相关不良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事件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为中性粒细胞减少（</w:t>
      </w:r>
      <w:r>
        <w:rPr>
          <w:sz w:val="21"/>
          <w:szCs w:val="21"/>
          <w:color w:val="231F20"/>
          <w:spacing w:val="3"/>
        </w:rPr>
        <w:t>50.0%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w w:val="9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术后食管瘘发生率为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2"/>
        </w:rPr>
        <w:t>6.0%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，术后胸腔内出血发生率为</w:t>
      </w:r>
      <w:r>
        <w:rPr>
          <w:sz w:val="21"/>
          <w:szCs w:val="21"/>
          <w:color w:val="231F20"/>
          <w:spacing w:val="-2"/>
        </w:rPr>
        <w:t>6.0%</w:t>
      </w:r>
      <w:r>
        <w:rPr>
          <w:sz w:val="12"/>
          <w:szCs w:val="12"/>
          <w:color w:val="231F20"/>
          <w:spacing w:val="-2"/>
          <w:position w:val="9"/>
        </w:rPr>
        <w:t>[30</w:t>
      </w:r>
      <w:r>
        <w:rPr>
          <w:sz w:val="12"/>
          <w:szCs w:val="12"/>
          <w:color w:val="231F20"/>
          <w:spacing w:val="-3"/>
          <w:position w:val="9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。但放化疗+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双免疫治疗的免疫学毒性值得关注。一项多中心研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究评估纳武利尤单抗或纳武利尤单抗联合</w:t>
      </w:r>
      <w:r>
        <w:rPr>
          <w:sz w:val="21"/>
          <w:szCs w:val="21"/>
          <w:color w:val="231F20"/>
        </w:rPr>
        <w:t>relatlimab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（抗</w:t>
      </w:r>
      <w:r>
        <w:rPr>
          <w:sz w:val="21"/>
          <w:szCs w:val="21"/>
          <w:color w:val="231F20"/>
        </w:rPr>
        <w:t>LAG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抗体）联合放化疗治疗Ⅱ</w:t>
      </w:r>
      <w:r>
        <w:rPr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Ⅲ期食管</w:t>
      </w:r>
      <w:r>
        <w:rPr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胃食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管交界处癌的安全性，发现放化疗联合纳武利尤单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抗耐受性良好，</w:t>
      </w:r>
      <w:r>
        <w:rPr>
          <w:sz w:val="21"/>
          <w:szCs w:val="21"/>
          <w:color w:val="231F20"/>
          <w:spacing w:val="2"/>
        </w:rPr>
        <w:t>25%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  <w:spacing w:val="2"/>
        </w:rPr>
        <w:t>4/16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）的患者报告</w:t>
      </w:r>
      <w:r>
        <w:rPr>
          <w:sz w:val="21"/>
          <w:szCs w:val="21"/>
          <w:color w:val="231F20"/>
          <w:spacing w:val="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级不良事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件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；而放化疗联合纳武利尤单抗和</w:t>
      </w:r>
      <w:r>
        <w:rPr>
          <w:sz w:val="21"/>
          <w:szCs w:val="21"/>
          <w:color w:val="231F20"/>
        </w:rPr>
        <w:t>relatlimab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66%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的患者（</w:t>
      </w:r>
      <w:r>
        <w:rPr>
          <w:sz w:val="21"/>
          <w:szCs w:val="21"/>
          <w:color w:val="231F20"/>
          <w:spacing w:val="-2"/>
        </w:rPr>
        <w:t>6/9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）出现≥</w:t>
      </w:r>
      <w:r>
        <w:rPr>
          <w:sz w:val="21"/>
          <w:szCs w:val="21"/>
          <w:color w:val="231F20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级免疫相关毒性，包括心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包炎（</w:t>
      </w:r>
      <w:r>
        <w:rPr>
          <w:sz w:val="21"/>
          <w:szCs w:val="21"/>
          <w:color w:val="231F20"/>
          <w:spacing w:val="-8"/>
        </w:rPr>
        <w:t>2/9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sz w:val="21"/>
          <w:szCs w:val="21"/>
          <w:color w:val="231F20"/>
          <w:spacing w:val="-8"/>
        </w:rPr>
        <w:t>22%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）和肾上腺功能不全（</w:t>
      </w:r>
      <w:r>
        <w:rPr>
          <w:sz w:val="21"/>
          <w:szCs w:val="21"/>
          <w:color w:val="231F20"/>
          <w:spacing w:val="-8"/>
        </w:rPr>
        <w:t>2/9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sz w:val="21"/>
          <w:szCs w:val="21"/>
          <w:color w:val="231F20"/>
          <w:spacing w:val="-8"/>
        </w:rPr>
        <w:t>22%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</w:t>
      </w:r>
      <w:r>
        <w:rPr>
          <w:sz w:val="12"/>
          <w:szCs w:val="12"/>
          <w:color w:val="231F20"/>
          <w:spacing w:val="-8"/>
          <w:position w:val="9"/>
        </w:rPr>
        <w:t>[31]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因此，术前放化疗联合纳武利尤单抗是安全的，由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于免疫相关毒性增强，新辅助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4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抗</w:t>
      </w:r>
      <w:r>
        <w:rPr>
          <w:sz w:val="21"/>
          <w:szCs w:val="21"/>
          <w:color w:val="231F20"/>
        </w:rPr>
        <w:t>LAG</w:t>
      </w:r>
      <w:r>
        <w:rPr>
          <w:sz w:val="21"/>
          <w:szCs w:val="21"/>
          <w:color w:val="231F20"/>
          <w:spacing w:val="4"/>
        </w:rPr>
        <w:t>3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抗体双免疫治疗联合放化疗具有挑战性</w:t>
      </w:r>
      <w:r>
        <w:rPr>
          <w:sz w:val="12"/>
          <w:szCs w:val="12"/>
          <w:color w:val="231F20"/>
          <w:spacing w:val="4"/>
          <w:position w:val="9"/>
        </w:rPr>
        <w:t>[31]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。在直肠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癌中，放化疗＋纳武利尤单抗序贯手术治疗局部晚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期直肠癌的Ⅰ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Ⅱ期</w:t>
      </w:r>
      <w:r>
        <w:rPr>
          <w:sz w:val="21"/>
          <w:szCs w:val="21"/>
          <w:color w:val="231F20"/>
        </w:rPr>
        <w:t>Voltage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研究，队列</w:t>
      </w:r>
      <w:r>
        <w:rPr>
          <w:sz w:val="21"/>
          <w:szCs w:val="21"/>
          <w:color w:val="231F20"/>
          <w:spacing w:val="4"/>
        </w:rPr>
        <w:t>A-1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纳入</w:t>
      </w:r>
      <w:r>
        <w:rPr>
          <w:sz w:val="21"/>
          <w:szCs w:val="21"/>
          <w:color w:val="231F20"/>
          <w:spacing w:val="4"/>
        </w:rPr>
        <w:t>37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MSS</w:t>
      </w:r>
      <w:r>
        <w:rPr>
          <w:rFonts w:ascii="SimSun" w:hAnsi="SimSun" w:eastAsia="SimSun" w:cs="SimSun"/>
          <w:sz w:val="21"/>
          <w:szCs w:val="21"/>
          <w:color w:val="231F20"/>
        </w:rPr>
        <w:t>患者，队列</w:t>
      </w:r>
      <w:r>
        <w:rPr>
          <w:sz w:val="21"/>
          <w:szCs w:val="21"/>
          <w:color w:val="231F20"/>
        </w:rPr>
        <w:t>A-2</w:t>
      </w:r>
      <w:r>
        <w:rPr>
          <w:rFonts w:ascii="SimSun" w:hAnsi="SimSun" w:eastAsia="SimSun" w:cs="SimSun"/>
          <w:sz w:val="21"/>
          <w:szCs w:val="21"/>
          <w:color w:val="231F20"/>
        </w:rPr>
        <w:t>纳入</w:t>
      </w:r>
      <w:r>
        <w:rPr>
          <w:sz w:val="21"/>
          <w:szCs w:val="21"/>
          <w:color w:val="231F20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>例</w:t>
      </w:r>
      <w:r>
        <w:rPr>
          <w:sz w:val="21"/>
          <w:szCs w:val="21"/>
          <w:color w:val="231F20"/>
        </w:rPr>
        <w:t>MSI-H</w:t>
      </w:r>
      <w:r>
        <w:rPr>
          <w:rFonts w:ascii="SimSun" w:hAnsi="SimSun" w:eastAsia="SimSun" w:cs="SimSun"/>
          <w:sz w:val="21"/>
          <w:szCs w:val="21"/>
          <w:color w:val="231F20"/>
        </w:rPr>
        <w:t>患者，观察到</w:t>
      </w:r>
      <w:r>
        <w:rPr>
          <w:sz w:val="21"/>
          <w:szCs w:val="21"/>
          <w:color w:val="231F20"/>
        </w:rPr>
        <w:t>2</w:t>
      </w:r>
      <w:r>
        <w:rPr>
          <w:rFonts w:ascii="SimSun" w:hAnsi="SimSun" w:eastAsia="SimSun" w:cs="SimSun"/>
          <w:sz w:val="21"/>
          <w:szCs w:val="21"/>
          <w:color w:val="231F20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患者发生严重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，均已完全恢复并接受手术治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疗，未观察到治疗相关死亡</w:t>
      </w:r>
      <w:r>
        <w:rPr>
          <w:sz w:val="12"/>
          <w:szCs w:val="12"/>
          <w:color w:val="231F20"/>
          <w:spacing w:val="5"/>
          <w:position w:val="9"/>
        </w:rPr>
        <w:t>[32]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</w:t>
      </w:r>
    </w:p>
    <w:p>
      <w:pPr>
        <w:pStyle w:val="BodyText"/>
        <w:ind w:left="98" w:right="76" w:firstLine="425"/>
        <w:spacing w:before="4" w:line="29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免疫治疗存在发生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的风险，包括可能危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及生命的肺炎。放疗引起的肺损伤包括肺炎和肺纤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维化，是上消化道肿瘤放疗常见的剂量限制性毒性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之一。因此，放疗联合免疫治疗可能会增加这种不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良反应的发生率和严重程度。放疗相关的肺炎与肺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部受到的高剂量辐射有关，因此在结合两种治疗方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法时，应特别注意这种毒性的发生率。在有更好的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工具之前，评估肺炎的解剖位置和时机通常对指导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归因最有帮助。在早期发现时，放射性肺炎通常局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限于放疗区域，免疫相关性肺炎更有弥漫性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；而对</w:t>
      </w:r>
    </w:p>
    <w:p>
      <w:pPr>
        <w:spacing w:line="295" w:lineRule="auto"/>
        <w:sectPr>
          <w:type w:val="continuous"/>
          <w:pgSz w:w="11906" w:h="16158"/>
          <w:pgMar w:top="1233" w:right="1057" w:bottom="0" w:left="407" w:header="772" w:footer="0" w:gutter="0"/>
          <w:cols w:equalWidth="0" w:num="2">
            <w:col w:w="5553" w:space="100"/>
            <w:col w:w="478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21"/>
          <w:pgSz w:w="11906" w:h="16158"/>
          <w:pgMar w:top="1233" w:right="1002" w:bottom="0" w:left="407" w:header="772" w:footer="0" w:gutter="0"/>
          <w:cols w:equalWidth="0" w:num="1">
            <w:col w:w="10495" w:space="0"/>
          </w:cols>
        </w:sectPr>
        <w:rPr/>
      </w:pPr>
    </w:p>
    <w:p>
      <w:pPr>
        <w:pStyle w:val="BodyText"/>
        <w:ind w:left="738" w:right="299" w:hanging="1"/>
        <w:spacing w:before="4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于时机，放射性肺炎通常发生于放疗后</w:t>
      </w:r>
      <w:r>
        <w:rPr>
          <w:sz w:val="21"/>
          <w:szCs w:val="21"/>
          <w:color w:val="231F20"/>
          <w:spacing w:val="-4"/>
        </w:rPr>
        <w:t>2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4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个月，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免疫相关性肺炎通常发生在</w:t>
      </w:r>
      <w:r>
        <w:rPr>
          <w:sz w:val="21"/>
          <w:szCs w:val="21"/>
          <w:color w:val="231F20"/>
        </w:rPr>
        <w:t>0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19</w:t>
      </w:r>
      <w:r>
        <w:rPr>
          <w:rFonts w:ascii="SimSun" w:hAnsi="SimSun" w:eastAsia="SimSun" w:cs="SimSun"/>
          <w:sz w:val="21"/>
          <w:szCs w:val="21"/>
          <w:color w:val="231F20"/>
        </w:rPr>
        <w:t>个月</w:t>
      </w:r>
      <w:r>
        <w:rPr>
          <w:sz w:val="12"/>
          <w:szCs w:val="12"/>
          <w:color w:val="231F20"/>
          <w:position w:val="9"/>
        </w:rPr>
        <w:t>[33]</w:t>
      </w:r>
      <w:r>
        <w:rPr>
          <w:rFonts w:ascii="SimSun" w:hAnsi="SimSun" w:eastAsia="SimSun" w:cs="SimSun"/>
          <w:sz w:val="21"/>
          <w:szCs w:val="21"/>
          <w:color w:val="231F20"/>
        </w:rPr>
        <w:t>。此外，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既往经验提示不良事件发生率与放疗和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的治疗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时机（序贯、间隔、同步）有关，应引起重视，加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强进一步研究。</w:t>
      </w:r>
    </w:p>
    <w:p>
      <w:pPr>
        <w:pStyle w:val="BodyText"/>
        <w:ind w:left="735" w:right="357" w:firstLine="419"/>
        <w:spacing w:before="10" w:line="29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现有证据显示放疗与免疫治疗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总体安全性可接受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但对于上消化道肿瘤的胸部照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射需关注肺炎的发生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并注意区分放射性肺炎与免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疫相关性肺炎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从而采取不同的措施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尤其是对于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既往已发生</w:t>
      </w:r>
      <w:r>
        <w:rPr>
          <w:sz w:val="21"/>
          <w:szCs w:val="21"/>
          <w:color w:val="231F20"/>
        </w:rPr>
        <w:t>irAEs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有报道行胸部放疗时放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射性肺炎的发生率明显升高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临床上需要重视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在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食管癌中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放疗与免疫治疗联合使用时需特别关注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食管炎和食管瘘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注意鉴别放射性食管炎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免疫性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食管炎以及肿瘤自身快速退缩导致的食管瘘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尤其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是当同步放化疗与免疫治疗同时使用时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27" w:right="299" w:firstLine="2"/>
        <w:spacing w:before="1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2.4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免疫治疗联合抗血管生成治疗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联合抗血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管内皮生长因子（</w:t>
      </w:r>
      <w:r>
        <w:rPr>
          <w:sz w:val="21"/>
          <w:szCs w:val="21"/>
          <w:color w:val="231F20"/>
          <w:spacing w:val="-2"/>
        </w:rPr>
        <w:t>vascular endothelial growth fact</w:t>
      </w:r>
      <w:r>
        <w:rPr>
          <w:sz w:val="21"/>
          <w:szCs w:val="21"/>
          <w:color w:val="231F20"/>
          <w:spacing w:val="-3"/>
        </w:rPr>
        <w:t>or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VEGF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）疗法已成为晚期肾癌和肝癌患者的一线治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疗方案</w:t>
      </w:r>
      <w:r>
        <w:rPr>
          <w:sz w:val="12"/>
          <w:szCs w:val="12"/>
          <w:color w:val="231F20"/>
          <w:position w:val="9"/>
        </w:rPr>
        <w:t>[34-36] </w:t>
      </w:r>
      <w:r>
        <w:rPr>
          <w:rFonts w:ascii="SimSun" w:hAnsi="SimSun" w:eastAsia="SimSun" w:cs="SimSun"/>
          <w:sz w:val="21"/>
          <w:szCs w:val="21"/>
          <w:color w:val="231F20"/>
        </w:rPr>
        <w:t>，在消化道肿瘤（如结肠癌、胃癌和食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管癌）的治疗效果也仍在进一步探索中</w:t>
      </w:r>
      <w:r>
        <w:rPr>
          <w:sz w:val="12"/>
          <w:szCs w:val="12"/>
          <w:color w:val="231F20"/>
          <w:spacing w:val="2"/>
          <w:position w:val="9"/>
        </w:rPr>
        <w:t>[37-</w:t>
      </w:r>
      <w:r>
        <w:rPr>
          <w:sz w:val="12"/>
          <w:szCs w:val="12"/>
          <w:color w:val="231F20"/>
          <w:spacing w:val="1"/>
          <w:position w:val="9"/>
        </w:rPr>
        <w:t>39]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。联合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应用时伴随诸多不良反应，心血管毒性成为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这种联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合治疗尤其被关注的不良反应</w:t>
      </w:r>
      <w:r>
        <w:rPr>
          <w:sz w:val="12"/>
          <w:szCs w:val="12"/>
          <w:color w:val="231F20"/>
          <w:spacing w:val="-2"/>
          <w:position w:val="9"/>
        </w:rPr>
        <w:t>[39-42]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相关性心肌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炎是一种罕见的，但可能致命的并发症</w:t>
      </w:r>
      <w:r>
        <w:rPr>
          <w:sz w:val="12"/>
          <w:szCs w:val="12"/>
          <w:color w:val="231F20"/>
          <w:spacing w:val="1"/>
          <w:position w:val="9"/>
        </w:rPr>
        <w:t>[41,43] </w:t>
      </w:r>
      <w:r>
        <w:rPr>
          <w:rFonts w:ascii="SimSun" w:hAnsi="SimSun" w:eastAsia="SimSun" w:cs="SimSun"/>
          <w:sz w:val="21"/>
          <w:szCs w:val="21"/>
          <w:color w:val="231F20"/>
        </w:rPr>
        <w:t>。研究 </w:t>
      </w:r>
      <w:r>
        <w:rPr>
          <w:rFonts w:ascii="SimSun" w:hAnsi="SimSun" w:eastAsia="SimSun" w:cs="SimSun"/>
          <w:sz w:val="21"/>
          <w:szCs w:val="21"/>
          <w:color w:val="231F20"/>
        </w:rPr>
        <w:t>显示，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相关性心肌炎的发病率为</w:t>
      </w:r>
      <w:r>
        <w:rPr>
          <w:sz w:val="21"/>
          <w:szCs w:val="21"/>
          <w:color w:val="231F20"/>
        </w:rPr>
        <w:t>0.1%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1.1%</w:t>
      </w:r>
      <w:r>
        <w:rPr>
          <w:rFonts w:ascii="SimSun" w:hAnsi="SimSun" w:eastAsia="SimSun" w:cs="SimSun"/>
          <w:sz w:val="21"/>
          <w:szCs w:val="21"/>
          <w:color w:val="231F20"/>
        </w:rPr>
        <w:t>，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但致死率可达</w:t>
      </w:r>
      <w:r>
        <w:rPr>
          <w:sz w:val="21"/>
          <w:szCs w:val="21"/>
          <w:color w:val="231F20"/>
          <w:spacing w:val="1"/>
          <w:position w:val="-1"/>
        </w:rPr>
        <w:t>40%</w:t>
      </w:r>
      <w:r>
        <w:rPr>
          <w:sz w:val="12"/>
          <w:szCs w:val="12"/>
          <w:color w:val="231F20"/>
          <w:spacing w:val="1"/>
          <w:position w:val="9"/>
        </w:rPr>
        <w:t>[41,44-45]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。目前，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由于对</w:t>
      </w:r>
      <w:r>
        <w:rPr>
          <w:sz w:val="21"/>
          <w:szCs w:val="21"/>
          <w:color w:val="231F20"/>
          <w:position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相关性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心肌炎的认识还存在一定程度的不足，其实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际发生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率很有可能更高。由于药物之间的相互作用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和毒性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叠加，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联合抗</w:t>
      </w:r>
      <w:r>
        <w:rPr>
          <w:sz w:val="21"/>
          <w:szCs w:val="21"/>
          <w:color w:val="231F20"/>
        </w:rPr>
        <w:t>VEGF</w:t>
      </w:r>
      <w:r>
        <w:rPr>
          <w:rFonts w:ascii="SimSun" w:hAnsi="SimSun" w:eastAsia="SimSun" w:cs="SimSun"/>
          <w:sz w:val="21"/>
          <w:szCs w:val="21"/>
          <w:color w:val="231F20"/>
        </w:rPr>
        <w:t>治疗可能会导致药物性心肌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炎发病率的增高和严重程度的增加。一项回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顾性研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究纳入</w:t>
      </w:r>
      <w:r>
        <w:rPr>
          <w:sz w:val="21"/>
          <w:szCs w:val="21"/>
          <w:color w:val="231F20"/>
          <w:spacing w:val="-3"/>
        </w:rPr>
        <w:t>48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例免疫相关性心肌炎患者，接受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治疗的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患者心肌炎发生率为</w:t>
      </w:r>
      <w:r>
        <w:rPr>
          <w:sz w:val="21"/>
          <w:szCs w:val="21"/>
          <w:color w:val="231F20"/>
          <w:spacing w:val="4"/>
        </w:rPr>
        <w:t>0.82%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联合抗</w:t>
      </w:r>
      <w:r>
        <w:rPr>
          <w:sz w:val="21"/>
          <w:szCs w:val="21"/>
          <w:color w:val="231F20"/>
        </w:rPr>
        <w:t>VEGF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治疗的患者心肌炎发生率为</w:t>
      </w:r>
      <w:r>
        <w:rPr>
          <w:sz w:val="21"/>
          <w:szCs w:val="21"/>
          <w:color w:val="231F20"/>
          <w:spacing w:val="2"/>
        </w:rPr>
        <w:t>1.25%</w:t>
      </w:r>
      <w:r>
        <w:rPr>
          <w:sz w:val="12"/>
          <w:szCs w:val="12"/>
          <w:color w:val="231F20"/>
          <w:spacing w:val="2"/>
          <w:position w:val="9"/>
        </w:rPr>
        <w:t>[40]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。心肌炎的发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生率与癌种无明显相关性。此外，抗</w:t>
      </w:r>
      <w:r>
        <w:rPr>
          <w:sz w:val="21"/>
          <w:szCs w:val="21"/>
          <w:color w:val="231F20"/>
        </w:rPr>
        <w:t>VEGF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治疗也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会引发心肌病和左心室功能障碍</w:t>
      </w:r>
      <w:r>
        <w:rPr>
          <w:sz w:val="12"/>
          <w:szCs w:val="12"/>
          <w:color w:val="231F20"/>
          <w:spacing w:val="2"/>
          <w:position w:val="9"/>
        </w:rPr>
        <w:t>[46-47]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。同时，一些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</w:rPr>
        <w:t>VEGF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抑制剂会增加血栓形成和冠状动脉缺血的发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生风险</w:t>
      </w:r>
      <w:r>
        <w:rPr>
          <w:sz w:val="12"/>
          <w:szCs w:val="12"/>
          <w:color w:val="231F20"/>
          <w:spacing w:val="-1"/>
          <w:position w:val="9"/>
        </w:rPr>
        <w:t>[48]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。此外，抗血管生成的靶向药物可引起甲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状腺功能减退、腹泻、肝功能损害、皮疹，这些不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良反应与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也有重叠，临床上鉴别存在一定困难。</w:t>
      </w:r>
    </w:p>
    <w:p>
      <w:pPr>
        <w:ind w:left="735" w:right="357" w:firstLine="418"/>
        <w:spacing w:before="1" w:line="242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目前的大型临床研究证据显示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9"/>
        </w:rPr>
        <w:t>免疫治疗联合抗血管生成治疗的总体安全性可接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firstLine="6"/>
        <w:spacing w:before="39" w:line="30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未提示新发的不良反应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但考虑到免疫治疗和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抗血管生成治疗的药物之间存在相互作用和毒性叠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加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联合应用可能会导致药物相关性不良反应发生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率的增高和严重程度的增加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应当特别关注药物相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关心血管毒性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肾毒性以及肝脏毒性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密切监测患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者的相关实验室检查结果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尤其是对于既往经过多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线治疗的患者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更容易发生药物相关性不良事件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同时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应注意鉴别肿瘤本身引起的脏器损伤和联合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治疗引起的脏器毒性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并进行针对性治疗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2" w:hanging="2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2.5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免疫治疗联合抗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4"/>
        </w:rPr>
        <w:t>-2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目前在消化道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肿瘤中，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联合靶向治疗的临床研究也在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进行中。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其中大型Ⅲ期临床研究包括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4"/>
        </w:rPr>
        <w:t>-811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研究探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索</w:t>
      </w:r>
      <w:r>
        <w:rPr>
          <w:sz w:val="21"/>
          <w:szCs w:val="21"/>
          <w:color w:val="231F20"/>
        </w:rPr>
        <w:t>PD-1</w:t>
      </w:r>
      <w:r>
        <w:rPr>
          <w:rFonts w:ascii="SimSun" w:hAnsi="SimSun" w:eastAsia="SimSun" w:cs="SimSun"/>
          <w:sz w:val="21"/>
          <w:szCs w:val="21"/>
          <w:color w:val="231F20"/>
        </w:rPr>
        <w:t>抑制剂联合曲妥珠单抗在</w:t>
      </w:r>
      <w:r>
        <w:rPr>
          <w:sz w:val="21"/>
          <w:szCs w:val="21"/>
          <w:color w:val="231F20"/>
        </w:rPr>
        <w:t>HER-2</w:t>
      </w:r>
      <w:r>
        <w:rPr>
          <w:rFonts w:ascii="SimSun" w:hAnsi="SimSun" w:eastAsia="SimSun" w:cs="SimSun"/>
          <w:sz w:val="21"/>
          <w:szCs w:val="21"/>
          <w:color w:val="231F20"/>
        </w:rPr>
        <w:t>阳性转移性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胃癌患者一线治疗中的作用</w:t>
      </w:r>
      <w:r>
        <w:rPr>
          <w:sz w:val="12"/>
          <w:szCs w:val="12"/>
          <w:color w:val="231F20"/>
          <w:position w:val="9"/>
        </w:rPr>
        <w:t>[16]</w:t>
      </w:r>
      <w:r>
        <w:rPr>
          <w:rFonts w:ascii="SimSun" w:hAnsi="SimSun" w:eastAsia="SimSun" w:cs="SimSun"/>
          <w:sz w:val="21"/>
          <w:szCs w:val="21"/>
          <w:color w:val="231F20"/>
        </w:rPr>
        <w:t>。目前，该研究发表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中期结果显示，免疫联合靶向治疗组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和输注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反应发生率为</w:t>
      </w:r>
      <w:r>
        <w:rPr>
          <w:sz w:val="21"/>
          <w:szCs w:val="21"/>
          <w:color w:val="231F20"/>
          <w:spacing w:val="2"/>
        </w:rPr>
        <w:t>34%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，靶向治疗组为</w:t>
      </w:r>
      <w:r>
        <w:rPr>
          <w:sz w:val="21"/>
          <w:szCs w:val="21"/>
          <w:color w:val="231F20"/>
          <w:spacing w:val="2"/>
        </w:rPr>
        <w:t>21%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，以输液反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应、肺炎和肠炎最常见。免疫联合靶向治疗组和靶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向治疗组</w:t>
      </w:r>
      <w:r>
        <w:rPr>
          <w:sz w:val="21"/>
          <w:szCs w:val="21"/>
          <w:color w:val="231F20"/>
          <w:spacing w:val="4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及以上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和输注反应发生率分别为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3"/>
        </w:rPr>
        <w:t>3%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sz w:val="21"/>
          <w:szCs w:val="21"/>
          <w:color w:val="231F20"/>
          <w:spacing w:val="-3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，整体可控。</w:t>
      </w:r>
    </w:p>
    <w:p>
      <w:pPr>
        <w:pStyle w:val="BodyText"/>
        <w:ind w:left="1" w:right="17" w:firstLine="422"/>
        <w:spacing w:before="1" w:line="29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目前的临床研究证据显示免疫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1"/>
        </w:rPr>
        <w:t>治疗联合抗</w:t>
      </w:r>
      <w:r>
        <w:rPr>
          <w:sz w:val="21"/>
          <w:szCs w:val="21"/>
          <w:color w:val="231F20"/>
        </w:rPr>
        <w:t>HER</w:t>
      </w:r>
      <w:r>
        <w:rPr>
          <w:sz w:val="21"/>
          <w:szCs w:val="21"/>
          <w:color w:val="231F20"/>
          <w:spacing w:val="1"/>
        </w:rPr>
        <w:t>-2</w:t>
      </w:r>
      <w:r>
        <w:rPr>
          <w:rFonts w:ascii="NSimSun" w:hAnsi="NSimSun" w:eastAsia="NSimSun" w:cs="NSimSun"/>
          <w:sz w:val="21"/>
          <w:szCs w:val="21"/>
          <w:color w:val="231F20"/>
          <w:spacing w:val="1"/>
        </w:rPr>
        <w:t>治疗未提示新发的不良反应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1"/>
        </w:rPr>
        <w:t>总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体安全性可控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但考虑到曲妥珠单抗可能引起心功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能不全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需注意区分免疫相关心脏毒性或靶向药物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相关心脏毒性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从而采取不同的治疗措施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现有的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数据均来源于小样本的临床研究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仍需更多大型Ⅲ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期研究结果以支持当下结论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对于既往已存在心功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>能不全或心律失常的患者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>应密切评估其心功能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9"/>
        </w:rPr>
        <w:t>充分评估后考虑免疫治疗联合靶向药物的治疗用</w:t>
      </w:r>
      <w:r>
        <w:rPr>
          <w:rFonts w:ascii="NSimSun" w:hAnsi="NSimSun" w:eastAsia="NSimSun" w:cs="NSimSun"/>
          <w:sz w:val="21"/>
          <w:szCs w:val="21"/>
          <w:color w:val="231F20"/>
          <w:spacing w:val="14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3"/>
        </w:rPr>
        <w:t>药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。</w:t>
      </w:r>
    </w:p>
    <w:p>
      <w:pPr>
        <w:ind w:left="4"/>
        <w:spacing w:line="23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3</w:t>
      </w:r>
      <w:r>
        <w:rPr>
          <w:rFonts w:ascii="Arial" w:hAnsi="Arial" w:eastAsia="Arial" w:cs="Arial"/>
          <w:sz w:val="21"/>
          <w:szCs w:val="21"/>
          <w:color w:val="231F20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消化道肿瘤常见免疫相关不良事件的管理</w:t>
      </w:r>
    </w:p>
    <w:p>
      <w:pPr>
        <w:pStyle w:val="BodyText"/>
        <w:ind w:left="4"/>
        <w:spacing w:before="28" w:line="23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3.1</w:t>
      </w:r>
      <w:r>
        <w:rPr>
          <w:sz w:val="21"/>
          <w:szCs w:val="21"/>
          <w:color w:val="231F20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消化系统毒性</w:t>
      </w:r>
    </w:p>
    <w:p>
      <w:pPr>
        <w:pStyle w:val="BodyText"/>
        <w:ind w:left="3" w:right="74"/>
        <w:spacing w:before="8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3.1.1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肝脏毒性  与腹泻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结肠炎相比，虽然免疫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相关肝脏毒性发生率较低，但在极少数情况下可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能是严重甚至是致命的</w:t>
      </w:r>
      <w:r>
        <w:rPr>
          <w:sz w:val="21"/>
          <w:szCs w:val="21"/>
          <w:color w:val="231F20"/>
        </w:rPr>
        <w:t>irAEs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相关肝脏毒性可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发生于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首次使用后任意时间，中位发生时间通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常为首次治疗开始后</w:t>
      </w:r>
      <w:r>
        <w:rPr>
          <w:sz w:val="21"/>
          <w:szCs w:val="21"/>
          <w:color w:val="231F20"/>
          <w:spacing w:val="2"/>
        </w:rPr>
        <w:t>5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2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周，但也可在数月后发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生</w:t>
      </w:r>
      <w:r>
        <w:rPr>
          <w:sz w:val="12"/>
          <w:szCs w:val="12"/>
          <w:color w:val="231F20"/>
          <w:position w:val="9"/>
        </w:rPr>
        <w:t>[49-51] </w:t>
      </w:r>
      <w:r>
        <w:rPr>
          <w:rFonts w:ascii="SimSun" w:hAnsi="SimSun" w:eastAsia="SimSun" w:cs="SimSun"/>
          <w:sz w:val="21"/>
          <w:szCs w:val="21"/>
          <w:color w:val="231F20"/>
        </w:rPr>
        <w:t>。由于不同研究报道的免疫相关肝炎出现时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间不大相同，因此不可仅通过出现时间来鉴别是否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为免疫相关肝炎。</w:t>
      </w:r>
    </w:p>
    <w:p>
      <w:pPr>
        <w:pStyle w:val="BodyText"/>
        <w:ind w:left="4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3.1.1.1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临床表现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相关肝脏毒性最常见的表</w:t>
      </w:r>
    </w:p>
    <w:p>
      <w:pPr>
        <w:spacing w:line="184" w:lineRule="auto"/>
        <w:sectPr>
          <w:type w:val="continuous"/>
          <w:pgSz w:w="11906" w:h="16158"/>
          <w:pgMar w:top="1233" w:right="1002" w:bottom="0" w:left="407" w:header="772" w:footer="0" w:gutter="0"/>
          <w:cols w:equalWidth="0" w:num="2">
            <w:col w:w="5704" w:space="100"/>
            <w:col w:w="469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22"/>
          <w:pgSz w:w="11906" w:h="16158"/>
          <w:pgMar w:top="1233" w:right="1042" w:bottom="0" w:left="407" w:header="772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671" w:right="279" w:firstLine="8"/>
        <w:spacing w:before="42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现为无症状性谷丙转氨酶（</w:t>
      </w:r>
      <w:r>
        <w:rPr>
          <w:sz w:val="21"/>
          <w:szCs w:val="21"/>
          <w:color w:val="231F20"/>
        </w:rPr>
        <w:t>glutamic</w:t>
      </w:r>
      <w:r>
        <w:rPr>
          <w:sz w:val="21"/>
          <w:szCs w:val="21"/>
          <w:color w:val="231F20"/>
          <w:spacing w:val="6"/>
        </w:rPr>
        <w:t>-</w:t>
      </w:r>
      <w:r>
        <w:rPr>
          <w:sz w:val="21"/>
          <w:szCs w:val="21"/>
          <w:color w:val="231F20"/>
        </w:rPr>
        <w:t>pyruvic</w:t>
      </w:r>
      <w:r>
        <w:rPr>
          <w:sz w:val="21"/>
          <w:szCs w:val="21"/>
          <w:color w:val="231F20"/>
          <w:spacing w:val="28"/>
        </w:rPr>
        <w:t xml:space="preserve"> </w:t>
      </w:r>
      <w:r>
        <w:rPr>
          <w:sz w:val="21"/>
          <w:szCs w:val="21"/>
          <w:color w:val="231F20"/>
        </w:rPr>
        <w:t>trans</w:t>
      </w:r>
      <w:r>
        <w:rPr>
          <w:sz w:val="21"/>
          <w:szCs w:val="21"/>
          <w:color w:val="231F20"/>
          <w:spacing w:val="6"/>
        </w:rPr>
        <w:t>-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7"/>
        </w:rPr>
        <w:t>minase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GPT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）和</w:t>
      </w:r>
      <w:r>
        <w:rPr>
          <w:sz w:val="21"/>
          <w:szCs w:val="21"/>
          <w:color w:val="231F20"/>
          <w:spacing w:val="-7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或谷草转氨酶（</w:t>
      </w:r>
      <w:r>
        <w:rPr>
          <w:sz w:val="21"/>
          <w:szCs w:val="21"/>
          <w:color w:val="231F20"/>
          <w:spacing w:val="-7"/>
        </w:rPr>
        <w:t>glutami</w:t>
      </w:r>
      <w:r>
        <w:rPr>
          <w:sz w:val="21"/>
          <w:szCs w:val="21"/>
          <w:color w:val="231F20"/>
          <w:spacing w:val="-8"/>
        </w:rPr>
        <w:t>c-oxaloacetic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6"/>
        </w:rPr>
        <w:t>transaminase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GOT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）升高，伴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或不伴有胆红素升高。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一般无特征性的临床表现，有时伴有发热、疲乏、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恶心、呕吐、食欲下降、早饱、易出血等非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特异性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症状，胆红素升高时可出现皮肤巩膜黄染、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茶色尿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5"/>
        </w:rPr>
        <w:t>等</w:t>
      </w:r>
      <w:r>
        <w:rPr>
          <w:sz w:val="12"/>
          <w:szCs w:val="12"/>
          <w:color w:val="231F20"/>
          <w:position w:val="5"/>
        </w:rPr>
        <w:t>[49]</w:t>
      </w:r>
      <w:r>
        <w:rPr>
          <w:rFonts w:ascii="SimSun" w:hAnsi="SimSun" w:eastAsia="SimSun" w:cs="SimSun"/>
          <w:sz w:val="21"/>
          <w:szCs w:val="21"/>
          <w:color w:val="231F20"/>
          <w:position w:val="-5"/>
        </w:rPr>
        <w:t>。</w:t>
      </w:r>
    </w:p>
    <w:p>
      <w:pPr>
        <w:pStyle w:val="BodyText"/>
        <w:ind w:left="678" w:right="354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3.1.1.2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诊断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相关肝损伤的诊断是排除性诊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断。所有接受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治疗的患者均应在每个治疗周期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前检测血清转氨酶和胆红素，并对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相关肝脏毒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性的症状和体征进行评估。若发生肝功能血清生化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检查异常，需要排除肝脏肿瘤进展、其他药物引起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的肝功能损伤、酒精性肝炎、自身免疫性肝炎、病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毒性肝炎活动等其他肝损伤病因。</w:t>
      </w:r>
    </w:p>
    <w:p>
      <w:pPr>
        <w:pStyle w:val="BodyText"/>
        <w:ind w:left="678" w:right="280" w:firstLine="420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影像学表现取决于肝脏毒性的严重程度，一般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情况下大多表现正常。在严重肝损伤的患者中，计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算机断层扫描（</w:t>
      </w:r>
      <w:r>
        <w:rPr>
          <w:sz w:val="21"/>
          <w:szCs w:val="21"/>
          <w:color w:val="231F20"/>
        </w:rPr>
        <w:t>computed</w:t>
      </w:r>
      <w:r>
        <w:rPr>
          <w:sz w:val="21"/>
          <w:szCs w:val="21"/>
          <w:color w:val="231F20"/>
          <w:spacing w:val="25"/>
          <w:w w:val="101"/>
        </w:rPr>
        <w:t xml:space="preserve"> </w:t>
      </w:r>
      <w:r>
        <w:rPr>
          <w:sz w:val="21"/>
          <w:szCs w:val="21"/>
          <w:color w:val="231F20"/>
        </w:rPr>
        <w:t>tomography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）显示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类似于其他常见病因引起的急性肝炎表现，即轻度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肝肿大、肝实质减弱、门脉周围水肿和门脉周围淋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巴结肿大等。肝脏超声可见门静脉周围回声增强，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伴或不伴有胆囊壁水肿。病理学主要表现为活动性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小叶性肝炎和不同部位的静脉周围炎浸润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；其次为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胆管损伤的表现。有时需与自身免疫性肝炎相鉴别。</w:t>
      </w:r>
    </w:p>
    <w:p>
      <w:pPr>
        <w:pStyle w:val="BodyText"/>
        <w:ind w:left="678" w:right="355"/>
        <w:spacing w:before="6" w:line="29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3.1.1.3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需与自身免疫性肝炎、药物性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肝炎、病毒性肝炎或肝脏肿瘤进展等相鉴别。通过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影像学检查排除其他血栓栓塞和流出道梗阻性病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因。通常可以根据不同的组织学和影像学特征来区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分，可考虑使用肝活检辅助鉴别诊断较为严重的肝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炎反应。最常报道小叶性肝炎与自身免疫性肝炎难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以区分。多数病例为全小叶性肝炎，但炎症可能局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限于</w:t>
      </w:r>
      <w:r>
        <w:rPr>
          <w:sz w:val="21"/>
          <w:szCs w:val="21"/>
          <w:color w:val="231F20"/>
          <w:spacing w:val="-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区。</w:t>
      </w:r>
    </w:p>
    <w:p>
      <w:pPr>
        <w:pStyle w:val="BodyText"/>
        <w:ind w:left="678" w:right="297"/>
        <w:spacing w:before="100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3.1.1.4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处理  在多数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引发的肝脏毒性研究中，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糖皮质激素是最常见的治疗方法。肝炎通常在适当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的治疗后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2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周内即可消退，但若仍未消退，则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应重新考虑其他原因，并在必要时再次行诊断和鉴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别诊断的相关检查。诊疗流程见图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2" w:right="355" w:firstLine="6"/>
        <w:spacing w:before="102" w:line="28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3.1.1.5  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随访  根据通用不良事件术语标准（</w:t>
      </w:r>
      <w:r>
        <w:rPr>
          <w:sz w:val="21"/>
          <w:szCs w:val="21"/>
          <w:color w:val="231F20"/>
          <w:spacing w:val="-8"/>
        </w:rPr>
        <w:t>common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terminology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criteria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  <w:spacing w:val="-2"/>
        </w:rPr>
        <w:t>for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2"/>
        </w:rPr>
        <w:t>adverse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  <w:spacing w:val="-2"/>
        </w:rPr>
        <w:t>events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CTCAE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级对免疫相关肝炎患者进行随访。对于转氨酶或总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胆红素水平轻度（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级）升高的患者，如果没有相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4"/>
        <w:spacing w:before="3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关的临床症状，可继续免疫治疗，但需定期监测肝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功能直至恢复正常。一旦恶化或出现发热、乏力等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表现，应重新进行分级和治疗。对于转氨酶或总胆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红素水平中度（</w:t>
      </w:r>
      <w:r>
        <w:rPr>
          <w:sz w:val="21"/>
          <w:szCs w:val="21"/>
          <w:color w:val="231F20"/>
        </w:rPr>
        <w:t>2</w:t>
      </w:r>
      <w:r>
        <w:rPr>
          <w:rFonts w:ascii="SimSun" w:hAnsi="SimSun" w:eastAsia="SimSun" w:cs="SimSun"/>
          <w:sz w:val="21"/>
          <w:szCs w:val="21"/>
          <w:color w:val="231F20"/>
        </w:rPr>
        <w:t>级）升高的患者，需停用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，并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每周检测</w:t>
      </w:r>
      <w:r>
        <w:rPr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次血清转氨酶和总胆红素水平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；转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氨酶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或总胆红素水平中度（</w:t>
      </w:r>
      <w:r>
        <w:rPr>
          <w:sz w:val="21"/>
          <w:szCs w:val="21"/>
          <w:color w:val="231F20"/>
          <w:spacing w:val="-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级）升高持续超过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周，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在排除其他致病因素后，需使用类固醇皮质激素治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疗，剂量为</w:t>
      </w:r>
      <w:r>
        <w:rPr>
          <w:sz w:val="21"/>
          <w:szCs w:val="21"/>
          <w:color w:val="231F20"/>
          <w:spacing w:val="6"/>
        </w:rPr>
        <w:t>1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sz w:val="21"/>
          <w:szCs w:val="21"/>
          <w:color w:val="231F20"/>
        </w:rPr>
        <w:t>kg</w:t>
      </w:r>
      <w:r>
        <w:rPr>
          <w:sz w:val="21"/>
          <w:szCs w:val="21"/>
          <w:color w:val="231F20"/>
          <w:spacing w:val="6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）甲泼尼龙或其他等效药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物。一旦改善，类固醇皮质激素逐渐减量后可继续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。如果使用类固醇皮质激素后情况恶化或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未见改善，增加类固醇皮质激素剂量为</w:t>
      </w:r>
      <w:r>
        <w:rPr>
          <w:sz w:val="21"/>
          <w:szCs w:val="21"/>
          <w:color w:val="231F20"/>
          <w:spacing w:val="-4"/>
        </w:rPr>
        <w:t>2mg/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甲泼尼龙或其他等效药物，并永久停用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right="32" w:firstLine="6"/>
        <w:spacing w:before="6" w:line="30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3.1.1.6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预防  对于有乙型肝炎病毒（</w:t>
      </w:r>
      <w:r>
        <w:rPr>
          <w:sz w:val="21"/>
          <w:szCs w:val="21"/>
          <w:color w:val="231F20"/>
        </w:rPr>
        <w:t>hepatitis</w:t>
      </w:r>
      <w:r>
        <w:rPr>
          <w:sz w:val="21"/>
          <w:szCs w:val="21"/>
          <w:color w:val="231F20"/>
          <w:spacing w:val="38"/>
          <w:w w:val="101"/>
        </w:rPr>
        <w:t xml:space="preserve"> </w:t>
      </w:r>
      <w:r>
        <w:rPr>
          <w:sz w:val="21"/>
          <w:szCs w:val="21"/>
          <w:color w:val="231F20"/>
        </w:rPr>
        <w:t>B  </w:t>
      </w:r>
      <w:r>
        <w:rPr>
          <w:sz w:val="21"/>
          <w:szCs w:val="21"/>
          <w:color w:val="231F20"/>
          <w:spacing w:val="-4"/>
        </w:rPr>
        <w:t>virus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）和</w:t>
      </w:r>
      <w:r>
        <w:rPr>
          <w:sz w:val="21"/>
          <w:szCs w:val="21"/>
          <w:color w:val="231F20"/>
          <w:spacing w:val="-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或丙型肝炎病毒（</w:t>
      </w:r>
      <w:r>
        <w:rPr>
          <w:sz w:val="21"/>
          <w:szCs w:val="21"/>
          <w:color w:val="231F20"/>
          <w:spacing w:val="-4"/>
        </w:rPr>
        <w:t>hepatitis C virus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</w:rPr>
        <w:t>HCV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）感染的患者，需要关注病毒性肝炎背景下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相关肝脏毒性管理。目前认为，肿瘤合并病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毒性肝炎（</w:t>
      </w:r>
      <w:r>
        <w:rPr>
          <w:sz w:val="21"/>
          <w:szCs w:val="21"/>
          <w:color w:val="231F20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或</w:t>
      </w:r>
      <w:r>
        <w:rPr>
          <w:sz w:val="21"/>
          <w:szCs w:val="21"/>
          <w:color w:val="231F20"/>
        </w:rPr>
        <w:t>HCV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）患者使用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，在全程管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理病毒性肝炎的前提下，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相关肝脏毒性可控，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疗效与未感染者无显著差异。对于合并</w:t>
      </w:r>
      <w:r>
        <w:rPr>
          <w:sz w:val="21"/>
          <w:szCs w:val="21"/>
          <w:color w:val="231F20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感染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的患者，需在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2000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sz w:val="21"/>
          <w:szCs w:val="21"/>
          <w:color w:val="231F20"/>
        </w:rPr>
        <w:t>U/ml</w:t>
      </w:r>
      <w:r>
        <w:rPr>
          <w:rFonts w:ascii="SimSun" w:hAnsi="SimSun" w:eastAsia="SimSun" w:cs="SimSun"/>
          <w:sz w:val="21"/>
          <w:szCs w:val="21"/>
          <w:color w:val="231F20"/>
        </w:rPr>
        <w:t>后再开始</w:t>
      </w:r>
      <w:r>
        <w:rPr>
          <w:sz w:val="21"/>
          <w:szCs w:val="21"/>
          <w:color w:val="231F20"/>
        </w:rPr>
        <w:t>ICI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治疗。即使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定量不高，如果乙型肝炎表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面抗原（</w:t>
      </w:r>
      <w:r>
        <w:rPr>
          <w:sz w:val="21"/>
          <w:szCs w:val="21"/>
          <w:color w:val="231F20"/>
        </w:rPr>
        <w:t>hepatitis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</w:rPr>
        <w:t>B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sz w:val="21"/>
          <w:szCs w:val="21"/>
          <w:color w:val="231F20"/>
        </w:rPr>
        <w:t>surface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antigen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sz w:val="21"/>
          <w:szCs w:val="21"/>
          <w:color w:val="231F20"/>
        </w:rPr>
        <w:t>HBsAg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）(+)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</w:t>
      </w:r>
      <w:r>
        <w:rPr>
          <w:sz w:val="21"/>
          <w:szCs w:val="21"/>
          <w:color w:val="231F20"/>
          <w:spacing w:val="-2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或乙型肝炎核心抗体（</w:t>
      </w:r>
      <w:r>
        <w:rPr>
          <w:sz w:val="21"/>
          <w:szCs w:val="21"/>
          <w:color w:val="231F20"/>
          <w:spacing w:val="-2"/>
        </w:rPr>
        <w:t>hepatitis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B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-2"/>
        </w:rPr>
        <w:t>core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-2"/>
        </w:rPr>
        <w:t>antibody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HBcAb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>）（＋），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也推荐在首次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使用前开始给予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抗病毒治疗（推荐核苷类似物，如恩替卡韦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或替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诺福韦酯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并定期监测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和肝功能。对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于合并</w:t>
      </w:r>
      <w:r>
        <w:rPr>
          <w:sz w:val="21"/>
          <w:szCs w:val="21"/>
          <w:color w:val="231F20"/>
        </w:rPr>
        <w:t>HCV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感染者，由于直接抗病毒药物（</w:t>
      </w:r>
      <w:r>
        <w:rPr>
          <w:sz w:val="21"/>
          <w:szCs w:val="21"/>
          <w:color w:val="231F20"/>
        </w:rPr>
        <w:t>direct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-1"/>
        </w:rPr>
        <w:t>antivirus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  <w:spacing w:val="-1"/>
        </w:rPr>
        <w:t>agents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DAAs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）对肿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瘤发生发展的影响尚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无定论，干扰素等抗病毒药物与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的作用机制是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否相互影响未知。目前认为，合并</w:t>
      </w:r>
      <w:r>
        <w:rPr>
          <w:sz w:val="21"/>
          <w:szCs w:val="21"/>
          <w:color w:val="231F20"/>
        </w:rPr>
        <w:t>HCV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感染的肿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瘤患者，无需在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治疗的同时接受</w:t>
      </w:r>
      <w:r>
        <w:rPr>
          <w:sz w:val="21"/>
          <w:szCs w:val="21"/>
          <w:color w:val="231F20"/>
        </w:rPr>
        <w:t>DAAs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或干扰素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抗病毒治疗，但仍需定期监测</w:t>
      </w:r>
      <w:r>
        <w:rPr>
          <w:sz w:val="21"/>
          <w:szCs w:val="21"/>
          <w:color w:val="231F20"/>
          <w:spacing w:val="-1"/>
        </w:rPr>
        <w:t>HCV RN</w:t>
      </w:r>
      <w:r>
        <w:rPr>
          <w:sz w:val="21"/>
          <w:szCs w:val="21"/>
          <w:color w:val="231F20"/>
          <w:spacing w:val="-2"/>
        </w:rPr>
        <w:t>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水平。</w:t>
      </w:r>
    </w:p>
    <w:p>
      <w:pPr>
        <w:pStyle w:val="BodyText"/>
        <w:ind w:left="6" w:right="16"/>
        <w:spacing w:before="100" w:line="29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3.1.1.7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其他参考意见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治疗后出现肝功能异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常的原因很多，免疫治疗相关肝脏毒性的诊断是排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除性诊断，即需排除其他导致肝损伤的因素后方可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诊断是否为免疫相关肝炎。目前对于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相关肝炎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的分级诊断标准除在不同的指南、专家共识中有差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异外，仅用</w:t>
      </w:r>
      <w:r>
        <w:rPr>
          <w:sz w:val="21"/>
          <w:szCs w:val="21"/>
          <w:color w:val="231F20"/>
        </w:rPr>
        <w:t>CTCAE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进行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的严重性分级，可能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导致免疫相关肝炎严重程度被低估。应同时参考肝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功能</w:t>
      </w:r>
      <w:r>
        <w:rPr>
          <w:sz w:val="21"/>
          <w:szCs w:val="21"/>
          <w:color w:val="231F20"/>
          <w:spacing w:val="-10"/>
        </w:rPr>
        <w:t>Child-Pugh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分级（肝性脑病、腹水、血清胆红素、</w:t>
      </w:r>
    </w:p>
    <w:p>
      <w:pPr>
        <w:spacing w:line="294" w:lineRule="auto"/>
        <w:sectPr>
          <w:type w:val="continuous"/>
          <w:pgSz w:w="11906" w:h="16158"/>
          <w:pgMar w:top="1233" w:right="1042" w:bottom="0" w:left="407" w:header="772" w:footer="0" w:gutter="0"/>
          <w:cols w:equalWidth="0" w:num="2">
            <w:col w:w="5646" w:space="100"/>
            <w:col w:w="471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574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治疗中需引起重视的症状和体征（新发或较前加重）：</w:t>
      </w:r>
    </w:p>
    <w:p>
      <w:pPr>
        <w:pStyle w:val="BodyText"/>
        <w:ind w:left="357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皮肤或巩膜发黄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357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严重的恶心伴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不伴呕吐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357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右腹部疼痛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357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乏力</w:t>
      </w:r>
      <w:r>
        <w:rPr>
          <w:sz w:val="16"/>
          <w:szCs w:val="16"/>
          <w:color w:val="231F20"/>
          <w:spacing w:val="-4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困倦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</w:p>
    <w:p>
      <w:pPr>
        <w:pStyle w:val="BodyText"/>
        <w:ind w:left="3578"/>
        <w:spacing w:before="10" w:line="221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尿色深（茶色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）；</w:t>
      </w:r>
    </w:p>
    <w:p>
      <w:pPr>
        <w:pStyle w:val="BodyText"/>
        <w:ind w:left="3578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较平时更易出血（牙龈出血、皮肤瘀点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瘀斑）；</w:t>
      </w:r>
    </w:p>
    <w:p>
      <w:pPr>
        <w:pStyle w:val="BodyText"/>
        <w:ind w:left="3578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食欲减退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2105" w:right="6361" w:hanging="11"/>
        <w:spacing w:before="52" w:line="234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完善相关检查</w:t>
      </w:r>
      <w:r>
        <w:rPr>
          <w:sz w:val="9"/>
          <w:szCs w:val="9"/>
          <w:color w:val="231F20"/>
          <w:position w:val="7"/>
        </w:rPr>
        <w:t>*</w:t>
      </w:r>
      <w:r>
        <w:rPr>
          <w:sz w:val="9"/>
          <w:szCs w:val="9"/>
          <w:color w:val="231F20"/>
          <w:spacing w:val="17"/>
          <w:w w:val="104"/>
          <w:position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：排除其他原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因引起的肝功能损害，如肝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内原发</w:t>
      </w:r>
      <w:r>
        <w:rPr>
          <w:sz w:val="16"/>
          <w:szCs w:val="16"/>
          <w:color w:val="231F20"/>
          <w:spacing w:val="-2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继发肿瘤进展等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6805"/>
        <w:spacing w:line="202" w:lineRule="exact"/>
        <w:rPr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-1877058</wp:posOffset>
            </wp:positionV>
            <wp:extent cx="6155397" cy="618120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6181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92.9858pt;margin-top:0.259858pt;mso-position-vertical-relative:text;mso-position-horizontal-relative:text;width:0.5pt;height:10.15pt;z-index:25170944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2" style="position:absolute;margin-left:216.75pt;margin-top:0.259858pt;mso-position-vertical-relative:text;mso-position-horizontal-relative:text;width:0.5pt;height:10.15pt;z-index:251712512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4" style="position:absolute;margin-left:464.277pt;margin-top:0.259858pt;mso-position-vertical-relative:text;mso-position-horizontal-relative:text;width:0.5pt;height:10.15pt;z-index:251710464;" filled="false" strokecolor="#231F20" strokeweight="0.50pt" coordsize="10,202" coordorigin="0,0" path="m5,0l5,202e">
            <v:stroke joinstyle="miter" miterlimit="10"/>
          </v:shape>
        </w:pict>
      </w:r>
      <w:r>
        <w:rPr>
          <w:position w:val="-4"/>
        </w:rPr>
        <w:drawing>
          <wp:inline distT="0" distB="0" distL="0" distR="0">
            <wp:extent cx="6350" cy="12828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6"/>
        <w:spacing w:before="203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6" style="position:absolute;margin-left:41.9022pt;margin-top:9.10612pt;mso-position-vertical-relative:text;mso-position-horizontal-relative:text;width:73pt;height:52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：</w:t>
                  </w:r>
                </w:p>
                <w:p>
                  <w:pPr>
                    <w:pStyle w:val="BodyText"/>
                    <w:ind w:left="20"/>
                    <w:spacing w:before="8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GOT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和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或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GPT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：</w:t>
                  </w:r>
                </w:p>
                <w:p>
                  <w:pPr>
                    <w:pStyle w:val="BodyText"/>
                    <w:ind w:left="209"/>
                    <w:spacing w:before="6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×</w:t>
                  </w:r>
                  <w:r>
                    <w:rPr>
                      <w:sz w:val="16"/>
                      <w:szCs w:val="16"/>
                      <w:color w:val="231F20"/>
                    </w:rPr>
                    <w:t>ULN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总胆红素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：</w:t>
                  </w:r>
                </w:p>
                <w:p>
                  <w:pPr>
                    <w:pStyle w:val="BodyText"/>
                    <w:ind w:right="19"/>
                    <w:spacing w:before="9" w:line="232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1.5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）×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ULN</w:t>
                  </w:r>
                </w:p>
              </w:txbxContent>
            </v:textbox>
          </v:shape>
        </w:pict>
      </w:r>
      <w:r>
        <w:pict>
          <v:shape id="_x0000_s28" style="position:absolute;margin-left:161.754pt;margin-top:9.10612pt;mso-position-vertical-relative:text;mso-position-horizontal-relative:text;width:108.85pt;height:186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2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：</w:t>
                  </w:r>
                </w:p>
                <w:p>
                  <w:pPr>
                    <w:pStyle w:val="BodyText"/>
                    <w:ind w:left="20" w:right="748" w:firstLine="78"/>
                    <w:spacing w:before="8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GOT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和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或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GPT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：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）×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ULN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98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总胆红素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：</w:t>
                  </w:r>
                </w:p>
                <w:p>
                  <w:pPr>
                    <w:pStyle w:val="BodyText"/>
                    <w:ind w:left="20"/>
                    <w:spacing w:before="9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1.5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）×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ULN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98"/>
                    <w:spacing w:before="52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暂停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278" w:right="20" w:hanging="180"/>
                    <w:spacing w:before="10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泼尼松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0.5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1.0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6"/>
                      <w:w w:val="87"/>
                    </w:rPr>
                    <w:t>），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如肝功能好转，缓慢减量，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总疗程至少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周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98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每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天监测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次肝功能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75" w:right="20" w:hanging="177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泼尼松剂量减至≤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10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1"/>
                    </w:rPr>
                    <w:t>mg/d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且肝脏毒性≤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级，可重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新评估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</w:p>
              </w:txbxContent>
            </v:textbox>
          </v:shape>
        </w:pict>
      </w:r>
      <w:r>
        <w:pict>
          <v:shape id="_x0000_s30" style="position:absolute;margin-left:412.881pt;margin-top:9.10612pt;mso-position-vertical-relative:text;mso-position-horizontal-relative:text;width:105.8pt;height:81.5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：</w:t>
                  </w:r>
                </w:p>
                <w:p>
                  <w:pPr>
                    <w:pStyle w:val="BodyText"/>
                    <w:ind w:left="26"/>
                    <w:spacing w:before="8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GOT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和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或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GPT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：</w:t>
                  </w:r>
                </w:p>
                <w:p>
                  <w:pPr>
                    <w:pStyle w:val="BodyText"/>
                    <w:ind w:left="218"/>
                    <w:spacing w:before="6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20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×</w:t>
                  </w:r>
                  <w:r>
                    <w:rPr>
                      <w:sz w:val="16"/>
                      <w:szCs w:val="16"/>
                      <w:color w:val="231F20"/>
                    </w:rPr>
                    <w:t>ULN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；</w:t>
                  </w:r>
                </w:p>
                <w:p>
                  <w:pPr>
                    <w:pStyle w:val="BodyText"/>
                    <w:ind w:left="26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总胆红素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：</w:t>
                  </w:r>
                </w:p>
                <w:p>
                  <w:pPr>
                    <w:pStyle w:val="BodyText"/>
                    <w:ind w:left="218"/>
                    <w:spacing w:before="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&gt;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10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×</w:t>
                  </w:r>
                  <w:r>
                    <w:rPr>
                      <w:sz w:val="16"/>
                      <w:szCs w:val="16"/>
                      <w:color w:val="231F20"/>
                    </w:rPr>
                    <w:t>ULN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；</w:t>
                  </w:r>
                </w:p>
                <w:p>
                  <w:pPr>
                    <w:pStyle w:val="BodyText"/>
                    <w:ind w:left="202" w:right="20" w:hanging="176"/>
                    <w:spacing w:before="9" w:line="23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肝功能失代偿（如腹水、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凝血功能异常、肝性脑病、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昏迷）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</w:p>
    <w:p>
      <w:pPr>
        <w:pStyle w:val="BodyText"/>
        <w:ind w:left="5808"/>
        <w:spacing w:before="8" w:line="22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GOT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和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或</w:t>
      </w:r>
      <w:r>
        <w:rPr>
          <w:sz w:val="16"/>
          <w:szCs w:val="16"/>
          <w:color w:val="231F20"/>
          <w:spacing w:val="-1"/>
        </w:rPr>
        <w:t>GPT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</w:p>
    <w:p>
      <w:pPr>
        <w:pStyle w:val="BodyText"/>
        <w:ind w:left="5910"/>
        <w:spacing w:before="7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sz w:val="16"/>
          <w:szCs w:val="16"/>
          <w:color w:val="231F20"/>
          <w:spacing w:val="-3"/>
        </w:rPr>
        <w:t>5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3"/>
        </w:rPr>
        <w:t>20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）×</w:t>
      </w:r>
      <w:r>
        <w:rPr>
          <w:sz w:val="16"/>
          <w:szCs w:val="16"/>
          <w:color w:val="231F20"/>
          <w:spacing w:val="-3"/>
        </w:rPr>
        <w:t>ULN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5808"/>
        <w:spacing w:before="7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总胆红素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</w:p>
    <w:p>
      <w:pPr>
        <w:pStyle w:val="BodyText"/>
        <w:ind w:left="5910"/>
        <w:spacing w:before="10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sz w:val="16"/>
          <w:szCs w:val="16"/>
          <w:color w:val="231F20"/>
          <w:spacing w:val="-4"/>
        </w:rPr>
        <w:t>3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10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）×</w:t>
      </w:r>
      <w:r>
        <w:rPr>
          <w:sz w:val="16"/>
          <w:szCs w:val="16"/>
          <w:color w:val="231F20"/>
          <w:spacing w:val="-4"/>
        </w:rPr>
        <w:t>ULN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</w:p>
    <w:p>
      <w:pPr>
        <w:pStyle w:val="BodyText"/>
        <w:ind w:left="5808"/>
        <w:spacing w:before="7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肝活检纤维化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808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代偿期肝硬化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80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慢性肝炎活动</w:t>
      </w:r>
    </w:p>
    <w:p>
      <w:pPr>
        <w:ind w:left="6805"/>
        <w:spacing w:before="93" w:line="202" w:lineRule="exact"/>
        <w:rPr/>
      </w:pPr>
      <w:r>
        <w:pict>
          <v:shape id="_x0000_s32" style="position:absolute;margin-left:464.277pt;margin-top:4.87204pt;mso-position-vertical-relative:text;mso-position-horizontal-relative:text;width:0.5pt;height:10.15pt;z-index:251711488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34" style="position:absolute;margin-left:41.9022pt;margin-top:23.968pt;mso-position-vertical-relative:text;mso-position-horizontal-relative:text;width:102.3pt;height:41.5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197" w:right="20" w:hanging="178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每周监测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次肝功能，如肝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功能稳定，可适当降低监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测频率</w:t>
                  </w:r>
                </w:p>
              </w:txbxContent>
            </v:textbox>
          </v:shape>
        </w:pict>
      </w:r>
      <w:r>
        <w:pict>
          <v:shape id="_x0000_s36" style="position:absolute;margin-left:413.193pt;margin-top:23.968pt;mso-position-vertical-relative:text;mso-position-horizontal-relative:text;width:104.85pt;height:141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建议永久停用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192" w:right="20" w:hanging="172"/>
                    <w:spacing w:before="7" w:line="22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静脉使用甲泼尼龙，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mg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kg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，待肝脏毒性降至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级后，可等效改换口服的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>泼尼松并继续缓慢减量，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总疗程至少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周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197" w:right="20" w:hanging="177"/>
                    <w:spacing w:before="8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•   72 h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9"/>
                    </w:rPr>
                    <w:t>后如肝功能无好转，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3"/>
                    </w:rPr>
                    <w:t>考虑加用吗替麦考酚酯</w:t>
                  </w:r>
                </w:p>
                <w:p>
                  <w:pPr>
                    <w:pStyle w:val="BodyText"/>
                    <w:spacing w:before="10" w:line="21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500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1000 mg</w:t>
                  </w:r>
                  <w:r>
                    <w:rPr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，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次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>）；</w:t>
                  </w:r>
                </w:p>
                <w:p>
                  <w:pPr>
                    <w:pStyle w:val="BodyText"/>
                    <w:ind w:left="197" w:right="64" w:hanging="178"/>
                    <w:spacing w:before="16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进行肝脏</w:t>
                  </w:r>
                  <w:r>
                    <w:rPr>
                      <w:sz w:val="16"/>
                      <w:szCs w:val="16"/>
                      <w:color w:val="231F20"/>
                    </w:rPr>
                    <w:t>CT</w:t>
                  </w:r>
                  <w:r>
                    <w:rPr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、</w:t>
                  </w:r>
                  <w:r>
                    <w:rPr>
                      <w:sz w:val="16"/>
                      <w:szCs w:val="16"/>
                      <w:color w:val="231F20"/>
                    </w:rPr>
                    <w:t>MRI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或超声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等检查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1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请肝病专家会诊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1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考虑肝脏活检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1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不推荐使用英夫利西单抗</w:t>
                  </w:r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6350" cy="12828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8"/>
        <w:spacing w:before="205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停用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80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建议住院治疗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5985" w:right="2594" w:hanging="177"/>
        <w:spacing w:before="9" w:line="22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给予泼尼松</w:t>
      </w:r>
      <w:r>
        <w:rPr>
          <w:sz w:val="16"/>
          <w:szCs w:val="16"/>
          <w:color w:val="231F20"/>
          <w:spacing w:val="-11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～</w:t>
      </w:r>
      <w:r>
        <w:rPr>
          <w:sz w:val="16"/>
          <w:szCs w:val="16"/>
          <w:color w:val="231F20"/>
          <w:spacing w:val="-11"/>
        </w:rPr>
        <w:t>2 mg/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（</w:t>
      </w:r>
      <w:r>
        <w:rPr>
          <w:sz w:val="16"/>
          <w:szCs w:val="16"/>
          <w:color w:val="231F20"/>
          <w:spacing w:val="-11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36"/>
          <w:w w:val="86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若</w:t>
      </w:r>
      <w:r>
        <w:rPr>
          <w:sz w:val="16"/>
          <w:szCs w:val="16"/>
          <w:color w:val="231F20"/>
          <w:spacing w:val="7"/>
        </w:rPr>
        <w:t>72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7"/>
        </w:rPr>
        <w:t>h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后无应答，考虑加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用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吗替麦考酚酯（</w:t>
      </w:r>
      <w:r>
        <w:rPr>
          <w:sz w:val="16"/>
          <w:szCs w:val="16"/>
          <w:color w:val="231F20"/>
          <w:spacing w:val="10"/>
        </w:rPr>
        <w:t>500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~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1000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mg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次</w:t>
      </w:r>
      <w:r>
        <w:rPr>
          <w:sz w:val="16"/>
          <w:szCs w:val="16"/>
          <w:color w:val="231F20"/>
          <w:spacing w:val="-1"/>
        </w:rPr>
        <w:t>/d</w:t>
      </w:r>
      <w:r>
        <w:rPr>
          <w:rFonts w:ascii="SimSun" w:hAnsi="SimSun" w:eastAsia="SimSun" w:cs="SimSun"/>
          <w:sz w:val="16"/>
          <w:szCs w:val="16"/>
          <w:color w:val="231F20"/>
          <w:spacing w:val="-41"/>
          <w:w w:val="98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如吗替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麦考酚酯效果仍不佳，可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加用他克莫司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80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每</w:t>
      </w:r>
      <w:r>
        <w:rPr>
          <w:sz w:val="16"/>
          <w:szCs w:val="16"/>
          <w:color w:val="231F20"/>
          <w:spacing w:val="-2"/>
        </w:rPr>
        <w:t>1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2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天监测</w:t>
      </w:r>
      <w:r>
        <w:rPr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次肝功能；</w:t>
      </w:r>
    </w:p>
    <w:p>
      <w:pPr>
        <w:pStyle w:val="BodyText"/>
        <w:ind w:left="5984" w:right="2641" w:hanging="176"/>
        <w:spacing w:before="10" w:line="228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   4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4"/>
        </w:rPr>
        <w:t>6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周尝试递减激素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；根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据肝功能的监测情况，如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有需要则重新递减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；最佳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持续时间尚不清楚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985" w:right="2595" w:hanging="177"/>
        <w:spacing w:before="8" w:line="22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•</w:t>
      </w:r>
      <w:r>
        <w:rPr>
          <w:sz w:val="16"/>
          <w:szCs w:val="16"/>
          <w:color w:val="231F20"/>
          <w:spacing w:val="8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泼尼松剂量减至≤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1"/>
        </w:rPr>
        <w:t>10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1"/>
        </w:rPr>
        <w:t>mg/d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且肝脏毒性≤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8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级，可重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新评估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986" w:right="2641" w:hanging="178"/>
        <w:spacing w:before="12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进行肝脏</w:t>
      </w:r>
      <w:r>
        <w:rPr>
          <w:sz w:val="16"/>
          <w:szCs w:val="16"/>
          <w:color w:val="231F20"/>
        </w:rPr>
        <w:t>CT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、</w:t>
      </w:r>
      <w:r>
        <w:rPr>
          <w:sz w:val="16"/>
          <w:szCs w:val="16"/>
          <w:color w:val="231F20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或超声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等检查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808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请肝病专家会诊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808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考虑肝脏活检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808"/>
        <w:spacing w:before="11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不推荐使用英夫利西单抗</w:t>
      </w:r>
    </w:p>
    <w:p>
      <w:pPr>
        <w:spacing w:before="22"/>
        <w:rPr/>
      </w:pPr>
      <w:r/>
    </w:p>
    <w:tbl>
      <w:tblPr>
        <w:tblStyle w:val="TableNormal"/>
        <w:tblW w:w="9683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5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120" w:right="43"/>
              <w:spacing w:before="109" w:line="230" w:lineRule="auto"/>
              <w:rPr/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2"/>
                <w:position w:val="7"/>
              </w:rPr>
              <w:t>*</w:t>
            </w:r>
            <w:r>
              <w:rPr>
                <w:color w:val="231F20"/>
                <w:spacing w:val="-2"/>
              </w:rPr>
              <w:t>排除其他肝病的相关检查：病毒及其他病原学检查如甲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乙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丙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戊型肝炎、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EBV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CMV</w:t>
            </w:r>
            <w:r>
              <w:rPr>
                <w:color w:val="231F20"/>
                <w:spacing w:val="-2"/>
              </w:rPr>
              <w:t>、肠道病毒、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T-SPOT</w:t>
            </w:r>
            <w:r>
              <w:rPr>
                <w:color w:val="231F20"/>
                <w:spacing w:val="-2"/>
              </w:rPr>
              <w:t>（或其他检查以排除结核）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等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；自身抗体及球蛋白等如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ANA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AMA-M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IgG4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IgG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IgM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；遗传及代谢相关检查如铜蓝蛋白、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α-</w:t>
            </w:r>
            <w:r>
              <w:rPr>
                <w:color w:val="231F20"/>
                <w:spacing w:val="-3"/>
              </w:rPr>
              <w:t>抗胰蛋白酶等</w:t>
            </w:r>
          </w:p>
        </w:tc>
      </w:tr>
    </w:tbl>
    <w:p>
      <w:pPr>
        <w:pStyle w:val="BodyText"/>
        <w:ind w:left="4242"/>
        <w:spacing w:before="171" w:line="179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相关肝脏毒性的诊疗流程</w:t>
      </w:r>
    </w:p>
    <w:p>
      <w:pPr>
        <w:pStyle w:val="BodyText"/>
        <w:ind w:left="729" w:firstLine="328"/>
        <w:spacing w:before="49" w:line="225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注：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为免疫检查点抑制剂；</w:t>
      </w:r>
      <w:r>
        <w:rPr>
          <w:sz w:val="16"/>
          <w:szCs w:val="16"/>
          <w:color w:val="231F20"/>
          <w:spacing w:val="-2"/>
        </w:rPr>
        <w:t>GOT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为谷草转氨酶；</w:t>
      </w:r>
      <w:r>
        <w:rPr>
          <w:sz w:val="16"/>
          <w:szCs w:val="16"/>
          <w:color w:val="231F20"/>
          <w:spacing w:val="-2"/>
        </w:rPr>
        <w:t>GPT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为谷丙转氨酶；</w:t>
      </w:r>
      <w:r>
        <w:rPr>
          <w:sz w:val="16"/>
          <w:szCs w:val="16"/>
          <w:color w:val="231F20"/>
          <w:spacing w:val="-2"/>
        </w:rPr>
        <w:t>ULN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为正常值上限；</w:t>
      </w:r>
      <w:r>
        <w:rPr>
          <w:sz w:val="16"/>
          <w:szCs w:val="16"/>
          <w:color w:val="231F20"/>
          <w:spacing w:val="-2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为计算机断层扫描；</w:t>
      </w:r>
      <w:r>
        <w:rPr>
          <w:sz w:val="16"/>
          <w:szCs w:val="16"/>
          <w:color w:val="231F20"/>
          <w:spacing w:val="-2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为磁共振成像；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3"/>
        </w:rPr>
        <w:t>EBV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</w:t>
      </w:r>
      <w:r>
        <w:rPr>
          <w:sz w:val="16"/>
          <w:szCs w:val="16"/>
          <w:color w:val="231F20"/>
          <w:spacing w:val="-3"/>
        </w:rPr>
        <w:t>EB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病毒；</w:t>
      </w:r>
      <w:r>
        <w:rPr>
          <w:sz w:val="16"/>
          <w:szCs w:val="16"/>
          <w:color w:val="231F20"/>
          <w:spacing w:val="-3"/>
        </w:rPr>
        <w:t>CMV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为巨细胞病毒；</w:t>
      </w:r>
      <w:r>
        <w:rPr>
          <w:sz w:val="16"/>
          <w:szCs w:val="16"/>
          <w:color w:val="231F20"/>
          <w:spacing w:val="-3"/>
        </w:rPr>
        <w:t>T-SPOT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为结核杆菌斑点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试验；</w:t>
      </w:r>
      <w:r>
        <w:rPr>
          <w:sz w:val="16"/>
          <w:szCs w:val="16"/>
          <w:color w:val="231F20"/>
          <w:spacing w:val="-4"/>
        </w:rPr>
        <w:t>ANA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为抗核抗体；</w:t>
      </w:r>
      <w:r>
        <w:rPr>
          <w:sz w:val="16"/>
          <w:szCs w:val="16"/>
          <w:color w:val="231F20"/>
          <w:spacing w:val="-4"/>
        </w:rPr>
        <w:t>AMA-M2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为抗线粒体抗体；</w:t>
      </w:r>
      <w:r>
        <w:rPr>
          <w:sz w:val="16"/>
          <w:szCs w:val="16"/>
          <w:color w:val="231F20"/>
          <w:spacing w:val="-4"/>
        </w:rPr>
        <w:t>IgG4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为免疫球蛋白</w:t>
      </w:r>
      <w:r>
        <w:rPr>
          <w:sz w:val="16"/>
          <w:szCs w:val="16"/>
          <w:color w:val="231F20"/>
          <w:spacing w:val="-4"/>
        </w:rPr>
        <w:t>G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亚型</w:t>
      </w:r>
      <w:r>
        <w:rPr>
          <w:sz w:val="16"/>
          <w:szCs w:val="16"/>
          <w:color w:val="231F20"/>
          <w:spacing w:val="-4"/>
        </w:rPr>
        <w:t>4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IgG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为免疫球蛋白</w:t>
      </w:r>
      <w:r>
        <w:rPr>
          <w:sz w:val="16"/>
          <w:szCs w:val="16"/>
          <w:color w:val="231F20"/>
          <w:spacing w:val="-2"/>
        </w:rPr>
        <w:t>G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IgM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为免疫球蛋白</w:t>
      </w:r>
      <w:r>
        <w:rPr>
          <w:sz w:val="16"/>
          <w:szCs w:val="16"/>
          <w:color w:val="231F20"/>
          <w:spacing w:val="-2"/>
        </w:rPr>
        <w:t>M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。</w:t>
      </w:r>
    </w:p>
    <w:p>
      <w:pPr>
        <w:spacing w:before="75"/>
        <w:rPr/>
      </w:pPr>
      <w:r/>
    </w:p>
    <w:p>
      <w:pPr>
        <w:sectPr>
          <w:headerReference w:type="default" r:id="rId23"/>
          <w:pgSz w:w="11906" w:h="16158"/>
          <w:pgMar w:top="1233" w:right="1035" w:bottom="0" w:left="407" w:header="772" w:footer="0" w:gutter="0"/>
          <w:cols w:equalWidth="0" w:num="1">
            <w:col w:w="10463" w:space="0"/>
          </w:cols>
        </w:sectPr>
        <w:rPr/>
      </w:pPr>
    </w:p>
    <w:p>
      <w:pPr>
        <w:pStyle w:val="BodyText"/>
        <w:ind w:left="734" w:right="300"/>
        <w:spacing w:before="43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血清白蛋白浓度及凝血酶原时间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在评估免疫相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关肝炎时应作为重要参考指标。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级免疫相关肝炎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患者可继续进行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治疗，但需每周监测肝功能。</w:t>
      </w:r>
      <w:r>
        <w:rPr>
          <w:sz w:val="21"/>
          <w:szCs w:val="21"/>
          <w:color w:val="231F20"/>
          <w:spacing w:val="1"/>
        </w:rPr>
        <w:t>2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级及以上免疫相关肝炎患者一般采用一线糖皮质激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素治疗，二线治疗依然推荐较为宽泛的靶向</w:t>
      </w:r>
      <w:r>
        <w:rPr>
          <w:sz w:val="21"/>
          <w:szCs w:val="21"/>
          <w:color w:val="231F20"/>
          <w:spacing w:val="3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淋巴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细胞、</w:t>
      </w:r>
      <w:r>
        <w:rPr>
          <w:sz w:val="21"/>
          <w:szCs w:val="21"/>
          <w:color w:val="231F20"/>
          <w:spacing w:val="5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淋巴细胞、细胞因子和自身抗体的药物，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2" w:hanging="3"/>
        <w:spacing w:before="42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但由于缺乏依据免疫组织病理学进行的分层治疗选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择，其临床应用性不高。对于</w:t>
      </w:r>
      <w:r>
        <w:rPr>
          <w:sz w:val="21"/>
          <w:szCs w:val="21"/>
          <w:color w:val="231F20"/>
          <w:spacing w:val="-2"/>
        </w:rPr>
        <w:t>3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级免疫相关肝炎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患者，如果糖皮质激素治疗</w:t>
      </w:r>
      <w:r>
        <w:rPr>
          <w:sz w:val="21"/>
          <w:szCs w:val="21"/>
          <w:color w:val="231F20"/>
          <w:spacing w:val="-2"/>
        </w:rPr>
        <w:t>48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72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2"/>
        </w:rPr>
        <w:t>h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无明显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改善，或者减量即导致症状复发，此时可考虑增加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免疫抑制剂（如吗替麦考酚酯等，但不推荐英夫利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西单抗，因为英夫利西单抗有致肝细胞毒性及肝衰</w:t>
      </w:r>
    </w:p>
    <w:p>
      <w:pPr>
        <w:spacing w:line="287" w:lineRule="auto"/>
        <w:sectPr>
          <w:type w:val="continuous"/>
          <w:pgSz w:w="11906" w:h="16158"/>
          <w:pgMar w:top="1233" w:right="1035" w:bottom="0" w:left="407" w:header="772" w:footer="0" w:gutter="0"/>
          <w:cols w:equalWidth="0" w:num="2">
            <w:col w:w="5706" w:space="100"/>
            <w:col w:w="465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27"/>
          <w:pgSz w:w="11906" w:h="16158"/>
          <w:pgMar w:top="1233" w:right="1043" w:bottom="0" w:left="407" w:header="772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675" w:right="297" w:firstLine="3"/>
        <w:spacing w:before="37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竭的潜在风险）治疗，这类患者一般建议永久停用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。在临床实践中，对于免疫相关肝炎，尤其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以上的患者，早期静脉输注丙种球蛋白也有助于改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善预后。多数免疫相关肝炎患者经过治疗，能够逆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转免疫治疗引起的肝损伤，预后良好。但对于存在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肝硬化的患者，目前其免疫相关肝炎的预后状况还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不清楚，针对此类患者应谨慎治疗，并做好多学科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会诊以及病情的密切监控。一项关于严重免疫相关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肝炎缓解后重新接受免疫治疗的小样本研究提示，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在发生严重免疫相关肝炎后，即使使用相同的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也有</w:t>
      </w:r>
      <w:r>
        <w:rPr>
          <w:sz w:val="21"/>
          <w:szCs w:val="21"/>
          <w:color w:val="231F20"/>
          <w:spacing w:val="1"/>
        </w:rPr>
        <w:t>65%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的患者未再出现肝损伤</w:t>
      </w:r>
      <w:r>
        <w:rPr>
          <w:sz w:val="12"/>
          <w:szCs w:val="12"/>
          <w:color w:val="231F20"/>
          <w:spacing w:val="1"/>
          <w:position w:val="9"/>
        </w:rPr>
        <w:t>[51]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。因此，对于严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重免疫相关肝炎缓解后是否再次使用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治疗，需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审慎地评估风险与获益。</w:t>
      </w:r>
    </w:p>
    <w:p>
      <w:pPr>
        <w:pStyle w:val="BodyText"/>
        <w:ind w:left="677" w:right="298" w:firstLine="1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3.1.2</w:t>
      </w:r>
      <w:r>
        <w:rPr>
          <w:sz w:val="21"/>
          <w:szCs w:val="21"/>
          <w:color w:val="231F20"/>
          <w:spacing w:val="15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胃肠毒性  免疫相关性胃肠毒性是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的第二常见不良反应，通常表现为腹泻或结肠炎，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其中腹泻发生率高于结肠炎，症状通常在开始治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疗后</w:t>
      </w:r>
      <w:r>
        <w:rPr>
          <w:sz w:val="21"/>
          <w:szCs w:val="21"/>
          <w:color w:val="231F20"/>
          <w:spacing w:val="9"/>
        </w:rPr>
        <w:t>6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9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周内出现</w:t>
      </w:r>
      <w:r>
        <w:rPr>
          <w:sz w:val="12"/>
          <w:szCs w:val="12"/>
          <w:color w:val="231F20"/>
          <w:spacing w:val="9"/>
          <w:position w:val="9"/>
        </w:rPr>
        <w:t>[52]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。免疫相关性胃肠毒性是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2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抑制剂治疗中最常报道且最严重的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之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一，是导致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4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抑制剂停药最常见的原因，在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抑制剂输注的任意时间内均可发生。免疫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相关性胃肠毒性在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7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抑制剂中较少发生。非甾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体抗炎药的使用会增加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抑制剂导致的小肠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结肠炎发生风险。</w:t>
      </w:r>
    </w:p>
    <w:p>
      <w:pPr>
        <w:pStyle w:val="BodyText"/>
        <w:ind w:left="677" w:right="264" w:firstLine="1"/>
        <w:spacing w:before="6" w:line="29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3.1.2.1    </w:t>
      </w:r>
      <w:r>
        <w:rPr>
          <w:rFonts w:ascii="SimSun" w:hAnsi="SimSun" w:eastAsia="SimSun" w:cs="SimSun"/>
          <w:sz w:val="21"/>
          <w:szCs w:val="21"/>
          <w:color w:val="231F20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临床表现为腹泻或结肠炎。结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肠炎症状可能表现为腹痛伴腹泻、便血，黏液便以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及发热。口腔溃疡、肛门病变（瘘管、脓肿、裂痕）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和肠外表现（如关节痛、内分泌失调、皮肤疾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病、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肝炎、肾炎、心包炎和胰腺炎）可能与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制剂引起的小肠结肠炎有关。如果出现发热和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粪便中有血，应排除感染和其他胃肠道出血原因，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包括消化性溃疡病等。</w:t>
      </w:r>
    </w:p>
    <w:p>
      <w:pPr>
        <w:pStyle w:val="BodyText"/>
        <w:ind w:left="677" w:right="282" w:firstLine="1"/>
        <w:spacing w:before="101" w:line="29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3.1.2.2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诊断  确诊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相关胃肠毒性主要先进行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血常规和粪便实验室检查，包括有无贫血、血清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2"/>
        </w:rPr>
        <w:t>C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反应蛋白升高和血清白蛋白水平下降。同时需排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除其他引起腹泻的原因，如感染性和炎症性疾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病。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在开始英夫利西单抗治疗前需要行人类免疫缺陷病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毒（</w:t>
      </w:r>
      <w:r>
        <w:rPr>
          <w:sz w:val="21"/>
          <w:szCs w:val="21"/>
          <w:color w:val="231F20"/>
          <w:spacing w:val="-4"/>
        </w:rPr>
        <w:t>human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4"/>
        </w:rPr>
        <w:t>immunodeﬁciency virus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HI</w:t>
      </w:r>
      <w:r>
        <w:rPr>
          <w:sz w:val="21"/>
          <w:szCs w:val="21"/>
          <w:color w:val="231F20"/>
          <w:spacing w:val="-5"/>
        </w:rPr>
        <w:t>V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）、结核病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以及甲型、乙型和丙型肝炎等检测。</w:t>
      </w:r>
    </w:p>
    <w:p>
      <w:pPr>
        <w:ind w:left="703" w:right="280" w:firstLine="399"/>
        <w:spacing w:before="10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结肠镜检查是评估结肠炎程度最准确的方法。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内镜检查结果可以是正常黏膜或黏膜炎症，炎症范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16" w:firstLine="19"/>
        <w:spacing w:before="37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围可从轻度红斑到严重的炎症（黏膜质脆或溃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疡）。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病理组织学特征通常是固有层中明显混合的炎性细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胞浸润，包括中性粒细胞、淋巴细胞、浆细胞和嗜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酸性粒细胞，炎性部位趋于弥漫。小肠结肠炎应通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过乙状结肠镜或结肠镜活检来确认，病变通常为红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斑、糜烂和溃疡。结肠病变通常是广泛的，乙状结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肠和直肠受累多见，可观察到斑片状的不连续内镜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病变。</w:t>
      </w:r>
    </w:p>
    <w:p>
      <w:pPr>
        <w:pStyle w:val="BodyText"/>
        <w:ind w:right="32" w:firstLine="423"/>
        <w:spacing w:before="6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诱发的结肠炎计算机断层扫描（</w:t>
      </w:r>
      <w:r>
        <w:rPr>
          <w:sz w:val="21"/>
          <w:szCs w:val="21"/>
          <w:color w:val="231F20"/>
        </w:rPr>
        <w:t>computed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-2"/>
        </w:rPr>
        <w:t>tomography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）表现包括肠系膜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血管充血、肠壁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增厚和充满液体的结肠扩张。在正电子发射体层摄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影（</w:t>
      </w:r>
      <w:r>
        <w:rPr>
          <w:sz w:val="21"/>
          <w:szCs w:val="21"/>
          <w:color w:val="231F20"/>
          <w:spacing w:val="-6"/>
        </w:rPr>
        <w:t>positron emission to</w:t>
      </w:r>
      <w:r>
        <w:rPr>
          <w:sz w:val="21"/>
          <w:szCs w:val="21"/>
          <w:color w:val="231F20"/>
          <w:spacing w:val="-7"/>
        </w:rPr>
        <w:t>mography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PET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</w:t>
      </w:r>
      <w:r>
        <w:rPr>
          <w:sz w:val="21"/>
          <w:szCs w:val="21"/>
          <w:color w:val="231F20"/>
          <w:spacing w:val="-7"/>
        </w:rPr>
        <w:t>-CT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扫描中，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观察到结肠壁弥漫性增厚，结肠炎的分布多见于降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结肠。</w:t>
      </w:r>
    </w:p>
    <w:p>
      <w:pPr>
        <w:pStyle w:val="BodyText"/>
        <w:ind w:right="15" w:firstLine="6"/>
        <w:spacing w:before="8" w:line="30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3.1.2.3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鉴别诊断  主要鉴别诊断为胃肠道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感染、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肿瘤本身以及其他治疗药物引起的相应症状，尤其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是目前免疫治疗联合其他抗肿瘤药物比较多，需要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鉴别诊断如化疗药物引起的腹泻。对于严重腹泻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患者应行肠道致病菌和艰难梭菌毒素的粪便分析。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炎症标志物和粪便隐血试验（</w:t>
      </w:r>
      <w:r>
        <w:rPr>
          <w:sz w:val="21"/>
          <w:szCs w:val="21"/>
          <w:color w:val="231F20"/>
        </w:rPr>
        <w:t>fecal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</w:rPr>
        <w:t>occult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blood  </w:t>
      </w:r>
      <w:r>
        <w:rPr>
          <w:sz w:val="21"/>
          <w:szCs w:val="21"/>
          <w:color w:val="231F20"/>
          <w:spacing w:val="-2"/>
        </w:rPr>
        <w:t>test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FOBT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）可表明是否为炎症性腹泻。组织学图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像通常不同于在炎症性肠病（</w:t>
      </w:r>
      <w:r>
        <w:rPr>
          <w:sz w:val="21"/>
          <w:szCs w:val="21"/>
          <w:color w:val="231F20"/>
        </w:rPr>
        <w:t>in</w:t>
      </w:r>
      <w:r>
        <w:rPr>
          <w:sz w:val="21"/>
          <w:szCs w:val="21"/>
          <w:color w:val="231F20"/>
          <w:spacing w:val="12"/>
        </w:rPr>
        <w:t>ﬂ</w:t>
      </w:r>
      <w:r>
        <w:rPr>
          <w:sz w:val="21"/>
          <w:szCs w:val="21"/>
          <w:color w:val="231F20"/>
        </w:rPr>
        <w:t>ammatory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</w:rPr>
        <w:t>bowel  </w:t>
      </w:r>
      <w:r>
        <w:rPr>
          <w:sz w:val="21"/>
          <w:szCs w:val="21"/>
          <w:color w:val="231F20"/>
        </w:rPr>
        <w:t>disease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</w:rPr>
        <w:t>IBD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）中观察到的图像，多表现为急性结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肠炎（中性粒细胞、嗜酸性粒细胞浸润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弥漫性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或局灶性隐窝性脓肿。首次输注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后可能出现短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暂性腹泻，但非免疫介导性，应加以区分。</w:t>
      </w:r>
    </w:p>
    <w:p>
      <w:pPr>
        <w:pStyle w:val="BodyText"/>
        <w:ind w:left="6"/>
        <w:spacing w:before="10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3.1.2.4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5" w:firstLine="1"/>
        <w:spacing w:before="103" w:line="29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3.1.2.5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腹泻、结肠炎最常见于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制剂单药治疗及与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抑制剂的联合治疗。发生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率从单一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7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抑制剂治疗的</w:t>
      </w:r>
      <w:r>
        <w:rPr>
          <w:sz w:val="21"/>
          <w:szCs w:val="21"/>
          <w:color w:val="231F20"/>
          <w:spacing w:val="7"/>
        </w:rPr>
        <w:t>30%</w:t>
      </w:r>
      <w:r>
        <w:rPr>
          <w:sz w:val="21"/>
          <w:szCs w:val="21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（任何级别）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到</w:t>
      </w:r>
      <w:r>
        <w:rPr>
          <w:sz w:val="21"/>
          <w:szCs w:val="21"/>
          <w:color w:val="231F20"/>
          <w:spacing w:val="-4"/>
        </w:rPr>
        <w:t>CTLA-4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抑制剂联合</w:t>
      </w:r>
      <w:r>
        <w:rPr>
          <w:sz w:val="21"/>
          <w:szCs w:val="21"/>
          <w:color w:val="231F20"/>
          <w:spacing w:val="-4"/>
        </w:rPr>
        <w:t>PD-1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抑制剂治疗的约</w:t>
      </w:r>
      <w:r>
        <w:rPr>
          <w:sz w:val="21"/>
          <w:szCs w:val="21"/>
          <w:color w:val="231F20"/>
          <w:spacing w:val="-4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（任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何级别）不等。值得注意的是，这种性质的胃肠道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不良反应在单独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抑制剂治疗中并不常见，其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中不足</w:t>
      </w:r>
      <w:r>
        <w:rPr>
          <w:sz w:val="21"/>
          <w:szCs w:val="21"/>
          <w:color w:val="231F20"/>
        </w:rPr>
        <w:t>20%</w:t>
      </w:r>
      <w:r>
        <w:rPr>
          <w:rFonts w:ascii="SimSun" w:hAnsi="SimSun" w:eastAsia="SimSun" w:cs="SimSun"/>
          <w:sz w:val="21"/>
          <w:szCs w:val="21"/>
          <w:color w:val="231F20"/>
        </w:rPr>
        <w:t>的患者出现腹泻、结肠炎</w:t>
      </w:r>
      <w:r>
        <w:rPr>
          <w:sz w:val="12"/>
          <w:szCs w:val="12"/>
          <w:color w:val="231F20"/>
          <w:position w:val="9"/>
        </w:rPr>
        <w:t>[53] </w:t>
      </w:r>
      <w:r>
        <w:rPr>
          <w:rFonts w:ascii="SimSun" w:hAnsi="SimSun" w:eastAsia="SimSun" w:cs="SimSun"/>
          <w:sz w:val="21"/>
          <w:szCs w:val="21"/>
          <w:color w:val="231F20"/>
        </w:rPr>
        <w:t>。症状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表现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从大便次数的轻微增加、腹泻，到脱水甚至需要住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院治疗。仔细评估患者的排便习惯对于早期发现和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干预胃肠毒性至关重要</w:t>
      </w:r>
      <w:r>
        <w:rPr>
          <w:sz w:val="12"/>
          <w:szCs w:val="12"/>
          <w:color w:val="231F20"/>
          <w:position w:val="9"/>
        </w:rPr>
        <w:t>[54]</w:t>
      </w:r>
      <w:r>
        <w:rPr>
          <w:rFonts w:ascii="SimSun" w:hAnsi="SimSun" w:eastAsia="SimSun" w:cs="SimSun"/>
          <w:sz w:val="21"/>
          <w:szCs w:val="21"/>
          <w:color w:val="231F20"/>
        </w:rPr>
        <w:t>。临床医生应同时评估患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者排便次数和粪便的黏稠度，临床重要提示信息包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括便血、黏液便、发热、腹痛和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或脱水迹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象（低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血压、虚脱）。大多数</w:t>
      </w:r>
      <w:r>
        <w:rPr>
          <w:sz w:val="21"/>
          <w:szCs w:val="21"/>
          <w:color w:val="231F20"/>
          <w:spacing w:val="-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级腹泻患者（排大便次数每</w:t>
      </w:r>
    </w:p>
    <w:p>
      <w:pPr>
        <w:spacing w:line="298" w:lineRule="auto"/>
        <w:sectPr>
          <w:type w:val="continuous"/>
          <w:pgSz w:w="11906" w:h="16158"/>
          <w:pgMar w:top="1233" w:right="1043" w:bottom="0" w:left="407" w:header="772" w:footer="0" w:gutter="0"/>
          <w:cols w:equalWidth="0" w:num="2">
            <w:col w:w="5646" w:space="100"/>
            <w:col w:w="470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574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治疗中需引起重视的症状和体征（新发或较前加重）：</w:t>
      </w:r>
    </w:p>
    <w:p>
      <w:pPr>
        <w:pStyle w:val="BodyText"/>
        <w:ind w:left="357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腹泻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</w:p>
    <w:p>
      <w:pPr>
        <w:pStyle w:val="BodyText"/>
        <w:ind w:left="3578" w:right="5765"/>
        <w:spacing w:before="9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便血或血便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腹痛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092" w:right="5681" w:firstLine="1"/>
        <w:spacing w:before="52" w:line="234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完善相关检查</w:t>
      </w:r>
      <w:r>
        <w:rPr>
          <w:sz w:val="9"/>
          <w:szCs w:val="9"/>
          <w:color w:val="231F20"/>
          <w:position w:val="7"/>
        </w:rPr>
        <w:t>*</w:t>
      </w:r>
      <w:r>
        <w:rPr>
          <w:sz w:val="9"/>
          <w:szCs w:val="9"/>
          <w:color w:val="231F20"/>
          <w:spacing w:val="17"/>
          <w:w w:val="103"/>
          <w:position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：排除其他原因引起的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腹泻，如胃肠道感染、炎症性肠病、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肿瘤、其他药物等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9138"/>
        <w:spacing w:line="202" w:lineRule="exact"/>
        <w:rPr/>
      </w:pPr>
      <w:r>
        <w:pict>
          <v:shape id="_x0000_s42" style="position:absolute;margin-left:85.8992pt;margin-top:0.259858pt;mso-position-vertical-relative:text;mso-position-horizontal-relative:text;width:0.5pt;height:10.15pt;z-index:251734016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44" style="position:absolute;margin-left:196.435pt;margin-top:0.259858pt;mso-position-vertical-relative:text;mso-position-horizontal-relative:text;width:0.5pt;height:10.15pt;z-index:251736064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46" style="position:absolute;margin-left:321.143pt;margin-top:0.259858pt;mso-position-vertical-relative:text;mso-position-horizontal-relative:text;width:0.5pt;height:10.15pt;z-index:251735040;" filled="false" strokecolor="#231F20" strokeweight="0.50pt" coordsize="10,202" coordorigin="0,0" path="m5,0l5,202e">
            <v:stroke joinstyle="miter" miterlimit="10"/>
          </v:shape>
        </w:pict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-1369058</wp:posOffset>
            </wp:positionV>
            <wp:extent cx="6155397" cy="465720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465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50" cy="12828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94"/>
        <w:spacing w:before="202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8" style="position:absolute;margin-left:42.3982pt;margin-top:9.10612pt;mso-position-vertical-relative:text;mso-position-horizontal-relative:text;width:21.25pt;height:11.6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9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9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9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50" style="position:absolute;margin-left:262.861pt;margin-top:9.10612pt;mso-position-vertical-relative:text;mso-position-horizontal-relative:text;width:21.85pt;height:11.6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5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52" style="position:absolute;margin-left:149.331pt;margin-top:9.10612pt;mso-position-vertical-relative:text;mso-position-horizontal-relative:text;width:22pt;height:11.6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54" style="position:absolute;margin-left:149.603pt;margin-top:19.1061pt;mso-position-vertical-relative:text;mso-position-horizontal-relative:text;width:74.7pt;height:31.5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腹痛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；</w:t>
                  </w:r>
                </w:p>
                <w:p>
                  <w:pPr>
                    <w:pStyle w:val="BodyText"/>
                    <w:spacing w:before="9"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大便黏液或带血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腹泻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次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/d</w:t>
                  </w:r>
                </w:p>
              </w:txbxContent>
            </v:textbox>
          </v:shape>
        </w:pict>
      </w:r>
      <w:r>
        <w:pict>
          <v:shape id="_x0000_s56" style="position:absolute;margin-left:41.9022pt;margin-top:19.1061pt;mso-position-vertical-relative:text;mso-position-horizontal-relative:text;width:54.8pt;height:21.5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无症状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>腹泻≤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>次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/d</w:t>
                  </w:r>
                </w:p>
              </w:txbxContent>
            </v:textbox>
          </v:shape>
        </w:pict>
      </w:r>
      <w:r>
        <w:pict>
          <v:shape id="_x0000_s58" style="position:absolute;margin-left:262.973pt;margin-top:19.1061pt;mso-position-vertical-relative:text;mso-position-horizontal-relative:text;width:82.7pt;height:51.5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剧烈腹痛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大便习惯改变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spacing w:before="10" w:line="219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需要药物干预治疗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腹膜刺激征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腹泻≥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次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/d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4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</w:p>
    <w:p>
      <w:pPr>
        <w:pStyle w:val="BodyText"/>
        <w:ind w:left="8000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症状危及生命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000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需要紧急干预治疗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9138"/>
        <w:spacing w:before="1" w:line="202" w:lineRule="exact"/>
        <w:rPr/>
      </w:pPr>
      <w:r>
        <w:pict>
          <v:shape id="_x0000_s60" style="position:absolute;margin-left:196.435pt;margin-top:0.272202pt;mso-position-vertical-relative:text;mso-position-horizontal-relative:text;width:0.5pt;height:10.15pt;z-index:251739136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62" style="position:absolute;margin-left:85.8992pt;margin-top:0.272202pt;mso-position-vertical-relative:text;mso-position-horizontal-relative:text;width:0.5pt;height:10.15pt;z-index:251738112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64" style="position:absolute;margin-left:321.143pt;margin-top:0.272202pt;mso-position-vertical-relative:text;mso-position-horizontal-relative:text;width:0.5pt;height:10.15pt;z-index:251737088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66" style="position:absolute;margin-left:151.493pt;margin-top:19.3685pt;mso-position-vertical-relative:text;mso-position-horizontal-relative:text;width:96.35pt;height:81.5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暂停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spacing w:before="9" w:line="21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•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8"/>
                    </w:rPr>
                    <w:t>口服泼尼松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1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8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  <w:w w:val="87"/>
                    </w:rPr>
                    <w:t>）；</w:t>
                  </w:r>
                </w:p>
                <w:p>
                  <w:pPr>
                    <w:pStyle w:val="BodyText"/>
                    <w:ind w:left="197" w:right="64" w:hanging="177"/>
                    <w:spacing w:before="16" w:line="228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如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48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72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激素治疗无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改善或加重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：增加剂量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至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考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虑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加用英夫利西单抗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9"/>
                    </w:rPr>
                    <w:t>实验室检查和粪便检查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9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8"/>
                    </w:rPr>
                    <w:t>预约结肠镜检查和活检</w:t>
                  </w:r>
                </w:p>
              </w:txbxContent>
            </v:textbox>
          </v:shape>
        </w:pict>
      </w:r>
      <w:r>
        <w:pict>
          <v:shape id="_x0000_s68" style="position:absolute;margin-left:41.9022pt;margin-top:19.3685pt;mso-position-vertical-relative:text;mso-position-horizontal-relative:text;width:91.3pt;height:121.5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197" w:right="34" w:hanging="178"/>
                    <w:spacing w:before="8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必要时口服补液、使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用止泻药物对症处理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避免高纤维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乳糖饮食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；</w:t>
                  </w:r>
                </w:p>
                <w:p>
                  <w:pPr>
                    <w:pStyle w:val="BodyText"/>
                    <w:ind w:left="197" w:right="20" w:hanging="178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实验室检查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：血常规、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8"/>
                    </w:rPr>
                    <w:t>肝肾功能、电解质、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甲状腺功能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97" w:right="20" w:hanging="178"/>
                    <w:spacing w:before="7" w:line="22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粪便检查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：镜检白细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0"/>
                      <w:w w:val="96"/>
                    </w:rPr>
                    <w:t>胞、红细胞、潜血、虫卵、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寄生虫、病毒、艰难梭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菌霉素、隐孢子虫和培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养耐药病原体</w:t>
                  </w:r>
                </w:p>
              </w:txbxContent>
            </v:textbox>
          </v:shape>
        </w:pict>
      </w:r>
      <w:r>
        <w:pict>
          <v:shape id="_x0000_s70" style="position:absolute;margin-left:262.973pt;margin-top:19.3685pt;mso-position-vertical-relative:text;mso-position-horizontal-relative:text;width:120.3pt;height:151.5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停用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建议住院治疗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spacing w:before="9" w:line="21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静脉应用甲泼尼龙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  <w:w w:val="87"/>
                    </w:rPr>
                    <w:t>）；</w:t>
                  </w:r>
                </w:p>
                <w:p>
                  <w:pPr>
                    <w:pStyle w:val="BodyText"/>
                    <w:ind w:left="196" w:right="45" w:hanging="176"/>
                    <w:spacing w:before="16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如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48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h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激素治疗无改善或加重，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在继续应用激素的同时考虑加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用英夫利西单抗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0" w:right="101" w:hanging="180"/>
                    <w:spacing w:before="9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如果英夫利西单抗耐药，考虑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维多珠单抗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实验室检查和粪便检查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196" w:right="89" w:hanging="176"/>
                    <w:spacing w:before="10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有结肠炎体征推荐腹盆腔增强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预约结肠镜检查和活检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16" w:right="102" w:hanging="196"/>
                    <w:spacing w:before="9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每天复查血常规、肝肾功能和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电解质、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CRP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饮食指导（禁食、全肠外营养）</w:t>
                  </w:r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6350" cy="12828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00"/>
        <w:spacing w:before="205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建议永久停用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8000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建议住院治疗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8000"/>
        <w:spacing w:before="10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静脉应用甲泼尼龙</w:t>
      </w:r>
      <w:r>
        <w:rPr>
          <w:sz w:val="16"/>
          <w:szCs w:val="16"/>
          <w:color w:val="231F20"/>
          <w:spacing w:val="-7"/>
        </w:rPr>
        <w:t>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mg/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（</w:t>
      </w:r>
      <w:r>
        <w:rPr>
          <w:sz w:val="16"/>
          <w:szCs w:val="16"/>
          <w:color w:val="231F20"/>
          <w:spacing w:val="-7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>）；</w:t>
      </w:r>
    </w:p>
    <w:p>
      <w:pPr>
        <w:pStyle w:val="BodyText"/>
        <w:ind w:left="8176" w:right="138" w:hanging="176"/>
        <w:spacing w:before="16" w:line="22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如</w:t>
      </w:r>
      <w:r>
        <w:rPr>
          <w:sz w:val="16"/>
          <w:szCs w:val="16"/>
          <w:color w:val="231F20"/>
          <w:spacing w:val="-2"/>
        </w:rPr>
        <w:t>48 h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激素治疗无改善或加重：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在继续应用激素的同时考虑加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用英夫利西单抗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8180" w:right="193" w:hanging="180"/>
        <w:spacing w:before="10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如果英夫利西单抗耐药，考虑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维多珠单抗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000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实验室检查和粪便检查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8176" w:right="182" w:hanging="176"/>
        <w:spacing w:before="10" w:line="22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有结肠炎体征推荐腹盆腔增强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2"/>
        </w:rPr>
        <w:t>CT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000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预约结肠镜检查和活检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8196" w:right="195" w:hanging="196"/>
        <w:spacing w:before="9" w:line="22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每天复查血常规、肝肾功能和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电解质、</w:t>
      </w:r>
      <w:r>
        <w:rPr>
          <w:sz w:val="16"/>
          <w:szCs w:val="16"/>
          <w:color w:val="231F20"/>
          <w:spacing w:val="-3"/>
        </w:rPr>
        <w:t>CRP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8000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饮食指导（禁食、全肠外营养）</w:t>
      </w:r>
    </w:p>
    <w:p>
      <w:pPr>
        <w:spacing w:before="22"/>
        <w:rPr/>
      </w:pPr>
      <w:r/>
    </w:p>
    <w:tbl>
      <w:tblPr>
        <w:tblStyle w:val="TableNormal"/>
        <w:tblW w:w="9683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120"/>
              <w:spacing w:before="108" w:line="225" w:lineRule="auto"/>
              <w:rPr/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1"/>
                <w:position w:val="7"/>
              </w:rPr>
              <w:t>*</w:t>
            </w:r>
            <w:r>
              <w:rPr>
                <w:color w:val="231F20"/>
                <w:spacing w:val="-1"/>
              </w:rPr>
              <w:t>排除其他原因引起的腹泻的相关检查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"/>
              </w:rPr>
              <w:t>：血液炎症指标及粪便检查、钙卫蛋白</w:t>
            </w:r>
            <w:r>
              <w:rPr>
                <w:color w:val="231F20"/>
                <w:spacing w:val="-2"/>
              </w:rPr>
              <w:t>等，影像学检查如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CT</w:t>
            </w:r>
            <w:r>
              <w:rPr>
                <w:color w:val="231F20"/>
                <w:spacing w:val="-2"/>
              </w:rPr>
              <w:t>等。</w:t>
            </w:r>
          </w:p>
        </w:tc>
      </w:tr>
    </w:tbl>
    <w:p>
      <w:pPr>
        <w:pStyle w:val="BodyText"/>
        <w:ind w:left="4242"/>
        <w:spacing w:before="17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2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相关胃肠毒性的诊疗流程</w:t>
      </w:r>
    </w:p>
    <w:p>
      <w:pPr>
        <w:pStyle w:val="BodyText"/>
        <w:ind w:left="1057"/>
        <w:spacing w:before="48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为计算机断层扫描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CRP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</w:t>
      </w:r>
      <w:r>
        <w:rPr>
          <w:sz w:val="16"/>
          <w:szCs w:val="16"/>
          <w:color w:val="231F20"/>
          <w:spacing w:val="-4"/>
        </w:rPr>
        <w:t>C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反应蛋白。</w:t>
      </w: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28"/>
          <w:pgSz w:w="11906" w:h="16158"/>
          <w:pgMar w:top="1233" w:right="1019" w:bottom="0" w:left="407" w:header="772" w:footer="0" w:gutter="0"/>
          <w:cols w:equalWidth="0" w:num="1">
            <w:col w:w="10478" w:space="0"/>
          </w:cols>
        </w:sectPr>
        <w:rPr/>
      </w:pPr>
    </w:p>
    <w:p>
      <w:pPr>
        <w:pStyle w:val="BodyText"/>
        <w:ind w:left="734" w:right="302" w:hanging="4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小时增加不超过</w:t>
      </w:r>
      <w:r>
        <w:rPr>
          <w:sz w:val="21"/>
          <w:szCs w:val="21"/>
          <w:color w:val="231F20"/>
          <w:spacing w:val="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次）可采用保守方法治疗，其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中包括清淡低纤维饮食，增加液体量，同时密切监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测粪便量有无增加。对于使用糖皮质激素治疗有效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</w:t>
      </w:r>
      <w:r>
        <w:rPr>
          <w:sz w:val="21"/>
          <w:szCs w:val="21"/>
          <w:color w:val="231F20"/>
          <w:spacing w:val="-6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相关肠炎，中度患者应在</w:t>
      </w:r>
      <w:r>
        <w:rPr>
          <w:sz w:val="21"/>
          <w:szCs w:val="21"/>
          <w:color w:val="231F20"/>
          <w:spacing w:val="-6"/>
        </w:rPr>
        <w:t>2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周内逐渐减停，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重度患者调整为口服后在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2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周内减停，并监测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血糖，补充维生素</w:t>
      </w:r>
      <w:r>
        <w:rPr>
          <w:sz w:val="21"/>
          <w:szCs w:val="21"/>
          <w:color w:val="231F20"/>
          <w:spacing w:val="1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和钙，以降低感染、骨质疏松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等激素相关不良事件的发生风险。</w:t>
      </w:r>
    </w:p>
    <w:p>
      <w:pPr>
        <w:pStyle w:val="BodyText"/>
        <w:ind w:left="733" w:right="360" w:firstLine="1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3.1.2.6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预防  根据现有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研究，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抑制剂的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胃肠道不良反应发生风险远高于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-1/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-L1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剂，并且可发生于治疗过程中的任意时间，甚至治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疗结束后数月。而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-1/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-L1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抑制剂的胃肠道不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良反应发生的中位时间为用药后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个月。以上两类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药物的联合使用会增加胃肠道不良反应的发生风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险，并导致发生时间提前。</w:t>
      </w:r>
    </w:p>
    <w:p>
      <w:pPr>
        <w:ind w:left="1165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临床上为了降低治疗风险，保证治疗顺利进行，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8" w:firstLine="1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筛选出发生严重免疫相关胃肠道不良反应的高危人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群，有效预防胃肠道不良反应是临床医生首要关注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的问题。目前尚无准确的免疫相关胃肠道不良反应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发生风险的预测因子及有效预防手段。</w:t>
      </w:r>
    </w:p>
    <w:p>
      <w:pPr>
        <w:pStyle w:val="BodyText"/>
        <w:ind w:left="1" w:firstLine="420"/>
        <w:spacing w:before="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伴</w:t>
      </w:r>
      <w:r>
        <w:rPr>
          <w:sz w:val="21"/>
          <w:szCs w:val="21"/>
          <w:color w:val="231F20"/>
        </w:rPr>
        <w:t>IBD</w:t>
      </w:r>
      <w:r>
        <w:rPr>
          <w:rFonts w:ascii="SimSun" w:hAnsi="SimSun" w:eastAsia="SimSun" w:cs="SimSun"/>
          <w:sz w:val="21"/>
          <w:szCs w:val="21"/>
          <w:color w:val="231F20"/>
        </w:rPr>
        <w:t>的患者使用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，约有</w:t>
      </w:r>
      <w:r>
        <w:rPr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的患者病情复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发，大多数复发患者需要类固醇皮质激素治疗或停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。这提示伴</w:t>
      </w:r>
      <w:r>
        <w:rPr>
          <w:sz w:val="21"/>
          <w:szCs w:val="21"/>
          <w:color w:val="231F20"/>
        </w:rPr>
        <w:t>IBD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患者使用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治疗时，需密切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关注疾病复发风险，并及时联想到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的可能性，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尽早停用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并给予激素干预。</w:t>
      </w:r>
    </w:p>
    <w:p>
      <w:pPr>
        <w:pStyle w:val="BodyText"/>
        <w:ind w:firstLine="1"/>
        <w:spacing w:before="1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3.1.2.7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其他参考意见  消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化道是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的常见受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累部位，对于出现腹泻和结肠炎的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治疗患者，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应通过血常规、电解质、肝肾功能等血液学检查评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估一般情况，并完善粪便病原学检查除外感染。轻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度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相关结肠炎患者的症状可通过对症治疗缓解，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对于持续不缓解的患者给予口服糖皮质激素具有良</w:t>
      </w:r>
    </w:p>
    <w:p>
      <w:pPr>
        <w:spacing w:line="287" w:lineRule="auto"/>
        <w:sectPr>
          <w:type w:val="continuous"/>
          <w:pgSz w:w="11906" w:h="16158"/>
          <w:pgMar w:top="1233" w:right="1019" w:bottom="0" w:left="407" w:header="772" w:footer="0" w:gutter="0"/>
          <w:cols w:equalWidth="0" w:num="2">
            <w:col w:w="5707" w:space="100"/>
            <w:col w:w="467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32"/>
          <w:pgSz w:w="11906" w:h="16158"/>
          <w:pgMar w:top="1233" w:right="1042" w:bottom="0" w:left="407" w:header="772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677" w:right="262"/>
        <w:spacing w:before="3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好效果。症状严重者需要静脉应用甲泼尼龙，症状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缓解后可改为口服并逐渐减量。如果糖皮质激素治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疗</w:t>
      </w:r>
      <w:r>
        <w:rPr>
          <w:sz w:val="21"/>
          <w:szCs w:val="21"/>
          <w:color w:val="231F20"/>
          <w:spacing w:val="-2"/>
        </w:rPr>
        <w:t>48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72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2"/>
        </w:rPr>
        <w:t>h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相关肠炎无明显改善，或者减量即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导致症状复发，此时可考虑增加免疫抑制剂。研究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建议使用英夫利西单抗治疗严重、难治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相关结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肠炎。大多数患者仅需英夫利西单抗单次给药即可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改善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。但是，部分患者需要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周后再接受第二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剂药物治疗。英夫利西单抗适用于激素治疗无效的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患者，通常剂量为</w:t>
      </w:r>
      <w:r>
        <w:rPr>
          <w:sz w:val="21"/>
          <w:szCs w:val="21"/>
          <w:color w:val="231F20"/>
          <w:spacing w:val="5"/>
        </w:rPr>
        <w:t>5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5"/>
        </w:rPr>
        <w:t>/</w:t>
      </w:r>
      <w:r>
        <w:rPr>
          <w:sz w:val="21"/>
          <w:szCs w:val="21"/>
          <w:color w:val="231F20"/>
        </w:rPr>
        <w:t>kg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，由于存在加重感染和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导致心力衰竭的风险，应在使用前完善相关检查除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外穿孔、结核、严重感染及心功能不全等因素。</w:t>
      </w:r>
    </w:p>
    <w:p>
      <w:pPr>
        <w:pStyle w:val="BodyText"/>
        <w:ind w:left="678" w:right="203" w:firstLine="423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维多珠单抗是一种针对整合素</w:t>
      </w:r>
      <w:r>
        <w:rPr>
          <w:sz w:val="21"/>
          <w:szCs w:val="21"/>
          <w:color w:val="231F20"/>
          <w:spacing w:val="9"/>
        </w:rPr>
        <w:t>α4β7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的单克隆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抗体，可抑制</w:t>
      </w:r>
      <w:r>
        <w:rPr>
          <w:sz w:val="21"/>
          <w:szCs w:val="21"/>
          <w:color w:val="231F20"/>
          <w:spacing w:val="6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淋巴细胞向发炎的胃肠黏膜迁移，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可代替英夫利西单抗用于治疗免疫性结肠炎。理论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上，维多珠单抗的优势在于免疫抑制仅限于胃肠道，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而不会产生全身性免疫抑制。维多珠单抗作为选择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性肠道整合素抑制剂，相对于英夫利西单抗的全身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影响以及对潜伏性结核再激活的风险更小，但起效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4"/>
        </w:rPr>
        <w:t>较慢</w:t>
      </w:r>
      <w:r>
        <w:rPr>
          <w:sz w:val="12"/>
          <w:szCs w:val="12"/>
          <w:color w:val="231F20"/>
          <w:spacing w:val="-1"/>
          <w:position w:val="5"/>
        </w:rPr>
        <w:t>[55-56]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4"/>
        </w:rPr>
        <w:t>。</w:t>
      </w:r>
    </w:p>
    <w:p>
      <w:pPr>
        <w:pStyle w:val="BodyText"/>
        <w:ind w:left="673" w:right="187" w:firstLine="5"/>
        <w:spacing w:before="1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3.1.3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胰腺毒性  胰腺毒性包括无症状性血淀粉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酶、脂肪酶升高和急性胰腺炎。荟萃分析结果显示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4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导致的胰腺损伤比较少见，发生率为</w:t>
      </w:r>
      <w:r>
        <w:rPr>
          <w:sz w:val="21"/>
          <w:szCs w:val="21"/>
          <w:color w:val="231F20"/>
          <w:spacing w:val="-14"/>
        </w:rPr>
        <w:t>2%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-14"/>
        </w:rPr>
        <w:t>3%</w:t>
      </w:r>
      <w:r>
        <w:rPr>
          <w:sz w:val="12"/>
          <w:szCs w:val="12"/>
          <w:color w:val="231F20"/>
          <w:spacing w:val="-1"/>
          <w:position w:val="9"/>
        </w:rPr>
        <w:t>[57-58]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多数表现为无症状的脂肪酶升高，通常与其他</w:t>
      </w:r>
      <w:r>
        <w:rPr>
          <w:sz w:val="21"/>
          <w:szCs w:val="21"/>
          <w:color w:val="231F20"/>
          <w:spacing w:val="-3"/>
        </w:rPr>
        <w:t>irAEs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相关，尤其是小肠结肠炎（</w:t>
      </w:r>
      <w:r>
        <w:rPr>
          <w:sz w:val="21"/>
          <w:szCs w:val="21"/>
          <w:color w:val="231F20"/>
          <w:spacing w:val="-9"/>
        </w:rPr>
        <w:t>33%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）和肝炎（</w:t>
      </w:r>
      <w:r>
        <w:rPr>
          <w:sz w:val="21"/>
          <w:szCs w:val="21"/>
          <w:color w:val="231F20"/>
          <w:spacing w:val="-9"/>
        </w:rPr>
        <w:t>21%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</w:t>
      </w:r>
      <w:r>
        <w:rPr>
          <w:sz w:val="12"/>
          <w:szCs w:val="12"/>
          <w:color w:val="231F20"/>
          <w:spacing w:val="-9"/>
          <w:position w:val="9"/>
        </w:rPr>
        <w:t>[59]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联合治疗或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2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抑制剂治疗的免疫相关胰腺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损伤发生率高于其他单药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</w:t>
      </w:r>
      <w:r>
        <w:rPr>
          <w:sz w:val="12"/>
          <w:szCs w:val="12"/>
          <w:color w:val="231F20"/>
          <w:spacing w:val="6"/>
          <w:position w:val="9"/>
        </w:rPr>
        <w:t>[57]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。少数患者可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能会出现长期的损伤，包括慢性胰腺炎、</w:t>
      </w:r>
      <w:r>
        <w:rPr>
          <w:sz w:val="21"/>
          <w:szCs w:val="21"/>
          <w:color w:val="231F20"/>
          <w:spacing w:val="-1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型糖尿病、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胰腺外分泌功能不全等。无症状性血淀粉酶、脂肪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酶升高无需特殊处理，亦无需在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首次用药前进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行基线检查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；如存在影像学</w:t>
      </w:r>
      <w:r>
        <w:rPr>
          <w:sz w:val="21"/>
          <w:szCs w:val="21"/>
          <w:color w:val="231F20"/>
          <w:spacing w:val="1"/>
        </w:rPr>
        <w:t>[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或磁共振胰胆管成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像（</w:t>
      </w:r>
      <w:r>
        <w:rPr>
          <w:sz w:val="21"/>
          <w:szCs w:val="21"/>
          <w:color w:val="231F20"/>
        </w:rPr>
        <w:t>magnetic</w:t>
      </w:r>
      <w:r>
        <w:rPr>
          <w:sz w:val="21"/>
          <w:szCs w:val="21"/>
          <w:color w:val="231F20"/>
          <w:spacing w:val="25"/>
          <w:w w:val="101"/>
        </w:rPr>
        <w:t xml:space="preserve"> </w:t>
      </w:r>
      <w:r>
        <w:rPr>
          <w:sz w:val="21"/>
          <w:szCs w:val="21"/>
          <w:color w:val="231F20"/>
        </w:rPr>
        <w:t>resonance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sz w:val="21"/>
          <w:szCs w:val="21"/>
          <w:color w:val="231F20"/>
        </w:rPr>
        <w:t>cholangiopancreatography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MRCP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</w:t>
      </w:r>
      <w:r>
        <w:rPr>
          <w:sz w:val="21"/>
          <w:szCs w:val="21"/>
          <w:color w:val="231F20"/>
          <w:spacing w:val="-7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胰腺炎的表现，即按急性胰腺炎进行处理。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总体而言，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级急性胰腺炎无需特殊处理，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级及以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上胰腺毒性给予甲泼尼龙或泼尼松治疗，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级胰腺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毒性可在毒性恢复后重启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治疗，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级及以上胰腺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炎则建议永久停用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8" w:right="262"/>
        <w:spacing w:before="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3.1.3.1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临床表现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相关胰腺炎的症状通常以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上腹痛为主，可放射至背部，约</w:t>
      </w:r>
      <w:r>
        <w:rPr>
          <w:sz w:val="21"/>
          <w:szCs w:val="21"/>
          <w:color w:val="231F20"/>
          <w:spacing w:val="1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的患者会出现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放射至胸部或侧腹的疼痛，伴随恶心、呕吐、发热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和腹泻等症状。体格检查结果可能包括皮肤巩膜黄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0" w:right="90" w:firstLine="2"/>
        <w:spacing w:before="3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染、腹部压痛、腹胀、肠鸣音减弱等。此外，重症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患者可能会出现低血压、呼吸急促、低氧血症、心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动过速。</w:t>
      </w:r>
    </w:p>
    <w:p>
      <w:pPr>
        <w:pStyle w:val="BodyText"/>
        <w:ind w:firstLine="99"/>
        <w:spacing w:before="13" w:line="307" w:lineRule="auto"/>
        <w:tabs>
          <w:tab w:val="left" w:pos="91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3.1.3.2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诊断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相关胰腺炎的诊断是排除性诊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断。鉴别诊断包括胰腺转移性肿瘤和其他原因所致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胰腺损伤，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例如酒精、高甘油三酯血症、胆道结石、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自身免疫性胰腺炎、胰腺实质肿瘤病变、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以外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的药物等引起的胰腺炎。鉴别诊断基于病史、血液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生化检查和影像学检查（超声、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-2"/>
        </w:rPr>
        <w:t>CT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，必要时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包括内镜下胰腺穿刺活检）结果。急性胰腺炎的诊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断标准包括以下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：①上腹部持续性疼痛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；②血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清淀粉酶和</w:t>
      </w:r>
      <w:r>
        <w:rPr>
          <w:sz w:val="21"/>
          <w:szCs w:val="21"/>
          <w:color w:val="231F20"/>
          <w:spacing w:val="-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或脂肪酶浓度高于</w:t>
      </w:r>
      <w:r>
        <w:rPr>
          <w:sz w:val="21"/>
          <w:szCs w:val="21"/>
          <w:color w:val="231F20"/>
          <w:spacing w:val="-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倍正常值上限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③腹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部影像学检查结果显示符合急性胰腺炎影像学改变。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上述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项标准中符合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项即可诊断为急性胰腺炎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清淀粉酶和</w:t>
      </w:r>
      <w:r>
        <w:rPr>
          <w:sz w:val="21"/>
          <w:szCs w:val="21"/>
          <w:color w:val="231F20"/>
          <w:spacing w:val="1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或脂肪酶水平升高可能没有症状或影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像学异常。因此， </w:t>
      </w:r>
      <w:r>
        <w:rPr>
          <w:sz w:val="21"/>
          <w:szCs w:val="21"/>
          <w:color w:val="231F20"/>
          <w:spacing w:val="-1"/>
        </w:rPr>
        <w:t>2020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年版美国国家综合癌症网络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National</w:t>
      </w:r>
      <w:r>
        <w:rPr>
          <w:sz w:val="21"/>
          <w:szCs w:val="21"/>
          <w:color w:val="231F20"/>
          <w:spacing w:val="33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Comprehensive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Cancer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"/>
        </w:rPr>
        <w:t>Network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NCCN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指南不建议在基线或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治疗期间对胰腺酶水平进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行常规监测。但是，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相关胰腺毒性在发生其他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不良事件的患者中更为常见</w:t>
      </w:r>
      <w:r>
        <w:rPr>
          <w:sz w:val="12"/>
          <w:szCs w:val="12"/>
          <w:color w:val="231F20"/>
          <w:spacing w:val="4"/>
          <w:position w:val="9"/>
        </w:rPr>
        <w:t>[59]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。因此，建议在非胰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腺相关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的患者中常规监测淀粉酶和脂肪酶水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平以及腹部成像</w:t>
      </w:r>
      <w:r>
        <w:rPr>
          <w:sz w:val="21"/>
          <w:szCs w:val="21"/>
          <w:color w:val="231F20"/>
          <w:spacing w:val="1"/>
        </w:rPr>
        <w:t>[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超声、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、磁共振成像（</w:t>
      </w:r>
      <w:r>
        <w:rPr>
          <w:sz w:val="21"/>
          <w:szCs w:val="21"/>
          <w:color w:val="231F20"/>
        </w:rPr>
        <w:t>magnetic</w:t>
      </w:r>
      <w:r>
        <w:rPr>
          <w:sz w:val="21"/>
          <w:szCs w:val="21"/>
          <w:color w:val="231F20"/>
          <w:spacing w:val="4"/>
        </w:rPr>
        <w:t xml:space="preserve">   </w:t>
      </w:r>
      <w:r>
        <w:rPr>
          <w:sz w:val="21"/>
          <w:szCs w:val="21"/>
          <w:color w:val="231F20"/>
        </w:rPr>
        <w:tab/>
      </w:r>
      <w:r>
        <w:rPr>
          <w:sz w:val="21"/>
          <w:szCs w:val="21"/>
          <w:color w:val="231F20"/>
          <w:spacing w:val="-1"/>
        </w:rPr>
        <w:t>resonance imaging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等</w:t>
      </w:r>
      <w:r>
        <w:rPr>
          <w:sz w:val="21"/>
          <w:szCs w:val="21"/>
          <w:color w:val="231F20"/>
          <w:spacing w:val="-2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99" w:right="90" w:firstLine="417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相关胰腺炎的影像学诊断可以进行超声、</w:t>
      </w:r>
      <w:r>
        <w:rPr>
          <w:sz w:val="21"/>
          <w:szCs w:val="21"/>
          <w:color w:val="231F20"/>
          <w:spacing w:val="-6"/>
        </w:rPr>
        <w:t>CT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</w:t>
      </w:r>
      <w:r>
        <w:rPr>
          <w:sz w:val="21"/>
          <w:szCs w:val="21"/>
          <w:color w:val="231F20"/>
          <w:spacing w:val="-3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等检查，</w:t>
      </w:r>
      <w:r>
        <w:rPr>
          <w:sz w:val="21"/>
          <w:szCs w:val="21"/>
          <w:color w:val="231F20"/>
          <w:spacing w:val="-3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主要表现为急性胰周积液、胰腺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水肿、胰腺弥漫性扩大伴不均匀增强等。在</w:t>
      </w:r>
      <w:r>
        <w:rPr>
          <w:sz w:val="21"/>
          <w:szCs w:val="21"/>
          <w:color w:val="231F20"/>
          <w:spacing w:val="-3"/>
        </w:rPr>
        <w:t>P</w:t>
      </w:r>
      <w:r>
        <w:rPr>
          <w:sz w:val="21"/>
          <w:szCs w:val="21"/>
          <w:color w:val="231F20"/>
          <w:spacing w:val="-4"/>
        </w:rPr>
        <w:t>ET/CT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上可以看到胰腺中高水平的氟脱氧葡萄糖摄取。值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得注意的是，与未出现症状的患者相比，有临床症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状的</w:t>
      </w:r>
      <w:r>
        <w:rPr>
          <w:sz w:val="21"/>
          <w:szCs w:val="21"/>
          <w:color w:val="231F20"/>
          <w:spacing w:val="-4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相关胰腺炎患者中影像学异常更多见</w:t>
      </w:r>
      <w:r>
        <w:rPr>
          <w:sz w:val="12"/>
          <w:szCs w:val="12"/>
          <w:color w:val="231F20"/>
          <w:spacing w:val="-4"/>
          <w:position w:val="9"/>
        </w:rPr>
        <w:t>[59]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</w:p>
    <w:p>
      <w:pPr>
        <w:pStyle w:val="BodyText"/>
        <w:ind w:left="98" w:right="15" w:firstLine="1"/>
        <w:spacing w:before="7" w:line="29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3.1.3.3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临床常见的急腹症多见腹痛症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状，血清淀粉酶和脂肪酶水平也可能有所升高，常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混淆或延误急性胰腺炎的诊断，需要与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腺炎进行鉴别的疾病包括急性胆囊炎、胆总管结石、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消化性溃疡疾病、消化道穿孔、急性肠系膜缺血、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肠梗阻、心肌梗死及糖尿病酮症酸中毒等。</w:t>
      </w:r>
    </w:p>
    <w:p>
      <w:pPr>
        <w:pStyle w:val="BodyText"/>
        <w:ind w:left="99" w:right="90"/>
        <w:spacing w:before="101" w:line="28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3.1.3.4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处理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相关胰腺炎的治疗，特别是伴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有多种并发症的胰腺炎的治疗是涉及外科、消化内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科、急诊科、重症医学科、感染科、介入科、营养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科、康复科等多个学科的复杂问题，应采用多学科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协作诊治的模式。诊疗流程见图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83" w:lineRule="auto"/>
        <w:sectPr>
          <w:type w:val="continuous"/>
          <w:pgSz w:w="11906" w:h="16158"/>
          <w:pgMar w:top="1233" w:right="1042" w:bottom="0" w:left="407" w:header="772" w:footer="0" w:gutter="0"/>
          <w:cols w:equalWidth="0" w:num="2">
            <w:col w:w="5553" w:space="100"/>
            <w:col w:w="480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597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血清淀粉酶和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或脂肪酶升高</w:t>
      </w:r>
    </w:p>
    <w:p>
      <w:pPr>
        <w:spacing w:line="444" w:lineRule="auto"/>
        <w:rPr>
          <w:rFonts w:ascii="Arial"/>
          <w:sz w:val="21"/>
        </w:rPr>
      </w:pPr>
      <w:r>
        <w:pict>
          <v:shape id="_x0000_s74" style="position:absolute;margin-left:278.631pt;margin-top:4.88434pt;mso-position-vertical-relative:text;mso-position-horizontal-relative:text;width:0.5pt;height:10.1pt;z-index:-251554816;" filled="false" strokecolor="#231F20" strokeweight="0.50pt" coordsize="10,202" coordorigin="0,0" path="m5,0l5,201e">
            <v:stroke joinstyle="miter" miterlimit="10"/>
          </v:shape>
        </w:pict>
      </w:r>
      <w:r/>
    </w:p>
    <w:p>
      <w:pPr>
        <w:ind w:left="4701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76" style="position:absolute;margin-left:278.631pt;margin-top:16.9332pt;mso-position-vertical-relative:text;mso-position-horizontal-relative:text;width:0.5pt;height:5.7pt;z-index:-251558912;" filled="false" strokecolor="#231F20" strokeweight="0.50pt" coordsize="10,113" coordorigin="0,0" path="m5,0l5,113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是否有胰腺炎症状、体征</w:t>
      </w:r>
    </w:p>
    <w:p>
      <w:pPr>
        <w:ind w:left="3773"/>
        <w:spacing w:before="291" w:line="223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-637429</wp:posOffset>
            </wp:positionV>
            <wp:extent cx="6155397" cy="280752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280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416.829pt;margin-top:13.584pt;mso-position-vertical-relative:text;mso-position-horizontal-relative:text;width:9.45pt;height:11.5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</w:rPr>
        <w:t>是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559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80" style="position:absolute;margin-left:285.41pt;margin-top:6.34756pt;mso-position-vertical-relative:text;mso-position-horizontal-relative:text;width:9.6pt;height:11.7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82" style="position:absolute;margin-left:171.711pt;margin-top:6.60378pt;mso-position-vertical-relative:text;mso-position-horizontal-relative:text;width:41.45pt;height:11.5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急性胰腺炎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影像学评估是否为急性胰腺炎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：腹部</w:t>
      </w:r>
      <w:r>
        <w:rPr>
          <w:sz w:val="16"/>
          <w:szCs w:val="16"/>
          <w:color w:val="231F20"/>
          <w:spacing w:val="-1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平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扫加增强扫</w:t>
      </w:r>
    </w:p>
    <w:p>
      <w:pPr>
        <w:pStyle w:val="BodyText"/>
        <w:ind w:left="8052"/>
        <w:spacing w:before="11" w:line="222" w:lineRule="auto"/>
        <w:rPr>
          <w:sz w:val="16"/>
          <w:szCs w:val="16"/>
        </w:rPr>
      </w:pPr>
      <w:r>
        <w:pict>
          <v:shape id="_x0000_s84" style="position:absolute;margin-left:188.466pt;margin-top:14.8287pt;mso-position-vertical-relative:text;mso-position-horizontal-relative:text;width:0.5pt;height:8.55pt;z-index:-251557888;" filled="false" strokecolor="#231F20" strokeweight="0.50pt" coordsize="10,171" coordorigin="0,0" path="m5,0l5,170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描，</w:t>
      </w:r>
      <w:r>
        <w:rPr>
          <w:sz w:val="16"/>
          <w:szCs w:val="16"/>
          <w:color w:val="231F20"/>
          <w:spacing w:val="-2"/>
        </w:rPr>
        <w:t>MRCP</w:t>
      </w:r>
    </w:p>
    <w:p>
      <w:pPr>
        <w:ind w:left="8356"/>
        <w:spacing w:before="17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否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700" w:right="215" w:hanging="142"/>
        <w:spacing w:before="52" w:line="233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86" style="position:absolute;margin-left:104.285pt;margin-top:6.6357pt;mso-position-vertical-relative:text;mso-position-horizontal-relative:text;width:168.65pt;height:11.5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中度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重度                              轻度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评估为孤立的淀粉酶</w:t>
      </w:r>
      <w:r>
        <w:rPr>
          <w:sz w:val="16"/>
          <w:szCs w:val="16"/>
          <w:color w:val="231F20"/>
          <w:spacing w:val="2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脂肪酶升高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：轻度（升高≤</w:t>
      </w:r>
      <w:r>
        <w:rPr>
          <w:sz w:val="16"/>
          <w:szCs w:val="16"/>
          <w:color w:val="231F20"/>
          <w:spacing w:val="2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倍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ULN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中度（</w:t>
      </w:r>
      <w:r>
        <w:rPr>
          <w:sz w:val="16"/>
          <w:szCs w:val="16"/>
          <w:color w:val="231F20"/>
          <w:spacing w:val="2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倍＜升高＜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2"/>
        </w:rPr>
        <w:t>5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倍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高度(≥</w:t>
      </w:r>
      <w:r>
        <w:rPr>
          <w:sz w:val="16"/>
          <w:szCs w:val="16"/>
          <w:color w:val="231F20"/>
          <w:spacing w:val="2"/>
        </w:rPr>
        <w:t>5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倍）</w:t>
      </w:r>
    </w:p>
    <w:p>
      <w:pPr>
        <w:spacing w:line="432" w:lineRule="auto"/>
        <w:rPr>
          <w:rFonts w:ascii="Arial"/>
          <w:sz w:val="21"/>
        </w:rPr>
      </w:pPr>
      <w:r>
        <w:pict>
          <v:shape id="_x0000_s88" style="position:absolute;margin-left:263.921pt;margin-top:4.24664pt;mso-position-vertical-relative:text;mso-position-horizontal-relative:text;width:0.5pt;height:10.15pt;z-index:-251556864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90" style="position:absolute;margin-left:421.22pt;margin-top:4.24664pt;mso-position-vertical-relative:text;mso-position-horizontal-relative:text;width:0.5pt;height:10.15pt;z-index:-25155584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92" style="position:absolute;margin-left:121.332pt;margin-top:4.24664pt;mso-position-vertical-relative:text;mso-position-horizontal-relative:text;width:0.5pt;height:10.15pt;z-index:-251553792;" filled="false" strokecolor="#231F20" strokeweight="0.50pt" coordsize="10,202" coordorigin="0,0" path="m5,0l5,202e">
            <v:stroke joinstyle="miter" miterlimit="10"/>
          </v:shape>
        </w:pict>
      </w:r>
      <w:r/>
    </w:p>
    <w:p>
      <w:pPr>
        <w:pStyle w:val="BodyText"/>
        <w:ind w:left="858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94" style="position:absolute;margin-left:337.36pt;margin-top:6.60984pt;mso-position-vertical-relative:text;mso-position-horizontal-relative:text;width:170.45pt;height:21.5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治疗，并密切随访，如临床考虑胰腺炎，</w:t>
                  </w:r>
                </w:p>
                <w:p>
                  <w:pPr>
                    <w:ind w:left="1126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则按胰腺炎治疗</w:t>
                  </w:r>
                </w:p>
              </w:txbxContent>
            </v:textbox>
          </v:shape>
        </w:pict>
      </w:r>
      <w:r>
        <w:pict>
          <v:shape id="_x0000_s96" style="position:absolute;margin-left:226.855pt;margin-top:6.61045pt;mso-position-vertical-relative:text;mso-position-horizontal-relative:text;width:78pt;height:21.5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7" w:right="20" w:hanging="408"/>
                    <w:spacing w:before="20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9"/>
                    </w:rPr>
                    <w:t>按急性胰腺炎（轻症）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规范治疗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停止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58"/>
        <w:spacing w:before="9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10"/>
          <w:w w:val="101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甲泼尼龙</w:t>
      </w:r>
      <w:r>
        <w:rPr>
          <w:sz w:val="16"/>
          <w:szCs w:val="16"/>
          <w:color w:val="231F20"/>
          <w:spacing w:val="-3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泼尼松</w:t>
      </w:r>
      <w:r>
        <w:rPr>
          <w:sz w:val="16"/>
          <w:szCs w:val="16"/>
          <w:color w:val="231F20"/>
          <w:spacing w:val="-3"/>
        </w:rPr>
        <w:t>0.5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3"/>
        </w:rPr>
        <w:t>1.0 mg/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sz w:val="16"/>
          <w:szCs w:val="16"/>
          <w:color w:val="231F20"/>
          <w:spacing w:val="-3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）；</w:t>
      </w:r>
    </w:p>
    <w:p>
      <w:pPr>
        <w:pStyle w:val="BodyText"/>
        <w:ind w:left="858"/>
        <w:spacing w:before="16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按急性胰腺炎诊疗规范对症治疗</w:t>
      </w:r>
    </w:p>
    <w:p>
      <w:pPr>
        <w:pStyle w:val="BodyText"/>
        <w:ind w:left="4242"/>
        <w:spacing w:before="265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3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相关胰腺毒性的诊疗流程</w:t>
      </w:r>
    </w:p>
    <w:p>
      <w:pPr>
        <w:pStyle w:val="BodyText"/>
        <w:ind w:left="1057"/>
        <w:spacing w:before="48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为计算机断层扫描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M</w:t>
      </w:r>
      <w:r>
        <w:rPr>
          <w:sz w:val="16"/>
          <w:szCs w:val="16"/>
          <w:color w:val="231F20"/>
          <w:spacing w:val="-4"/>
        </w:rPr>
        <w:t>RCP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为磁共振胰胆管成像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ULN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为正常值上限。</w:t>
      </w: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33"/>
          <w:footerReference w:type="default" r:id="rId34"/>
          <w:pgSz w:w="11906" w:h="16158"/>
          <w:pgMar w:top="1233" w:right="986" w:bottom="547" w:left="407" w:header="772" w:footer="354" w:gutter="0"/>
          <w:cols w:equalWidth="0" w:num="1">
            <w:col w:w="10512" w:space="0"/>
          </w:cols>
        </w:sectPr>
        <w:rPr/>
      </w:pPr>
    </w:p>
    <w:p>
      <w:pPr>
        <w:pStyle w:val="BodyText"/>
        <w:ind w:left="732" w:right="279" w:firstLine="2"/>
        <w:spacing w:before="44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3.1.3.5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随访  </w:t>
      </w:r>
      <w:r>
        <w:rPr>
          <w:sz w:val="21"/>
          <w:szCs w:val="21"/>
          <w:color w:val="231F20"/>
          <w:spacing w:val="-3"/>
        </w:rPr>
        <w:t>Abu-Sbeih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等</w:t>
      </w:r>
      <w:r>
        <w:rPr>
          <w:sz w:val="12"/>
          <w:szCs w:val="12"/>
          <w:color w:val="231F20"/>
          <w:spacing w:val="-3"/>
          <w:position w:val="9"/>
        </w:rPr>
        <w:t>[59]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的研究显示，在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相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关胰腺毒性的长期随访中发生慢性胰腺炎</w:t>
      </w:r>
      <w:r>
        <w:rPr>
          <w:sz w:val="21"/>
          <w:szCs w:val="21"/>
          <w:color w:val="231F20"/>
          <w:spacing w:val="-1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例（</w:t>
      </w:r>
      <w:r>
        <w:rPr>
          <w:sz w:val="21"/>
          <w:szCs w:val="21"/>
          <w:color w:val="231F20"/>
          <w:spacing w:val="-13"/>
        </w:rPr>
        <w:t>4%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）、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糖尿病</w:t>
      </w:r>
      <w:r>
        <w:rPr>
          <w:sz w:val="21"/>
          <w:szCs w:val="21"/>
          <w:color w:val="231F20"/>
        </w:rPr>
        <w:t>6</w:t>
      </w:r>
      <w:r>
        <w:rPr>
          <w:rFonts w:ascii="SimSun" w:hAnsi="SimSun" w:eastAsia="SimSun" w:cs="SimSun"/>
          <w:sz w:val="21"/>
          <w:szCs w:val="21"/>
          <w:color w:val="231F20"/>
        </w:rPr>
        <w:t>例（</w:t>
      </w:r>
      <w:r>
        <w:rPr>
          <w:sz w:val="21"/>
          <w:szCs w:val="21"/>
          <w:color w:val="231F20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>吸烟史（</w:t>
      </w:r>
      <w:r>
        <w:rPr>
          <w:sz w:val="21"/>
          <w:szCs w:val="21"/>
          <w:i/>
          <w:iCs/>
          <w:color w:val="231F20"/>
        </w:rPr>
        <w:t>OR</w:t>
      </w:r>
      <w:r>
        <w:rPr>
          <w:sz w:val="21"/>
          <w:szCs w:val="21"/>
          <w:i/>
          <w:iCs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4.35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95%</w:t>
      </w:r>
      <w:r>
        <w:rPr>
          <w:sz w:val="21"/>
          <w:szCs w:val="21"/>
          <w:i/>
          <w:iCs/>
          <w:color w:val="231F20"/>
        </w:rPr>
        <w:t>CI</w:t>
      </w:r>
      <w:r>
        <w:rPr>
          <w:sz w:val="21"/>
          <w:szCs w:val="21"/>
          <w:i/>
          <w:iCs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： </w:t>
      </w:r>
      <w:r>
        <w:rPr>
          <w:sz w:val="21"/>
          <w:szCs w:val="21"/>
          <w:color w:val="231F20"/>
          <w:spacing w:val="-11"/>
        </w:rPr>
        <w:t>1.06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11"/>
        </w:rPr>
        <w:t>17.81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</w:t>
      </w:r>
      <w:r>
        <w:rPr>
          <w:sz w:val="21"/>
          <w:szCs w:val="21"/>
          <w:i/>
          <w:iCs/>
          <w:color w:val="231F20"/>
          <w:spacing w:val="-11"/>
        </w:rPr>
        <w:t>P</w:t>
      </w:r>
      <w:r>
        <w:rPr>
          <w:sz w:val="21"/>
          <w:szCs w:val="21"/>
          <w:i/>
          <w:iCs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1"/>
        </w:rPr>
        <w:t>0.041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）和高脂血症（</w:t>
      </w:r>
      <w:r>
        <w:rPr>
          <w:sz w:val="21"/>
          <w:szCs w:val="21"/>
          <w:i/>
          <w:iCs/>
          <w:color w:val="231F20"/>
          <w:spacing w:val="-11"/>
        </w:rPr>
        <w:t>OR</w:t>
      </w:r>
      <w:r>
        <w:rPr>
          <w:sz w:val="21"/>
          <w:szCs w:val="21"/>
          <w:i/>
          <w:iCs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11"/>
        </w:rPr>
        <w:t>6.15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95%</w:t>
      </w:r>
      <w:r>
        <w:rPr>
          <w:sz w:val="21"/>
          <w:szCs w:val="21"/>
          <w:i/>
          <w:iCs/>
          <w:color w:val="231F20"/>
          <w:spacing w:val="-8"/>
        </w:rPr>
        <w:t>CI</w:t>
      </w:r>
      <w:r>
        <w:rPr>
          <w:sz w:val="21"/>
          <w:szCs w:val="21"/>
          <w:i/>
          <w:iCs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：</w:t>
      </w:r>
      <w:r>
        <w:rPr>
          <w:sz w:val="21"/>
          <w:szCs w:val="21"/>
          <w:color w:val="231F20"/>
          <w:spacing w:val="-8"/>
        </w:rPr>
        <w:t>1.24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8"/>
        </w:rPr>
        <w:t>30.55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sz w:val="21"/>
          <w:szCs w:val="21"/>
          <w:i/>
          <w:iCs/>
          <w:color w:val="231F20"/>
          <w:spacing w:val="-8"/>
        </w:rPr>
        <w:t>P</w:t>
      </w:r>
      <w:r>
        <w:rPr>
          <w:sz w:val="21"/>
          <w:szCs w:val="21"/>
          <w:i/>
          <w:iCs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8"/>
        </w:rPr>
        <w:t>0.026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）与</w:t>
      </w:r>
      <w:r>
        <w:rPr>
          <w:sz w:val="21"/>
          <w:szCs w:val="21"/>
          <w:color w:val="231F20"/>
          <w:spacing w:val="-8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相关胰腺毒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性远期不良结局风险增加相关。因此，急性胰腺炎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患者康复后均需进行规律随访，每</w:t>
      </w:r>
      <w:r>
        <w:rPr>
          <w:sz w:val="21"/>
          <w:szCs w:val="21"/>
          <w:color w:val="231F20"/>
          <w:spacing w:val="-5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个月对胰腺功能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进行评估，并注意是否出现远期并发症及其病因。</w:t>
      </w:r>
    </w:p>
    <w:p>
      <w:pPr>
        <w:pStyle w:val="BodyText"/>
        <w:ind w:left="733" w:right="297" w:firstLine="1"/>
        <w:spacing w:before="9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3.1.3.6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预防  尽管与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相关的胰腺炎发生率低，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且无充分证据支持需要频繁监测胰酶（脂肪酶和淀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粉酶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>但临床医生仍需警惕免疫治疗相关的胰腺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炎风险，并注意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治疗的患者急性胰腺炎的风险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增加不仅与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相关，还与其他药物、胆结石、酒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精和高甘油三酯血症等潜在原因相关。病因治疗是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预防急性胰腺炎反复发作的主要手段。胆囊切除术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有助于预防胆源性胰腺炎反复发作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；对高甘油三酯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血症患者，如通过低脂饮食和减重后血脂仍控制不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佳，则需口服降脂药物治疗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；戒酒是酒精性急性胰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腺炎的重要治疗方式，即便是入院后短期戒酒对预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防酒精性急性胰腺炎反复发作亦有作用。</w:t>
      </w:r>
    </w:p>
    <w:p>
      <w:pPr>
        <w:pStyle w:val="BodyText"/>
        <w:ind w:left="734" w:right="279"/>
        <w:spacing w:before="1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</w:t>
      </w:r>
      <w:r>
        <w:rPr>
          <w:sz w:val="21"/>
          <w:szCs w:val="21"/>
          <w:color w:val="231F20"/>
          <w:spacing w:val="13"/>
          <w:w w:val="101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内分泌毒性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治疗内分泌不良事件是最常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见的</w:t>
      </w:r>
      <w:r>
        <w:rPr>
          <w:sz w:val="21"/>
          <w:szCs w:val="21"/>
          <w:color w:val="231F20"/>
          <w:spacing w:val="-6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之一。两种最常见的内分泌</w:t>
      </w:r>
      <w:r>
        <w:rPr>
          <w:sz w:val="21"/>
          <w:szCs w:val="21"/>
          <w:color w:val="231F20"/>
          <w:spacing w:val="-6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包括甲状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腺损伤（甲状腺功能异常）和垂体损伤（垂体炎）。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其他内分泌疾病，如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型糖尿病、原发性肾上腺皮质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功能不全、原发性性腺功能减退、原发性甲状旁腺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9"/>
        <w:spacing w:before="44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功能减退等也有报道，但比较少见。</w:t>
      </w:r>
      <w:r>
        <w:rPr>
          <w:sz w:val="21"/>
          <w:szCs w:val="21"/>
          <w:color w:val="231F20"/>
          <w:spacing w:val="-8"/>
        </w:rPr>
        <w:t>CheckMate-649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ATTRACTION-4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和</w:t>
      </w:r>
      <w:r>
        <w:rPr>
          <w:sz w:val="21"/>
          <w:szCs w:val="21"/>
          <w:color w:val="231F20"/>
          <w:spacing w:val="-11"/>
        </w:rPr>
        <w:t>CheckMate-577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研究显示，任意级别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内分泌毒性发生率分别为</w:t>
      </w:r>
      <w:r>
        <w:rPr>
          <w:sz w:val="21"/>
          <w:szCs w:val="21"/>
          <w:color w:val="231F20"/>
          <w:spacing w:val="-9"/>
          <w:position w:val="-1"/>
        </w:rPr>
        <w:t>11.4%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、</w:t>
      </w:r>
      <w:r>
        <w:rPr>
          <w:sz w:val="21"/>
          <w:szCs w:val="21"/>
          <w:color w:val="231F20"/>
          <w:spacing w:val="-9"/>
          <w:position w:val="-1"/>
        </w:rPr>
        <w:t>17.0%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和</w:t>
      </w:r>
      <w:r>
        <w:rPr>
          <w:sz w:val="21"/>
          <w:szCs w:val="21"/>
          <w:color w:val="231F20"/>
          <w:spacing w:val="-9"/>
          <w:position w:val="-1"/>
        </w:rPr>
        <w:t>14.0%</w:t>
      </w:r>
      <w:r>
        <w:rPr>
          <w:sz w:val="12"/>
          <w:szCs w:val="12"/>
          <w:color w:val="231F20"/>
          <w:spacing w:val="-9"/>
          <w:position w:val="8"/>
        </w:rPr>
        <w:t>[11,</w:t>
      </w:r>
      <w:r>
        <w:rPr>
          <w:sz w:val="12"/>
          <w:szCs w:val="12"/>
          <w:color w:val="231F20"/>
          <w:spacing w:val="-10"/>
          <w:position w:val="8"/>
        </w:rPr>
        <w:t>60-61]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>。</w:t>
      </w:r>
    </w:p>
    <w:p>
      <w:pPr>
        <w:pStyle w:val="BodyText"/>
        <w:ind w:left="5" w:right="17" w:firstLine="1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3.2.1</w:t>
      </w:r>
      <w:r>
        <w:rPr>
          <w:sz w:val="21"/>
          <w:szCs w:val="21"/>
          <w:color w:val="231F20"/>
          <w:spacing w:val="11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甲状腺功能异常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甲状腺功能异常是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疗的常见内分泌不良反应之一。由于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用药前会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常规监测甲状腺功能，一般可在无任何症状的情况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下发现各种甲状腺功能异常，主要包括甲状腺毒症、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甲状腺功能减退。</w:t>
      </w:r>
      <w:r>
        <w:rPr>
          <w:sz w:val="21"/>
          <w:szCs w:val="21"/>
          <w:color w:val="231F20"/>
          <w:spacing w:val="-1"/>
        </w:rPr>
        <w:t>KEYNOTE-164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KEYNOTE-177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3"/>
        </w:rPr>
        <w:t>-158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研究显示，任意级别甲状腺功能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减退的发生率分别为</w:t>
      </w:r>
      <w:r>
        <w:rPr>
          <w:sz w:val="21"/>
          <w:szCs w:val="21"/>
          <w:color w:val="231F20"/>
          <w:spacing w:val="-1"/>
        </w:rPr>
        <w:t>11.4%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21.0</w:t>
      </w:r>
      <w:r>
        <w:rPr>
          <w:sz w:val="21"/>
          <w:szCs w:val="21"/>
          <w:color w:val="231F20"/>
          <w:spacing w:val="-2"/>
        </w:rPr>
        <w:t>%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(≥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次既往治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疗）和</w:t>
      </w:r>
      <w:r>
        <w:rPr>
          <w:sz w:val="21"/>
          <w:szCs w:val="21"/>
          <w:color w:val="231F20"/>
          <w:position w:val="-1"/>
        </w:rPr>
        <w:t>12.0%</w:t>
      </w:r>
      <w:r>
        <w:rPr>
          <w:sz w:val="12"/>
          <w:szCs w:val="12"/>
          <w:color w:val="231F20"/>
          <w:position w:val="8"/>
        </w:rPr>
        <w:t>[18,20,62]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，均位居内分泌不良反应第一。</w:t>
      </w:r>
    </w:p>
    <w:p>
      <w:pPr>
        <w:pStyle w:val="BodyText"/>
        <w:ind w:left="5" w:right="91" w:firstLine="1"/>
        <w:spacing w:before="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3.2.1.1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甲状腺毒症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各临床试验中，使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出现甲状腺毒症的患者为</w:t>
      </w:r>
      <w:r>
        <w:rPr>
          <w:sz w:val="21"/>
          <w:szCs w:val="21"/>
          <w:color w:val="231F20"/>
          <w:spacing w:val="-3"/>
        </w:rPr>
        <w:t>0.4%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sz w:val="21"/>
          <w:szCs w:val="21"/>
          <w:color w:val="231F20"/>
          <w:spacing w:val="-3"/>
        </w:rPr>
        <w:t>14.0%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。甲状腺毒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症最常见的原因是免疫介导的甲状腺炎，而</w:t>
      </w:r>
      <w:r>
        <w:rPr>
          <w:sz w:val="21"/>
          <w:szCs w:val="21"/>
          <w:color w:val="231F20"/>
        </w:rPr>
        <w:t>Graves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病非常罕见。甲状腺功能减退的患者</w:t>
      </w:r>
      <w:r>
        <w:rPr>
          <w:sz w:val="21"/>
          <w:szCs w:val="21"/>
          <w:color w:val="231F20"/>
          <w:spacing w:val="6"/>
        </w:rPr>
        <w:t>30%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6"/>
        </w:rPr>
        <w:t>40%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前期表现为甲状腺毒症。</w:t>
      </w:r>
    </w:p>
    <w:p>
      <w:pPr>
        <w:pStyle w:val="BodyText"/>
        <w:ind w:left="6" w:right="91" w:firstLine="320"/>
        <w:spacing w:before="2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）临床表现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：常无症状，也可能会伴有体重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减轻、心悸、不耐热、震颤、焦虑、腹泻及其他代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谢亢进症状，如果患者服用</w:t>
      </w:r>
      <w:r>
        <w:rPr>
          <w:sz w:val="21"/>
          <w:szCs w:val="21"/>
          <w:color w:val="231F20"/>
          <w:spacing w:val="4"/>
        </w:rPr>
        <w:t>β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受体阻滞剂，这些症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状可能会被掩盖。</w:t>
      </w:r>
    </w:p>
    <w:p>
      <w:pPr>
        <w:pStyle w:val="BodyText"/>
        <w:ind w:left="5" w:firstLine="321"/>
        <w:spacing w:before="100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（</w:t>
      </w:r>
      <w:r>
        <w:rPr>
          <w:sz w:val="21"/>
          <w:szCs w:val="21"/>
          <w:color w:val="231F20"/>
          <w:spacing w:val="-9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）诊断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：游离甲状腺素（</w:t>
      </w:r>
      <w:r>
        <w:rPr>
          <w:sz w:val="21"/>
          <w:szCs w:val="21"/>
          <w:color w:val="231F20"/>
          <w:spacing w:val="-9"/>
        </w:rPr>
        <w:t>free thyroxine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，</w:t>
      </w:r>
      <w:r>
        <w:rPr>
          <w:sz w:val="21"/>
          <w:szCs w:val="21"/>
          <w:color w:val="231F20"/>
          <w:spacing w:val="-9"/>
        </w:rPr>
        <w:t>FT4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升高、游离三碘甲状腺原氨酸（</w:t>
      </w:r>
      <w:r>
        <w:rPr>
          <w:sz w:val="21"/>
          <w:szCs w:val="21"/>
          <w:color w:val="231F20"/>
        </w:rPr>
        <w:t>free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</w:rPr>
        <w:t>triiodothyr</w:t>
      </w:r>
      <w:r>
        <w:rPr>
          <w:sz w:val="21"/>
          <w:szCs w:val="21"/>
          <w:color w:val="231F20"/>
          <w:spacing w:val="20"/>
        </w:rPr>
        <w:t>-</w:t>
      </w:r>
      <w:r>
        <w:rPr>
          <w:sz w:val="21"/>
          <w:szCs w:val="21"/>
          <w:color w:val="231F20"/>
        </w:rPr>
        <w:t xml:space="preserve">   </w:t>
      </w:r>
      <w:r>
        <w:rPr>
          <w:sz w:val="21"/>
          <w:szCs w:val="21"/>
          <w:color w:val="231F20"/>
          <w:spacing w:val="-1"/>
        </w:rPr>
        <w:t>onine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FT3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）升高或正常，促甲状腺激素（</w:t>
      </w:r>
      <w:r>
        <w:rPr>
          <w:sz w:val="21"/>
          <w:szCs w:val="21"/>
          <w:color w:val="231F20"/>
          <w:spacing w:val="-1"/>
        </w:rPr>
        <w:t>thyroid-</w:t>
      </w:r>
      <w:r>
        <w:rPr>
          <w:sz w:val="21"/>
          <w:szCs w:val="21"/>
          <w:color w:val="231F20"/>
        </w:rPr>
        <w:t xml:space="preserve">   </w:t>
      </w:r>
      <w:r>
        <w:rPr>
          <w:sz w:val="21"/>
          <w:szCs w:val="21"/>
          <w:color w:val="231F20"/>
          <w:spacing w:val="-2"/>
        </w:rPr>
        <w:t>stimulating hormone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降低。</w:t>
      </w:r>
    </w:p>
    <w:p>
      <w:pPr>
        <w:pStyle w:val="BodyText"/>
        <w:ind w:left="327"/>
        <w:spacing w:before="108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）鉴别诊断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：通常情况下，患者无症状（无</w:t>
      </w:r>
    </w:p>
    <w:p>
      <w:pPr>
        <w:spacing w:line="185" w:lineRule="auto"/>
        <w:sectPr>
          <w:type w:val="continuous"/>
          <w:pgSz w:w="11906" w:h="16158"/>
          <w:pgMar w:top="1233" w:right="986" w:bottom="547" w:left="407" w:header="772" w:footer="354" w:gutter="0"/>
          <w:cols w:equalWidth="0" w:num="2">
            <w:col w:w="5701" w:space="100"/>
            <w:col w:w="471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36"/>
          <w:footerReference w:type="default" r:id="rId37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69" w:right="295" w:firstLine="7"/>
        <w:spacing w:before="4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痛性甲状腺炎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常规实验室检测显示</w:t>
      </w:r>
      <w:r>
        <w:rPr>
          <w:sz w:val="21"/>
          <w:szCs w:val="21"/>
          <w:color w:val="231F20"/>
          <w:spacing w:val="-3"/>
        </w:rPr>
        <w:t>FT4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</w:t>
      </w:r>
      <w:r>
        <w:rPr>
          <w:sz w:val="21"/>
          <w:szCs w:val="21"/>
          <w:color w:val="231F20"/>
          <w:spacing w:val="-3"/>
        </w:rPr>
        <w:t>FT3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高</w:t>
      </w:r>
      <w:r>
        <w:rPr>
          <w:sz w:val="21"/>
          <w:szCs w:val="21"/>
          <w:color w:val="231F20"/>
          <w:spacing w:val="-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正常，</w:t>
      </w:r>
      <w:r>
        <w:rPr>
          <w:sz w:val="21"/>
          <w:szCs w:val="21"/>
          <w:color w:val="231F20"/>
          <w:spacing w:val="-5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降低。主要在开始用药后的</w:t>
      </w:r>
      <w:r>
        <w:rPr>
          <w:sz w:val="21"/>
          <w:szCs w:val="21"/>
          <w:color w:val="231F20"/>
          <w:spacing w:val="-5"/>
        </w:rPr>
        <w:t>2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5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周，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但在整个用药周期，甚至停药后均可出现。如怀疑 </w:t>
      </w:r>
      <w:r>
        <w:rPr>
          <w:rFonts w:ascii="SimSun" w:hAnsi="SimSun" w:eastAsia="SimSun" w:cs="SimSun"/>
          <w:sz w:val="21"/>
          <w:szCs w:val="21"/>
          <w:color w:val="231F20"/>
        </w:rPr>
        <w:t>为甲状腺炎，为了排除甲状腺中毒的其他原因（如 </w:t>
      </w:r>
      <w:r>
        <w:rPr>
          <w:sz w:val="21"/>
          <w:szCs w:val="21"/>
          <w:color w:val="231F20"/>
        </w:rPr>
        <w:t>Graves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病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可以进行其他检查，包括促甲状腺激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素受体抗体（</w:t>
      </w:r>
      <w:r>
        <w:rPr>
          <w:sz w:val="21"/>
          <w:szCs w:val="21"/>
          <w:color w:val="231F20"/>
        </w:rPr>
        <w:t>thyroid</w:t>
      </w:r>
      <w:r>
        <w:rPr>
          <w:sz w:val="21"/>
          <w:szCs w:val="21"/>
          <w:color w:val="231F20"/>
          <w:spacing w:val="30"/>
          <w:w w:val="101"/>
        </w:rPr>
        <w:t xml:space="preserve"> </w:t>
      </w:r>
      <w:r>
        <w:rPr>
          <w:sz w:val="21"/>
          <w:szCs w:val="21"/>
          <w:color w:val="231F20"/>
        </w:rPr>
        <w:t>stimulating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hormone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sz w:val="21"/>
          <w:szCs w:val="21"/>
          <w:color w:val="231F20"/>
        </w:rPr>
        <w:t>receptor  </w:t>
      </w:r>
      <w:r>
        <w:rPr>
          <w:sz w:val="21"/>
          <w:szCs w:val="21"/>
          <w:color w:val="231F20"/>
        </w:rPr>
        <w:t>antibody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sz w:val="21"/>
          <w:szCs w:val="21"/>
          <w:color w:val="231F20"/>
        </w:rPr>
        <w:t>TRAb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）或促甲状腺激素受体刺激性抗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体（</w:t>
      </w:r>
      <w:r>
        <w:rPr>
          <w:sz w:val="21"/>
          <w:szCs w:val="21"/>
          <w:color w:val="231F20"/>
        </w:rPr>
        <w:t>thyroid stimulating hormone receptor-</w:t>
      </w:r>
      <w:r>
        <w:rPr>
          <w:sz w:val="21"/>
          <w:szCs w:val="21"/>
          <w:color w:val="231F20"/>
          <w:spacing w:val="-1"/>
        </w:rPr>
        <w:t xml:space="preserve"> stimulating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5"/>
        </w:rPr>
        <w:t>antibody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TSAb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）和甲状腺过氧化物酶抗体（</w:t>
      </w:r>
      <w:r>
        <w:rPr>
          <w:sz w:val="21"/>
          <w:szCs w:val="21"/>
          <w:color w:val="231F20"/>
          <w:spacing w:val="-5"/>
        </w:rPr>
        <w:t>thyroid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peroxidase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</w:rPr>
        <w:t>antibody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</w:t>
      </w:r>
      <w:r>
        <w:rPr>
          <w:sz w:val="21"/>
          <w:szCs w:val="21"/>
          <w:color w:val="231F20"/>
        </w:rPr>
        <w:t>TPOAb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）等，以及可行甲状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腺</w:t>
      </w:r>
      <w:r>
        <w:rPr>
          <w:sz w:val="21"/>
          <w:szCs w:val="21"/>
          <w:color w:val="231F20"/>
          <w:spacing w:val="-3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超、甲状腺摄碘率、</w:t>
      </w:r>
      <w:r>
        <w:rPr>
          <w:sz w:val="12"/>
          <w:szCs w:val="12"/>
          <w:color w:val="231F20"/>
          <w:spacing w:val="-3"/>
          <w:position w:val="9"/>
        </w:rPr>
        <w:t>99</w:t>
      </w:r>
      <w:r>
        <w:rPr>
          <w:sz w:val="21"/>
          <w:szCs w:val="21"/>
          <w:color w:val="231F20"/>
          <w:spacing w:val="-3"/>
        </w:rPr>
        <w:t>Tc</w:t>
      </w:r>
      <w:r>
        <w:rPr>
          <w:sz w:val="12"/>
          <w:szCs w:val="12"/>
          <w:color w:val="231F20"/>
          <w:spacing w:val="-3"/>
          <w:position w:val="9"/>
        </w:rPr>
        <w:t>m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甲状腺扫描。</w:t>
      </w:r>
    </w:p>
    <w:p>
      <w:pPr>
        <w:pStyle w:val="BodyText"/>
        <w:ind w:left="998"/>
        <w:spacing w:before="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）处理  诊疗流程见图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343" w:lineRule="auto"/>
        <w:rPr>
          <w:rFonts w:ascii="Arial"/>
          <w:sz w:val="21"/>
        </w:rPr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425526</wp:posOffset>
            </wp:positionH>
            <wp:positionV relativeFrom="paragraph">
              <wp:posOffset>173861</wp:posOffset>
            </wp:positionV>
            <wp:extent cx="2933700" cy="412872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41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06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甲状腺毒症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100" style="position:absolute;margin-left:149.006pt;margin-top:4.75717pt;mso-position-vertical-relative:text;mso-position-horizontal-relative:text;width:0.5pt;height:5.7pt;z-index:251807744;" filled="false" strokecolor="#231F20" strokeweight="0.50pt" coordsize="10,113" coordorigin="0,0" path="m5,0l5,113e">
            <v:stroke joinstyle="miter" miterlimit="10"/>
          </v:shape>
        </w:pict>
      </w:r>
      <w:r>
        <w:pict>
          <v:shape id="_x0000_s102" style="position:absolute;margin-left:87.3638pt;margin-top:10.6771pt;mso-position-vertical-relative:text;mso-position-horizontal-relative:text;width:0.5pt;height:7.3pt;z-index:-25153228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04" style="position:absolute;margin-left:210.647pt;margin-top:10.6771pt;mso-position-vertical-relative:text;mso-position-horizontal-relative:text;width:0.5pt;height:7.3pt;z-index:-251530240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979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06" style="position:absolute;margin-left:74.7398pt;margin-top:1.60873pt;mso-position-vertical-relative:text;mso-position-horizontal-relative:text;width:25.65pt;height:11.5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无症状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有症状</w:t>
      </w:r>
    </w:p>
    <w:p>
      <w:pPr>
        <w:spacing w:line="388" w:lineRule="auto"/>
        <w:rPr>
          <w:rFonts w:ascii="Arial"/>
          <w:sz w:val="21"/>
        </w:rPr>
      </w:pPr>
      <w:r>
        <w:pict>
          <v:shape id="_x0000_s108" style="position:absolute;margin-left:87.3638pt;margin-top:4.89685pt;mso-position-vertical-relative:text;mso-position-horizontal-relative:text;width:0.5pt;height:7.3pt;z-index:-251535360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10" style="position:absolute;margin-left:210.647pt;margin-top:4.89685pt;mso-position-vertical-relative:text;mso-position-horizontal-relative:text;width:0.5pt;height:7.3pt;z-index:-251531264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3720"/>
        <w:spacing w:before="52" w:line="20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β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受体阻滞剂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</w:t>
      </w:r>
    </w:p>
    <w:p>
      <w:pPr>
        <w:ind w:left="3916" w:right="630" w:hanging="498"/>
        <w:spacing w:before="21" w:line="233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12" style="position:absolute;margin-left:65.5038pt;margin-top:0.054183pt;mso-position-vertical-relative:text;mso-position-horizontal-relative:text;width:44.2pt;height:11.5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普萘洛尔、美托洛尔或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比索洛尔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114" style="position:absolute;margin-left:87.3638pt;margin-top:4.21732pt;mso-position-vertical-relative:text;mso-position-horizontal-relative:text;width:0.5pt;height:7.3pt;z-index:-25153433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16" style="position:absolute;margin-left:210.647pt;margin-top:4.21732pt;mso-position-vertical-relative:text;mso-position-horizontal-relative:text;width:0.5pt;height:7.3pt;z-index:-251533312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1824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4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2"/>
        </w:rPr>
        <w:t>6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周后复查</w:t>
      </w:r>
      <w:r>
        <w:rPr>
          <w:sz w:val="16"/>
          <w:szCs w:val="16"/>
          <w:color w:val="231F20"/>
          <w:spacing w:val="-2"/>
        </w:rPr>
        <w:t>FT3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、</w:t>
      </w:r>
      <w:r>
        <w:rPr>
          <w:sz w:val="16"/>
          <w:szCs w:val="16"/>
          <w:color w:val="231F20"/>
          <w:spacing w:val="-2"/>
        </w:rPr>
        <w:t>FT4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及</w:t>
      </w:r>
      <w:r>
        <w:rPr>
          <w:sz w:val="16"/>
          <w:szCs w:val="16"/>
          <w:color w:val="231F20"/>
          <w:spacing w:val="-2"/>
        </w:rPr>
        <w:t>TSH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06"/>
        <w:spacing w:before="9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必要时复查甲状腺相关抗体如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TPOAb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、</w:t>
      </w:r>
      <w:r>
        <w:rPr>
          <w:sz w:val="16"/>
          <w:szCs w:val="16"/>
          <w:color w:val="231F20"/>
          <w:spacing w:val="-3"/>
        </w:rPr>
        <w:t>TgAb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、</w:t>
      </w:r>
      <w:r>
        <w:rPr>
          <w:sz w:val="16"/>
          <w:szCs w:val="16"/>
          <w:color w:val="231F20"/>
          <w:spacing w:val="-3"/>
        </w:rPr>
        <w:t>TRA</w:t>
      </w:r>
      <w:r>
        <w:rPr>
          <w:sz w:val="16"/>
          <w:szCs w:val="16"/>
          <w:color w:val="231F20"/>
          <w:spacing w:val="-4"/>
        </w:rPr>
        <w:t>b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及</w:t>
      </w:r>
      <w:r>
        <w:rPr>
          <w:sz w:val="16"/>
          <w:szCs w:val="16"/>
          <w:color w:val="231F20"/>
          <w:spacing w:val="-4"/>
        </w:rPr>
        <w:t>TSI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等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118" style="position:absolute;margin-left:70.3559pt;margin-top:10.9987pt;mso-position-vertical-relative:text;mso-position-horizontal-relative:text;width:0.5pt;height:7.3pt;z-index:-25152819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20" style="position:absolute;margin-left:224.821pt;margin-top:10.9987pt;mso-position-vertical-relative:text;mso-position-horizontal-relative:text;width:0.5pt;height:7.3pt;z-index:-251524096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123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22" style="position:absolute;margin-left:42.6999pt;margin-top:1.62881pt;mso-position-vertical-relative:text;mso-position-horizontal-relative:text;width:56.7pt;height:11.5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甲状腺功能减退</w:t>
                  </w:r>
                </w:p>
              </w:txbxContent>
            </v:textbox>
          </v:shape>
        </w:pict>
      </w:r>
      <w:r>
        <w:pict>
          <v:shape id="_x0000_s124" style="position:absolute;margin-left:118.668pt;margin-top:1.62881pt;mso-position-vertical-relative:text;mso-position-horizontal-relative:text;width:56.7pt;height:11.5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甲状腺功能正常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甲状腺毒症</w:t>
      </w:r>
    </w:p>
    <w:p>
      <w:pPr>
        <w:spacing w:line="388" w:lineRule="auto"/>
        <w:rPr>
          <w:rFonts w:ascii="Arial"/>
          <w:sz w:val="21"/>
        </w:rPr>
      </w:pPr>
      <w:r>
        <w:pict>
          <v:shape id="_x0000_s126" style="position:absolute;margin-left:224.821pt;margin-top:4.88202pt;mso-position-vertical-relative:text;mso-position-horizontal-relative:text;width:0.5pt;height:7.3pt;z-index:-251526144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ind w:left="3863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完善甲状腺摄碘率</w:t>
      </w:r>
    </w:p>
    <w:p>
      <w:pPr>
        <w:pStyle w:val="BodyText"/>
        <w:ind w:left="821" w:right="3186" w:firstLine="4"/>
        <w:spacing w:before="46" w:line="22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28" style="position:absolute;margin-left:224.821pt;margin-top:4.94395pt;mso-position-vertical-relative:text;mso-position-horizontal-relative:text;width:0.5pt;height:7.3pt;z-index:-251525120;" filled="false" strokecolor="#231F20" strokeweight="0.50pt" coordsize="10,146" coordorigin="0,0" path="m5,0l5,14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如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：</w:t>
      </w:r>
      <w:r>
        <w:rPr>
          <w:sz w:val="16"/>
          <w:szCs w:val="16"/>
          <w:color w:val="231F20"/>
          <w:spacing w:val="-9"/>
        </w:rPr>
        <w:t>TSH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＞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9"/>
        </w:rPr>
        <w:t>10 mU/ml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给予左旋甲状腺素治疗</w:t>
      </w:r>
    </w:p>
    <w:p>
      <w:pPr>
        <w:pStyle w:val="BodyText"/>
        <w:ind w:left="4022" w:right="520" w:hanging="147"/>
        <w:spacing w:before="2" w:line="23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Graves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病患者应用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抗甲状腺药物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130" style="position:absolute;margin-left:224.821pt;margin-top:4.21539pt;mso-position-vertical-relative:text;mso-position-horizontal-relative:text;width:0.5pt;height:7.3pt;z-index:-251529216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ind w:left="4182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症状消失</w:t>
      </w:r>
    </w:p>
    <w:p>
      <w:pPr>
        <w:spacing w:line="389" w:lineRule="auto"/>
        <w:rPr>
          <w:rFonts w:ascii="Arial"/>
          <w:sz w:val="21"/>
        </w:rPr>
      </w:pPr>
      <w:r>
        <w:pict>
          <v:shape id="_x0000_s132" style="position:absolute;margin-left:224.821pt;margin-top:4.91403pt;mso-position-vertical-relative:text;mso-position-horizontal-relative:text;width:0.5pt;height:7.3pt;z-index:-251527168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2562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继续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治疗</w:t>
      </w:r>
    </w:p>
    <w:p>
      <w:pPr>
        <w:pStyle w:val="BodyText"/>
        <w:ind w:left="1559"/>
        <w:spacing w:before="265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4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相关甲状腺毒症的诊疗流程</w:t>
      </w:r>
    </w:p>
    <w:p>
      <w:pPr>
        <w:pStyle w:val="BodyText"/>
        <w:ind w:left="672" w:right="310" w:firstLine="329"/>
        <w:spacing w:before="47" w:line="232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FT3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为游离三碘甲状腺原氨酸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FT4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为游离甲状腺素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TSH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为促甲状腺激素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TPOAb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为甲状腺过氧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化物酶抗体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TgAb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为抗甲状腺球蛋白抗体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TRAb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为促甲状腺素受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体抗体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；</w:t>
      </w:r>
      <w:r>
        <w:rPr>
          <w:sz w:val="16"/>
          <w:szCs w:val="16"/>
          <w:color w:val="231F20"/>
        </w:rPr>
        <w:t>TSI</w:t>
      </w:r>
      <w:r>
        <w:rPr>
          <w:rFonts w:ascii="SimSun" w:hAnsi="SimSun" w:eastAsia="SimSun" w:cs="SimSun"/>
          <w:sz w:val="16"/>
          <w:szCs w:val="16"/>
          <w:color w:val="231F20"/>
        </w:rPr>
        <w:t>为促甲状腺激素受体刺激性抗体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；</w:t>
      </w:r>
      <w:r>
        <w:rPr>
          <w:sz w:val="16"/>
          <w:szCs w:val="16"/>
          <w:color w:val="231F20"/>
        </w:rPr>
        <w:t>Graves</w:t>
      </w:r>
      <w:r>
        <w:rPr>
          <w:rFonts w:ascii="SimSun" w:hAnsi="SimSun" w:eastAsia="SimSun" w:cs="SimSun"/>
          <w:sz w:val="16"/>
          <w:szCs w:val="16"/>
          <w:color w:val="231F20"/>
        </w:rPr>
        <w:t>病为弥漫性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毒性甲状腺肿。</w:t>
      </w:r>
    </w:p>
    <w:p>
      <w:pPr>
        <w:pStyle w:val="BodyText"/>
        <w:ind w:left="677" w:right="295" w:firstLine="321"/>
        <w:spacing w:before="269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  <w:spacing w:val="3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）随访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：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相关甲状腺损伤发生的时间跨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度非常大（用药后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周至停药后</w:t>
      </w:r>
      <w:r>
        <w:rPr>
          <w:sz w:val="21"/>
          <w:szCs w:val="21"/>
          <w:color w:val="231F20"/>
          <w:spacing w:val="-6"/>
        </w:rPr>
        <w:t>2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年均可发生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患者可无特异性症状，部分病例可由甲状腺毒症向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甲状腺功能减退转变，因此需定期规律复查。①既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6"/>
        <w:spacing w:before="37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往无甲状腺疾病的患者，推荐首次治疗前与每次治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疗前均需监测甲状腺功能，至少持续</w:t>
      </w:r>
      <w:r>
        <w:rPr>
          <w:sz w:val="21"/>
          <w:szCs w:val="21"/>
          <w:color w:val="231F20"/>
          <w:spacing w:val="3"/>
        </w:rPr>
        <w:t>5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3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个治疗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周期。治疗中，如患者出现甲状腺功能紊乱症状则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立即监测甲状腺功能。②有基础甲状腺疾病的患者，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建议在治疗开始的首月即开始持续每周期监测甲状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腺功能。③治疗后出现甲状腺功能减退的患者，推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荐治疗后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2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周监测甲状腺功能，后期依据甲状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腺功能调整随访时间，约半数患者需终身治疗和随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访。</w:t>
      </w:r>
    </w:p>
    <w:p>
      <w:pPr>
        <w:pStyle w:val="BodyText"/>
        <w:ind w:left="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3.2.1.2</w:t>
      </w:r>
      <w:r>
        <w:rPr>
          <w:sz w:val="21"/>
          <w:szCs w:val="21"/>
          <w:color w:val="231F20"/>
          <w:spacing w:val="9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甲状腺功能减退</w:t>
      </w:r>
    </w:p>
    <w:p>
      <w:pPr>
        <w:pStyle w:val="BodyText"/>
        <w:ind w:left="7" w:firstLine="321"/>
        <w:spacing w:before="100" w:line="2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）临床表现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：原发性甲状腺功能减退的临床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表现具有非特异性和多样性。大多数患者无症状，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甲状腺功能减退常由常规实验室检查确诊。①甲状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腺功能减退的症状包括体重增加、皮肤干燥、疲劳、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不耐寒、便秘、嗜睡和女性月经异常等。②体格检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查时可能会出现心动过缓、高血压（特别是舒张压）、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皮肤干燥、下肢黏液性水肿和腱反射延迟。</w:t>
      </w:r>
    </w:p>
    <w:p>
      <w:pPr>
        <w:pStyle w:val="BodyText"/>
        <w:ind w:left="6" w:right="74" w:firstLine="321"/>
        <w:spacing w:before="101" w:line="2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）诊断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：原发性甲状腺功能减退的实验室检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查表现为</w:t>
      </w:r>
      <w:r>
        <w:rPr>
          <w:sz w:val="21"/>
          <w:szCs w:val="21"/>
          <w:color w:val="231F20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升高、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7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</w:t>
      </w:r>
      <w:r>
        <w:rPr>
          <w:sz w:val="21"/>
          <w:szCs w:val="21"/>
          <w:color w:val="231F20"/>
          <w:spacing w:val="7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或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降低。若</w:t>
      </w:r>
      <w:r>
        <w:rPr>
          <w:sz w:val="21"/>
          <w:szCs w:val="21"/>
          <w:color w:val="231F20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升或降低，血清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</w:t>
      </w:r>
      <w:r>
        <w:rPr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或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水平降低，需考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虑垂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体损伤可能。由于这些患者中的大多数是由先前甲状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腺炎引起的甲状腺功能减退，甲状腺检查可能出现短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暂的</w:t>
      </w:r>
      <w:r>
        <w:rPr>
          <w:sz w:val="21"/>
          <w:szCs w:val="21"/>
          <w:color w:val="231F20"/>
          <w:spacing w:val="-12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和</w:t>
      </w:r>
      <w:r>
        <w:rPr>
          <w:sz w:val="21"/>
          <w:szCs w:val="21"/>
          <w:color w:val="231F20"/>
          <w:spacing w:val="-12"/>
        </w:rPr>
        <w:t>FT4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均降低，这是</w:t>
      </w:r>
      <w:r>
        <w:rPr>
          <w:sz w:val="21"/>
          <w:szCs w:val="21"/>
          <w:color w:val="231F20"/>
          <w:spacing w:val="-12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恢复滞后所致，因此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在恢复阶段应仔细解读检查结果，动态随访。</w:t>
      </w:r>
    </w:p>
    <w:p>
      <w:pPr>
        <w:pStyle w:val="BodyText"/>
        <w:ind w:left="6" w:right="16" w:firstLine="322"/>
        <w:spacing w:before="100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）鉴别诊断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：发现甲状腺功能减退后，需考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虑检查甲状腺球蛋白抗体（</w:t>
      </w:r>
      <w:r>
        <w:rPr>
          <w:sz w:val="21"/>
          <w:szCs w:val="21"/>
          <w:color w:val="231F20"/>
        </w:rPr>
        <w:t>thyrogl</w:t>
      </w:r>
      <w:r>
        <w:rPr>
          <w:sz w:val="21"/>
          <w:szCs w:val="21"/>
          <w:color w:val="231F20"/>
          <w:spacing w:val="-1"/>
        </w:rPr>
        <w:t>obulin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  <w:spacing w:val="-1"/>
        </w:rPr>
        <w:t>antibody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6"/>
        </w:rPr>
        <w:t>TgAb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）、</w:t>
      </w:r>
      <w:r>
        <w:rPr>
          <w:sz w:val="21"/>
          <w:szCs w:val="21"/>
          <w:color w:val="231F20"/>
          <w:spacing w:val="-6"/>
        </w:rPr>
        <w:t>TPOAb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和</w:t>
      </w:r>
      <w:r>
        <w:rPr>
          <w:sz w:val="21"/>
          <w:szCs w:val="21"/>
          <w:color w:val="231F20"/>
          <w:spacing w:val="-6"/>
        </w:rPr>
        <w:t>TRAb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以协助病因鉴别。</w:t>
      </w:r>
    </w:p>
    <w:p>
      <w:pPr>
        <w:pStyle w:val="BodyText"/>
        <w:ind w:left="328"/>
        <w:spacing w:before="10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</w:t>
      </w:r>
      <w:r>
        <w:rPr>
          <w:sz w:val="21"/>
          <w:szCs w:val="21"/>
          <w:color w:val="231F20"/>
          <w:spacing w:val="-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）处理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：诊疗流程见图</w:t>
      </w:r>
      <w:r>
        <w:rPr>
          <w:sz w:val="21"/>
          <w:szCs w:val="21"/>
          <w:color w:val="231F20"/>
          <w:spacing w:val="-6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</w:t>
      </w:r>
    </w:p>
    <w:p>
      <w:pPr>
        <w:pStyle w:val="BodyText"/>
        <w:ind w:left="328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（</w:t>
      </w:r>
      <w:r>
        <w:rPr>
          <w:sz w:val="21"/>
          <w:szCs w:val="21"/>
          <w:color w:val="231F20"/>
          <w:spacing w:val="-8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）随访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：同甲状腺毒症。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113613</wp:posOffset>
            </wp:positionV>
            <wp:extent cx="2933687" cy="179120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687" cy="179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76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甲状腺功能减退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134" style="position:absolute;margin-left:37.4193pt;margin-top:10.683pt;mso-position-vertical-relative:text;mso-position-horizontal-relative:text;width:0.5pt;height:7.3pt;z-index:-25151897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36" style="position:absolute;margin-left:193.58pt;margin-top:10.683pt;mso-position-vertical-relative:text;mso-position-horizontal-relative:text;width:0.5pt;height:7.3pt;z-index:-251520000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65" w:right="213" w:firstLine="60"/>
        <w:spacing w:before="52" w:line="233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38" style="position:absolute;margin-left:5.8793pt;margin-top:1.61531pt;mso-position-vertical-relative:text;mso-position-horizontal-relative:text;width:63.25pt;height:21.5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7"/>
                    <w:spacing w:before="19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TSH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≤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10 mU/ml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FT4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正常且无症状</w:t>
                  </w:r>
                </w:p>
              </w:txbxContent>
            </v:textbox>
          </v:shape>
        </w:pict>
      </w:r>
      <w:r>
        <w:pict>
          <v:shape id="_x0000_s140" style="position:absolute;margin-left:84.849pt;margin-top:6.61563pt;mso-position-vertical-relative:text;mso-position-horizontal-relative:text;width:61.55pt;height:12.2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TSH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10 mU/ml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TSH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降低或正常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FT4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和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或</w:t>
      </w:r>
      <w:r>
        <w:rPr>
          <w:sz w:val="16"/>
          <w:szCs w:val="16"/>
          <w:color w:val="231F20"/>
          <w:spacing w:val="-1"/>
        </w:rPr>
        <w:t>FT3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降低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142" style="position:absolute;margin-left:115.5pt;margin-top:4.21591pt;mso-position-vertical-relative:text;mso-position-horizontal-relative:text;width:0.5pt;height:7.3pt;z-index:-25152204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44" style="position:absolute;margin-left:196.372pt;margin-top:4.21591pt;mso-position-vertical-relative:text;mso-position-horizontal-relative:text;width:0.5pt;height:7.3pt;z-index:-251517952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ind w:left="3477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46" style="position:absolute;margin-left:90.8756pt;margin-top:1.61163pt;mso-position-vertical-relative:text;mso-position-horizontal-relative:text;width:49.65pt;height:21.5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2" w:right="20" w:hanging="322"/>
                    <w:spacing w:before="20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左旋甲状腺素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排除中枢性</w:t>
      </w:r>
    </w:p>
    <w:p>
      <w:pPr>
        <w:ind w:left="3338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甲状腺功能减退</w:t>
      </w:r>
    </w:p>
    <w:p>
      <w:pPr>
        <w:spacing w:line="389" w:lineRule="auto"/>
        <w:rPr>
          <w:rFonts w:ascii="Arial"/>
          <w:sz w:val="21"/>
        </w:rPr>
      </w:pPr>
      <w:r>
        <w:pict>
          <v:shape id="_x0000_s148" style="position:absolute;margin-left:115.5pt;margin-top:4.91431pt;mso-position-vertical-relative:text;mso-position-horizontal-relative:text;width:0.5pt;height:7.3pt;z-index:-251521024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1111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继续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治疗</w:t>
      </w:r>
    </w:p>
    <w:p>
      <w:pPr>
        <w:pStyle w:val="BodyText"/>
        <w:ind w:left="709"/>
        <w:spacing w:before="265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5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相关甲状腺功能减退的诊疗流程</w:t>
      </w:r>
    </w:p>
    <w:p>
      <w:pPr>
        <w:pStyle w:val="BodyText"/>
        <w:ind w:left="23" w:right="74" w:firstLine="308"/>
        <w:spacing w:before="47" w:line="2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TSH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为甲状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腺激素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</w:t>
      </w:r>
      <w:r>
        <w:rPr>
          <w:sz w:val="16"/>
          <w:szCs w:val="16"/>
          <w:color w:val="231F20"/>
          <w:spacing w:val="-5"/>
        </w:rPr>
        <w:t>FT4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为游离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甲状腺素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FT3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为游离三碘甲状腺原氨酸。</w:t>
      </w:r>
    </w:p>
    <w:p>
      <w:pPr>
        <w:spacing w:line="216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44" w:space="100"/>
            <w:col w:w="4695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40"/>
          <w:pgSz w:w="11906" w:h="16158"/>
          <w:pgMar w:top="1233" w:right="1003" w:bottom="400" w:left="407" w:header="772" w:footer="0" w:gutter="0"/>
          <w:cols w:equalWidth="0" w:num="1">
            <w:col w:w="10494" w:space="0"/>
          </w:cols>
        </w:sectPr>
        <w:rPr/>
      </w:pPr>
    </w:p>
    <w:p>
      <w:pPr>
        <w:pStyle w:val="BodyText"/>
        <w:ind w:left="733" w:right="353" w:firstLine="1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3.2.2    </w:t>
      </w:r>
      <w:r>
        <w:rPr>
          <w:rFonts w:ascii="SimSun" w:hAnsi="SimSun" w:eastAsia="SimSun" w:cs="SimSun"/>
          <w:sz w:val="21"/>
          <w:szCs w:val="21"/>
          <w:color w:val="231F20"/>
        </w:rPr>
        <w:t>垂体炎  多见于伊匹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木单抗，从开始使用伊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匹木单抗到确诊垂体炎的中位时间为</w:t>
      </w:r>
      <w:r>
        <w:rPr>
          <w:sz w:val="21"/>
          <w:szCs w:val="21"/>
          <w:color w:val="231F20"/>
          <w:spacing w:val="3"/>
        </w:rPr>
        <w:t>8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3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周，或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在使用第三剂伊匹木单抗后。</w:t>
      </w:r>
    </w:p>
    <w:p>
      <w:pPr>
        <w:pStyle w:val="BodyText"/>
        <w:ind w:left="734" w:right="295"/>
        <w:spacing w:before="6" w:line="29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3.2.2.1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  症状具有非特异性，头痛和疲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劳最常见，发生率分别为</w:t>
      </w:r>
      <w:r>
        <w:rPr>
          <w:sz w:val="21"/>
          <w:szCs w:val="21"/>
          <w:color w:val="231F20"/>
          <w:spacing w:val="2"/>
        </w:rPr>
        <w:t>85%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sz w:val="21"/>
          <w:szCs w:val="21"/>
          <w:color w:val="231F20"/>
          <w:spacing w:val="2"/>
        </w:rPr>
        <w:t>65%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。视力变化不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常见，</w:t>
      </w:r>
      <w:r>
        <w:rPr>
          <w:sz w:val="21"/>
          <w:szCs w:val="21"/>
          <w:color w:val="231F20"/>
        </w:rPr>
        <w:t>55%</w:t>
      </w:r>
      <w:r>
        <w:rPr>
          <w:rFonts w:ascii="SimSun" w:hAnsi="SimSun" w:eastAsia="SimSun" w:cs="SimSun"/>
          <w:sz w:val="21"/>
          <w:szCs w:val="21"/>
          <w:color w:val="231F20"/>
        </w:rPr>
        <w:t>的患者有低钠血症。当常规甲状腺功能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监测显示</w:t>
      </w:r>
      <w:r>
        <w:rPr>
          <w:sz w:val="21"/>
          <w:szCs w:val="21"/>
          <w:color w:val="231F20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不升或降低，血清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5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</w:t>
      </w:r>
      <w:r>
        <w:rPr>
          <w:sz w:val="21"/>
          <w:szCs w:val="21"/>
          <w:color w:val="231F20"/>
          <w:spacing w:val="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或</w:t>
      </w:r>
      <w:r>
        <w:rPr>
          <w:sz w:val="21"/>
          <w:szCs w:val="21"/>
          <w:color w:val="231F20"/>
        </w:rPr>
        <w:t>FT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降低的迹象时需考虑中枢性甲状腺功能减退可能，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需要进一步检查。</w:t>
      </w:r>
    </w:p>
    <w:p>
      <w:pPr>
        <w:pStyle w:val="BodyText"/>
        <w:ind w:left="733" w:right="262" w:firstLine="1"/>
        <w:spacing w:before="104" w:line="30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3.2.2.2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  最常见的激素缺乏症是垂体性甲状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腺功能减退（</w:t>
      </w:r>
      <w:r>
        <w:rPr>
          <w:sz w:val="21"/>
          <w:szCs w:val="21"/>
          <w:color w:val="231F20"/>
          <w:spacing w:val="5"/>
        </w:rPr>
        <w:t>86%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5"/>
        </w:rPr>
        <w:t>100%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其次是低促性腺激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素性性腺功能减退（</w:t>
      </w:r>
      <w:r>
        <w:rPr>
          <w:sz w:val="21"/>
          <w:szCs w:val="21"/>
          <w:color w:val="231F20"/>
        </w:rPr>
        <w:t>85%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100%</w:t>
      </w:r>
      <w:r>
        <w:rPr>
          <w:rFonts w:ascii="SimSun" w:hAnsi="SimSun" w:eastAsia="SimSun" w:cs="SimSun"/>
          <w:sz w:val="21"/>
          <w:szCs w:val="21"/>
          <w:color w:val="231F20"/>
        </w:rPr>
        <w:t>）和继发性肾上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腺功能不全（</w:t>
      </w:r>
      <w:r>
        <w:rPr>
          <w:sz w:val="21"/>
          <w:szCs w:val="21"/>
          <w:color w:val="231F20"/>
          <w:spacing w:val="-4"/>
        </w:rPr>
        <w:t>50%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4"/>
        </w:rPr>
        <w:t>73%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）。生长激素缺乏和催乳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素异常者少见。罕见垂体后叶受累，常为多轴受累，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半数患者可同时存在垂体</w:t>
      </w:r>
      <w:r>
        <w:rPr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甲状腺、垂体</w:t>
      </w:r>
      <w:r>
        <w:rPr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肾上腺以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及垂体</w:t>
      </w:r>
      <w:r>
        <w:rPr>
          <w:sz w:val="21"/>
          <w:szCs w:val="21"/>
          <w:color w:val="231F20"/>
          <w:spacing w:val="7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性腺轴受累。</w:t>
      </w:r>
      <w:r>
        <w:rPr>
          <w:sz w:val="21"/>
          <w:szCs w:val="21"/>
          <w:color w:val="231F20"/>
          <w:spacing w:val="7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以上的患者可能出现催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乳素降低，但也有催乳素升高的报道。生长激素缺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乏少见，但</w:t>
      </w:r>
      <w:r>
        <w:rPr>
          <w:sz w:val="21"/>
          <w:szCs w:val="21"/>
          <w:color w:val="231F20"/>
          <w:spacing w:val="6"/>
        </w:rPr>
        <w:t>28%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6"/>
        </w:rPr>
        <w:t>46%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的患者中可能存在胰岛素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样生长因子</w:t>
      </w:r>
      <w:r>
        <w:rPr>
          <w:sz w:val="21"/>
          <w:szCs w:val="21"/>
          <w:color w:val="231F20"/>
          <w:spacing w:val="-1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insulin-like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g</w:t>
      </w:r>
      <w:r>
        <w:rPr>
          <w:sz w:val="21"/>
          <w:szCs w:val="21"/>
          <w:color w:val="231F20"/>
          <w:spacing w:val="-2"/>
        </w:rPr>
        <w:t>rowth</w:t>
      </w:r>
      <w:r>
        <w:rPr>
          <w:sz w:val="21"/>
          <w:szCs w:val="21"/>
          <w:color w:val="231F20"/>
          <w:spacing w:val="25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factor-1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IGF-1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降低。目前仅报道了</w:t>
      </w:r>
      <w:r>
        <w:rPr>
          <w:sz w:val="21"/>
          <w:szCs w:val="21"/>
          <w:color w:val="231F20"/>
          <w:spacing w:val="-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例与</w:t>
      </w:r>
      <w:r>
        <w:rPr>
          <w:sz w:val="21"/>
          <w:szCs w:val="21"/>
          <w:color w:val="231F20"/>
          <w:spacing w:val="-5"/>
        </w:rPr>
        <w:t>PD-L1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抑制剂（</w:t>
      </w:r>
      <w:r>
        <w:rPr>
          <w:sz w:val="21"/>
          <w:szCs w:val="21"/>
          <w:color w:val="231F20"/>
          <w:spacing w:val="-5"/>
        </w:rPr>
        <w:t>avelumab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相关的中枢性尿崩症</w:t>
      </w:r>
      <w:r>
        <w:rPr>
          <w:sz w:val="12"/>
          <w:szCs w:val="12"/>
          <w:color w:val="231F20"/>
          <w:spacing w:val="-1"/>
          <w:position w:val="9"/>
        </w:rPr>
        <w:t>[63]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34" w:right="262" w:firstLine="424"/>
        <w:spacing w:before="9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80%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7"/>
        </w:rPr>
        <w:t>90%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的患者可有</w:t>
      </w:r>
      <w:r>
        <w:rPr>
          <w:sz w:val="21"/>
          <w:szCs w:val="21"/>
          <w:color w:val="231F20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异常，主要为与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基线对比垂体高度增加，但这些表现有时非常轻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微，如不与基线扫描比较，则不易发现。其他</w:t>
      </w:r>
      <w:r>
        <w:rPr>
          <w:sz w:val="21"/>
          <w:szCs w:val="21"/>
          <w:color w:val="231F20"/>
        </w:rPr>
        <w:t>MRI</w:t>
      </w:r>
      <w:r>
        <w:rPr>
          <w:sz w:val="21"/>
          <w:szCs w:val="21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异常包括垂体柄增厚（</w:t>
      </w:r>
      <w:r>
        <w:rPr>
          <w:sz w:val="21"/>
          <w:szCs w:val="21"/>
          <w:color w:val="231F20"/>
          <w:spacing w:val="-11"/>
        </w:rPr>
        <w:t>70%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）、垂体向上膨隆（</w:t>
      </w:r>
      <w:r>
        <w:rPr>
          <w:sz w:val="21"/>
          <w:szCs w:val="21"/>
          <w:color w:val="231F20"/>
          <w:spacing w:val="-11"/>
        </w:rPr>
        <w:t>48%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和腺垂体异常不均匀强化（</w:t>
      </w:r>
      <w:r>
        <w:rPr>
          <w:sz w:val="21"/>
          <w:szCs w:val="21"/>
          <w:color w:val="231F20"/>
        </w:rPr>
        <w:t>37%</w:t>
      </w:r>
      <w:r>
        <w:rPr>
          <w:rFonts w:ascii="SimSun" w:hAnsi="SimSun" w:eastAsia="SimSun" w:cs="SimSun"/>
          <w:sz w:val="21"/>
          <w:szCs w:val="21"/>
          <w:color w:val="231F20"/>
        </w:rPr>
        <w:t>）。几乎所有垂体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增大的病例在</w:t>
      </w:r>
      <w:r>
        <w:rPr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个月左右随访复查垂体</w:t>
      </w:r>
      <w:r>
        <w:rPr>
          <w:sz w:val="21"/>
          <w:szCs w:val="21"/>
          <w:color w:val="231F20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时均可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恢复基线水平</w:t>
      </w:r>
      <w:r>
        <w:rPr>
          <w:sz w:val="12"/>
          <w:szCs w:val="12"/>
          <w:color w:val="231F20"/>
          <w:spacing w:val="-1"/>
          <w:position w:val="8"/>
        </w:rPr>
        <w:t>[64]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27" w:right="278" w:firstLine="466"/>
        <w:spacing w:before="8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目前尚无确诊垂体炎的严格标准。根据既往的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回顾性数据和临床经验，推荐垂体炎的确诊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标准包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括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：①≥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个垂体激素缺乏</w:t>
      </w:r>
      <w:r>
        <w:rPr>
          <w:sz w:val="21"/>
          <w:szCs w:val="21"/>
          <w:color w:val="231F20"/>
          <w:spacing w:val="-3"/>
        </w:rPr>
        <w:t>[TSH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或促肾上腺皮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质激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素（</w:t>
      </w:r>
      <w:r>
        <w:rPr>
          <w:sz w:val="21"/>
          <w:szCs w:val="21"/>
          <w:color w:val="231F20"/>
        </w:rPr>
        <w:t>adrenocorticotropic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</w:rPr>
        <w:t>hormone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）缺乏</w:t>
      </w:r>
      <w:r>
        <w:rPr>
          <w:sz w:val="21"/>
          <w:szCs w:val="21"/>
          <w:color w:val="231F20"/>
          <w:spacing w:val="2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伴有</w:t>
      </w:r>
      <w:r>
        <w:rPr>
          <w:sz w:val="21"/>
          <w:szCs w:val="21"/>
          <w:color w:val="231F20"/>
          <w:spacing w:val="-1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异常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；②出现头痛或其他症状时，</w:t>
      </w:r>
      <w:r>
        <w:rPr>
          <w:rFonts w:ascii="SimSun" w:hAnsi="SimSun" w:eastAsia="SimSun" w:cs="SimSun"/>
          <w:sz w:val="21"/>
          <w:szCs w:val="21"/>
          <w:color w:val="231F20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垂体激素缺乏（</w:t>
      </w:r>
      <w:r>
        <w:rPr>
          <w:sz w:val="21"/>
          <w:szCs w:val="21"/>
          <w:color w:val="231F20"/>
          <w:spacing w:val="-2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或</w:t>
      </w:r>
      <w:r>
        <w:rPr>
          <w:sz w:val="21"/>
          <w:szCs w:val="21"/>
          <w:color w:val="231F20"/>
          <w:spacing w:val="-2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缺乏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③许多垂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体炎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病例中都有报道中枢性性腺功能减退。但由于性腺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激素对急性起病的变化敏感，因此诊断标准中不包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含低促性腺激素性性腺功能减退。</w:t>
      </w:r>
      <w:r>
        <w:rPr>
          <w:sz w:val="21"/>
          <w:szCs w:val="21"/>
          <w:color w:val="231F20"/>
          <w:spacing w:val="-1"/>
        </w:rPr>
        <w:t>CheckMate-649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</w:rPr>
        <w:t>ATTRACTION</w:t>
      </w:r>
      <w:r>
        <w:rPr>
          <w:sz w:val="21"/>
          <w:szCs w:val="21"/>
          <w:color w:val="231F20"/>
          <w:spacing w:val="4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4"/>
        </w:rPr>
        <w:t>-577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等研究均采用该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诊断标准并取得较好的结果</w:t>
      </w:r>
      <w:r>
        <w:rPr>
          <w:sz w:val="12"/>
          <w:szCs w:val="12"/>
          <w:color w:val="231F20"/>
          <w:position w:val="8"/>
        </w:rPr>
        <w:t>[11,60-61]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</w:t>
      </w:r>
    </w:p>
    <w:p>
      <w:pPr>
        <w:pStyle w:val="BodyText"/>
        <w:ind w:left="734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3.2.2.3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患者可能会有不同的主诉，出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 w:right="74" w:firstLine="2"/>
        <w:spacing w:before="39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现头痛和视力障碍需要立即评估并与脑转移瘤、软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脑膜疾病、脑血管疾病等相鉴别。</w:t>
      </w:r>
    </w:p>
    <w:p>
      <w:pPr>
        <w:pStyle w:val="BodyText"/>
        <w:ind w:left="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3.2.2.4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822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152390</wp:posOffset>
            </wp:positionV>
            <wp:extent cx="2933700" cy="242620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242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76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垂体炎</w:t>
      </w:r>
    </w:p>
    <w:p>
      <w:pPr>
        <w:spacing w:line="388" w:lineRule="auto"/>
        <w:rPr>
          <w:rFonts w:ascii="Arial"/>
          <w:sz w:val="21"/>
        </w:rPr>
      </w:pPr>
      <w:r>
        <w:pict>
          <v:shape id="_x0000_s152" style="position:absolute;margin-left:115.5pt;margin-top:4.87543pt;mso-position-vertical-relative:text;mso-position-horizontal-relative:text;width:0.5pt;height:7.3pt;z-index:-251496448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130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完善垂体</w:t>
      </w:r>
      <w:r>
        <w:rPr>
          <w:sz w:val="16"/>
          <w:szCs w:val="16"/>
          <w:color w:val="231F20"/>
          <w:spacing w:val="4"/>
        </w:rPr>
        <w:t>-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靶腺轴评估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：肾上腺轴、甲状腺轴，性腺轴、</w:t>
      </w:r>
      <w:r>
        <w:rPr>
          <w:sz w:val="16"/>
          <w:szCs w:val="16"/>
          <w:color w:val="231F20"/>
        </w:rPr>
        <w:t>GH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、</w:t>
      </w:r>
    </w:p>
    <w:p>
      <w:pPr>
        <w:pStyle w:val="BodyText"/>
        <w:ind w:left="140"/>
        <w:spacing w:before="1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IGF-1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、</w:t>
      </w:r>
      <w:r>
        <w:rPr>
          <w:sz w:val="16"/>
          <w:szCs w:val="16"/>
          <w:color w:val="231F20"/>
          <w:spacing w:val="-5"/>
        </w:rPr>
        <w:t>PRL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及垂体后叶评估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：血尿渗透压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；电解质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；垂体</w:t>
      </w:r>
      <w:r>
        <w:rPr>
          <w:sz w:val="16"/>
          <w:szCs w:val="16"/>
          <w:color w:val="231F20"/>
          <w:spacing w:val="-5"/>
        </w:rPr>
        <w:t>MRI</w:t>
      </w:r>
    </w:p>
    <w:p>
      <w:pPr>
        <w:spacing w:line="251" w:lineRule="auto"/>
        <w:rPr>
          <w:rFonts w:ascii="Arial"/>
          <w:sz w:val="21"/>
        </w:rPr>
      </w:pPr>
      <w:r>
        <w:pict>
          <v:shape id="_x0000_s154" style="position:absolute;margin-left:68.0316pt;margin-top:10.7516pt;mso-position-vertical-relative:text;mso-position-horizontal-relative:text;width:0.5pt;height:7.3pt;z-index:-25149849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56" style="position:absolute;margin-left:115.5pt;margin-top:4.83258pt;mso-position-vertical-relative:text;mso-position-horizontal-relative:text;width:0.5pt;height:5.7pt;z-index:-251499520;" filled="false" strokecolor="#231F20" strokeweight="0.50pt" coordsize="10,113" coordorigin="0,0" path="m5,0l5,113e">
            <v:stroke joinstyle="miter" miterlimit="10"/>
          </v:shape>
        </w:pict>
      </w:r>
      <w:r>
        <w:pict>
          <v:shape id="_x0000_s158" style="position:absolute;margin-left:188.333pt;margin-top:10.7516pt;mso-position-vertical-relative:text;mso-position-horizontal-relative:text;width:0.5pt;height:7.3pt;z-index:-251497472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60" style="position:absolute;margin-left:145.805pt;margin-top:1.63288pt;mso-position-vertical-relative:text;mso-position-horizontal-relative:text;width:82.2pt;height:41.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垂体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甲状腺轴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：</w:t>
                  </w:r>
                </w:p>
                <w:p>
                  <w:pPr>
                    <w:pStyle w:val="BodyText"/>
                    <w:spacing w:before="9"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注意激素替代顺序；</w:t>
                  </w:r>
                </w:p>
                <w:p>
                  <w:pPr>
                    <w:pStyle w:val="BodyText"/>
                    <w:spacing w:before="9"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左旋甲状腺素替代；</w:t>
                  </w:r>
                </w:p>
                <w:p>
                  <w:pPr>
                    <w:pStyle w:val="BodyText"/>
                    <w:ind w:left="21"/>
                    <w:spacing w:before="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根据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FT4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调整剂量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垂体</w:t>
      </w:r>
      <w:r>
        <w:rPr>
          <w:sz w:val="16"/>
          <w:szCs w:val="16"/>
          <w:color w:val="231F20"/>
          <w:spacing w:val="-1"/>
        </w:rPr>
        <w:t>-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肾上腺轴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</w:p>
    <w:p>
      <w:pPr>
        <w:pStyle w:val="BodyText"/>
        <w:ind w:left="132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紧急情况下氢化可的松静脉滴注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；</w:t>
      </w:r>
    </w:p>
    <w:p>
      <w:pPr>
        <w:pStyle w:val="BodyText"/>
        <w:ind w:left="310" w:right="2096" w:hanging="178"/>
        <w:spacing w:before="10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</w:rPr>
        <w:t>根据激素水平调整氢化可的松</w:t>
      </w:r>
      <w:r>
        <w:rPr>
          <w:sz w:val="16"/>
          <w:szCs w:val="16"/>
          <w:color w:val="231F20"/>
        </w:rPr>
        <w:t>/</w:t>
      </w:r>
      <w:r>
        <w:rPr>
          <w:rFonts w:ascii="SimSun" w:hAnsi="SimSun" w:eastAsia="SimSun" w:cs="SimSun"/>
          <w:sz w:val="16"/>
          <w:szCs w:val="16"/>
          <w:color w:val="231F20"/>
        </w:rPr>
        <w:t>醋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酸可的松生理替代剂量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132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•</w:t>
      </w:r>
      <w:r>
        <w:rPr>
          <w:sz w:val="16"/>
          <w:szCs w:val="16"/>
          <w:color w:val="231F20"/>
          <w:spacing w:val="8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>患者宣教，如遇应激，激素需加量；</w:t>
      </w:r>
    </w:p>
    <w:p>
      <w:pPr>
        <w:pStyle w:val="BodyText"/>
        <w:ind w:left="308" w:right="2097" w:hanging="176"/>
        <w:spacing w:before="9" w:line="22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大剂量激素冲击仅用于有剧烈头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痛、视野缺损患者</w:t>
      </w:r>
    </w:p>
    <w:p>
      <w:pPr>
        <w:spacing w:line="385" w:lineRule="auto"/>
        <w:rPr>
          <w:rFonts w:ascii="Arial"/>
          <w:sz w:val="21"/>
        </w:rPr>
      </w:pPr>
      <w:r>
        <w:pict>
          <v:shape id="_x0000_s162" style="position:absolute;margin-left:68.0316pt;margin-top:4.87048pt;mso-position-vertical-relative:text;mso-position-horizontal-relative:text;width:0.5pt;height:7.3pt;z-index:-251495424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1336"/>
        <w:spacing w:before="52" w:line="223" w:lineRule="auto"/>
        <w:rPr>
          <w:sz w:val="9"/>
          <w:szCs w:val="9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急性症状消失继续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  <w:r>
        <w:rPr>
          <w:sz w:val="9"/>
          <w:szCs w:val="9"/>
          <w:color w:val="231F20"/>
          <w:spacing w:val="-1"/>
          <w:position w:val="7"/>
        </w:rPr>
        <w:t>[63]</w:t>
      </w:r>
    </w:p>
    <w:p>
      <w:pPr>
        <w:pStyle w:val="BodyText"/>
        <w:ind w:left="1069"/>
        <w:spacing w:before="266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6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相关垂体炎的诊疗流程</w:t>
      </w:r>
    </w:p>
    <w:p>
      <w:pPr>
        <w:pStyle w:val="BodyText"/>
        <w:ind w:left="6" w:right="74" w:firstLine="325"/>
        <w:spacing w:before="49" w:line="232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  <w:r>
        <w:rPr>
          <w:sz w:val="16"/>
          <w:szCs w:val="16"/>
          <w:color w:val="231F20"/>
          <w:spacing w:val="-1"/>
        </w:rPr>
        <w:t>GH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为生长激素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  <w:r>
        <w:rPr>
          <w:sz w:val="16"/>
          <w:szCs w:val="16"/>
          <w:color w:val="231F20"/>
          <w:spacing w:val="-1"/>
        </w:rPr>
        <w:t>IGF-1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为胰岛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素样生长因子</w:t>
      </w:r>
      <w:r>
        <w:rPr>
          <w:sz w:val="16"/>
          <w:szCs w:val="16"/>
          <w:color w:val="231F20"/>
          <w:spacing w:val="-1"/>
        </w:rPr>
        <w:t>-1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  <w:r>
        <w:rPr>
          <w:sz w:val="16"/>
          <w:szCs w:val="16"/>
          <w:color w:val="231F20"/>
          <w:spacing w:val="-1"/>
        </w:rPr>
        <w:t>PRL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为催乳素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  <w:r>
        <w:rPr>
          <w:sz w:val="16"/>
          <w:szCs w:val="16"/>
          <w:color w:val="231F20"/>
          <w:spacing w:val="-1"/>
        </w:rPr>
        <w:t>FT4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为游离甲状腺素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  <w:r>
        <w:rPr>
          <w:sz w:val="16"/>
          <w:szCs w:val="16"/>
          <w:color w:val="231F20"/>
          <w:spacing w:val="-1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为磁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共振成像。</w:t>
      </w:r>
    </w:p>
    <w:p>
      <w:pPr>
        <w:pStyle w:val="BodyText"/>
        <w:ind w:left="5" w:firstLine="3"/>
        <w:spacing w:before="23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3.2.2.5    </w:t>
      </w:r>
      <w:r>
        <w:rPr>
          <w:rFonts w:ascii="SimSun" w:hAnsi="SimSun" w:eastAsia="SimSun" w:cs="SimSun"/>
          <w:sz w:val="21"/>
          <w:szCs w:val="21"/>
          <w:color w:val="231F20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若发生垂体炎，处理过程中需要进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行下述检查。①垂体靶腺轴激素测定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：包括垂体</w:t>
      </w:r>
      <w:r>
        <w:rPr>
          <w:sz w:val="21"/>
          <w:szCs w:val="21"/>
          <w:color w:val="231F20"/>
          <w:spacing w:val="-6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状腺轴（</w:t>
      </w:r>
      <w:r>
        <w:rPr>
          <w:sz w:val="21"/>
          <w:szCs w:val="21"/>
          <w:color w:val="231F20"/>
          <w:spacing w:val="-1"/>
        </w:rPr>
        <w:t>TSH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FT4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FT3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垂体</w:t>
      </w:r>
      <w:r>
        <w:rPr>
          <w:sz w:val="21"/>
          <w:szCs w:val="21"/>
          <w:color w:val="231F20"/>
          <w:spacing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肾上腺轴（建议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停用氢化可的松</w:t>
      </w:r>
      <w:r>
        <w:rPr>
          <w:sz w:val="21"/>
          <w:szCs w:val="21"/>
          <w:color w:val="231F20"/>
          <w:spacing w:val="-6"/>
        </w:rPr>
        <w:t>24 h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后测</w:t>
      </w:r>
      <w:r>
        <w:rPr>
          <w:sz w:val="21"/>
          <w:szCs w:val="21"/>
          <w:color w:val="231F20"/>
          <w:spacing w:val="-6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、皮质醇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垂体</w:t>
      </w:r>
      <w:r>
        <w:rPr>
          <w:sz w:val="21"/>
          <w:szCs w:val="21"/>
          <w:color w:val="231F20"/>
          <w:spacing w:val="-6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腺轴（睾酮</w:t>
      </w:r>
      <w:r>
        <w:rPr>
          <w:sz w:val="21"/>
          <w:szCs w:val="21"/>
          <w:color w:val="231F20"/>
          <w:spacing w:val="-17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雌二醇、</w:t>
      </w:r>
      <w:r>
        <w:rPr>
          <w:sz w:val="21"/>
          <w:szCs w:val="21"/>
          <w:color w:val="231F20"/>
          <w:spacing w:val="-17"/>
        </w:rPr>
        <w:t>FSH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、促黄体生成素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w w:val="8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生长激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素、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IGF-1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及催乳素。此外，生化检查如血电解质、血尿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渗透压及尿比重亦需同步检查。前半年可每月复查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次，后半年可每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个月复查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次，此后至少每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年复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查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次。②建议每</w:t>
      </w:r>
      <w:r>
        <w:rPr>
          <w:sz w:val="21"/>
          <w:szCs w:val="21"/>
          <w:color w:val="231F20"/>
          <w:spacing w:val="-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个月复查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次垂体</w:t>
      </w:r>
      <w:r>
        <w:rPr>
          <w:sz w:val="21"/>
          <w:szCs w:val="21"/>
          <w:color w:val="231F20"/>
          <w:spacing w:val="-4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，以排除原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发肿瘤的垂体转移，同时评估垂体炎进展情况。</w:t>
      </w:r>
    </w:p>
    <w:p>
      <w:pPr>
        <w:pStyle w:val="BodyText"/>
        <w:ind w:left="6" w:right="74" w:firstLine="1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3.2.3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血糖异常</w:t>
      </w:r>
      <w:r>
        <w:rPr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糖尿病  临床上，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相关糖尿病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可能影响既往有或无糖尿病的患者。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相关糖尿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病与免疫介导的胰腺</w:t>
      </w:r>
      <w:r>
        <w:rPr>
          <w:sz w:val="21"/>
          <w:szCs w:val="21"/>
          <w:color w:val="231F20"/>
          <w:spacing w:val="3"/>
        </w:rPr>
        <w:t>β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细胞破坏有关。患者可能出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现急性和新发糖尿病酮症酸中毒（</w:t>
      </w:r>
      <w:r>
        <w:rPr>
          <w:sz w:val="21"/>
          <w:szCs w:val="21"/>
          <w:color w:val="231F20"/>
        </w:rPr>
        <w:t>diabetic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</w:rPr>
        <w:t>ketoaci</w:t>
      </w:r>
      <w:r>
        <w:rPr>
          <w:sz w:val="21"/>
          <w:szCs w:val="21"/>
          <w:color w:val="231F20"/>
          <w:spacing w:val="3"/>
        </w:rPr>
        <w:t>-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dosis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DKA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）、新发高血糖或已有糖尿病基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础上的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血糖控制恶化。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相关糖尿病发生于药物使用后</w:t>
      </w:r>
      <w:r>
        <w:rPr>
          <w:sz w:val="21"/>
          <w:szCs w:val="21"/>
          <w:color w:val="231F20"/>
          <w:spacing w:val="1"/>
        </w:rPr>
        <w:t>1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周到</w:t>
      </w:r>
      <w:r>
        <w:rPr>
          <w:sz w:val="21"/>
          <w:szCs w:val="21"/>
          <w:color w:val="231F20"/>
          <w:spacing w:val="-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个月不等，甚至更长时间，表现为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型糖尿病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或</w:t>
      </w:r>
      <w:r>
        <w:rPr>
          <w:sz w:val="21"/>
          <w:szCs w:val="21"/>
          <w:color w:val="231F20"/>
          <w:spacing w:val="-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型糖尿病均有可能。</w:t>
      </w:r>
    </w:p>
    <w:p>
      <w:pPr>
        <w:pStyle w:val="BodyText"/>
        <w:ind w:left="9" w:right="74" w:hanging="1"/>
        <w:spacing w:before="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3.2.3.1  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轻度血糖升高往往无临床表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现，在随访过程中被发现。但急性高血糖或</w:t>
      </w:r>
      <w:r>
        <w:rPr>
          <w:sz w:val="21"/>
          <w:szCs w:val="21"/>
          <w:color w:val="231F20"/>
        </w:rPr>
        <w:t>DKA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常伴有头晕乏力、恶心、食欲下降，严重者出现呕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吐或昏迷。</w:t>
      </w:r>
    </w:p>
    <w:p>
      <w:pPr>
        <w:spacing w:line="276" w:lineRule="auto"/>
        <w:sectPr>
          <w:type w:val="continuous"/>
          <w:pgSz w:w="11906" w:h="16158"/>
          <w:pgMar w:top="1233" w:right="1003" w:bottom="400" w:left="407" w:header="772" w:footer="0" w:gutter="0"/>
          <w:cols w:equalWidth="0" w:num="2">
            <w:col w:w="5700" w:space="100"/>
            <w:col w:w="469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42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77" w:right="282" w:firstLine="1"/>
        <w:spacing w:before="41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3.2.3.2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诊断  ①起病后患者胰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岛素和</w:t>
      </w:r>
      <w:r>
        <w:rPr>
          <w:sz w:val="21"/>
          <w:szCs w:val="21"/>
          <w:color w:val="231F20"/>
          <w:spacing w:val="3"/>
        </w:rPr>
        <w:t>C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肽水平常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快速下降甚至低至无法检出。②常见抗谷氨酸脱羧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酶（</w:t>
      </w:r>
      <w:r>
        <w:rPr>
          <w:sz w:val="21"/>
          <w:szCs w:val="21"/>
          <w:color w:val="231F20"/>
          <w:spacing w:val="-6"/>
        </w:rPr>
        <w:t>glutamic acid deca</w:t>
      </w:r>
      <w:r>
        <w:rPr>
          <w:sz w:val="21"/>
          <w:szCs w:val="21"/>
          <w:color w:val="231F20"/>
          <w:spacing w:val="-7"/>
        </w:rPr>
        <w:t>rboxylase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GAD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）、抗胰岛素、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抗胰岛细胞抗体（</w:t>
      </w:r>
      <w:r>
        <w:rPr>
          <w:sz w:val="21"/>
          <w:szCs w:val="21"/>
          <w:color w:val="231F20"/>
          <w:spacing w:val="-2"/>
        </w:rPr>
        <w:t>islet</w:t>
      </w:r>
      <w:r>
        <w:rPr>
          <w:sz w:val="21"/>
          <w:szCs w:val="21"/>
          <w:color w:val="231F20"/>
          <w:spacing w:val="30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cell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antibody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）或抗锌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转运体抗体阳性。③大多数患者需要长期胰岛素治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疗和随访。</w:t>
      </w:r>
    </w:p>
    <w:p>
      <w:pPr>
        <w:pStyle w:val="BodyText"/>
        <w:ind w:left="677" w:right="281" w:firstLine="1"/>
        <w:spacing w:before="99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3.2.3.3  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鉴别诊断  糖尿病自身抗体</w:t>
      </w:r>
      <w:r>
        <w:rPr>
          <w:sz w:val="21"/>
          <w:szCs w:val="21"/>
          <w:color w:val="231F20"/>
          <w:spacing w:val="-7"/>
        </w:rPr>
        <w:t>[GA</w:t>
      </w:r>
      <w:r>
        <w:rPr>
          <w:sz w:val="21"/>
          <w:szCs w:val="21"/>
          <w:color w:val="231F20"/>
          <w:spacing w:val="-8"/>
        </w:rPr>
        <w:t>D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、</w:t>
      </w:r>
      <w:r>
        <w:rPr>
          <w:sz w:val="21"/>
          <w:szCs w:val="21"/>
          <w:color w:val="231F20"/>
          <w:spacing w:val="-8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、胰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岛素自身抗体（</w:t>
      </w:r>
      <w:r>
        <w:rPr>
          <w:sz w:val="21"/>
          <w:szCs w:val="21"/>
          <w:color w:val="231F20"/>
          <w:spacing w:val="-15"/>
        </w:rPr>
        <w:t>insulin autoimmune antibodies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，</w:t>
      </w:r>
      <w:r>
        <w:rPr>
          <w:sz w:val="21"/>
          <w:szCs w:val="21"/>
          <w:color w:val="231F20"/>
          <w:spacing w:val="-15"/>
        </w:rPr>
        <w:t>IAA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）等</w:t>
      </w:r>
      <w:r>
        <w:rPr>
          <w:sz w:val="21"/>
          <w:szCs w:val="21"/>
          <w:color w:val="231F20"/>
          <w:spacing w:val="-15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胰岛素及</w:t>
      </w:r>
      <w:r>
        <w:rPr>
          <w:sz w:val="21"/>
          <w:szCs w:val="21"/>
          <w:color w:val="231F20"/>
          <w:spacing w:val="2"/>
        </w:rPr>
        <w:t>C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肽水平的检测，以区分</w:t>
      </w:r>
      <w:r>
        <w:rPr>
          <w:sz w:val="21"/>
          <w:szCs w:val="21"/>
          <w:color w:val="231F20"/>
          <w:spacing w:val="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型糖尿病和</w:t>
      </w:r>
      <w:r>
        <w:rPr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型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糖尿病。</w:t>
      </w:r>
    </w:p>
    <w:p>
      <w:pPr>
        <w:pStyle w:val="BodyText"/>
        <w:ind w:left="678"/>
        <w:spacing w:before="98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3.2.3.4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8"/>
        <w:spacing w:before="101" w:line="21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3.2.3.5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随访  ①每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个月监测</w:t>
      </w:r>
      <w:r>
        <w:rPr>
          <w:sz w:val="21"/>
          <w:szCs w:val="21"/>
          <w:color w:val="231F20"/>
          <w:spacing w:val="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糖化血红蛋白。</w:t>
      </w:r>
    </w:p>
    <w:p>
      <w:pPr>
        <w:pStyle w:val="BodyText"/>
        <w:ind w:left="677" w:right="283" w:hanging="1"/>
        <w:spacing w:before="102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②重视低血糖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：每次就诊时应询问症状性和无症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状性低血糖，对于无症状性低血糖或出现过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次或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多次严重低血糖的患者，应重新评估其治疗方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案。</w:t>
      </w:r>
    </w:p>
    <w:p>
      <w:pPr>
        <w:pStyle w:val="BodyText"/>
        <w:ind w:left="673" w:right="356" w:firstLine="2"/>
        <w:spacing w:before="102" w:line="2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③重视糖尿病教育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：定期对患者及其家属进行预防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DKA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的健康教育，包括监测血糖、及时调整胰岛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素剂量的重要性。④慢性并发症评估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：定期评估糖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尿病微血管及大血管并发症。⑤因存在停用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出现内分泌腺体损伤的报道，停用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后仍应定期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随访监测。</w:t>
      </w:r>
    </w:p>
    <w:p>
      <w:pPr>
        <w:pStyle w:val="BodyText"/>
        <w:ind w:left="678" w:right="357"/>
        <w:spacing w:before="100" w:line="30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3.2.4    </w:t>
      </w:r>
      <w:r>
        <w:rPr>
          <w:rFonts w:ascii="SimSun" w:hAnsi="SimSun" w:eastAsia="SimSun" w:cs="SimSun"/>
          <w:sz w:val="21"/>
          <w:szCs w:val="21"/>
          <w:color w:val="231F20"/>
        </w:rPr>
        <w:t>原发性肾上腺功能不全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 xml:space="preserve">  较为罕见，是药物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诱发自身免疫性肾上腺炎所致，常在用药后数月出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现，临床表现与垂体炎类似。</w:t>
      </w:r>
    </w:p>
    <w:p>
      <w:pPr>
        <w:pStyle w:val="BodyText"/>
        <w:ind w:left="4" w:right="73"/>
        <w:spacing w:before="99" w:line="26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3.2.4.1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患者会出现疲劳</w:t>
      </w:r>
      <w:r>
        <w:rPr>
          <w:rFonts w:ascii="SimSun" w:hAnsi="SimSun" w:eastAsia="SimSun" w:cs="SimSun"/>
          <w:sz w:val="21"/>
          <w:szCs w:val="21"/>
          <w:color w:val="231F20"/>
        </w:rPr>
        <w:t>和非特异性症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状，如低血压、脱水和电解质异常。</w:t>
      </w:r>
    </w:p>
    <w:p>
      <w:pPr>
        <w:pStyle w:val="BodyText"/>
        <w:spacing w:before="99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3.2.4.2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诊断  监测早晨皮质醇、</w:t>
      </w:r>
      <w:r>
        <w:rPr>
          <w:sz w:val="21"/>
          <w:szCs w:val="21"/>
          <w:color w:val="231F20"/>
          <w:spacing w:val="-2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辅助诊断；</w:t>
      </w:r>
    </w:p>
    <w:p>
      <w:pPr>
        <w:pStyle w:val="BodyText"/>
        <w:ind w:left="4" w:right="74" w:firstLine="4"/>
        <w:spacing w:before="98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8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</w:t>
      </w:r>
      <w:r>
        <w:rPr>
          <w:sz w:val="21"/>
          <w:szCs w:val="21"/>
          <w:color w:val="231F20"/>
          <w:spacing w:val="-4"/>
        </w:rPr>
        <w:t>00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血皮质醇＞ </w:t>
      </w:r>
      <w:r>
        <w:rPr>
          <w:sz w:val="21"/>
          <w:szCs w:val="21"/>
          <w:color w:val="231F20"/>
          <w:spacing w:val="-4"/>
        </w:rPr>
        <w:t>500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4"/>
        </w:rPr>
        <w:t>nmol/L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18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  <w:spacing w:val="-4"/>
        </w:rPr>
        <w:t>μg/dl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排除肾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上腺皮质功能减退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；非紧急情况下，</w:t>
      </w:r>
      <w:r>
        <w:rPr>
          <w:sz w:val="21"/>
          <w:szCs w:val="21"/>
          <w:color w:val="231F20"/>
          <w:spacing w:val="-1"/>
        </w:rPr>
        <w:t>8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</w:t>
      </w:r>
      <w:r>
        <w:rPr>
          <w:sz w:val="21"/>
          <w:szCs w:val="21"/>
          <w:color w:val="231F20"/>
          <w:spacing w:val="-1"/>
        </w:rPr>
        <w:t>00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血皮质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醇＜ </w:t>
      </w:r>
      <w:r>
        <w:rPr>
          <w:sz w:val="21"/>
          <w:szCs w:val="21"/>
          <w:color w:val="231F20"/>
          <w:spacing w:val="-1"/>
        </w:rPr>
        <w:t>138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  <w:spacing w:val="-1"/>
        </w:rPr>
        <w:t>nmol/L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5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  <w:spacing w:val="-1"/>
        </w:rPr>
        <w:t>μg/dl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）和血浆</w:t>
      </w:r>
      <w:r>
        <w:rPr>
          <w:sz w:val="21"/>
          <w:szCs w:val="21"/>
          <w:color w:val="231F20"/>
          <w:spacing w:val="-1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升高，可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证实诊断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；若血皮质醇为</w:t>
      </w:r>
      <w:r>
        <w:rPr>
          <w:sz w:val="21"/>
          <w:szCs w:val="21"/>
          <w:color w:val="231F20"/>
          <w:spacing w:val="3"/>
        </w:rPr>
        <w:t>138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3"/>
        </w:rPr>
        <w:t>500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nmol</w:t>
      </w:r>
      <w:r>
        <w:rPr>
          <w:sz w:val="21"/>
          <w:szCs w:val="21"/>
          <w:color w:val="231F20"/>
          <w:spacing w:val="3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  <w:spacing w:val="3"/>
        </w:rPr>
        <w:t>5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18</w:t>
      </w:r>
      <w:r>
        <w:rPr>
          <w:sz w:val="21"/>
          <w:szCs w:val="21"/>
          <w:color w:val="231F20"/>
          <w:spacing w:val="30"/>
          <w:w w:val="101"/>
        </w:rPr>
        <w:t xml:space="preserve"> </w:t>
      </w:r>
      <w:r>
        <w:rPr>
          <w:sz w:val="21"/>
          <w:szCs w:val="21"/>
          <w:color w:val="231F20"/>
          <w:spacing w:val="3"/>
        </w:rPr>
        <w:t>μg/</w:t>
      </w:r>
      <w:r>
        <w:rPr>
          <w:sz w:val="21"/>
          <w:szCs w:val="21"/>
          <w:color w:val="231F20"/>
        </w:rPr>
        <w:t>dl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则应进行</w:t>
      </w:r>
      <w:r>
        <w:rPr>
          <w:sz w:val="21"/>
          <w:szCs w:val="21"/>
          <w:color w:val="231F20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兴奋试验以筛查潜在的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肾上腺皮质功能减退。</w:t>
      </w:r>
    </w:p>
    <w:p>
      <w:pPr>
        <w:pStyle w:val="BodyText"/>
        <w:ind w:left="6" w:right="73" w:hanging="1"/>
        <w:spacing w:before="5" w:line="27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3.2.4.3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激素检测有助于区分原发性肾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上腺功能不全（</w:t>
      </w:r>
      <w:r>
        <w:rPr>
          <w:sz w:val="21"/>
          <w:szCs w:val="21"/>
          <w:color w:val="231F20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高，皮质醇低）和继发性肾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上腺功能不全（</w:t>
      </w:r>
      <w:r>
        <w:rPr>
          <w:sz w:val="21"/>
          <w:szCs w:val="21"/>
          <w:color w:val="231F20"/>
          <w:spacing w:val="-6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低或正常，皮质醇低）。</w:t>
      </w:r>
    </w:p>
    <w:p>
      <w:pPr>
        <w:pStyle w:val="BodyText"/>
        <w:ind w:left="5"/>
        <w:spacing w:before="99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3.2.4.4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3" w:firstLine="1"/>
        <w:spacing w:before="100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3.2.4.5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建议长期随访。每</w:t>
      </w:r>
      <w:r>
        <w:rPr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周复查皮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质醇、</w:t>
      </w:r>
      <w:r>
        <w:rPr>
          <w:sz w:val="21"/>
          <w:szCs w:val="21"/>
          <w:color w:val="231F20"/>
        </w:rPr>
        <w:t>ACTH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及血电解质，此后每</w:t>
      </w:r>
      <w:r>
        <w:rPr>
          <w:sz w:val="21"/>
          <w:szCs w:val="21"/>
          <w:color w:val="231F20"/>
          <w:spacing w:val="10"/>
        </w:rPr>
        <w:t>6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10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周复查。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必要时定期随访促黄体生成素、</w:t>
      </w:r>
      <w:r>
        <w:rPr>
          <w:sz w:val="21"/>
          <w:szCs w:val="21"/>
          <w:color w:val="231F20"/>
          <w:spacing w:val="-2"/>
        </w:rPr>
        <w:t>FSH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、睾酮</w:t>
      </w:r>
      <w:r>
        <w:rPr>
          <w:sz w:val="21"/>
          <w:szCs w:val="21"/>
          <w:color w:val="231F20"/>
          <w:spacing w:val="-2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雌二醇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及进行影像学检查等。因存在停用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后出现内分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泌腺体损伤的报道，停用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后仍应定期随访监测。</w:t>
      </w:r>
    </w:p>
    <w:p>
      <w:pPr>
        <w:pStyle w:val="BodyText"/>
        <w:ind w:right="1" w:firstLine="5"/>
        <w:spacing w:before="9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3.3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皮肤毒性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是与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7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抑制剂和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11"/>
        </w:rPr>
        <w:t>-1/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11"/>
        </w:rPr>
        <w:t>-L1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抑制剂相关的一系列皮肤黏膜损害。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6"/>
        </w:rPr>
        <w:t>CTLA-4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抑制剂或</w:t>
      </w:r>
      <w:r>
        <w:rPr>
          <w:sz w:val="21"/>
          <w:szCs w:val="21"/>
          <w:color w:val="231F20"/>
          <w:spacing w:val="-6"/>
        </w:rPr>
        <w:t>PD-1/PD-L1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抑制剂导致的皮肤</w:t>
      </w:r>
      <w:r>
        <w:rPr>
          <w:sz w:val="21"/>
          <w:szCs w:val="21"/>
          <w:color w:val="231F20"/>
          <w:spacing w:val="-6"/>
        </w:rPr>
        <w:t>irAEs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的临床表现可能有所区别。</w:t>
      </w:r>
    </w:p>
    <w:p>
      <w:pPr>
        <w:spacing w:line="308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48" w:space="100"/>
            <w:col w:w="469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92" w:lineRule="exact"/>
        <w:rPr/>
      </w:pPr>
      <w:r/>
    </w:p>
    <w:tbl>
      <w:tblPr>
        <w:tblStyle w:val="TableNormal"/>
        <w:tblW w:w="4525" w:type="dxa"/>
        <w:tblInd w:w="3254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4525"/>
      </w:tblGrid>
      <w:tr>
        <w:trPr>
          <w:trHeight w:val="395" w:hRule="atLeast"/>
        </w:trPr>
        <w:tc>
          <w:tcPr>
            <w:tcW w:w="4525" w:type="dxa"/>
            <w:vAlign w:val="top"/>
          </w:tcPr>
          <w:p>
            <w:pPr>
              <w:pStyle w:val="TableText"/>
              <w:ind w:left="2023"/>
              <w:spacing w:before="117" w:line="220" w:lineRule="auto"/>
              <w:rPr/>
            </w:pPr>
            <w:r>
              <w:rPr>
                <w:color w:val="231F20"/>
                <w:spacing w:val="-2"/>
              </w:rPr>
              <w:t>糖尿病</w:t>
            </w:r>
          </w:p>
        </w:tc>
      </w:tr>
    </w:tbl>
    <w:p>
      <w:pPr>
        <w:ind w:firstLine="2082"/>
        <w:spacing w:line="262" w:lineRule="exact"/>
        <w:rPr/>
      </w:pPr>
      <w:r>
        <w:pict>
          <v:shape id="_x0000_s166" style="position:absolute;margin-left:275.844pt;margin-top:6.1073pt;mso-position-vertical-relative:text;mso-position-horizontal-relative:text;width:0.5pt;height:7.3pt;z-index:25184972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68" style="position:absolute;margin-left:447.317pt;margin-top:6.1073pt;mso-position-vertical-relative:text;mso-position-horizontal-relative:text;width:0.5pt;height:7.3pt;z-index:25184870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70" style="position:absolute;margin-left:361.58pt;margin-top:172.691pt;mso-position-vertical-relative:text;mso-position-horizontal-relative:text;width:0.5pt;height:7.3pt;z-index:-25147699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72" style="position:absolute;margin-left:203.978pt;margin-top:16.0706pt;mso-position-vertical-relative:text;mso-position-horizontal-relative:text;width:143.75pt;height:42.3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2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824"/>
                  </w:tblGrid>
                  <w:tr>
                    <w:trPr>
                      <w:trHeight w:val="786" w:hRule="atLeast"/>
                    </w:trPr>
                    <w:tc>
                      <w:tcPr>
                        <w:tcW w:w="2824" w:type="dxa"/>
                        <w:vAlign w:val="top"/>
                      </w:tcPr>
                      <w:p>
                        <w:pPr>
                          <w:pStyle w:val="TableText"/>
                          <w:ind w:left="796" w:right="445" w:hanging="333"/>
                          <w:spacing w:before="213" w:line="233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空腹血糖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8.9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～</w:t>
                        </w:r>
                        <w:r>
                          <w:rPr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13.9 mmol/L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酮症或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T1DM</w:t>
                        </w:r>
                        <w:r>
                          <w:rPr>
                            <w:color w:val="231F20"/>
                            <w:spacing w:val="-1"/>
                          </w:rPr>
                          <w:t>证据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4" style="position:absolute;margin-left:375.45pt;margin-top:16.0706pt;mso-position-vertical-relative:text;mso-position-horizontal-relative:text;width:143.75pt;height:42.3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2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824"/>
                  </w:tblGrid>
                  <w:tr>
                    <w:trPr>
                      <w:trHeight w:val="786" w:hRule="atLeast"/>
                    </w:trPr>
                    <w:tc>
                      <w:tcPr>
                        <w:tcW w:w="2824" w:type="dxa"/>
                        <w:vAlign w:val="top"/>
                      </w:tcPr>
                      <w:p>
                        <w:pPr>
                          <w:pStyle w:val="TableText"/>
                          <w:ind w:left="583"/>
                          <w:spacing w:before="113" w:line="220" w:lineRule="auto"/>
                          <w:rPr>
                            <w:rFonts w:ascii="Times New Roman" w:hAnsi="Times New Roman" w:eastAsia="Times New Roman" w:cs="Times New Roman"/>
                          </w:rPr>
                        </w:pPr>
                        <w:r>
                          <w:rPr>
                            <w:color w:val="231F20"/>
                            <w:spacing w:val="-2"/>
                          </w:rPr>
                          <w:t>空腹血糖＞</w:t>
                        </w:r>
                        <w:r>
                          <w:rPr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13.9 mmol/L</w:t>
                        </w:r>
                      </w:p>
                      <w:p>
                        <w:pPr>
                          <w:pStyle w:val="TableText"/>
                          <w:ind w:left="797"/>
                          <w:spacing w:before="9" w:line="220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酮症或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T1DM</w:t>
                        </w:r>
                        <w:r>
                          <w:rPr>
                            <w:color w:val="231F20"/>
                            <w:spacing w:val="-1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1006"/>
                          <w:spacing w:before="9" w:line="220" w:lineRule="auto"/>
                          <w:rPr>
                            <w:rFonts w:ascii="Times New Roman" w:hAnsi="Times New Roman" w:eastAsia="Times New Roman" w:cs="Times New Roman"/>
                          </w:rPr>
                        </w:pPr>
                        <w:r>
                          <w:rPr>
                            <w:color w:val="231F20"/>
                            <w:spacing w:val="-2"/>
                          </w:rPr>
                          <w:t>或合并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DKA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1299141</wp:posOffset>
            </wp:positionH>
            <wp:positionV relativeFrom="paragraph">
              <wp:posOffset>729082</wp:posOffset>
            </wp:positionV>
            <wp:extent cx="52755" cy="16049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16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3476842</wp:posOffset>
            </wp:positionH>
            <wp:positionV relativeFrom="paragraph">
              <wp:posOffset>729082</wp:posOffset>
            </wp:positionV>
            <wp:extent cx="52755" cy="120261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120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5654542</wp:posOffset>
            </wp:positionH>
            <wp:positionV relativeFrom="paragraph">
              <wp:posOffset>729082</wp:posOffset>
            </wp:positionV>
            <wp:extent cx="52755" cy="120261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120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6" style="position:absolute;margin-left:203.978pt;margin-top:99.4246pt;mso-position-vertical-relative:text;mso-position-horizontal-relative:text;width:143.75pt;height:42.3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2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824"/>
                  </w:tblGrid>
                  <w:tr>
                    <w:trPr>
                      <w:trHeight w:val="786" w:hRule="atLeast"/>
                    </w:trPr>
                    <w:tc>
                      <w:tcPr>
                        <w:tcW w:w="2824" w:type="dxa"/>
                        <w:vAlign w:val="top"/>
                      </w:tcPr>
                      <w:p>
                        <w:pPr>
                          <w:pStyle w:val="TableText"/>
                          <w:ind w:left="633" w:right="228" w:hanging="399"/>
                          <w:spacing w:before="213" w:line="233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T2DM</w:t>
                        </w:r>
                        <w:r>
                          <w:rPr>
                            <w:color w:val="231F20"/>
                            <w:spacing w:val="-1"/>
                          </w:rPr>
                          <w:t>调整口服药物或加用胰岛素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T1DM</w:t>
                        </w:r>
                        <w:r>
                          <w:rPr>
                            <w:color w:val="231F20"/>
                            <w:spacing w:val="-1"/>
                          </w:rPr>
                          <w:t>启动胰岛素治疗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8" style="position:absolute;margin-left:375.45pt;margin-top:99.4246pt;mso-position-vertical-relative:text;mso-position-horizontal-relative:text;width:143.75pt;height:42.3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2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824"/>
                  </w:tblGrid>
                  <w:tr>
                    <w:trPr>
                      <w:trHeight w:val="786" w:hRule="atLeast"/>
                    </w:trPr>
                    <w:tc>
                      <w:tcPr>
                        <w:tcW w:w="2824" w:type="dxa"/>
                        <w:vAlign w:val="top"/>
                      </w:tcPr>
                      <w:p>
                        <w:pPr>
                          <w:pStyle w:val="TableText"/>
                          <w:ind w:left="1088"/>
                          <w:spacing w:before="213" w:line="220" w:lineRule="auto"/>
                          <w:rPr>
                            <w:rFonts w:ascii="Times New Roman" w:hAnsi="Times New Roman" w:eastAsia="Times New Roman" w:cs="Times New Roman"/>
                          </w:rPr>
                        </w:pP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DKA</w:t>
                        </w:r>
                      </w:p>
                      <w:p>
                        <w:pPr>
                          <w:pStyle w:val="TableText"/>
                          <w:ind w:left="694"/>
                          <w:spacing w:before="8" w:line="220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尽早启动胰岛素治疗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0" style="position:absolute;margin-left:203.978pt;margin-top:151.102pt;mso-position-vertical-relative:text;mso-position-horizontal-relative:text;width:315.25pt;height:22.3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25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6254"/>
                  </w:tblGrid>
                  <w:tr>
                    <w:trPr>
                      <w:trHeight w:val="386" w:hRule="atLeast"/>
                    </w:trPr>
                    <w:tc>
                      <w:tcPr>
                        <w:tcW w:w="6254" w:type="dxa"/>
                        <w:vAlign w:val="top"/>
                      </w:tcPr>
                      <w:p>
                        <w:pPr>
                          <w:pStyle w:val="TableText"/>
                          <w:ind w:left="2649"/>
                          <w:spacing w:before="113" w:line="220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待血糖控制后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1299141</wp:posOffset>
            </wp:positionH>
            <wp:positionV relativeFrom="paragraph">
              <wp:posOffset>145912</wp:posOffset>
            </wp:positionV>
            <wp:extent cx="4408156" cy="72478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156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182" style="mso-position-vertical-relative:line;mso-position-horizontal-relative:char;width:343.45pt;height:13.2pt;" filled="false" strokecolor="#231F20" strokeweight="0.50pt" coordsize="6869,263" coordorigin="0,0" path="m3434,0l3434,113m0,115l6868,115m5,118l5,263e">
            <v:stroke joinstyle="miter" miterlimit="10"/>
          </v:shape>
        </w:pict>
      </w:r>
    </w:p>
    <w:p>
      <w:pPr>
        <w:spacing w:line="79" w:lineRule="exact"/>
        <w:rPr/>
      </w:pPr>
      <w:r/>
    </w:p>
    <w:tbl>
      <w:tblPr>
        <w:tblStyle w:val="TableNormal"/>
        <w:tblW w:w="2824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824"/>
      </w:tblGrid>
      <w:tr>
        <w:trPr>
          <w:trHeight w:val="786" w:hRule="atLeast"/>
        </w:trPr>
        <w:tc>
          <w:tcPr>
            <w:tcW w:w="2824" w:type="dxa"/>
            <w:vAlign w:val="top"/>
          </w:tcPr>
          <w:p>
            <w:pPr>
              <w:pStyle w:val="TableText"/>
              <w:ind w:left="774"/>
              <w:spacing w:before="113" w:line="220" w:lineRule="auto"/>
              <w:rPr/>
            </w:pPr>
            <w:r>
              <w:rPr>
                <w:color w:val="231F20"/>
                <w:spacing w:val="-1"/>
              </w:rPr>
              <w:t>无症状或轻度症状</w:t>
            </w:r>
          </w:p>
          <w:p>
            <w:pPr>
              <w:pStyle w:val="TableText"/>
              <w:ind w:left="623"/>
              <w:spacing w:before="9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空腹血糖＜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8.9 mmol/L</w:t>
            </w:r>
          </w:p>
          <w:p>
            <w:pPr>
              <w:pStyle w:val="TableText"/>
              <w:ind w:left="717"/>
              <w:spacing w:before="9" w:line="220" w:lineRule="auto"/>
              <w:rPr/>
            </w:pPr>
            <w:r>
              <w:rPr>
                <w:color w:val="231F20"/>
                <w:spacing w:val="-1"/>
              </w:rPr>
              <w:t>无酮症或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T1DM</w:t>
            </w:r>
            <w:r>
              <w:rPr>
                <w:color w:val="231F20"/>
                <w:spacing w:val="-1"/>
              </w:rPr>
              <w:t>证据</w:t>
            </w:r>
          </w:p>
        </w:tc>
      </w:tr>
    </w:tbl>
    <w:p>
      <w:pPr>
        <w:spacing w:line="227" w:lineRule="exact"/>
        <w:rPr/>
      </w:pPr>
      <w:r/>
    </w:p>
    <w:tbl>
      <w:tblPr>
        <w:tblStyle w:val="TableNormal"/>
        <w:tblW w:w="9683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2162"/>
              <w:spacing w:before="113" w:line="218" w:lineRule="auto"/>
              <w:rPr/>
            </w:pPr>
            <w:r>
              <w:rPr>
                <w:color w:val="231F20"/>
                <w:spacing w:val="-5"/>
              </w:rPr>
              <w:t>评估胰岛功能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5"/>
              </w:rPr>
              <w:t>；完善糖尿病自身抗体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5"/>
              </w:rPr>
              <w:t>；筛查酮症（血尿酮体），完</w:t>
            </w:r>
            <w:r>
              <w:rPr>
                <w:color w:val="231F20"/>
                <w:spacing w:val="-6"/>
              </w:rPr>
              <w:t>善血气分析</w:t>
            </w:r>
          </w:p>
        </w:tc>
      </w:tr>
    </w:tbl>
    <w:p>
      <w:pPr>
        <w:spacing w:line="227" w:lineRule="exact"/>
        <w:rPr/>
      </w:pPr>
      <w:r/>
    </w:p>
    <w:tbl>
      <w:tblPr>
        <w:tblStyle w:val="TableNormal"/>
        <w:tblW w:w="2824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824"/>
      </w:tblGrid>
      <w:tr>
        <w:trPr>
          <w:trHeight w:val="786" w:hRule="atLeast"/>
        </w:trPr>
        <w:tc>
          <w:tcPr>
            <w:tcW w:w="2824" w:type="dxa"/>
            <w:vAlign w:val="top"/>
          </w:tcPr>
          <w:p>
            <w:pPr>
              <w:pStyle w:val="TableText"/>
              <w:ind w:left="874"/>
              <w:spacing w:before="113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T2DM</w:t>
            </w:r>
            <w:r>
              <w:rPr>
                <w:color w:val="231F20"/>
                <w:spacing w:val="-1"/>
              </w:rPr>
              <w:t>口服药物</w:t>
            </w:r>
          </w:p>
          <w:p>
            <w:pPr>
              <w:pStyle w:val="TableText"/>
              <w:ind w:left="120"/>
              <w:spacing w:before="8" w:line="219" w:lineRule="auto"/>
              <w:rPr/>
            </w:pPr>
            <w:r>
              <w:rPr>
                <w:color w:val="231F20"/>
              </w:rPr>
              <w:t>血糖急性升高考虑酮症，启动胰岛素</w:t>
            </w:r>
          </w:p>
          <w:p>
            <w:pPr>
              <w:pStyle w:val="TableText"/>
              <w:ind w:left="1257"/>
              <w:spacing w:before="10" w:line="220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</w:tr>
    </w:tbl>
    <w:p>
      <w:pPr>
        <w:spacing w:line="226" w:lineRule="exact"/>
        <w:rPr/>
      </w:pPr>
      <w:r/>
    </w:p>
    <w:tbl>
      <w:tblPr>
        <w:tblStyle w:val="TableNormal"/>
        <w:tblW w:w="2824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824"/>
      </w:tblGrid>
      <w:tr>
        <w:trPr>
          <w:trHeight w:val="386" w:hRule="atLeast"/>
        </w:trPr>
        <w:tc>
          <w:tcPr>
            <w:tcW w:w="2824" w:type="dxa"/>
            <w:vAlign w:val="top"/>
          </w:tcPr>
          <w:p>
            <w:pPr>
              <w:pStyle w:val="TableText"/>
              <w:ind w:left="933"/>
              <w:spacing w:before="113" w:line="220" w:lineRule="auto"/>
              <w:rPr/>
            </w:pPr>
            <w:r>
              <w:rPr>
                <w:color w:val="231F20"/>
                <w:spacing w:val="-1"/>
              </w:rPr>
              <w:t>加强血糖监测</w:t>
            </w:r>
          </w:p>
        </w:tc>
      </w:tr>
    </w:tbl>
    <w:p>
      <w:pPr>
        <w:ind w:firstLine="7190"/>
        <w:spacing w:before="113" w:line="114" w:lineRule="exact"/>
        <w:rPr/>
      </w:pPr>
      <w:r>
        <w:rPr>
          <w:position w:val="-2"/>
        </w:rPr>
        <w:drawing>
          <wp:inline distT="0" distB="0" distL="0" distR="0">
            <wp:extent cx="52755" cy="7246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83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4419"/>
              <w:spacing w:before="113" w:line="220" w:lineRule="auto"/>
              <w:rPr/>
            </w:pPr>
            <w:r>
              <w:rPr>
                <w:color w:val="231F20"/>
                <w:spacing w:val="-2"/>
              </w:rPr>
              <w:t>继续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ICI</w:t>
            </w:r>
            <w:r>
              <w:rPr>
                <w:color w:val="231F20"/>
                <w:spacing w:val="-2"/>
              </w:rPr>
              <w:t>治疗</w:t>
            </w:r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9683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123"/>
              <w:spacing w:before="113" w:line="219" w:lineRule="auto"/>
              <w:rPr/>
            </w:pPr>
            <w:r>
              <w:rPr>
                <w:color w:val="231F20"/>
              </w:rPr>
              <w:t>高剂量激素对改善胰岛功能没有帮助，因此不推荐使用。几乎所有患</w:t>
            </w:r>
            <w:r>
              <w:rPr>
                <w:color w:val="231F20"/>
                <w:spacing w:val="-1"/>
              </w:rPr>
              <w:t>者均需终身胰岛素替代治疗</w:t>
            </w:r>
          </w:p>
        </w:tc>
      </w:tr>
    </w:tbl>
    <w:p>
      <w:pPr>
        <w:pStyle w:val="BodyText"/>
        <w:ind w:left="4276"/>
        <w:spacing w:before="172" w:line="179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7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相关糖尿病的诊疗流程</w:t>
      </w:r>
    </w:p>
    <w:p>
      <w:pPr>
        <w:pStyle w:val="BodyText"/>
        <w:ind w:left="1001"/>
        <w:spacing w:before="48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T1DM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</w:t>
      </w:r>
      <w:r>
        <w:rPr>
          <w:sz w:val="16"/>
          <w:szCs w:val="16"/>
          <w:color w:val="231F20"/>
          <w:spacing w:val="-3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型糖尿病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D</w:t>
      </w:r>
      <w:r>
        <w:rPr>
          <w:sz w:val="16"/>
          <w:szCs w:val="16"/>
          <w:color w:val="231F20"/>
          <w:spacing w:val="-4"/>
        </w:rPr>
        <w:t>KA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为糖尿病酮症酸中毒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T2DM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</w:t>
      </w:r>
      <w:r>
        <w:rPr>
          <w:sz w:val="16"/>
          <w:szCs w:val="16"/>
          <w:color w:val="231F20"/>
          <w:spacing w:val="-4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型糖尿病。</w:t>
      </w:r>
    </w:p>
    <w:p>
      <w:pPr>
        <w:spacing w:line="200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83" w:lineRule="exact"/>
        <w:rPr/>
      </w:pPr>
      <w:r/>
    </w:p>
    <w:tbl>
      <w:tblPr>
        <w:tblStyle w:val="TableNormal"/>
        <w:tblW w:w="4525" w:type="dxa"/>
        <w:tblInd w:w="3309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525"/>
      </w:tblGrid>
      <w:tr>
        <w:trPr>
          <w:trHeight w:val="273" w:hRule="atLeast"/>
        </w:trPr>
        <w:tc>
          <w:tcPr>
            <w:tcW w:w="4525" w:type="dxa"/>
            <w:vAlign w:val="top"/>
          </w:tcPr>
          <w:p>
            <w:pPr>
              <w:pStyle w:val="TableText"/>
              <w:ind w:left="1467"/>
              <w:spacing w:before="56" w:line="220" w:lineRule="auto"/>
              <w:rPr/>
            </w:pPr>
            <w:r>
              <w:rPr>
                <w:color w:val="231F20"/>
                <w:spacing w:val="-1"/>
              </w:rPr>
              <w:t>原发性肾上腺功能不全</w:t>
            </w:r>
          </w:p>
        </w:tc>
      </w:tr>
    </w:tbl>
    <w:p>
      <w:pPr>
        <w:ind w:firstLine="2243"/>
        <w:spacing w:line="293" w:lineRule="exact"/>
        <w:rPr/>
      </w:pPr>
      <w:r>
        <w:pict>
          <v:shape id="_x0000_s186" style="position:absolute;margin-left:35.293pt;margin-top:13.673pt;mso-position-vertical-relative:text;mso-position-horizontal-relative:text;width:157.95pt;height:36.7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673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156" w:line="212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氢化可的松上午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20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mg</w:t>
                        </w:r>
                        <w:r>
                          <w:rPr>
                            <w:color w:val="231F20"/>
                            <w:spacing w:val="3"/>
                          </w:rPr>
                          <w:t>、下午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10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mg</w:t>
                        </w:r>
                        <w:r>
                          <w:rPr>
                            <w:color w:val="231F20"/>
                            <w:spacing w:val="3"/>
                          </w:rPr>
                          <w:t>后根据</w:t>
                        </w:r>
                      </w:p>
                      <w:p>
                        <w:pPr>
                          <w:pStyle w:val="TableText"/>
                          <w:ind w:left="915"/>
                          <w:spacing w:before="16" w:line="219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症状减慢滴定剂量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8" style="position:absolute;margin-left:364.065pt;margin-top:13.673pt;mso-position-vertical-relative:text;mso-position-horizontal-relative:text;width:157.95pt;height:36.7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673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156" w:line="220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紧急情况下血流动力学不稳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</w:rPr>
                          <w:t>：氢化可的松</w:t>
                        </w:r>
                      </w:p>
                      <w:p>
                        <w:pPr>
                          <w:pStyle w:val="TableText"/>
                          <w:ind w:left="675"/>
                          <w:spacing w:before="9" w:line="219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静脉滴注</w:t>
                        </w:r>
                        <w:r>
                          <w:rPr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；补充生理盐水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59968" behindDoc="1" locked="0" layoutInCell="1" allowOverlap="1">
            <wp:simplePos x="0" y="0"/>
            <wp:positionH relativeFrom="column">
              <wp:posOffset>1434666</wp:posOffset>
            </wp:positionH>
            <wp:positionV relativeFrom="paragraph">
              <wp:posOffset>626653</wp:posOffset>
            </wp:positionV>
            <wp:extent cx="4218030" cy="474304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8030" cy="47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4228156" cy="18635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6" cy="1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401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673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757"/>
              <w:spacing w:before="56" w:line="220" w:lineRule="auto"/>
              <w:rPr/>
            </w:pPr>
            <w:r>
              <w:rPr>
                <w:color w:val="231F20"/>
                <w:spacing w:val="-1"/>
              </w:rPr>
              <w:t>部分需盐皮质激素替代</w:t>
            </w:r>
          </w:p>
          <w:p>
            <w:pPr>
              <w:pStyle w:val="TableText"/>
              <w:ind w:left="493"/>
              <w:spacing w:before="9" w:line="212" w:lineRule="auto"/>
              <w:rPr/>
            </w:pPr>
            <w:r>
              <w:rPr>
                <w:color w:val="231F20"/>
                <w:spacing w:val="-2"/>
              </w:rPr>
              <w:t>氟氢可的松以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0.05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0.20 mg </w:t>
            </w:r>
            <w:r>
              <w:rPr>
                <w:color w:val="231F20"/>
                <w:spacing w:val="-2"/>
              </w:rPr>
              <w:t>；</w:t>
            </w:r>
          </w:p>
          <w:p>
            <w:pPr>
              <w:pStyle w:val="TableText"/>
              <w:ind w:left="595"/>
              <w:spacing w:before="15" w:line="220" w:lineRule="auto"/>
              <w:rPr/>
            </w:pPr>
            <w:r>
              <w:rPr>
                <w:color w:val="231F20"/>
                <w:spacing w:val="-1"/>
              </w:rPr>
              <w:t>根据血压、血钾及肾素调整</w:t>
            </w:r>
          </w:p>
        </w:tc>
      </w:tr>
    </w:tbl>
    <w:p>
      <w:pPr>
        <w:spacing w:line="226" w:lineRule="exact"/>
        <w:rPr/>
      </w:pPr>
      <w:r/>
    </w:p>
    <w:tbl>
      <w:tblPr>
        <w:tblStyle w:val="TableNormal"/>
        <w:tblW w:w="8493" w:type="dxa"/>
        <w:tblInd w:w="132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493"/>
      </w:tblGrid>
      <w:tr>
        <w:trPr>
          <w:trHeight w:val="273" w:hRule="atLeast"/>
        </w:trPr>
        <w:tc>
          <w:tcPr>
            <w:tcW w:w="8493" w:type="dxa"/>
            <w:vAlign w:val="top"/>
          </w:tcPr>
          <w:p>
            <w:pPr>
              <w:pStyle w:val="TableText"/>
              <w:ind w:left="2895"/>
              <w:spacing w:before="56" w:line="220" w:lineRule="auto"/>
              <w:rPr/>
            </w:pPr>
            <w:r>
              <w:rPr>
                <w:color w:val="231F20"/>
                <w:spacing w:val="-1"/>
              </w:rPr>
              <w:t>患者宣教，紧急情况糖皮质激素需加量</w:t>
            </w:r>
          </w:p>
        </w:tc>
      </w:tr>
    </w:tbl>
    <w:p>
      <w:pPr>
        <w:spacing w:line="226" w:lineRule="exact"/>
        <w:rPr/>
      </w:pPr>
      <w:r/>
    </w:p>
    <w:tbl>
      <w:tblPr>
        <w:tblStyle w:val="TableNormal"/>
        <w:tblW w:w="8493" w:type="dxa"/>
        <w:tblInd w:w="132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8493"/>
      </w:tblGrid>
      <w:tr>
        <w:trPr>
          <w:trHeight w:val="273" w:hRule="atLeast"/>
        </w:trPr>
        <w:tc>
          <w:tcPr>
            <w:tcW w:w="8493" w:type="dxa"/>
            <w:vAlign w:val="top"/>
          </w:tcPr>
          <w:p>
            <w:pPr>
              <w:pStyle w:val="TableText"/>
              <w:ind w:left="3346"/>
              <w:spacing w:before="56" w:line="220" w:lineRule="auto"/>
              <w:rPr/>
            </w:pPr>
            <w:r>
              <w:rPr>
                <w:color w:val="231F20"/>
                <w:spacing w:val="-1"/>
              </w:rPr>
              <w:t>急性症状消失继续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ICI</w:t>
            </w:r>
            <w:r>
              <w:rPr>
                <w:color w:val="231F20"/>
                <w:spacing w:val="-1"/>
              </w:rPr>
              <w:t>治疗</w:t>
            </w:r>
          </w:p>
        </w:tc>
      </w:tr>
    </w:tbl>
    <w:p>
      <w:pPr>
        <w:pStyle w:val="BodyText"/>
        <w:ind w:left="3972"/>
        <w:spacing w:before="17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8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相关肾上腺功能不全的诊疗流程</w:t>
      </w:r>
    </w:p>
    <w:p>
      <w:pPr>
        <w:spacing w:line="6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64" w:lineRule="auto"/>
        <w:sectPr>
          <w:headerReference w:type="default" r:id="rId48"/>
          <w:pgSz w:w="11906" w:h="16158"/>
          <w:pgMar w:top="1233" w:right="1003" w:bottom="400" w:left="407" w:header="772" w:footer="0" w:gutter="0"/>
          <w:cols w:equalWidth="0" w:num="1">
            <w:col w:w="1049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7"/>
        <w:spacing w:before="42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为免疫检查点抑制剂。</w:t>
      </w:r>
    </w:p>
    <w:p>
      <w:pPr>
        <w:pStyle w:val="BodyText"/>
        <w:ind w:left="727" w:right="283" w:firstLine="436"/>
        <w:spacing w:before="17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7"/>
          <w:w w:val="97"/>
        </w:rPr>
        <w:t>多项大型消化道肿瘤的Ⅲ期研究（</w:t>
      </w:r>
      <w:r>
        <w:rPr>
          <w:sz w:val="21"/>
          <w:szCs w:val="21"/>
          <w:color w:val="231F20"/>
          <w:spacing w:val="-17"/>
          <w:w w:val="97"/>
        </w:rPr>
        <w:t>ATTRACTION-3</w:t>
      </w:r>
      <w:r>
        <w:rPr>
          <w:rFonts w:ascii="SimSun" w:hAnsi="SimSun" w:eastAsia="SimSun" w:cs="SimSun"/>
          <w:sz w:val="21"/>
          <w:szCs w:val="21"/>
          <w:color w:val="231F20"/>
          <w:spacing w:val="-17"/>
          <w:w w:val="97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ATTRACTION</w:t>
      </w:r>
      <w:r>
        <w:rPr>
          <w:sz w:val="21"/>
          <w:szCs w:val="21"/>
          <w:color w:val="231F20"/>
          <w:spacing w:val="15"/>
        </w:rPr>
        <w:t>-4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</w:t>
      </w:r>
      <w:r>
        <w:rPr>
          <w:sz w:val="21"/>
          <w:szCs w:val="21"/>
          <w:color w:val="231F20"/>
        </w:rPr>
        <w:t>CHECKMATE</w:t>
      </w:r>
      <w:r>
        <w:rPr>
          <w:sz w:val="21"/>
          <w:szCs w:val="21"/>
          <w:color w:val="231F20"/>
          <w:spacing w:val="15"/>
        </w:rPr>
        <w:t>-577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</w:t>
      </w:r>
      <w:r>
        <w:rPr>
          <w:sz w:val="21"/>
          <w:szCs w:val="21"/>
          <w:color w:val="231F20"/>
        </w:rPr>
        <w:t>ESCORT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和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14"/>
        </w:rPr>
        <w:t>-590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研究）显示，皮肤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发生率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为</w:t>
      </w:r>
      <w:r>
        <w:rPr>
          <w:sz w:val="21"/>
          <w:szCs w:val="21"/>
          <w:color w:val="231F20"/>
          <w:spacing w:val="6"/>
        </w:rPr>
        <w:t>12%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6"/>
        </w:rPr>
        <w:t>79%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sz w:val="21"/>
          <w:szCs w:val="21"/>
          <w:color w:val="231F20"/>
          <w:spacing w:val="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级及以上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发生率为</w:t>
      </w:r>
      <w:r>
        <w:rPr>
          <w:sz w:val="21"/>
          <w:szCs w:val="21"/>
          <w:color w:val="231F20"/>
          <w:spacing w:val="6"/>
        </w:rPr>
        <w:t>1.3%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7"/>
        </w:rPr>
        <w:t>3.3%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；在其中</w:t>
      </w:r>
      <w:r>
        <w:rPr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项研究中以皮肤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居药物不良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反应首位</w:t>
      </w:r>
      <w:r>
        <w:rPr>
          <w:sz w:val="12"/>
          <w:szCs w:val="12"/>
          <w:color w:val="231F20"/>
          <w:spacing w:val="1"/>
          <w:position w:val="8"/>
        </w:rPr>
        <w:t>[3-4,10,59-60]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。接受</w:t>
      </w:r>
      <w:r>
        <w:rPr>
          <w:sz w:val="21"/>
          <w:szCs w:val="21"/>
          <w:color w:val="231F20"/>
          <w:position w:val="-1"/>
        </w:rPr>
        <w:t>CTLA</w:t>
      </w:r>
      <w:r>
        <w:rPr>
          <w:sz w:val="21"/>
          <w:szCs w:val="21"/>
          <w:color w:val="231F20"/>
          <w:spacing w:val="1"/>
          <w:position w:val="-1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抑制剂治疗的患者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更常发生皮肤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，发生率为</w:t>
      </w:r>
      <w:r>
        <w:rPr>
          <w:sz w:val="21"/>
          <w:szCs w:val="21"/>
          <w:color w:val="231F20"/>
          <w:spacing w:val="1"/>
        </w:rPr>
        <w:t>44%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1"/>
        </w:rPr>
        <w:t>59%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rFonts w:ascii="SimSun" w:hAnsi="SimSun" w:eastAsia="SimSun" w:cs="SimSun"/>
          <w:sz w:val="21"/>
          <w:szCs w:val="21"/>
          <w:color w:val="231F20"/>
        </w:rPr>
        <w:t>接受 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抑制剂治疗的患者皮肤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发生率为</w:t>
      </w:r>
      <w:r>
        <w:rPr>
          <w:sz w:val="21"/>
          <w:szCs w:val="21"/>
          <w:color w:val="231F20"/>
          <w:spacing w:val="8"/>
        </w:rPr>
        <w:t>34%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"/>
        </w:rPr>
        <w:t>42%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；接受</w:t>
      </w:r>
      <w:r>
        <w:rPr>
          <w:sz w:val="21"/>
          <w:szCs w:val="21"/>
          <w:color w:val="231F20"/>
          <w:spacing w:val="-1"/>
        </w:rPr>
        <w:t>PD-L1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抑制剂治疗的患者皮肤</w:t>
      </w:r>
      <w:r>
        <w:rPr>
          <w:sz w:val="21"/>
          <w:szCs w:val="21"/>
          <w:color w:val="231F20"/>
          <w:spacing w:val="-1"/>
        </w:rPr>
        <w:t>irAE</w:t>
      </w:r>
      <w:r>
        <w:rPr>
          <w:sz w:val="21"/>
          <w:szCs w:val="21"/>
          <w:color w:val="231F20"/>
          <w:spacing w:val="-2"/>
        </w:rPr>
        <w:t>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发生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率约为</w:t>
      </w:r>
      <w:r>
        <w:rPr>
          <w:sz w:val="21"/>
          <w:szCs w:val="21"/>
          <w:color w:val="231F20"/>
          <w:spacing w:val="3"/>
        </w:rPr>
        <w:t>20%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；接受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3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抑制剂联合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3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治疗的患者皮肤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发生率高达</w:t>
      </w:r>
      <w:r>
        <w:rPr>
          <w:sz w:val="21"/>
          <w:szCs w:val="21"/>
          <w:color w:val="231F20"/>
        </w:rPr>
        <w:t>59%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72%</w:t>
      </w:r>
      <w:r>
        <w:rPr>
          <w:sz w:val="12"/>
          <w:szCs w:val="12"/>
          <w:color w:val="231F20"/>
          <w:position w:val="9"/>
        </w:rPr>
        <w:t>[65-66]</w:t>
      </w:r>
      <w:r>
        <w:rPr>
          <w:rFonts w:ascii="SimSun" w:hAnsi="SimSun" w:eastAsia="SimSun" w:cs="SimSun"/>
          <w:sz w:val="21"/>
          <w:szCs w:val="21"/>
          <w:color w:val="231F20"/>
        </w:rPr>
        <w:t>。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消化道肿瘤Ⅲ期临床试验报道的严重皮肤</w:t>
      </w:r>
      <w:r>
        <w:rPr>
          <w:sz w:val="21"/>
          <w:szCs w:val="21"/>
          <w:color w:val="231F20"/>
          <w:spacing w:val="-4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（严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重程度≥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1"/>
        </w:rPr>
        <w:t xml:space="preserve"> </w:t>
      </w:r>
      <w:r>
        <w:rPr>
          <w:sz w:val="21"/>
          <w:szCs w:val="21"/>
          <w:color w:val="231F20"/>
          <w:position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级及以上）发生率均＜ </w:t>
      </w:r>
      <w:r>
        <w:rPr>
          <w:sz w:val="21"/>
          <w:szCs w:val="21"/>
          <w:color w:val="231F20"/>
          <w:position w:val="-1"/>
        </w:rPr>
        <w:t>5%</w:t>
      </w:r>
      <w:r>
        <w:rPr>
          <w:sz w:val="12"/>
          <w:szCs w:val="12"/>
          <w:color w:val="231F20"/>
          <w:position w:val="9"/>
        </w:rPr>
        <w:t>[4,60-61]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，但有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研究报道少数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导致的皮肤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表现为具有致死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性的大疱性皮肤病</w:t>
      </w:r>
      <w:r>
        <w:rPr>
          <w:sz w:val="12"/>
          <w:szCs w:val="12"/>
          <w:color w:val="231F20"/>
          <w:position w:val="8"/>
        </w:rPr>
        <w:t>[65,67]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</w:t>
      </w:r>
    </w:p>
    <w:p>
      <w:pPr>
        <w:pStyle w:val="BodyText"/>
        <w:ind w:left="733" w:right="285" w:firstLine="1"/>
        <w:spacing w:before="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3.3.1    </w:t>
      </w:r>
      <w:r>
        <w:rPr>
          <w:rFonts w:ascii="SimSun" w:hAnsi="SimSun" w:eastAsia="SimSun" w:cs="SimSun"/>
          <w:sz w:val="21"/>
          <w:szCs w:val="21"/>
          <w:color w:val="231F20"/>
        </w:rPr>
        <w:t>斑丘疹  斑丘疹是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所致皮疹的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主要类型。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接受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2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抑制剂治疗的患者中有</w:t>
      </w:r>
      <w:r>
        <w:rPr>
          <w:sz w:val="21"/>
          <w:szCs w:val="21"/>
          <w:color w:val="231F20"/>
          <w:spacing w:val="2"/>
        </w:rPr>
        <w:t>14%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2"/>
        </w:rPr>
        <w:t>26%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患者发生斑丘疹；接受</w:t>
      </w:r>
      <w:r>
        <w:rPr>
          <w:sz w:val="21"/>
          <w:szCs w:val="21"/>
          <w:color w:val="231F20"/>
          <w:spacing w:val="-1"/>
        </w:rPr>
        <w:t>PD-1/PD-L1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抑制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剂治疗的患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者中有</w:t>
      </w:r>
      <w:r>
        <w:rPr>
          <w:sz w:val="21"/>
          <w:szCs w:val="21"/>
          <w:color w:val="231F20"/>
          <w:spacing w:val="-1"/>
        </w:rPr>
        <w:t>10.0%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1"/>
        </w:rPr>
        <w:t>21.5%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的患者发生斑丘疹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；双免疫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8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联合治疗的患者斑丘疹发生率达</w:t>
      </w:r>
      <w:r>
        <w:rPr>
          <w:sz w:val="21"/>
          <w:szCs w:val="21"/>
          <w:color w:val="231F20"/>
          <w:spacing w:val="-1"/>
        </w:rPr>
        <w:t>28%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"/>
        </w:rPr>
        <w:t>55%</w:t>
      </w:r>
      <w:r>
        <w:rPr>
          <w:sz w:val="12"/>
          <w:szCs w:val="12"/>
          <w:color w:val="231F20"/>
          <w:spacing w:val="-1"/>
          <w:position w:val="9"/>
        </w:rPr>
        <w:t>[65,68]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right="74" w:firstLine="1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3.3.1.1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临床表现  通常表现为红斑和</w:t>
      </w:r>
      <w:r>
        <w:rPr>
          <w:sz w:val="21"/>
          <w:szCs w:val="21"/>
          <w:color w:val="231F20"/>
          <w:spacing w:val="-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或丘疹，散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在或融合，有或无鳞屑或瘙痒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；主要分布于躯干和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四肢，面部少见。</w:t>
      </w:r>
    </w:p>
    <w:p>
      <w:pPr>
        <w:pStyle w:val="BodyText"/>
        <w:ind w:left="1" w:right="16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3.3.1.2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诊断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需要完善皮肤（包括黏膜）检查，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排除其他致病因素。若出现斑丘疹</w:t>
      </w:r>
      <w:r>
        <w:rPr>
          <w:sz w:val="21"/>
          <w:szCs w:val="21"/>
          <w:color w:val="231F20"/>
          <w:spacing w:val="9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皮疹类表现，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需要询问患者有无过敏性皮肤疾病病史。</w:t>
      </w:r>
    </w:p>
    <w:p>
      <w:pPr>
        <w:pStyle w:val="BodyText"/>
        <w:ind w:left="7" w:hanging="5"/>
        <w:spacing w:before="102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3.3.1.3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①相关病史和体格检查。②排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除其他病因，如感染、其他药物的使用、与其他全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身性疾病或患者原发性皮肤疾病相关的皮肤状况。</w:t>
      </w:r>
    </w:p>
    <w:p>
      <w:pPr>
        <w:pStyle w:val="BodyText"/>
        <w:spacing w:before="97" w:line="2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③必要时进行实验室检查，包括血细胞计数、肝脏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和肾脏检查。④如怀疑为自身免疫性疾病（如红斑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狼疮或皮肌炎）应进行血清学检查，如皮疹呈散在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分布或表现出光敏性，应筛查抗核抗体（</w:t>
      </w:r>
      <w:r>
        <w:rPr>
          <w:sz w:val="21"/>
          <w:szCs w:val="21"/>
          <w:color w:val="231F20"/>
          <w:spacing w:val="-4"/>
        </w:rPr>
        <w:t>antinuclear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1"/>
        </w:rPr>
        <w:t>antibody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ANA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）、</w:t>
      </w:r>
      <w:r>
        <w:rPr>
          <w:sz w:val="21"/>
          <w:szCs w:val="21"/>
          <w:color w:val="231F20"/>
          <w:spacing w:val="-1"/>
        </w:rPr>
        <w:t>SS-A/Anti-Ro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sz w:val="21"/>
          <w:szCs w:val="21"/>
          <w:color w:val="231F20"/>
          <w:spacing w:val="-1"/>
        </w:rPr>
        <w:t>SS-B/Anti-La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如考虑其他自身免疫性疾病，可以进一步扩大血清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学检查或其他相关的实验室检查。⑤必要时进行皮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肤活检或影像学检查（如皮肤</w:t>
      </w:r>
      <w:r>
        <w:rPr>
          <w:sz w:val="21"/>
          <w:szCs w:val="21"/>
          <w:color w:val="231F20"/>
          <w:spacing w:val="-5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</w:p>
    <w:p>
      <w:pPr>
        <w:pStyle w:val="BodyText"/>
        <w:ind w:left="2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3.3.1.4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20" w:lineRule="auto"/>
        <w:sectPr>
          <w:type w:val="continuous"/>
          <w:pgSz w:w="11906" w:h="16158"/>
          <w:pgMar w:top="1233" w:right="1003" w:bottom="400" w:left="407" w:header="772" w:footer="0" w:gutter="0"/>
          <w:cols w:equalWidth="0" w:num="2">
            <w:col w:w="5706" w:space="100"/>
            <w:col w:w="468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3" w:lineRule="exact"/>
        <w:rPr/>
      </w:pPr>
      <w:r/>
    </w:p>
    <w:tbl>
      <w:tblPr>
        <w:tblStyle w:val="TableNormal"/>
        <w:tblW w:w="2257" w:type="dxa"/>
        <w:tblInd w:w="4443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257"/>
      </w:tblGrid>
      <w:tr>
        <w:trPr>
          <w:trHeight w:val="338" w:hRule="atLeast"/>
        </w:trPr>
        <w:tc>
          <w:tcPr>
            <w:tcW w:w="2257" w:type="dxa"/>
            <w:vAlign w:val="top"/>
          </w:tcPr>
          <w:p>
            <w:pPr>
              <w:pStyle w:val="TableText"/>
              <w:ind w:left="890"/>
              <w:spacing w:before="89" w:line="222" w:lineRule="auto"/>
              <w:rPr/>
            </w:pPr>
            <w:r>
              <w:rPr>
                <w:color w:val="231F20"/>
                <w:spacing w:val="-2"/>
              </w:rPr>
              <w:t>斑丘疹</w:t>
            </w:r>
          </w:p>
        </w:tc>
      </w:tr>
    </w:tbl>
    <w:p>
      <w:pPr>
        <w:ind w:firstLine="2279"/>
        <w:spacing w:line="263" w:lineRule="exact"/>
        <w:rPr/>
      </w:pPr>
      <w:r>
        <w:pict>
          <v:shape id="_x0000_s190" style="position:absolute;margin-left:278.632pt;margin-top:6.10628pt;mso-position-vertical-relative:text;mso-position-horizontal-relative:text;width:0.5pt;height:7.3pt;z-index:25187225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92" style="position:absolute;margin-left:443.017pt;margin-top:6.10628pt;mso-position-vertical-relative:text;mso-position-horizontal-relative:text;width:0.5pt;height:7.3pt;z-index:25187123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94" style="position:absolute;margin-left:114.246pt;margin-top:64.8231pt;mso-position-vertical-relative:text;mso-position-horizontal-relative:text;width:0.5pt;height:7.3pt;z-index:-25145753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96" style="position:absolute;margin-left:278.632pt;margin-top:64.8231pt;mso-position-vertical-relative:text;mso-position-horizontal-relative:text;width:0.5pt;height:7.3pt;z-index:25186713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198" style="position:absolute;margin-left:443.017pt;margin-top:64.8231pt;mso-position-vertical-relative:text;mso-position-horizontal-relative:text;width:0.5pt;height:7.3pt;z-index:25186918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00" style="position:absolute;margin-left:199.679pt;margin-top:16.0706pt;mso-position-vertical-relative:text;mso-position-horizontal-relative:text;width:157.95pt;height:49.5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9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4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93" w:right="42"/>
                          <w:spacing w:before="7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10%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～</w:t>
                        </w:r>
                        <w:r>
                          <w:rPr>
                            <w:color w:val="231F20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30%</w:t>
                        </w:r>
                        <w:r>
                          <w:rPr>
                            <w:color w:val="231F20"/>
                            <w:spacing w:val="-1"/>
                          </w:rPr>
                          <w:t>的体表面积出现斑疹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/</w:t>
                        </w:r>
                        <w:r>
                          <w:rPr>
                            <w:color w:val="231F20"/>
                            <w:spacing w:val="-1"/>
                          </w:rPr>
                          <w:t>丘疹，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•   </w:t>
                        </w:r>
                        <w:r>
                          <w:rPr>
                            <w:color w:val="231F20"/>
                            <w:spacing w:val="-5"/>
                          </w:rPr>
                          <w:t>伴或不伴症状（如瘙痒、灼烧、紧绷</w:t>
                        </w:r>
                        <w:r>
                          <w:rPr>
                            <w:color w:val="231F20"/>
                            <w:spacing w:val="2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10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工具性日常生活活动受限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2" style="position:absolute;margin-left:364.065pt;margin-top:16.0706pt;mso-position-vertical-relative:text;mso-position-horizontal-relative:text;width:157.95pt;height:49.5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9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4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～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4</w:t>
                        </w:r>
                        <w:r>
                          <w:rPr>
                            <w:color w:val="231F20"/>
                            <w:spacing w:val="-5"/>
                          </w:rPr>
                          <w:t>级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30%</w:t>
                        </w:r>
                        <w:r>
                          <w:rPr>
                            <w:color w:val="231F20"/>
                            <w:spacing w:val="-1"/>
                          </w:rPr>
                          <w:t>以上的体表面积出现斑疹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/</w:t>
                        </w:r>
                        <w:r>
                          <w:rPr>
                            <w:color w:val="231F20"/>
                            <w:spacing w:val="-1"/>
                          </w:rPr>
                          <w:t>丘疹</w:t>
                        </w:r>
                        <w:r>
                          <w:rPr>
                            <w:color w:val="231F20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伴或不伴相关症状</w:t>
                        </w:r>
                        <w:r>
                          <w:rPr>
                            <w:color w:val="231F20"/>
                            <w:spacing w:val="-3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    </w:t>
                        </w:r>
                        <w:r>
                          <w:rPr>
                            <w:color w:val="231F20"/>
                            <w:spacing w:val="-3"/>
                          </w:rPr>
                          <w:t>日常生活活动中个人自理能力受限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1424541</wp:posOffset>
            </wp:positionH>
            <wp:positionV relativeFrom="paragraph">
              <wp:posOffset>145900</wp:posOffset>
            </wp:positionV>
            <wp:extent cx="4228156" cy="7247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6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204" style="mso-position-vertical-relative:line;mso-position-horizontal-relative:char;width:329.35pt;height:13.2pt;" filled="false" strokecolor="#231F20" strokeweight="0.50pt" coordsize="6587,263" coordorigin="0,0" path="m3292,0l3292,113m0,115l6586,115m5,118l5,263e">
            <v:stroke joinstyle="miter" miterlimit="10"/>
          </v:shape>
        </w:pict>
      </w:r>
    </w:p>
    <w:p>
      <w:pPr>
        <w:spacing w:line="79" w:lineRule="exact"/>
        <w:rPr/>
      </w:pPr>
      <w:r/>
    </w:p>
    <w:tbl>
      <w:tblPr>
        <w:tblStyle w:val="TableNormal"/>
        <w:tblW w:w="3108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930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03"/>
              <w:spacing w:before="84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</w:t>
            </w:r>
            <w:r>
              <w:rPr>
                <w:color w:val="231F20"/>
                <w:spacing w:val="-7"/>
              </w:rPr>
              <w:t>级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：</w:t>
            </w:r>
          </w:p>
          <w:p>
            <w:pPr>
              <w:pStyle w:val="TableText"/>
              <w:ind w:left="93"/>
              <w:spacing w:before="8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•   </w:t>
            </w:r>
            <w:r>
              <w:rPr>
                <w:color w:val="231F20"/>
                <w:spacing w:val="1"/>
              </w:rPr>
              <w:t>&lt;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10%</w:t>
            </w:r>
            <w:r>
              <w:rPr>
                <w:color w:val="231F20"/>
                <w:spacing w:val="1"/>
              </w:rPr>
              <w:t>的体表面积出现斑疹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</w:t>
            </w:r>
            <w:r>
              <w:rPr>
                <w:color w:val="231F20"/>
                <w:spacing w:val="1"/>
              </w:rPr>
              <w:t>丘疹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1"/>
              </w:rPr>
              <w:t>；</w:t>
            </w:r>
          </w:p>
          <w:p>
            <w:pPr>
              <w:pStyle w:val="TableText"/>
              <w:ind w:left="93"/>
              <w:spacing w:before="8" w:line="21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•   </w:t>
            </w:r>
            <w:r>
              <w:rPr>
                <w:color w:val="231F20"/>
                <w:spacing w:val="-1"/>
              </w:rPr>
              <w:t>伴或不伴症状（如瘙痒、灼烧、紧绷）</w:t>
            </w:r>
          </w:p>
        </w:tc>
      </w:tr>
    </w:tbl>
    <w:p>
      <w:pPr>
        <w:ind w:firstLine="2243"/>
        <w:spacing w:before="112" w:line="114" w:lineRule="exact"/>
        <w:rPr/>
      </w:pPr>
      <w:r>
        <w:pict>
          <v:shape id="_x0000_s206" style="position:absolute;margin-left:199.679pt;margin-top:10.339pt;mso-position-vertical-relative:text;mso-position-horizontal-relative:text;width:157.95pt;height:69.5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85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继续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ICI</w:t>
                        </w: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外用润肤剂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5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4"/>
                          </w:rPr>
                          <w:t>口服抗组胺药物改善瘙痒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73" w:right="84" w:hanging="180"/>
                          <w:spacing w:before="10" w:line="221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6"/>
                          </w:rPr>
                          <w:t>•   </w:t>
                        </w:r>
                        <w:r>
                          <w:rPr>
                            <w:color w:val="231F20"/>
                            <w:spacing w:val="6"/>
                          </w:rPr>
                          <w:t>皮疹局部外用中强效类固醇激素和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6"/>
                          </w:rPr>
                          <w:t>/</w:t>
                        </w:r>
                        <w:r>
                          <w:rPr>
                            <w:color w:val="231F20"/>
                            <w:spacing w:val="6"/>
                          </w:rPr>
                          <w:t>或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0.5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～</w:t>
                        </w:r>
                        <w:r>
                          <w:rPr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1.0 mg/</w:t>
                        </w:r>
                        <w:r>
                          <w:rPr>
                            <w:color w:val="231F20"/>
                            <w:spacing w:val="-2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kg•d</w:t>
                        </w:r>
                        <w:r>
                          <w:rPr>
                            <w:color w:val="231F20"/>
                            <w:spacing w:val="-2"/>
                          </w:rPr>
                          <w:t>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8" style="position:absolute;margin-left:364.065pt;margin-top:10.339pt;mso-position-vertical-relative:text;mso-position-horizontal-relative:text;width:157.95pt;height:69.55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85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ICI</w:t>
                        </w: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皮疹局部外用强效类固醇激素</w:t>
                        </w:r>
                        <w:r>
                          <w:rPr>
                            <w:color w:val="231F20"/>
                            <w:spacing w:val="-2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71" w:right="40" w:hanging="178"/>
                          <w:spacing w:before="10" w:line="221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•   </w:t>
                        </w:r>
                        <w:r>
                          <w:rPr>
                            <w:color w:val="231F20"/>
                            <w:spacing w:val="-4"/>
                          </w:rPr>
                          <w:t>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0.5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～</w:t>
                        </w:r>
                        <w:r>
                          <w:rPr>
                            <w:color w:val="231F2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1.0 mg/</w:t>
                        </w:r>
                        <w:r>
                          <w:rPr>
                            <w:color w:val="231F20"/>
                            <w:spacing w:val="-4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kg•d</w:t>
                        </w:r>
                        <w:r>
                          <w:rPr>
                            <w:color w:val="231F20"/>
                            <w:spacing w:val="-4"/>
                          </w:rPr>
                          <w:t>）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[</w:t>
                        </w:r>
                        <w:r>
                          <w:rPr>
                            <w:color w:val="231F20"/>
                            <w:spacing w:val="-4"/>
                          </w:rPr>
                          <w:t>如无改</w:t>
                        </w:r>
                        <w:r>
                          <w:rPr>
                            <w:color w:val="231F20"/>
                            <w:spacing w:val="-5"/>
                          </w:rPr>
                          <w:t>善，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剂量增加至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2 mg/</w:t>
                        </w:r>
                        <w:r>
                          <w:rPr>
                            <w:color w:val="231F20"/>
                            <w:spacing w:val="-1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kg•d</w:t>
                        </w:r>
                        <w:r>
                          <w:rPr>
                            <w:color w:val="231F20"/>
                            <w:spacing w:val="-1"/>
                          </w:rPr>
                          <w:t>）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]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16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急诊皮肤科会诊，考虑活检</w:t>
                        </w:r>
                        <w:r>
                          <w:rPr>
                            <w:color w:val="231F20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10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考虑住院治疗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3512242</wp:posOffset>
            </wp:positionH>
            <wp:positionV relativeFrom="paragraph">
              <wp:posOffset>71519</wp:posOffset>
            </wp:positionV>
            <wp:extent cx="52755" cy="72478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5599941</wp:posOffset>
            </wp:positionH>
            <wp:positionV relativeFrom="paragraph">
              <wp:posOffset>71519</wp:posOffset>
            </wp:positionV>
            <wp:extent cx="52755" cy="7247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52755" cy="7247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330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93"/>
              <w:spacing w:before="85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3"/>
              </w:rPr>
              <w:t>继续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ICI</w:t>
            </w:r>
            <w:r>
              <w:rPr>
                <w:color w:val="231F20"/>
                <w:spacing w:val="-3"/>
              </w:rPr>
              <w:t>治疗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；</w:t>
            </w:r>
          </w:p>
          <w:p>
            <w:pPr>
              <w:pStyle w:val="TableText"/>
              <w:ind w:left="93"/>
              <w:spacing w:before="8" w:line="21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3"/>
              </w:rPr>
              <w:t>外用润肤剂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；</w:t>
            </w:r>
          </w:p>
          <w:p>
            <w:pPr>
              <w:pStyle w:val="TableText"/>
              <w:ind w:left="93"/>
              <w:spacing w:before="9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4"/>
              </w:rPr>
              <w:t>口服抗组胺药物改善瘙痒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4"/>
              </w:rPr>
              <w:t>；</w:t>
            </w:r>
          </w:p>
          <w:p>
            <w:pPr>
              <w:pStyle w:val="TableText"/>
              <w:ind w:left="93"/>
              <w:spacing w:before="9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•   </w:t>
            </w:r>
            <w:r>
              <w:rPr>
                <w:color w:val="231F20"/>
                <w:spacing w:val="-1"/>
              </w:rPr>
              <w:t>用中效类固醇激素局部治疗患处</w:t>
            </w:r>
          </w:p>
        </w:tc>
      </w:tr>
    </w:tbl>
    <w:p>
      <w:pPr>
        <w:pStyle w:val="BodyText"/>
        <w:ind w:left="4332"/>
        <w:spacing w:before="173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9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相关斑丘疹的诊疗流程</w:t>
      </w:r>
    </w:p>
    <w:p>
      <w:pPr>
        <w:pStyle w:val="BodyText"/>
        <w:ind w:left="1057"/>
        <w:spacing w:before="48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为免疫检查点抑制剂。</w:t>
      </w:r>
    </w:p>
    <w:p>
      <w:pPr>
        <w:spacing w:line="200" w:lineRule="auto"/>
        <w:sectPr>
          <w:type w:val="continuous"/>
          <w:pgSz w:w="11906" w:h="16158"/>
          <w:pgMar w:top="1233" w:right="1003" w:bottom="400" w:left="407" w:header="772" w:footer="0" w:gutter="0"/>
          <w:cols w:equalWidth="0" w:num="1">
            <w:col w:w="10494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55"/>
          <w:pgSz w:w="11906" w:h="16158"/>
          <w:pgMar w:top="1233" w:right="1042" w:bottom="400" w:left="407" w:header="772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677" w:right="301" w:firstLine="1"/>
        <w:spacing w:before="44" w:line="2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3.3.1.5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建议定期至皮肤科随访。研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究报道，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斑丘疹平均发病时间在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使用后的</w:t>
      </w:r>
      <w:r>
        <w:rPr>
          <w:sz w:val="21"/>
          <w:szCs w:val="21"/>
          <w:color w:val="231F20"/>
          <w:spacing w:val="-2"/>
        </w:rPr>
        <w:t>5.6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周</w:t>
      </w:r>
      <w:r>
        <w:rPr>
          <w:sz w:val="12"/>
          <w:szCs w:val="12"/>
          <w:color w:val="231F20"/>
          <w:spacing w:val="-2"/>
          <w:position w:val="9"/>
        </w:rPr>
        <w:t>[69</w:t>
      </w:r>
      <w:r>
        <w:rPr>
          <w:sz w:val="12"/>
          <w:szCs w:val="12"/>
          <w:color w:val="231F20"/>
          <w:spacing w:val="-3"/>
          <w:position w:val="9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。因此，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使用后</w:t>
      </w:r>
      <w:r>
        <w:rPr>
          <w:sz w:val="21"/>
          <w:szCs w:val="21"/>
          <w:color w:val="231F20"/>
        </w:rPr>
        <w:t>6</w:t>
      </w:r>
      <w:r>
        <w:rPr>
          <w:rFonts w:ascii="SimSun" w:hAnsi="SimSun" w:eastAsia="SimSun" w:cs="SimSun"/>
          <w:sz w:val="21"/>
          <w:szCs w:val="21"/>
          <w:color w:val="231F20"/>
        </w:rPr>
        <w:t>周左右需重点观察有无相关皮损，必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要时建议患者至皮肤科进行常规体检。</w:t>
      </w:r>
    </w:p>
    <w:p>
      <w:pPr>
        <w:pStyle w:val="BodyText"/>
        <w:ind w:left="713" w:right="374" w:hanging="35"/>
        <w:spacing w:before="101" w:line="26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3.3.1.6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预防  使用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尽量减少皮肤刺激，如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日晒、搔抓等，加强皮肤护理，使用润肤剂。</w:t>
      </w:r>
    </w:p>
    <w:p>
      <w:pPr>
        <w:pStyle w:val="BodyText"/>
        <w:ind w:left="677" w:right="359" w:firstLine="1"/>
        <w:spacing w:before="9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3.3.2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瘙痒  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3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抑制剂和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3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抑制剂常引起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瘙痒症状。其中接受伊匹木单抗治疗的患者瘙痒发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生率为</w:t>
      </w:r>
      <w:r>
        <w:rPr>
          <w:sz w:val="21"/>
          <w:szCs w:val="21"/>
          <w:color w:val="231F20"/>
          <w:spacing w:val="5"/>
        </w:rPr>
        <w:t>24%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5"/>
        </w:rPr>
        <w:t>36%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，接受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5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抑制剂治疗的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瘙痒发生率为</w:t>
      </w:r>
      <w:r>
        <w:rPr>
          <w:sz w:val="21"/>
          <w:szCs w:val="21"/>
          <w:color w:val="231F20"/>
          <w:spacing w:val="5"/>
        </w:rPr>
        <w:t>14%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5"/>
        </w:rPr>
        <w:t>21%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，联合治疗的患者瘙痒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发生率为</w:t>
      </w:r>
      <w:r>
        <w:rPr>
          <w:sz w:val="21"/>
          <w:szCs w:val="21"/>
          <w:color w:val="231F20"/>
          <w:spacing w:val="-6"/>
        </w:rPr>
        <w:t>33%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sz w:val="21"/>
          <w:szCs w:val="21"/>
          <w:color w:val="231F20"/>
          <w:spacing w:val="-6"/>
        </w:rPr>
        <w:t>47%</w:t>
      </w:r>
      <w:r>
        <w:rPr>
          <w:sz w:val="12"/>
          <w:szCs w:val="12"/>
          <w:color w:val="231F20"/>
          <w:spacing w:val="-6"/>
          <w:position w:val="9"/>
        </w:rPr>
        <w:t>[65]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。严重瘙痒（严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重度分级≥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7"/>
        </w:rPr>
        <w:t>3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级）的发生率通常＜ </w:t>
      </w:r>
      <w:r>
        <w:rPr>
          <w:sz w:val="21"/>
          <w:szCs w:val="21"/>
          <w:color w:val="231F20"/>
        </w:rPr>
        <w:t>3%</w:t>
      </w:r>
      <w:r>
        <w:rPr>
          <w:sz w:val="12"/>
          <w:szCs w:val="12"/>
          <w:color w:val="231F20"/>
          <w:position w:val="9"/>
        </w:rPr>
        <w:t>[70] </w:t>
      </w:r>
      <w:r>
        <w:rPr>
          <w:rFonts w:ascii="SimSun" w:hAnsi="SimSun" w:eastAsia="SimSun" w:cs="SimSun"/>
          <w:sz w:val="21"/>
          <w:szCs w:val="21"/>
          <w:color w:val="231F20"/>
        </w:rPr>
        <w:t>。瘙痒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可单独发生，也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可伴皮疹发生，可在开始免疫治疗后数周内或数月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或数年后发生。</w:t>
      </w:r>
    </w:p>
    <w:p>
      <w:pPr>
        <w:pStyle w:val="BodyText"/>
        <w:ind w:left="67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3.3.2.1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临床表现  表现为不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同程度的瘙痒感。</w:t>
      </w:r>
    </w:p>
    <w:p>
      <w:pPr>
        <w:pStyle w:val="BodyText"/>
        <w:ind w:left="678" w:right="303"/>
        <w:spacing w:before="101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3.3.2.2    </w:t>
      </w:r>
      <w:r>
        <w:rPr>
          <w:rFonts w:ascii="SimSun" w:hAnsi="SimSun" w:eastAsia="SimSun" w:cs="SimSun"/>
          <w:sz w:val="21"/>
          <w:szCs w:val="21"/>
          <w:color w:val="231F20"/>
        </w:rPr>
        <w:t>诊断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由于皮肤毒性的发生率高，应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对每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例接受免疫治疗的患者进行免疫相关性皮肤病病史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询问和全面检查。建议对皮肤黏膜进行详细检查，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确定皮肤病变程度和类型，以排除其他病因引起的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皮肤问题。</w:t>
      </w:r>
    </w:p>
    <w:p>
      <w:pPr>
        <w:pStyle w:val="BodyText"/>
        <w:ind w:left="679" w:right="285" w:hanging="1"/>
        <w:spacing w:before="98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3.3.2.3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对于反复发作且常规治疗无效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的患者，应进行基本的实验室评估，包括全血计数、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肾功能和肝功能评估，皮肤病理活检和直接免疫荧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光检测可用于排除大疱性类天疱疮的早期阶段</w:t>
      </w:r>
      <w:r>
        <w:rPr>
          <w:sz w:val="12"/>
          <w:szCs w:val="12"/>
          <w:color w:val="231F20"/>
          <w:spacing w:val="-1"/>
          <w:position w:val="9"/>
        </w:rPr>
        <w:t>[71]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8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3.3.2.4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8"/>
        <w:spacing w:before="100" w:line="18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3.3.2.5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发病时间不定，可发生于使用</w:t>
      </w:r>
      <w:r>
        <w:rPr>
          <w:sz w:val="21"/>
          <w:szCs w:val="21"/>
          <w:color w:val="231F20"/>
        </w:rPr>
        <w:t>ICI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91"/>
        <w:spacing w:before="39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后的任意时间，建议用药期间定期至皮肤科或变态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反应（过敏和免疫）科随访。</w:t>
      </w:r>
    </w:p>
    <w:p>
      <w:pPr>
        <w:pStyle w:val="BodyText"/>
        <w:ind w:left="9" w:right="127" w:hanging="7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3.3.2.6    </w:t>
      </w:r>
      <w:r>
        <w:rPr>
          <w:rFonts w:ascii="SimSun" w:hAnsi="SimSun" w:eastAsia="SimSun" w:cs="SimSun"/>
          <w:sz w:val="21"/>
          <w:szCs w:val="21"/>
          <w:color w:val="231F20"/>
        </w:rPr>
        <w:t>预防  用药期间尽量减少皮肤刺激，如日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晒、搔抓等，加强皮肤保湿。</w:t>
      </w:r>
    </w:p>
    <w:p>
      <w:pPr>
        <w:pStyle w:val="BodyText"/>
        <w:ind w:left="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3.3.3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大疱性皮炎</w:t>
      </w:r>
    </w:p>
    <w:p>
      <w:pPr>
        <w:pStyle w:val="BodyText"/>
        <w:ind w:right="16" w:firstLine="1"/>
        <w:spacing w:before="99" w:line="27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3.3.3.1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临床表现为皮肤红斑、水疱、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大疱或糜烂。报道的最常见的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是大疱性类天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疱疮。</w:t>
      </w:r>
    </w:p>
    <w:p>
      <w:pPr>
        <w:pStyle w:val="BodyText"/>
        <w:ind w:left="1"/>
        <w:spacing w:before="99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3.3.3.2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诊断  ①皮肤活检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；②对于自身免疫</w:t>
      </w:r>
      <w:r>
        <w:rPr>
          <w:sz w:val="21"/>
          <w:szCs w:val="21"/>
          <w:color w:val="231F20"/>
          <w:spacing w:val="-4"/>
        </w:rPr>
        <w:t>/irAEs</w:t>
      </w:r>
      <w:r>
        <w:rPr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相关的大疱性疾病，可以考虑进行以下血清学检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查：大疱性类天疱疮抗体、桥粒芯蛋白</w:t>
      </w:r>
      <w:r>
        <w:rPr>
          <w:sz w:val="21"/>
          <w:szCs w:val="21"/>
          <w:color w:val="231F20"/>
          <w:spacing w:val="-10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,</w:t>
      </w:r>
      <w:r>
        <w:rPr>
          <w:sz w:val="21"/>
          <w:szCs w:val="21"/>
          <w:color w:val="231F20"/>
          <w:spacing w:val="-10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（天疱疮）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抗体、其他抗皮肤成分抗体以及直接与间接免疫荧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光检测。</w:t>
      </w:r>
    </w:p>
    <w:p>
      <w:pPr>
        <w:pStyle w:val="BodyText"/>
        <w:ind w:right="16" w:firstLine="2"/>
        <w:spacing w:before="98" w:line="29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3.3.3.3  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鉴别诊断  ①体格检查。②排除其他病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因，如感染、其他药物的作用或与其他系统性疾病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相关的皮肤状况，如有必要进行相关实验室检查，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包括血细胞计数、肝功能和肾功能检查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；考虑血清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抗体检测以排除大疱性类天疱疮，或在皮肤科医生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指导下，将患者血清进行间接免疫荧光检测，以排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除其他自身免疫性大疱病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；非感染性或由其他原因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导致的水疱（如单纯疱疹、带状疱疹、大疱性脓疱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疮、虫咬性大疱、摩擦或压力水疱）转诊至皮肤科。</w:t>
      </w:r>
    </w:p>
    <w:p>
      <w:pPr>
        <w:ind w:left="20" w:right="91" w:hanging="20"/>
        <w:spacing w:before="101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③进行皮肤活检和直接免疫荧光检测对皮损及其周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围皮肤进行评估。</w:t>
      </w:r>
    </w:p>
    <w:p>
      <w:pPr>
        <w:pStyle w:val="BodyText"/>
        <w:ind w:left="2"/>
        <w:spacing w:before="10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3.3.3.4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2"/>
        <w:spacing w:before="100" w:line="1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3.3.3.5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随访  大疱性皮疹的潜伏期可长至用药后</w:t>
      </w:r>
    </w:p>
    <w:p>
      <w:pPr>
        <w:spacing w:line="185" w:lineRule="auto"/>
        <w:sectPr>
          <w:type w:val="continuous"/>
          <w:pgSz w:w="11906" w:h="16158"/>
          <w:pgMar w:top="1233" w:right="1042" w:bottom="400" w:left="407" w:header="772" w:footer="0" w:gutter="0"/>
          <w:cols w:equalWidth="0" w:num="2">
            <w:col w:w="5651" w:space="100"/>
            <w:col w:w="470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1"/>
        <w:rPr/>
      </w:pPr>
      <w:r/>
    </w:p>
    <w:tbl>
      <w:tblPr>
        <w:tblStyle w:val="TableNormal"/>
        <w:tblW w:w="2257" w:type="dxa"/>
        <w:tblInd w:w="4388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257"/>
      </w:tblGrid>
      <w:tr>
        <w:trPr>
          <w:trHeight w:val="338" w:hRule="atLeast"/>
        </w:trPr>
        <w:tc>
          <w:tcPr>
            <w:tcW w:w="2257" w:type="dxa"/>
            <w:vAlign w:val="top"/>
          </w:tcPr>
          <w:p>
            <w:pPr>
              <w:pStyle w:val="TableText"/>
              <w:ind w:left="969"/>
              <w:spacing w:before="90" w:line="220" w:lineRule="auto"/>
              <w:rPr/>
            </w:pPr>
            <w:r>
              <w:rPr>
                <w:color w:val="231F20"/>
                <w:spacing w:val="-2"/>
              </w:rPr>
              <w:t>瘙痒</w:t>
            </w:r>
          </w:p>
        </w:tc>
      </w:tr>
    </w:tbl>
    <w:p>
      <w:pPr>
        <w:ind w:firstLine="2224"/>
        <w:spacing w:line="262" w:lineRule="exact"/>
        <w:rPr/>
      </w:pPr>
      <w:r>
        <w:pict>
          <v:shape id="_x0000_s212" style="position:absolute;margin-left:275.844pt;margin-top:6.10579pt;mso-position-vertical-relative:text;mso-position-horizontal-relative:text;width:0.5pt;height:7.3pt;z-index:25188659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14" style="position:absolute;margin-left:440.23pt;margin-top:6.10579pt;mso-position-vertical-relative:text;mso-position-horizontal-relative:text;width:0.5pt;height:7.3pt;z-index:25188761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16" style="position:absolute;margin-left:111.458pt;margin-top:84.8246pt;mso-position-vertical-relative:text;mso-position-horizontal-relative:text;width:0.5pt;height:7.3pt;z-index:-25143910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18" style="position:absolute;margin-left:275.844pt;margin-top:84.8246pt;mso-position-vertical-relative:text;mso-position-horizontal-relative:text;width:0.5pt;height:7.3pt;z-index:25188249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20" style="position:absolute;margin-left:440.23pt;margin-top:84.8246pt;mso-position-vertical-relative:text;mso-position-horizontal-relative:text;width:0.5pt;height:7.3pt;z-index:25188454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222" style="position:absolute;margin-left:196.891pt;margin-top:16.0711pt;mso-position-vertical-relative:text;mso-position-horizontal-relative:text;width:157.95pt;height:69.55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84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严重或泛发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6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8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6"/>
                          </w:rPr>
                          <w:t>间歇性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73" w:right="84" w:hanging="180"/>
                          <w:spacing w:before="10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•   </w:t>
                        </w:r>
                        <w:r>
                          <w:rPr>
                            <w:color w:val="231F20"/>
                            <w:spacing w:val="1"/>
                          </w:rPr>
                          <w:t>皮肤因搔抓而变化（如水肿、丘疹、脱 </w:t>
                        </w:r>
                        <w:r>
                          <w:rPr>
                            <w:color w:val="231F20"/>
                            <w:spacing w:val="-2"/>
                          </w:rPr>
                          <w:t>屑、苔藓样变、渗出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/</w:t>
                        </w:r>
                        <w:r>
                          <w:rPr>
                            <w:color w:val="231F20"/>
                            <w:spacing w:val="-2"/>
                          </w:rPr>
                          <w:t>结痂</w:t>
                        </w:r>
                        <w:r>
                          <w:rPr>
                            <w:color w:val="231F20"/>
                            <w:spacing w:val="-3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工具性日常生活活动受限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4" style="position:absolute;margin-left:361.277pt;margin-top:16.0711pt;mso-position-vertical-relative:text;mso-position-horizontal-relative:text;width:157.95pt;height:69.55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84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3</w:t>
                        </w:r>
                        <w:r>
                          <w:rPr>
                            <w:color w:val="231F20"/>
                            <w:spacing w:val="-3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严重或泛发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4"/>
                          </w:rPr>
                          <w:t>持续性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影响日常生活活动中自我照顾或睡眠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1389142</wp:posOffset>
            </wp:positionH>
            <wp:positionV relativeFrom="paragraph">
              <wp:posOffset>145893</wp:posOffset>
            </wp:positionV>
            <wp:extent cx="4228154" cy="7247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4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226" style="mso-position-vertical-relative:line;mso-position-horizontal-relative:char;width:329.35pt;height:13.2pt;" filled="false" strokecolor="#231F20" strokeweight="0.50pt" coordsize="6587,263" coordorigin="0,0" path="m3292,0l3292,113m0,115l6586,115m5,118l5,263e">
            <v:stroke joinstyle="miter" miterlimit="10"/>
          </v:shape>
        </w:pict>
      </w:r>
    </w:p>
    <w:p>
      <w:pPr>
        <w:spacing w:line="79" w:lineRule="exact"/>
        <w:rPr/>
      </w:pPr>
      <w:r/>
    </w:p>
    <w:tbl>
      <w:tblPr>
        <w:tblStyle w:val="TableNormal"/>
        <w:tblW w:w="3108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330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03"/>
              <w:spacing w:before="84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</w:t>
            </w:r>
            <w:r>
              <w:rPr>
                <w:color w:val="231F20"/>
                <w:spacing w:val="-7"/>
              </w:rPr>
              <w:t>级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：</w:t>
            </w:r>
          </w:p>
          <w:p>
            <w:pPr>
              <w:pStyle w:val="TableText"/>
              <w:ind w:left="93"/>
              <w:spacing w:before="7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3"/>
              </w:rPr>
              <w:t>轻度或局部</w:t>
            </w:r>
          </w:p>
        </w:tc>
      </w:tr>
    </w:tbl>
    <w:p>
      <w:pPr>
        <w:ind w:firstLine="2187"/>
        <w:spacing w:before="113" w:line="114" w:lineRule="exact"/>
        <w:rPr/>
      </w:pPr>
      <w:r>
        <w:pict>
          <v:shape id="_x0000_s228" style="position:absolute;margin-left:196.891pt;margin-top:10.338pt;mso-position-vertical-relative:text;mso-position-horizontal-relative:text;width:157.95pt;height:89.55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7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85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在加强止痒治疗下可继续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ICI</w:t>
                        </w:r>
                        <w:r>
                          <w:rPr>
                            <w:color w:val="231F20"/>
                            <w:spacing w:val="-1"/>
                          </w:rPr>
                          <w:t>治疗</w:t>
                        </w:r>
                        <w:r>
                          <w:rPr>
                            <w:color w:val="231F20"/>
                            <w:spacing w:val="-2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3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5"/>
                          </w:rPr>
                          <w:t>口服抗组胺药物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70" w:right="92" w:hanging="177"/>
                          <w:spacing w:before="9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"/>
                          </w:rPr>
                          <w:t>•   </w:t>
                        </w:r>
                        <w:r>
                          <w:rPr>
                            <w:color w:val="231F20"/>
                            <w:spacing w:val="2"/>
                          </w:rPr>
                          <w:t>考虑使用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GABA</w:t>
                        </w:r>
                        <w:r>
                          <w:rPr>
                            <w:color w:val="231F20"/>
                            <w:spacing w:val="2"/>
                          </w:rPr>
                          <w:t>激动剂（加巴喷丁、普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瑞巴林</w:t>
                        </w:r>
                        <w:r>
                          <w:rPr>
                            <w:color w:val="231F20"/>
                            <w:spacing w:val="-4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使用高效的局部类固醇激素治疗患处</w:t>
                        </w:r>
                        <w:r>
                          <w:rPr>
                            <w:color w:val="231F20"/>
                            <w:spacing w:val="-2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皮肤科会诊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30" style="position:absolute;margin-left:361.277pt;margin-top:10.338pt;mso-position-vertical-relative:text;mso-position-horizontal-relative:text;width:157.95pt;height:89.55pt;z-index:25187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730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85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ICI</w:t>
                        </w: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3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5"/>
                          </w:rPr>
                          <w:t>口服抗组胺药物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1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•   </w:t>
                        </w:r>
                        <w:r>
                          <w:rPr>
                            <w:color w:val="231F20"/>
                            <w:spacing w:val="-4"/>
                          </w:rPr>
                          <w:t>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/</w:t>
                        </w:r>
                        <w:r>
                          <w:rPr>
                            <w:color w:val="231F20"/>
                            <w:spacing w:val="-4"/>
                          </w:rPr>
                          <w:t>甲泼尼龙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0.5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～</w:t>
                        </w:r>
                        <w:r>
                          <w:rPr>
                            <w:color w:val="231F20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1.0 mg/</w:t>
                        </w:r>
                        <w:r>
                          <w:rPr>
                            <w:color w:val="231F20"/>
                            <w:spacing w:val="-4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kg•d</w:t>
                        </w:r>
                        <w:r>
                          <w:rPr>
                            <w:color w:val="231F20"/>
                            <w:spacing w:val="-9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270" w:right="92" w:hanging="177"/>
                          <w:spacing w:before="16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"/>
                          </w:rPr>
                          <w:t>•   </w:t>
                        </w:r>
                        <w:r>
                          <w:rPr>
                            <w:color w:val="231F20"/>
                            <w:spacing w:val="2"/>
                          </w:rPr>
                          <w:t>考虑使用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GABA</w:t>
                        </w:r>
                        <w:r>
                          <w:rPr>
                            <w:color w:val="231F20"/>
                            <w:spacing w:val="2"/>
                          </w:rPr>
                          <w:t>激动剂（加巴喷丁、普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瑞巴林</w:t>
                        </w:r>
                        <w:r>
                          <w:rPr>
                            <w:color w:val="231F20"/>
                            <w:spacing w:val="-4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271" w:right="84" w:hanging="178"/>
                          <w:spacing w:before="10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•   </w:t>
                        </w:r>
                        <w:r>
                          <w:rPr>
                            <w:color w:val="231F20"/>
                            <w:spacing w:val="1"/>
                          </w:rPr>
                          <w:t>难治性病例考虑使用阿瑞匹坦或奥马珠 </w:t>
                        </w:r>
                        <w:r>
                          <w:rPr>
                            <w:color w:val="231F20"/>
                            <w:spacing w:val="-3"/>
                          </w:rPr>
                          <w:t>单抗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93"/>
                          <w:spacing w:before="9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皮肤科会诊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3476842</wp:posOffset>
            </wp:positionH>
            <wp:positionV relativeFrom="paragraph">
              <wp:posOffset>71519</wp:posOffset>
            </wp:positionV>
            <wp:extent cx="52755" cy="7247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5568" behindDoc="0" locked="0" layoutInCell="1" allowOverlap="1">
            <wp:simplePos x="0" y="0"/>
            <wp:positionH relativeFrom="column">
              <wp:posOffset>5564541</wp:posOffset>
            </wp:positionH>
            <wp:positionV relativeFrom="paragraph">
              <wp:posOffset>71519</wp:posOffset>
            </wp:positionV>
            <wp:extent cx="52755" cy="72478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52755" cy="7247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730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93"/>
              <w:spacing w:before="85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3"/>
              </w:rPr>
              <w:t>继续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ICI</w:t>
            </w:r>
            <w:r>
              <w:rPr>
                <w:color w:val="231F20"/>
                <w:spacing w:val="-3"/>
              </w:rPr>
              <w:t>治疗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；</w:t>
            </w:r>
          </w:p>
          <w:p>
            <w:pPr>
              <w:pStyle w:val="TableText"/>
              <w:ind w:left="93"/>
              <w:spacing w:before="8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5"/>
              </w:rPr>
              <w:t>口服抗组胺药物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5"/>
              </w:rPr>
              <w:t>；</w:t>
            </w:r>
          </w:p>
          <w:p>
            <w:pPr>
              <w:pStyle w:val="TableText"/>
              <w:ind w:left="273" w:right="84" w:hanging="180"/>
              <w:spacing w:before="9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•   </w:t>
            </w:r>
            <w:r>
              <w:rPr>
                <w:color w:val="231F20"/>
                <w:spacing w:val="1"/>
              </w:rPr>
              <w:t>使用中等强度的局部类固醇激素治疗患 </w:t>
            </w:r>
            <w:r>
              <w:rPr>
                <w:color w:val="231F20"/>
                <w:spacing w:val="-1"/>
              </w:rPr>
              <w:t>处或用利多卡因贴片治疗局部瘙痒</w:t>
            </w:r>
          </w:p>
        </w:tc>
      </w:tr>
    </w:tbl>
    <w:p>
      <w:pPr>
        <w:pStyle w:val="BodyText"/>
        <w:ind w:left="4321"/>
        <w:spacing w:before="17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10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相关瘙痒的诊疗流程</w:t>
      </w:r>
    </w:p>
    <w:p>
      <w:pPr>
        <w:pStyle w:val="BodyText"/>
        <w:ind w:left="1001"/>
        <w:spacing w:before="49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GABA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</w:t>
      </w:r>
      <w:r>
        <w:rPr>
          <w:sz w:val="16"/>
          <w:szCs w:val="16"/>
          <w:color w:val="231F20"/>
          <w:spacing w:val="-4"/>
        </w:rPr>
        <w:t>γ-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氨基丁酸。</w:t>
      </w:r>
    </w:p>
    <w:p>
      <w:pPr>
        <w:spacing w:line="200" w:lineRule="auto"/>
        <w:sectPr>
          <w:type w:val="continuous"/>
          <w:pgSz w:w="11906" w:h="16158"/>
          <w:pgMar w:top="1233" w:right="1042" w:bottom="400" w:left="407" w:header="772" w:footer="0" w:gutter="0"/>
          <w:cols w:equalWidth="0" w:num="1">
            <w:col w:w="10455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83" w:lineRule="exact"/>
        <w:rPr/>
      </w:pPr>
      <w:r/>
    </w:p>
    <w:tbl>
      <w:tblPr>
        <w:tblStyle w:val="TableNormal"/>
        <w:tblW w:w="2257" w:type="dxa"/>
        <w:tblInd w:w="4443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257"/>
      </w:tblGrid>
      <w:tr>
        <w:trPr>
          <w:trHeight w:val="395" w:hRule="atLeast"/>
        </w:trPr>
        <w:tc>
          <w:tcPr>
            <w:tcW w:w="2257" w:type="dxa"/>
            <w:vAlign w:val="top"/>
          </w:tcPr>
          <w:p>
            <w:pPr>
              <w:pStyle w:val="TableText"/>
              <w:ind w:left="732"/>
              <w:spacing w:before="117" w:line="220" w:lineRule="auto"/>
              <w:rPr/>
            </w:pPr>
            <w:r>
              <w:rPr>
                <w:color w:val="231F20"/>
                <w:spacing w:val="-2"/>
              </w:rPr>
              <w:t>大疱性皮炎</w:t>
            </w:r>
          </w:p>
        </w:tc>
      </w:tr>
    </w:tbl>
    <w:p>
      <w:pPr>
        <w:ind w:firstLine="2243"/>
        <w:spacing w:line="342" w:lineRule="exact"/>
        <w:rPr/>
      </w:pPr>
      <w:r>
        <w:pict>
          <v:shape id="_x0000_s234" style="position:absolute;margin-left:35.293pt;margin-top:16.0695pt;mso-position-vertical-relative:text;mso-position-horizontal-relative:text;width:157.95pt;height:72.3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7"/>
                          </w:rPr>
                          <w:t>1</w:t>
                        </w:r>
                        <w:r>
                          <w:rPr>
                            <w:color w:val="231F20"/>
                            <w:spacing w:val="-7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122"/>
                          <w:spacing w:before="7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4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4"/>
                          </w:rPr>
                          <w:t>无症状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大疱不足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10%</w:t>
                        </w:r>
                        <w:r>
                          <w:rPr>
                            <w:color w:val="231F20"/>
                            <w:spacing w:val="-1"/>
                          </w:rPr>
                          <w:t>体表面积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36" style="position:absolute;margin-left:364.065pt;margin-top:16.0695pt;mso-position-vertical-relative:text;mso-position-horizontal-relative:text;width:157.95pt;height:72.3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3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～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4</w:t>
                        </w:r>
                        <w:r>
                          <w:rPr>
                            <w:color w:val="231F20"/>
                            <w:spacing w:val="-5"/>
                          </w:rPr>
                          <w:t>级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307" w:right="120" w:hanging="185"/>
                          <w:spacing w:before="7" w:line="226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•   3</w:t>
                        </w:r>
                        <w:r>
                          <w:rPr>
                            <w:color w:val="231F20"/>
                            <w:spacing w:val="1"/>
                          </w:rPr>
                          <w:t>级</w:t>
                        </w:r>
                        <w:r>
                          <w:rPr>
                            <w:color w:val="231F20"/>
                            <w:spacing w:val="-3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：大疱覆盖超过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30%</w:t>
                        </w:r>
                        <w:r>
                          <w:rPr>
                            <w:color w:val="231F20"/>
                            <w:spacing w:val="1"/>
                          </w:rPr>
                          <w:t>体表面积，影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响自理性日常生活活动</w:t>
                        </w:r>
                        <w:r>
                          <w:rPr>
                            <w:color w:val="231F20"/>
                            <w:spacing w:val="-3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300" w:right="120" w:hanging="178"/>
                          <w:spacing w:before="8" w:line="227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•   4</w:t>
                        </w:r>
                        <w:r>
                          <w:rPr>
                            <w:color w:val="231F20"/>
                            <w:spacing w:val="1"/>
                          </w:rPr>
                          <w:t>级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：大疱覆盖超过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"/>
                          </w:rPr>
                          <w:t>30%</w:t>
                        </w:r>
                        <w:r>
                          <w:rPr>
                            <w:color w:val="231F20"/>
                            <w:spacing w:val="1"/>
                          </w:rPr>
                          <w:t>体表面积，伴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有体液和电解质异常，需要重症监护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室护理或烧伤科护理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4228156" cy="21758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6" cy="2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401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385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16"/>
              <w:spacing w:before="111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</w:t>
            </w:r>
            <w:r>
              <w:rPr>
                <w:color w:val="231F20"/>
                <w:spacing w:val="-2"/>
              </w:rPr>
              <w:t>级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"/>
              </w:rPr>
              <w:t>：</w:t>
            </w:r>
          </w:p>
          <w:p>
            <w:pPr>
              <w:pStyle w:val="TableText"/>
              <w:ind w:left="122"/>
              <w:spacing w:before="8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•   </w:t>
            </w:r>
            <w:r>
              <w:rPr>
                <w:color w:val="231F20"/>
                <w:spacing w:val="-2"/>
              </w:rPr>
              <w:t>大疱覆盖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10%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30%</w:t>
            </w:r>
            <w:r>
              <w:rPr>
                <w:color w:val="231F20"/>
                <w:spacing w:val="-2"/>
              </w:rPr>
              <w:t>体表面积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；</w:t>
            </w:r>
          </w:p>
          <w:p>
            <w:pPr>
              <w:pStyle w:val="TableText"/>
              <w:ind w:left="122"/>
              <w:spacing w:before="8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3"/>
              </w:rPr>
              <w:t>伴皮肤疼痛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；</w:t>
            </w:r>
          </w:p>
          <w:p>
            <w:pPr>
              <w:pStyle w:val="TableText"/>
              <w:ind w:left="122"/>
              <w:spacing w:before="9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•   </w:t>
            </w:r>
            <w:r>
              <w:rPr>
                <w:color w:val="231F20"/>
                <w:spacing w:val="-1"/>
              </w:rPr>
              <w:t>影响工具性日常生活活动</w:t>
            </w:r>
          </w:p>
        </w:tc>
      </w:tr>
    </w:tbl>
    <w:p>
      <w:pPr>
        <w:ind w:firstLine="2243"/>
        <w:spacing w:line="226" w:lineRule="exact"/>
        <w:rPr/>
      </w:pPr>
      <w:r>
        <w:pict>
          <v:shape id="_x0000_s238" style="position:absolute;margin-left:35.293pt;margin-top:10.3389pt;mso-position-vertical-relative:text;mso-position-horizontal-relative:text;width:157.95pt;height:82.3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3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ICI</w:t>
                        </w: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8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使用强效的局部类固醇激素治疗患处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40" style="position:absolute;margin-left:364.065pt;margin-top:10.34pt;mso-position-vertical-relative:text;mso-position-horizontal-relative:text;width:157.95pt;height:82.3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3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永久停止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ICI</w:t>
                        </w:r>
                        <w:r>
                          <w:rPr>
                            <w:color w:val="231F20"/>
                            <w:spacing w:val="-1"/>
                          </w:rPr>
                          <w:t>治疗</w:t>
                        </w:r>
                        <w:r>
                          <w:rPr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9" w:line="21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/</w:t>
                        </w:r>
                        <w:r>
                          <w:rPr>
                            <w:color w:val="231F20"/>
                            <w:spacing w:val="-1"/>
                          </w:rPr>
                          <w:t>甲泼尼龙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～</w:t>
                        </w:r>
                        <w:r>
                          <w:rPr>
                            <w:color w:val="231F20"/>
                            <w:spacing w:val="-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2 mg/</w:t>
                        </w:r>
                        <w:r>
                          <w:rPr>
                            <w:color w:val="231F20"/>
                            <w:spacing w:val="-1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kg•d</w:t>
                        </w:r>
                        <w:r>
                          <w:rPr>
                            <w:color w:val="231F20"/>
                            <w:spacing w:val="-9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300" w:right="67" w:hanging="178"/>
                          <w:spacing w:before="15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•   </w:t>
                        </w:r>
                        <w:r>
                          <w:rPr>
                            <w:color w:val="231F20"/>
                            <w:spacing w:val="-5"/>
                          </w:rPr>
                          <w:t>如果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d</w:t>
                        </w:r>
                        <w:r>
                          <w:rPr>
                            <w:color w:val="231F20"/>
                            <w:spacing w:val="-5"/>
                          </w:rPr>
                          <w:t>后仍无改善，可考虑增加利妥昔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单抗或静脉注射丙种球蛋白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[1g/</w:t>
                        </w:r>
                        <w:r>
                          <w:rPr>
                            <w:color w:val="231F20"/>
                            <w:spacing w:val="-5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kg•d</w:t>
                        </w:r>
                        <w:r>
                          <w:rPr>
                            <w:color w:val="231F20"/>
                            <w:spacing w:val="-35"/>
                            <w:w w:val="84"/>
                          </w:rPr>
                          <w:t>），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分次给药，每次使用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～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4 d]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16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住院治疗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8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急诊皮肤科、眼科、肾内科会诊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4228156" cy="14399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6" cy="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401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586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22"/>
              <w:spacing w:before="113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•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-5"/>
              </w:rPr>
              <w:t>暂停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ICI</w:t>
            </w:r>
            <w:r>
              <w:rPr>
                <w:color w:val="231F20"/>
                <w:spacing w:val="-5"/>
              </w:rPr>
              <w:t>治疗直至＜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</w:t>
            </w:r>
            <w:r>
              <w:rPr>
                <w:color w:val="231F20"/>
                <w:spacing w:val="-5"/>
              </w:rPr>
              <w:t>级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5"/>
              </w:rPr>
              <w:t>；</w:t>
            </w:r>
          </w:p>
          <w:p>
            <w:pPr>
              <w:pStyle w:val="TableText"/>
              <w:ind w:right="11"/>
              <w:spacing w:before="9" w:line="212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•   </w:t>
            </w:r>
            <w:r>
              <w:rPr>
                <w:color w:val="231F20"/>
                <w:spacing w:val="-2"/>
              </w:rPr>
              <w:t>泼尼松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甲泼尼龙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1.0 mg/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kg•d</w:t>
            </w:r>
            <w:r>
              <w:rPr>
                <w:color w:val="231F20"/>
                <w:spacing w:val="-29"/>
              </w:rPr>
              <w:t>）；</w:t>
            </w:r>
          </w:p>
          <w:p>
            <w:pPr>
              <w:pStyle w:val="TableText"/>
              <w:ind w:left="299" w:right="119" w:hanging="177"/>
              <w:spacing w:before="16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•   </w:t>
            </w:r>
            <w:r>
              <w:rPr>
                <w:color w:val="231F20"/>
                <w:spacing w:val="2"/>
              </w:rPr>
              <w:t>如果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d</w:t>
            </w:r>
            <w:r>
              <w:rPr>
                <w:color w:val="231F20"/>
                <w:spacing w:val="2"/>
              </w:rPr>
              <w:t>后无改善，考虑增加利妥昔单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抗</w:t>
            </w:r>
          </w:p>
        </w:tc>
      </w:tr>
    </w:tbl>
    <w:p>
      <w:pPr>
        <w:pStyle w:val="BodyText"/>
        <w:ind w:left="4111"/>
        <w:spacing w:before="17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11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相关大疱性皮炎的诊疗流程</w:t>
      </w:r>
    </w:p>
    <w:p>
      <w:pPr>
        <w:pStyle w:val="BodyText"/>
        <w:ind w:left="1057"/>
        <w:spacing w:before="48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为免疫检查点抑制剂。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60"/>
          <w:pgSz w:w="11906" w:h="16158"/>
          <w:pgMar w:top="1233" w:right="1005" w:bottom="400" w:left="407" w:header="772" w:footer="0" w:gutter="0"/>
          <w:cols w:equalWidth="0" w:num="1">
            <w:col w:w="10493" w:space="0"/>
          </w:cols>
        </w:sectPr>
        <w:rPr/>
      </w:pPr>
    </w:p>
    <w:p>
      <w:pPr>
        <w:pStyle w:val="BodyText"/>
        <w:ind w:left="735" w:right="351" w:firstLine="15"/>
        <w:spacing w:before="43" w:line="3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</w:t>
      </w:r>
      <w:r>
        <w:rPr>
          <w:sz w:val="21"/>
          <w:szCs w:val="21"/>
          <w:color w:val="231F20"/>
          <w:spacing w:val="4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个月</w:t>
      </w:r>
      <w:r>
        <w:rPr>
          <w:sz w:val="12"/>
          <w:szCs w:val="12"/>
          <w:color w:val="231F20"/>
          <w:spacing w:val="4"/>
          <w:position w:val="9"/>
        </w:rPr>
        <w:t>[72]</w:t>
      </w:r>
      <w:r>
        <w:rPr>
          <w:sz w:val="12"/>
          <w:szCs w:val="12"/>
          <w:color w:val="231F20"/>
          <w:spacing w:val="-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，因此，使用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过程中需密切关注患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者的皮疹情况。</w:t>
      </w:r>
    </w:p>
    <w:p>
      <w:pPr>
        <w:pStyle w:val="BodyText"/>
        <w:ind w:left="736" w:right="349" w:hanging="2"/>
        <w:spacing w:before="3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3.3.3.6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预防  用药前指导患者进行合理的护肤和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防晒，向医护人员、患者及其家属普及可能出现的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皮肤症状以及应对措施。</w:t>
      </w:r>
    </w:p>
    <w:p>
      <w:pPr>
        <w:pStyle w:val="BodyText"/>
        <w:ind w:left="634" w:right="292" w:firstLine="99"/>
        <w:spacing w:before="9" w:line="306" w:lineRule="auto"/>
        <w:tabs>
          <w:tab w:val="left" w:pos="733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3.3.4  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重症皮肤毒性</w:t>
      </w:r>
      <w:r>
        <w:rPr>
          <w:sz w:val="21"/>
          <w:szCs w:val="21"/>
          <w:color w:val="231F20"/>
        </w:rPr>
        <w:t>Stevens</w:t>
      </w:r>
      <w:r>
        <w:rPr>
          <w:sz w:val="21"/>
          <w:szCs w:val="21"/>
          <w:color w:val="231F20"/>
          <w:spacing w:val="9"/>
        </w:rPr>
        <w:t>-</w:t>
      </w:r>
      <w:r>
        <w:rPr>
          <w:sz w:val="21"/>
          <w:szCs w:val="21"/>
          <w:color w:val="231F20"/>
        </w:rPr>
        <w:t>Johnson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综合征</w:t>
      </w:r>
      <w:r>
        <w:rPr>
          <w:sz w:val="21"/>
          <w:szCs w:val="21"/>
          <w:color w:val="231F20"/>
          <w:spacing w:val="9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中毒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性表皮坏死松解症</w:t>
      </w:r>
      <w:r>
        <w:rPr>
          <w:sz w:val="21"/>
          <w:szCs w:val="21"/>
          <w:color w:val="231F20"/>
          <w:spacing w:val="1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伴嗜酸粒细胞增多和系统症状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的药疹  大多数皮肤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为低级别且易于治疗，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但使用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治疗的患者也可能出现危及生命的重症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药疹，包括剥脱性皮炎、</w:t>
      </w:r>
      <w:r>
        <w:rPr>
          <w:sz w:val="21"/>
          <w:szCs w:val="21"/>
          <w:color w:val="231F20"/>
        </w:rPr>
        <w:t>Stevens</w:t>
      </w:r>
      <w:r>
        <w:rPr>
          <w:sz w:val="21"/>
          <w:szCs w:val="21"/>
          <w:color w:val="231F20"/>
          <w:spacing w:val="23"/>
        </w:rPr>
        <w:t>-</w:t>
      </w:r>
      <w:r>
        <w:rPr>
          <w:sz w:val="21"/>
          <w:szCs w:val="21"/>
          <w:color w:val="231F20"/>
        </w:rPr>
        <w:t>Johnson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综合征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Stevens-Johnson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-2"/>
        </w:rPr>
        <w:t>syndrome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SJS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）、中毒性表皮坏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死松解症（</w:t>
      </w:r>
      <w:r>
        <w:rPr>
          <w:sz w:val="21"/>
          <w:szCs w:val="21"/>
          <w:color w:val="231F20"/>
        </w:rPr>
        <w:t>toxic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epidermal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sz w:val="21"/>
          <w:szCs w:val="21"/>
          <w:color w:val="231F20"/>
        </w:rPr>
        <w:t>necrolysis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</w:t>
      </w:r>
      <w:r>
        <w:rPr>
          <w:sz w:val="21"/>
          <w:szCs w:val="21"/>
          <w:color w:val="231F20"/>
        </w:rPr>
        <w:t>TEN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）和伴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嗜酸粒细胞增多和系统症状的药疹（</w:t>
      </w:r>
      <w:r>
        <w:rPr>
          <w:sz w:val="21"/>
          <w:szCs w:val="21"/>
          <w:color w:val="231F20"/>
        </w:rPr>
        <w:t>drug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</w:rPr>
        <w:t>rash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with  </w:t>
      </w:r>
      <w:r>
        <w:rPr>
          <w:sz w:val="21"/>
          <w:szCs w:val="21"/>
          <w:color w:val="231F20"/>
        </w:rPr>
        <w:tab/>
      </w:r>
      <w:r>
        <w:rPr>
          <w:sz w:val="21"/>
          <w:szCs w:val="21"/>
          <w:color w:val="231F20"/>
          <w:spacing w:val="-2"/>
        </w:rPr>
        <w:t>eosinophilia and syste</w:t>
      </w:r>
      <w:r>
        <w:rPr>
          <w:sz w:val="21"/>
          <w:szCs w:val="21"/>
          <w:color w:val="231F20"/>
          <w:spacing w:val="-3"/>
        </w:rPr>
        <w:t>mic symptom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DRESS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）。</w:t>
      </w:r>
    </w:p>
    <w:p>
      <w:pPr>
        <w:pStyle w:val="BodyText"/>
        <w:ind w:left="736" w:right="350" w:hanging="2"/>
        <w:spacing w:before="7" w:line="26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3.3.4.1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临床表现为皮</w:t>
      </w:r>
      <w:r>
        <w:rPr>
          <w:rFonts w:ascii="SimSun" w:hAnsi="SimSun" w:eastAsia="SimSun" w:cs="SimSun"/>
          <w:sz w:val="21"/>
          <w:szCs w:val="21"/>
          <w:color w:val="231F20"/>
        </w:rPr>
        <w:t>肤和黏膜的结构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或功能严重损害，可以合并系统内脏器官的累及。</w:t>
      </w:r>
    </w:p>
    <w:p>
      <w:pPr>
        <w:pStyle w:val="BodyText"/>
        <w:ind w:left="733" w:right="292" w:firstLine="1"/>
        <w:spacing w:before="105" w:line="29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3.3.4.2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  ①全身皮肤检查，包括</w:t>
      </w:r>
      <w:r>
        <w:rPr>
          <w:rFonts w:ascii="SimSun" w:hAnsi="SimSun" w:eastAsia="SimSun" w:cs="SimSun"/>
          <w:sz w:val="21"/>
          <w:szCs w:val="21"/>
          <w:color w:val="231F20"/>
        </w:rPr>
        <w:t>所有黏膜以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及完整的系统检查。②排除其他病因，如感染、其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他药物的作用或与其他全身性疾病有关的皮肤状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况。③实验室检查，包括</w:t>
      </w:r>
      <w:r>
        <w:rPr>
          <w:sz w:val="21"/>
          <w:szCs w:val="21"/>
          <w:color w:val="231F20"/>
          <w:spacing w:val="-1"/>
        </w:rPr>
        <w:t>CBC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鉴别试验、肝脏和肾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脏功能测试、尿检以及血液检查；如果患者发热（尤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其体温高于</w:t>
      </w:r>
      <w:r>
        <w:rPr>
          <w:sz w:val="21"/>
          <w:szCs w:val="21"/>
          <w:color w:val="231F20"/>
          <w:spacing w:val="3"/>
        </w:rPr>
        <w:t>38.5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℃),</w:t>
      </w:r>
      <w:r>
        <w:rPr>
          <w:rFonts w:ascii="SimSun" w:hAnsi="SimSun" w:eastAsia="SimSun" w:cs="SimSun"/>
          <w:sz w:val="21"/>
          <w:szCs w:val="21"/>
          <w:color w:val="231F20"/>
          <w:spacing w:val="7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应考虑血培养。④皮肤活检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可评估表皮全层坏死，鉴别</w:t>
      </w:r>
      <w:r>
        <w:rPr>
          <w:sz w:val="21"/>
          <w:szCs w:val="21"/>
          <w:color w:val="231F20"/>
        </w:rPr>
        <w:t>SJS</w:t>
      </w:r>
      <w:r>
        <w:rPr>
          <w:sz w:val="21"/>
          <w:szCs w:val="21"/>
          <w:color w:val="231F20"/>
          <w:spacing w:val="2"/>
        </w:rPr>
        <w:t>/</w:t>
      </w:r>
      <w:r>
        <w:rPr>
          <w:sz w:val="21"/>
          <w:szCs w:val="21"/>
          <w:color w:val="231F20"/>
        </w:rPr>
        <w:t>TEN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，以及其他可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能的病因，如副肿瘤性天疱疮或其他自身免疫性大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疱性皮肤病或由于其他药物反应导致的表皮坏死，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如急性泛发性发疹性脓疱病。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"/>
        <w:spacing w:before="42" w:line="30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3.3.4.3  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鉴别诊断  包括生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命体征和全面皮肤检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查，特别是评估所有皮肤表面和黏膜（眼睛、鼻、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口咽、生殖器和肛周区域）。评估淋巴结病、面部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或远端肿胀（可能是药物诱导的过敏综合征</w:t>
      </w:r>
      <w:r>
        <w:rPr>
          <w:sz w:val="21"/>
          <w:szCs w:val="21"/>
          <w:color w:val="231F20"/>
          <w:spacing w:val="7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药物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反应与</w:t>
      </w:r>
      <w:r>
        <w:rPr>
          <w:sz w:val="21"/>
          <w:szCs w:val="21"/>
          <w:color w:val="231F20"/>
          <w:spacing w:val="-2"/>
        </w:rPr>
        <w:t>DRESS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的征兆）。除“暗色红斑片”外，还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应检查触诊时会感到疼痛的脓疱、水疱或糜烂。评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估</w:t>
      </w:r>
      <w:r>
        <w:rPr>
          <w:sz w:val="21"/>
          <w:szCs w:val="21"/>
          <w:color w:val="231F20"/>
        </w:rPr>
        <w:t>Nikolsky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阳性指征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：将戴手套的手指切向置于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红斑皮肤上，并平行于皮肤表面施加摩擦，如果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表皮分离或脱落，显示表皮与真皮附着不良，为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Nikolsky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阳性。这种情况一般出现在一些自身免疫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性疾病（如天疱疮）和</w:t>
      </w:r>
      <w:r>
        <w:rPr>
          <w:sz w:val="21"/>
          <w:szCs w:val="21"/>
          <w:color w:val="231F20"/>
          <w:spacing w:val="-1"/>
        </w:rPr>
        <w:t>SJS/TEN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患者中。</w:t>
      </w:r>
    </w:p>
    <w:p>
      <w:pPr>
        <w:pStyle w:val="BodyText"/>
        <w:ind w:left="11"/>
        <w:spacing w:before="99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3.3.4.4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9" w:right="73" w:firstLine="1"/>
        <w:spacing w:before="99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3.3.4.5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研究报道，</w:t>
      </w:r>
      <w:r>
        <w:rPr>
          <w:sz w:val="21"/>
          <w:szCs w:val="21"/>
          <w:color w:val="231F20"/>
        </w:rPr>
        <w:t>SJS</w:t>
      </w:r>
      <w:r>
        <w:rPr>
          <w:sz w:val="21"/>
          <w:szCs w:val="21"/>
          <w:color w:val="231F20"/>
          <w:spacing w:val="3"/>
        </w:rPr>
        <w:t>/</w:t>
      </w:r>
      <w:r>
        <w:rPr>
          <w:sz w:val="21"/>
          <w:szCs w:val="21"/>
          <w:color w:val="231F20"/>
        </w:rPr>
        <w:t>TEN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的潜伏期可长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达</w:t>
      </w:r>
      <w:r>
        <w:rPr>
          <w:sz w:val="21"/>
          <w:szCs w:val="21"/>
          <w:color w:val="231F20"/>
          <w:spacing w:val="1"/>
        </w:rPr>
        <w:t>140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  <w:spacing w:val="1"/>
        </w:rPr>
        <w:t>d</w:t>
      </w:r>
      <w:r>
        <w:rPr>
          <w:sz w:val="12"/>
          <w:szCs w:val="12"/>
          <w:color w:val="231F20"/>
          <w:spacing w:val="1"/>
          <w:position w:val="9"/>
        </w:rPr>
        <w:t>[73]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。因此，在使用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的过程中建议患者至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皮肤科定期随访，如发生</w:t>
      </w:r>
      <w:r>
        <w:rPr>
          <w:sz w:val="21"/>
          <w:szCs w:val="21"/>
          <w:color w:val="231F20"/>
        </w:rPr>
        <w:t>SJS</w:t>
      </w:r>
      <w:r>
        <w:rPr>
          <w:sz w:val="21"/>
          <w:szCs w:val="21"/>
          <w:color w:val="231F20"/>
          <w:spacing w:val="2"/>
        </w:rPr>
        <w:t>/</w:t>
      </w:r>
      <w:r>
        <w:rPr>
          <w:sz w:val="21"/>
          <w:szCs w:val="21"/>
          <w:color w:val="231F20"/>
        </w:rPr>
        <w:t>TEN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需尽早停药并及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时治疗。</w:t>
      </w:r>
    </w:p>
    <w:p>
      <w:pPr>
        <w:pStyle w:val="BodyText"/>
        <w:ind w:left="13" w:right="72" w:hanging="2"/>
        <w:spacing w:before="98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3.3.4.6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预防  用药前指导患者进行合理的护肤和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防晒，尽量减少使用容易导致严重皮肤反应的合并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药物，向医护人员、患者及其家属普及可能出现的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皮肤症状以及应对措施。</w:t>
      </w:r>
    </w:p>
    <w:p>
      <w:pPr>
        <w:pStyle w:val="BodyText"/>
        <w:ind w:left="8" w:right="14" w:firstLine="2"/>
        <w:spacing w:before="102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3.4    </w:t>
      </w:r>
      <w:r>
        <w:rPr>
          <w:rFonts w:ascii="SimSun" w:hAnsi="SimSun" w:eastAsia="SimSun" w:cs="SimSun"/>
          <w:sz w:val="21"/>
          <w:szCs w:val="21"/>
          <w:color w:val="231F20"/>
        </w:rPr>
        <w:t>呼吸系统毒性  在消化道肿瘤的多项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研究中，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常见呼吸系统不良反应有</w:t>
      </w:r>
      <w:r>
        <w:rPr>
          <w:sz w:val="21"/>
          <w:szCs w:val="21"/>
          <w:color w:val="231F20"/>
          <w:spacing w:val="-5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相关性肺炎（</w:t>
      </w:r>
      <w:r>
        <w:rPr>
          <w:sz w:val="21"/>
          <w:szCs w:val="21"/>
          <w:color w:val="231F20"/>
          <w:spacing w:val="-5"/>
        </w:rPr>
        <w:t>ch</w:t>
      </w:r>
      <w:r>
        <w:rPr>
          <w:sz w:val="21"/>
          <w:szCs w:val="21"/>
          <w:color w:val="231F20"/>
          <w:spacing w:val="-6"/>
        </w:rPr>
        <w:t>eckpoint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3"/>
        </w:rPr>
        <w:t>inhibitor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3"/>
        </w:rPr>
        <w:t>pneumonitis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）、免疫相关性肺结节病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等，总发生率为</w:t>
      </w:r>
      <w:r>
        <w:rPr>
          <w:sz w:val="21"/>
          <w:szCs w:val="21"/>
          <w:color w:val="231F20"/>
          <w:spacing w:val="-4"/>
        </w:rPr>
        <w:t>3%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4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，其中</w:t>
      </w:r>
      <w:r>
        <w:rPr>
          <w:sz w:val="21"/>
          <w:szCs w:val="21"/>
          <w:color w:val="231F20"/>
          <w:spacing w:val="-4"/>
        </w:rPr>
        <w:t>3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-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级</w:t>
      </w:r>
      <w:r>
        <w:rPr>
          <w:sz w:val="21"/>
          <w:szCs w:val="21"/>
          <w:color w:val="231F20"/>
          <w:spacing w:val="-4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发生率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</w:t>
      </w:r>
      <w:r>
        <w:rPr>
          <w:sz w:val="21"/>
          <w:szCs w:val="21"/>
          <w:color w:val="231F20"/>
          <w:spacing w:val="-5"/>
        </w:rPr>
        <w:t>1%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5"/>
        </w:rPr>
        <w:t>2%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</w:t>
      </w:r>
    </w:p>
    <w:p>
      <w:pPr>
        <w:pStyle w:val="BodyText"/>
        <w:ind w:left="11"/>
        <w:spacing w:before="8" w:line="1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3.4.1    </w:t>
      </w:r>
      <w:r>
        <w:rPr>
          <w:sz w:val="21"/>
          <w:szCs w:val="21"/>
          <w:color w:val="231F20"/>
        </w:rPr>
        <w:t>CIP</w:t>
      </w:r>
      <w:r>
        <w:rPr>
          <w:sz w:val="21"/>
          <w:szCs w:val="21"/>
          <w:color w:val="231F20"/>
          <w:spacing w:val="21"/>
        </w:rPr>
        <w:t xml:space="preserve">   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是由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引起的临床、影像和病理</w:t>
      </w:r>
    </w:p>
    <w:p>
      <w:pPr>
        <w:spacing w:line="185" w:lineRule="auto"/>
        <w:sectPr>
          <w:type w:val="continuous"/>
          <w:pgSz w:w="11906" w:h="16158"/>
          <w:pgMar w:top="1233" w:right="1005" w:bottom="400" w:left="407" w:header="772" w:footer="0" w:gutter="0"/>
          <w:cols w:equalWidth="0" w:num="2">
            <w:col w:w="5697" w:space="100"/>
            <w:col w:w="469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83" w:lineRule="exact"/>
        <w:rPr/>
      </w:pPr>
      <w:r/>
    </w:p>
    <w:tbl>
      <w:tblPr>
        <w:tblStyle w:val="TableNormal"/>
        <w:tblW w:w="2257" w:type="dxa"/>
        <w:tblInd w:w="4388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257"/>
      </w:tblGrid>
      <w:tr>
        <w:trPr>
          <w:trHeight w:val="395" w:hRule="atLeast"/>
        </w:trPr>
        <w:tc>
          <w:tcPr>
            <w:tcW w:w="2257" w:type="dxa"/>
            <w:vAlign w:val="top"/>
          </w:tcPr>
          <w:p>
            <w:pPr>
              <w:ind w:left="564"/>
              <w:spacing w:before="144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SJS/TEN/DRESS</w:t>
            </w:r>
          </w:p>
        </w:tc>
      </w:tr>
    </w:tbl>
    <w:p>
      <w:pPr>
        <w:ind w:firstLine="2187"/>
        <w:spacing w:line="456" w:lineRule="exact"/>
        <w:rPr/>
      </w:pPr>
      <w:r>
        <w:pict>
          <v:shape id="_x0000_s244" style="position:absolute;margin-left:32.506pt;margin-top:21.739pt;mso-position-vertical-relative:text;mso-position-horizontal-relative:text;width:157.95pt;height:82.35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299" w:right="113" w:hanging="177"/>
                          <w:spacing w:before="8" w:line="23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•   </w:t>
                        </w:r>
                        <w:r>
                          <w:rPr>
                            <w:color w:val="231F20"/>
                            <w:spacing w:val="3"/>
                          </w:rPr>
                          <w:t>多形红斑或红斑丘疹累及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10%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</w:rPr>
                          <w:t>～</w:t>
                        </w:r>
                        <w:r>
                          <w:rPr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30%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</w:rPr>
                          <w:t>体表面积，合并系统症状、淋巴结肿</w:t>
                        </w:r>
                        <w:r>
                          <w:rPr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大或面部肿胀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46" style="position:absolute;margin-left:361.277pt;margin-top:21.739pt;mso-position-vertical-relative:text;mso-position-horizontal-relative:text;width:157.95pt;height:82.3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4</w:t>
                        </w:r>
                        <w:r>
                          <w:rPr>
                            <w:color w:val="231F20"/>
                            <w:spacing w:val="-1"/>
                          </w:rPr>
                          <w:t>级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299" w:right="55" w:hanging="177"/>
                          <w:spacing w:before="10" w:line="231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•   </w:t>
                        </w:r>
                        <w:r>
                          <w:rPr>
                            <w:color w:val="231F20"/>
                            <w:spacing w:val="4"/>
                          </w:rPr>
                          <w:t>皮肤红斑以及水疱或剥脱≥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10%</w:t>
                        </w:r>
                        <w:r>
                          <w:rPr>
                            <w:color w:val="231F20"/>
                            <w:spacing w:val="4"/>
                          </w:rPr>
                          <w:t>体表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面积，合并相关症状（如红斑、紫癜、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黏膜糜烂、真表皮分离</w:t>
                        </w:r>
                        <w:r>
                          <w:rPr>
                            <w:color w:val="231F20"/>
                            <w:spacing w:val="1"/>
                          </w:rPr>
                          <w:t>），</w:t>
                        </w:r>
                        <w:r>
                          <w:rPr>
                            <w:color w:val="231F20"/>
                            <w:spacing w:val="-3"/>
                          </w:rPr>
                          <w:t>同时有或无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7"/>
                          </w:rPr>
                          <w:t>系统累及症状以及相应的血液学指标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改变（如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DRESS</w:t>
                        </w:r>
                        <w:r>
                          <w:rPr>
                            <w:color w:val="231F20"/>
                            <w:spacing w:val="8"/>
                          </w:rPr>
                          <w:t>患者肝脏累及出现血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清肝酶升高）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9"/>
        </w:rPr>
        <w:drawing>
          <wp:inline distT="0" distB="0" distL="0" distR="0">
            <wp:extent cx="4228154" cy="28958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4" cy="28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3962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1585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19"/>
              <w:spacing w:before="111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：</w:t>
            </w:r>
          </w:p>
          <w:p>
            <w:pPr>
              <w:pStyle w:val="TableText"/>
              <w:ind w:left="298" w:right="56" w:hanging="176"/>
              <w:spacing w:before="8" w:line="23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•   </w:t>
            </w:r>
            <w:r>
              <w:rPr>
                <w:color w:val="231F20"/>
                <w:spacing w:val="3"/>
              </w:rPr>
              <w:t>表皮剥脱＜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10%</w:t>
            </w:r>
            <w:r>
              <w:rPr>
                <w:color w:val="231F20"/>
                <w:spacing w:val="3"/>
              </w:rPr>
              <w:t>体表面积同时合并黏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膜累及症状（如红斑、紫癜、黏膜糜烂、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真表皮分离）</w:t>
            </w:r>
          </w:p>
        </w:tc>
      </w:tr>
    </w:tbl>
    <w:p>
      <w:pPr>
        <w:ind w:firstLine="2187"/>
        <w:spacing w:line="226" w:lineRule="exact"/>
        <w:rPr/>
      </w:pPr>
      <w:r>
        <w:pict>
          <v:shape id="_x0000_s248" style="position:absolute;margin-left:32.506pt;margin-top:10.339pt;mso-position-vertical-relative:text;mso-position-horizontal-relative:text;width:157.95pt;height:112.3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21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300" w:right="113" w:hanging="178"/>
                          <w:spacing w:before="114" w:line="227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•   </w:t>
                        </w:r>
                        <w:r>
                          <w:rPr>
                            <w:color w:val="231F20"/>
                            <w:spacing w:val="3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ICI</w:t>
                        </w:r>
                        <w:r>
                          <w:rPr>
                            <w:color w:val="231F20"/>
                            <w:spacing w:val="3"/>
                          </w:rPr>
                          <w:t>治疗并每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3</w:t>
                        </w:r>
                        <w:r>
                          <w:rPr>
                            <w:color w:val="231F20"/>
                            <w:spacing w:val="3"/>
                          </w:rPr>
                          <w:t>天观察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3"/>
                          </w:rPr>
                          <w:t>1</w:t>
                        </w:r>
                        <w:r>
                          <w:rPr>
                            <w:color w:val="231F20"/>
                            <w:spacing w:val="3"/>
                          </w:rPr>
                          <w:t>次患者的病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情（关注累及体表面积和黏膜累及情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况</w:t>
                        </w:r>
                        <w:r>
                          <w:rPr>
                            <w:color w:val="231F20"/>
                            <w:spacing w:val="-10"/>
                          </w:rPr>
                          <w:t>）；</w:t>
                        </w:r>
                      </w:p>
                      <w:p>
                        <w:pPr>
                          <w:pStyle w:val="TableText"/>
                          <w:ind w:left="314" w:right="132" w:hanging="192"/>
                          <w:spacing w:before="9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•   </w:t>
                        </w:r>
                        <w:r>
                          <w:rPr>
                            <w:color w:val="231F20"/>
                            <w:spacing w:val="5"/>
                          </w:rPr>
                          <w:t>外用润肤剂、口服抗组胺药物、外用 </w:t>
                        </w:r>
                        <w:r>
                          <w:rPr>
                            <w:color w:val="231F20"/>
                            <w:spacing w:val="-2"/>
                          </w:rPr>
                          <w:t>中效至强效糖皮质激素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23" w:right="113" w:hanging="101"/>
                          <w:spacing w:before="10" w:line="227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•   </w:t>
                        </w:r>
                        <w:r>
                          <w:rPr>
                            <w:color w:val="231F20"/>
                            <w:spacing w:val="5"/>
                          </w:rPr>
                          <w:t>考虑系统应用泼尼松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0.5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～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5"/>
                          </w:rPr>
                          <w:t>1.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0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mg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kg </w:t>
                        </w:r>
                        <w:r>
                          <w:rPr>
                            <w:color w:val="231F20"/>
                            <w:spacing w:val="2"/>
                          </w:rPr>
                          <w:t>（或等效</w:t>
                        </w:r>
                        <w:r>
                          <w:rPr>
                            <w:color w:val="231F20"/>
                            <w:spacing w:val="1"/>
                          </w:rPr>
                          <w:t>），</w:t>
                        </w:r>
                        <w:r>
                          <w:rPr>
                            <w:color w:val="231F20"/>
                            <w:spacing w:val="2"/>
                          </w:rPr>
                          <w:t>控制病情后逐步减量，疗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程＞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</w:rPr>
                          <w:t>4</w:t>
                        </w:r>
                        <w:r>
                          <w:rPr>
                            <w:color w:val="231F20"/>
                            <w:spacing w:val="11"/>
                          </w:rPr>
                          <w:t>周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50" style="position:absolute;margin-left:361.277pt;margin-top:10.339pt;mso-position-vertical-relative:text;mso-position-horizontal-relative:text;width:157.95pt;height:112.35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21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3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永久停用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ICI</w:t>
                        </w:r>
                        <w:r>
                          <w:rPr>
                            <w:color w:val="231F20"/>
                            <w:spacing w:val="-1"/>
                          </w:rPr>
                          <w:t>治疗</w:t>
                        </w:r>
                        <w:r>
                          <w:rPr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301" w:right="125" w:hanging="179"/>
                          <w:spacing w:before="9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•   </w:t>
                        </w:r>
                        <w:r>
                          <w:rPr>
                            <w:color w:val="231F20"/>
                          </w:rPr>
                          <w:t>收入烧伤科病房或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ICU</w:t>
                        </w:r>
                        <w:r>
                          <w:rPr>
                            <w:color w:val="231F20"/>
                          </w:rPr>
                          <w:t>，并加强创</w:t>
                        </w:r>
                        <w:r>
                          <w:rPr>
                            <w:color w:val="231F20"/>
                            <w:spacing w:val="-1"/>
                          </w:rPr>
                          <w:t>面护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理、支持治疗</w:t>
                        </w:r>
                        <w:r>
                          <w:rPr>
                            <w:color w:val="231F20"/>
                            <w:spacing w:val="-3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9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黏膜护理及瘢痕预防</w:t>
                        </w:r>
                        <w:r>
                          <w:rPr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98" w:right="68" w:hanging="176"/>
                          <w:spacing w:before="9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7"/>
                          </w:rPr>
                          <w:t>•   </w:t>
                        </w:r>
                        <w:r>
                          <w:rPr>
                            <w:color w:val="231F20"/>
                            <w:spacing w:val="-7"/>
                          </w:rPr>
                          <w:t>静脉用甲泼尼龙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7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～</w:t>
                        </w:r>
                        <w:r>
                          <w:rPr>
                            <w:color w:val="231F20"/>
                            <w:spacing w:val="-3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7"/>
                          </w:rPr>
                          <w:t>2 mg/kg</w:t>
                        </w:r>
                        <w:r>
                          <w:rPr>
                            <w:color w:val="231F20"/>
                            <w:spacing w:val="-7"/>
                          </w:rPr>
                          <w:t>（或等效</w:t>
                        </w:r>
                        <w:r>
                          <w:rPr>
                            <w:color w:val="231F20"/>
                            <w:spacing w:val="-23"/>
                          </w:rPr>
                          <w:t>），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控制病情后逐步减量</w:t>
                        </w:r>
                        <w:r>
                          <w:rPr>
                            <w:color w:val="231F20"/>
                            <w:spacing w:val="-3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99" w:right="112" w:hanging="177"/>
                          <w:spacing w:before="9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•   </w:t>
                        </w:r>
                        <w:r>
                          <w:rPr>
                            <w:color w:val="231F20"/>
                            <w:spacing w:val="-2"/>
                          </w:rPr>
                          <w:t>对于重症患者或激素反应不佳的患者考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虑给予静脉注射丙种球蛋白或环孢素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4228154" cy="14399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154" cy="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108" w:type="dxa"/>
        <w:tblInd w:w="3962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3108"/>
      </w:tblGrid>
      <w:tr>
        <w:trPr>
          <w:trHeight w:val="2186" w:hRule="atLeast"/>
        </w:trPr>
        <w:tc>
          <w:tcPr>
            <w:tcW w:w="3108" w:type="dxa"/>
            <w:vAlign w:val="top"/>
          </w:tcPr>
          <w:p>
            <w:pPr>
              <w:pStyle w:val="TableText"/>
              <w:ind w:left="122"/>
              <w:spacing w:before="113" w:line="21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•   </w:t>
            </w:r>
            <w:r>
              <w:rPr>
                <w:color w:val="231F20"/>
                <w:spacing w:val="-1"/>
              </w:rPr>
              <w:t>继续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ICI</w:t>
            </w:r>
            <w:r>
              <w:rPr>
                <w:color w:val="231F20"/>
                <w:spacing w:val="-1"/>
              </w:rPr>
              <w:t>治疗并请皮肤科会诊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；</w:t>
            </w:r>
          </w:p>
          <w:p>
            <w:pPr>
              <w:pStyle w:val="TableText"/>
              <w:ind w:left="314" w:right="132" w:hanging="192"/>
              <w:spacing w:before="10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•   </w:t>
            </w:r>
            <w:r>
              <w:rPr>
                <w:color w:val="231F20"/>
                <w:spacing w:val="5"/>
              </w:rPr>
              <w:t>外用润肤剂、口服抗组胺药物、外用 </w:t>
            </w:r>
            <w:r>
              <w:rPr>
                <w:color w:val="231F20"/>
                <w:spacing w:val="-2"/>
              </w:rPr>
              <w:t>中效至强效糖皮质激素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；</w:t>
            </w:r>
          </w:p>
          <w:p>
            <w:pPr>
              <w:pStyle w:val="TableText"/>
              <w:ind w:left="299" w:right="120" w:hanging="177"/>
              <w:spacing w:before="10" w:line="22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•   </w:t>
            </w:r>
            <w:r>
              <w:rPr>
                <w:color w:val="231F20"/>
                <w:spacing w:val="-2"/>
              </w:rPr>
              <w:t>静脉用甲泼尼龙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0.5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1.0 mg/kg</w:t>
            </w:r>
            <w:r>
              <w:rPr>
                <w:color w:val="231F20"/>
                <w:spacing w:val="-2"/>
              </w:rPr>
              <w:t>（或等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效</w:t>
            </w:r>
            <w:r>
              <w:rPr>
                <w:color w:val="231F20"/>
                <w:spacing w:val="-16"/>
              </w:rPr>
              <w:t>），</w:t>
            </w:r>
            <w:r>
              <w:rPr>
                <w:color w:val="231F20"/>
                <w:spacing w:val="-1"/>
              </w:rPr>
              <w:t>控制病情后更换为口服并逐步减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量，疗程＞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</w:t>
            </w:r>
            <w:r>
              <w:rPr>
                <w:color w:val="231F20"/>
                <w:spacing w:val="-2"/>
              </w:rPr>
              <w:t>周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；</w:t>
            </w:r>
          </w:p>
          <w:p>
            <w:pPr>
              <w:pStyle w:val="TableText"/>
              <w:ind w:left="298" w:right="126" w:hanging="176"/>
              <w:spacing w:before="9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•   </w:t>
            </w:r>
            <w:r>
              <w:rPr>
                <w:color w:val="231F20"/>
                <w:spacing w:val="5"/>
              </w:rPr>
              <w:t>收入烧伤或者层流病房，注意支持治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疗（如水电解质平衡、感染</w:t>
            </w:r>
            <w:r>
              <w:rPr>
                <w:color w:val="231F20"/>
                <w:spacing w:val="-1"/>
              </w:rPr>
              <w:t>）；</w:t>
            </w:r>
          </w:p>
          <w:p>
            <w:pPr>
              <w:pStyle w:val="TableText"/>
              <w:ind w:left="298" w:right="112" w:hanging="176"/>
              <w:spacing w:before="9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•   </w:t>
            </w:r>
            <w:r>
              <w:rPr>
                <w:color w:val="231F20"/>
                <w:spacing w:val="6"/>
              </w:rPr>
              <w:t>如有黏膜累及需要及时采取措施预防 </w:t>
            </w:r>
            <w:r>
              <w:rPr>
                <w:color w:val="231F20"/>
                <w:spacing w:val="-2"/>
              </w:rPr>
              <w:t>瘢痕形成</w:t>
            </w:r>
          </w:p>
        </w:tc>
      </w:tr>
    </w:tbl>
    <w:p>
      <w:pPr>
        <w:pStyle w:val="BodyText"/>
        <w:ind w:left="3290"/>
        <w:spacing w:before="17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12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相关重症皮肤毒性</w:t>
      </w:r>
      <w:r>
        <w:rPr>
          <w:b/>
          <w:bCs/>
          <w:color w:val="231F20"/>
          <w:spacing w:val="-1"/>
        </w:rPr>
        <w:t>SJS/TEN/DRESS</w:t>
      </w:r>
      <w:r>
        <w:rPr>
          <w:rFonts w:ascii="Microsoft YaHei" w:hAnsi="Microsoft YaHei" w:eastAsia="Microsoft YaHei" w:cs="Microsoft YaHei"/>
          <w:color w:val="231F20"/>
          <w:spacing w:val="-1"/>
        </w:rPr>
        <w:t>的诊疗流程</w:t>
      </w:r>
    </w:p>
    <w:p>
      <w:pPr>
        <w:pStyle w:val="BodyText"/>
        <w:ind w:left="687" w:right="75" w:firstLine="314"/>
        <w:spacing w:before="48" w:line="23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SJS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</w:t>
      </w:r>
      <w:r>
        <w:rPr>
          <w:sz w:val="16"/>
          <w:szCs w:val="16"/>
          <w:color w:val="231F20"/>
          <w:spacing w:val="-2"/>
        </w:rPr>
        <w:t>Stevens-Johnson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综合征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TEN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为中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毒性表皮坏死松解症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DRESS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为伴嗜酸粒细胞增多和系统症状的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药疹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</w:t>
      </w:r>
      <w:r>
        <w:rPr>
          <w:sz w:val="16"/>
          <w:szCs w:val="16"/>
          <w:color w:val="231F20"/>
          <w:spacing w:val="-5"/>
        </w:rPr>
        <w:t>ICU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为重症监护病房。</w:t>
      </w: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63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80" w:right="262" w:hanging="3"/>
        <w:spacing w:before="4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表现多样的肺损伤，是免疫治疗相关死亡的独立危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险因素，少数患者短期内可出现疾病迅速恶化甚至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危及生命，也是消化道肿瘤较为常见的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，需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引起临床医生的关注与重视。</w:t>
      </w:r>
    </w:p>
    <w:p>
      <w:pPr>
        <w:pStyle w:val="BodyText"/>
        <w:ind w:left="676" w:right="262" w:firstLine="417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KEYNOTE-164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</w:t>
      </w:r>
      <w:r>
        <w:rPr>
          <w:sz w:val="21"/>
          <w:szCs w:val="21"/>
          <w:color w:val="231F20"/>
          <w:spacing w:val="-1"/>
        </w:rPr>
        <w:t>KEYNOTE-1</w:t>
      </w:r>
      <w:r>
        <w:rPr>
          <w:sz w:val="21"/>
          <w:szCs w:val="21"/>
          <w:color w:val="231F20"/>
          <w:spacing w:val="-2"/>
        </w:rPr>
        <w:t>77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研究显示，任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意级别肺炎发生率分别为</w:t>
      </w:r>
      <w:r>
        <w:rPr>
          <w:sz w:val="21"/>
          <w:szCs w:val="21"/>
          <w:color w:val="231F20"/>
          <w:spacing w:val="-2"/>
        </w:rPr>
        <w:t>5.0%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</w:t>
      </w:r>
      <w:r>
        <w:rPr>
          <w:sz w:val="21"/>
          <w:szCs w:val="21"/>
          <w:color w:val="231F20"/>
          <w:spacing w:val="-2"/>
        </w:rPr>
        <w:t>4.0%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，发生率均为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位居第</w:t>
      </w:r>
      <w:r>
        <w:rPr>
          <w:sz w:val="21"/>
          <w:szCs w:val="21"/>
          <w:color w:val="231F20"/>
          <w:spacing w:val="-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</w:t>
      </w:r>
      <w:r>
        <w:rPr>
          <w:sz w:val="21"/>
          <w:szCs w:val="21"/>
          <w:color w:val="231F20"/>
          <w:spacing w:val="-4"/>
        </w:rPr>
        <w:t>irAEs</w:t>
      </w:r>
      <w:r>
        <w:rPr>
          <w:sz w:val="12"/>
          <w:szCs w:val="12"/>
          <w:color w:val="231F20"/>
          <w:spacing w:val="-4"/>
          <w:position w:val="9"/>
        </w:rPr>
        <w:t>[18,20]</w:t>
      </w:r>
      <w:r>
        <w:rPr>
          <w:sz w:val="12"/>
          <w:szCs w:val="12"/>
          <w:color w:val="231F20"/>
          <w:spacing w:val="24"/>
          <w:w w:val="10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；</w:t>
      </w:r>
      <w:r>
        <w:rPr>
          <w:sz w:val="21"/>
          <w:szCs w:val="21"/>
          <w:color w:val="231F20"/>
          <w:spacing w:val="-4"/>
        </w:rPr>
        <w:t>ESCORT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研究显示，最常见的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中，肺炎发生率为</w:t>
      </w:r>
      <w:r>
        <w:rPr>
          <w:sz w:val="21"/>
          <w:szCs w:val="21"/>
          <w:color w:val="231F20"/>
          <w:spacing w:val="-1"/>
        </w:rPr>
        <w:t>7.0%</w:t>
      </w:r>
      <w:r>
        <w:rPr>
          <w:sz w:val="12"/>
          <w:szCs w:val="12"/>
          <w:color w:val="231F20"/>
          <w:spacing w:val="-1"/>
          <w:position w:val="9"/>
        </w:rPr>
        <w:t>[3]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。而在食管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癌同步放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化疗联合免疫治疗的小样本</w:t>
      </w:r>
      <w:r>
        <w:rPr>
          <w:sz w:val="21"/>
          <w:szCs w:val="21"/>
          <w:color w:val="231F20"/>
          <w:spacing w:val="-3"/>
        </w:rPr>
        <w:t>PALACE-01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研究中，围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手术期肺炎发生率高达</w:t>
      </w:r>
      <w:r>
        <w:rPr>
          <w:sz w:val="21"/>
          <w:szCs w:val="21"/>
          <w:color w:val="231F20"/>
          <w:spacing w:val="-2"/>
        </w:rPr>
        <w:t>20%</w:t>
      </w:r>
      <w:r>
        <w:rPr>
          <w:sz w:val="12"/>
          <w:szCs w:val="12"/>
          <w:color w:val="231F20"/>
          <w:spacing w:val="-2"/>
          <w:position w:val="9"/>
        </w:rPr>
        <w:t>[29]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674" w:right="187" w:firstLine="433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多篇文献报道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的中位发病时间为用药后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5"/>
        </w:rPr>
        <w:t>2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个月，发病时间从第</w:t>
      </w:r>
      <w:r>
        <w:rPr>
          <w:sz w:val="21"/>
          <w:szCs w:val="21"/>
          <w:color w:val="231F20"/>
          <w:spacing w:val="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次使用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后数小时至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6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个月不等</w:t>
      </w:r>
      <w:r>
        <w:rPr>
          <w:sz w:val="12"/>
          <w:szCs w:val="12"/>
          <w:color w:val="231F20"/>
          <w:spacing w:val="6"/>
          <w:position w:val="9"/>
        </w:rPr>
        <w:t>[74-76]</w:t>
      </w:r>
      <w:r>
        <w:rPr>
          <w:sz w:val="12"/>
          <w:szCs w:val="12"/>
          <w:color w:val="231F20"/>
          <w:spacing w:val="-1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，也可发生于停止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治疗后。老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年患者可能会延后</w:t>
      </w:r>
      <w:r>
        <w:rPr>
          <w:sz w:val="21"/>
          <w:szCs w:val="21"/>
          <w:color w:val="231F20"/>
          <w:spacing w:val="-3"/>
        </w:rPr>
        <w:t>2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个月，而且恢复期也延长。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有研究显示严重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一般发生于免疫治疗开始后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100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200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</w:rPr>
        <w:t>d</w:t>
      </w:r>
      <w:r>
        <w:rPr>
          <w:rFonts w:ascii="SimSun" w:hAnsi="SimSun" w:eastAsia="SimSun" w:cs="SimSun"/>
          <w:sz w:val="21"/>
          <w:szCs w:val="21"/>
          <w:color w:val="231F20"/>
        </w:rPr>
        <w:t>内</w:t>
      </w:r>
      <w:r>
        <w:rPr>
          <w:sz w:val="12"/>
          <w:szCs w:val="12"/>
          <w:color w:val="231F20"/>
          <w:position w:val="9"/>
        </w:rPr>
        <w:t>[77] </w:t>
      </w:r>
      <w:r>
        <w:rPr>
          <w:rFonts w:ascii="SimSun" w:hAnsi="SimSun" w:eastAsia="SimSun" w:cs="SimSun"/>
          <w:sz w:val="21"/>
          <w:szCs w:val="21"/>
          <w:color w:val="231F20"/>
        </w:rPr>
        <w:t>，临床医生应在使用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治疗前 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个月内提高警惕。但鉴于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可发生于治疗过程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的任何时间，因此全程做好严密的随访和监测至关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重要。有胸部放疗史、吸烟、肺间质病变者更易发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生</w:t>
      </w:r>
      <w:r>
        <w:rPr>
          <w:sz w:val="21"/>
          <w:szCs w:val="21"/>
          <w:color w:val="231F20"/>
          <w:spacing w:val="-1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7" w:right="262" w:firstLine="1"/>
        <w:spacing w:before="3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3.4.1.1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临床和影像学表现  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缺乏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典型的临床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症状和影像学表现。常见的临床症状依次为呼吸困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难、咳嗽、发热、胸痛，偶尔会发生缺氧且会快速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" w:right="74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恶化以致呼吸衰竭，但是约</w:t>
      </w:r>
      <w:r>
        <w:rPr>
          <w:sz w:val="21"/>
          <w:szCs w:val="21"/>
          <w:color w:val="231F20"/>
          <w:spacing w:val="6"/>
        </w:rPr>
        <w:t>1/3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的患者可无任何症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状，仅有影像学异常</w:t>
      </w:r>
      <w:r>
        <w:rPr>
          <w:sz w:val="12"/>
          <w:szCs w:val="12"/>
          <w:color w:val="231F20"/>
          <w:spacing w:val="5"/>
          <w:position w:val="9"/>
        </w:rPr>
        <w:t>[78]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。约</w:t>
      </w:r>
      <w:r>
        <w:rPr>
          <w:sz w:val="21"/>
          <w:szCs w:val="21"/>
          <w:color w:val="231F20"/>
          <w:spacing w:val="5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以上的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患者可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同时或先后合并其他脏器系统的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99" w:firstLine="419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影像学表现多样，可表现为双肺散在或弥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漫性磨玻璃样阴影、结节样或斑片状实变影、小叶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间隔增厚、网格影、牵拉性支气管扩张和纤维条索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影、胸腔积液等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；少部分患者肺部阴影可此起彼伏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呈游走性表现。随着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的不同转归，影像学异常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改变可完全吸收好转或残留以纤维条索实变影、支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气管扩张或肺气囊等肺结构性破坏的影像学改变。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有报道</w:t>
      </w:r>
      <w:r>
        <w:rPr>
          <w:sz w:val="21"/>
          <w:szCs w:val="21"/>
          <w:color w:val="231F20"/>
          <w:spacing w:val="-4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表现为机化性肺炎型（</w:t>
      </w:r>
      <w:r>
        <w:rPr>
          <w:sz w:val="21"/>
          <w:szCs w:val="21"/>
          <w:color w:val="231F20"/>
          <w:spacing w:val="-4"/>
        </w:rPr>
        <w:t>19%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）、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磨玻璃结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>节（</w:t>
      </w:r>
      <w:r>
        <w:rPr>
          <w:sz w:val="21"/>
          <w:szCs w:val="21"/>
          <w:color w:val="231F20"/>
          <w:spacing w:val="-28"/>
        </w:rPr>
        <w:t>37%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>）、间质病变型（</w:t>
      </w:r>
      <w:r>
        <w:rPr>
          <w:sz w:val="21"/>
          <w:szCs w:val="21"/>
          <w:color w:val="231F20"/>
          <w:spacing w:val="-28"/>
        </w:rPr>
        <w:t>22%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>）和超敏反应型（</w:t>
      </w:r>
      <w:r>
        <w:rPr>
          <w:sz w:val="21"/>
          <w:szCs w:val="21"/>
          <w:color w:val="231F20"/>
          <w:spacing w:val="-28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>）</w:t>
      </w:r>
      <w:r>
        <w:rPr>
          <w:sz w:val="12"/>
          <w:szCs w:val="12"/>
          <w:color w:val="231F20"/>
          <w:spacing w:val="-2"/>
          <w:position w:val="9"/>
        </w:rPr>
        <w:t>[79]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100" w:right="74" w:hanging="1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3.4.1.2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诊断与鉴别诊断  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尚无统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一的诊断标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准，临床诊断主要结合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用药史和排他性诊断。</w:t>
      </w:r>
    </w:p>
    <w:p>
      <w:pPr>
        <w:pStyle w:val="BodyText"/>
        <w:ind w:left="97" w:right="17" w:firstLine="422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治疗史、胸部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新增肺部阴影且除外以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下情况可诊断</w:t>
      </w:r>
      <w:r>
        <w:rPr>
          <w:sz w:val="21"/>
          <w:szCs w:val="21"/>
          <w:color w:val="231F20"/>
        </w:rPr>
        <w:t>CIP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：①消化道肿瘤的肺内转移播散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或癌性淋巴管炎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；②肺部感染（无论是初始感染还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是考虑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</w:rPr>
        <w:t>激素等免疫抑制治疗后的继发性感染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③肺栓塞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；④心源性肺水肿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；⑤放射性肺炎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；⑥其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他原因引起的肺间质性疾病等。</w:t>
      </w:r>
    </w:p>
    <w:p>
      <w:pPr>
        <w:pStyle w:val="BodyText"/>
        <w:ind w:right="16" w:firstLine="520"/>
        <w:spacing w:before="2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有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治疗史的患者出现新发的呼吸系统症状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（咳嗽、喘息、呼吸困难等）时应重视并谨慎评估，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首选胸部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影像学检查。</w:t>
      </w:r>
    </w:p>
    <w:p>
      <w:pPr>
        <w:spacing w:line="266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553" w:space="100"/>
            <w:col w:w="47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66"/>
          <w:pgSz w:w="11906" w:h="16158"/>
          <w:pgMar w:top="1233" w:right="1035" w:bottom="400" w:left="407" w:header="772" w:footer="0" w:gutter="0"/>
          <w:cols w:equalWidth="0" w:num="1">
            <w:col w:w="10462" w:space="0"/>
          </w:cols>
        </w:sectPr>
        <w:rPr/>
      </w:pPr>
    </w:p>
    <w:p>
      <w:pPr>
        <w:pStyle w:val="BodyText"/>
        <w:ind w:left="733" w:right="286" w:firstLine="422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用于鉴别诊断的实验室检查和辅助检查包括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： </w:t>
      </w:r>
      <w:r>
        <w:rPr>
          <w:sz w:val="21"/>
          <w:szCs w:val="21"/>
          <w:color w:val="231F20"/>
          <w:spacing w:val="-12"/>
        </w:rPr>
        <w:t>C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反应蛋白、降钙素原、</w:t>
      </w:r>
      <w:r>
        <w:rPr>
          <w:sz w:val="21"/>
          <w:szCs w:val="21"/>
          <w:color w:val="231F20"/>
          <w:spacing w:val="-12"/>
        </w:rPr>
        <w:t>D-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二聚体、心肌和肌酶指标、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病原体培养或相关病原体血清学检查，必要时可经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皮肺活检或经支气管镜肺活检和冲洗。</w:t>
      </w:r>
    </w:p>
    <w:p>
      <w:pPr>
        <w:pStyle w:val="BodyText"/>
        <w:ind w:left="742" w:right="360" w:firstLine="411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确诊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后需对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进行严重度分级和预后判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断。常规行氧饱和度监测并随访、动脉血气分析并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随访，可耐受下监测肺通气和弥散功能。</w:t>
      </w:r>
    </w:p>
    <w:p>
      <w:pPr>
        <w:pStyle w:val="BodyText"/>
        <w:ind w:right="42" w:firstLine="1"/>
        <w:spacing w:before="9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3.4.1.3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处理  建议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患者暂缓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治疗。即使为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无症状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</w:t>
      </w:r>
      <w:r>
        <w:rPr>
          <w:sz w:val="21"/>
          <w:szCs w:val="21"/>
          <w:color w:val="231F20"/>
          <w:spacing w:val="-1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患者也需在数周内密切随访症状、体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征和胸部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影像学表现，明确无进展时才考虑暂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时继续免疫治疗，治疗过程中仍需密切监测</w:t>
      </w:r>
      <w:r>
        <w:rPr>
          <w:sz w:val="12"/>
          <w:szCs w:val="12"/>
          <w:color w:val="231F20"/>
          <w:spacing w:val="-1"/>
          <w:position w:val="9"/>
        </w:rPr>
        <w:t>[80]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。诊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疗流程见图</w:t>
      </w:r>
      <w:r>
        <w:rPr>
          <w:sz w:val="21"/>
          <w:szCs w:val="21"/>
          <w:color w:val="231F20"/>
          <w:spacing w:val="-1"/>
        </w:rPr>
        <w:t>13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308" w:lineRule="auto"/>
        <w:sectPr>
          <w:type w:val="continuous"/>
          <w:pgSz w:w="11906" w:h="16158"/>
          <w:pgMar w:top="1233" w:right="1035" w:bottom="400" w:left="407" w:header="772" w:footer="0" w:gutter="0"/>
          <w:cols w:equalWidth="0" w:num="2">
            <w:col w:w="5707" w:space="100"/>
            <w:col w:w="465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00" w:lineRule="exact"/>
        <w:rPr/>
      </w:pPr>
      <w:r/>
    </w:p>
    <w:tbl>
      <w:tblPr>
        <w:tblStyle w:val="TableNormal"/>
        <w:tblW w:w="9683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4414"/>
              <w:spacing w:before="113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ICI</w:t>
            </w:r>
            <w:r>
              <w:rPr>
                <w:color w:val="231F20"/>
                <w:spacing w:val="-1"/>
              </w:rPr>
              <w:t>相关肺炎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  <w:r>
        <w:pict>
          <v:shape id="_x0000_s254" style="position:absolute;margin-left:77.0882pt;margin-top:0.261414pt;mso-position-vertical-relative:text;mso-position-horizontal-relative:text;width:0.5pt;height:10.1pt;z-index:251952128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256" style="position:absolute;margin-left:218.114pt;margin-top:0.261414pt;mso-position-vertical-relative:text;mso-position-horizontal-relative:text;width:0.5pt;height:10.1pt;z-index:251951104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258" style="position:absolute;margin-left:363.698pt;margin-top:0.261414pt;mso-position-vertical-relative:text;mso-position-horizontal-relative:text;width:0.5pt;height:10.1pt;z-index:251955200;" filled="false" strokecolor="#231F20" strokeweight="0.50pt" coordsize="10,202" coordorigin="0,0" path="m5,0l5,201e">
            <v:stroke joinstyle="miter" miterlimit="10"/>
          </v:shape>
        </w:pict>
      </w:r>
      <w:r/>
    </w:p>
    <w:p>
      <w:pPr>
        <w:pStyle w:val="BodyText"/>
        <w:ind w:left="6496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60" style="position:absolute;margin-left:41.7742pt;margin-top:6.64775pt;mso-position-vertical-relative:text;mso-position-horizontal-relative:text;width:70.95pt;height:41.5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：无明显呼吸道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症状，</w:t>
                  </w:r>
                  <w:r>
                    <w:rPr>
                      <w:sz w:val="16"/>
                      <w:szCs w:val="16"/>
                      <w:color w:val="231F20"/>
                    </w:rPr>
                    <w:t>CT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>影像学局</w:t>
                  </w:r>
                </w:p>
                <w:p>
                  <w:pPr>
                    <w:pStyle w:val="BodyText"/>
                    <w:ind w:left="31"/>
                    <w:spacing w:before="9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限于肺叶或＜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25%</w:t>
                  </w:r>
                </w:p>
                <w:p>
                  <w:pPr>
                    <w:ind w:left="471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肺实质</w:t>
                  </w:r>
                </w:p>
              </w:txbxContent>
            </v:textbox>
          </v:shape>
        </w:pict>
      </w:r>
      <w:r>
        <w:pict>
          <v:shape id="_x0000_s262" style="position:absolute;margin-left:179.616pt;margin-top:6.64775pt;mso-position-vertical-relative:text;mso-position-horizontal-relative:text;width:77.4pt;height:41.5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>：新发呼吸道症</w:t>
                  </w:r>
                </w:p>
                <w:p>
                  <w:pPr>
                    <w:ind w:left="138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状或原有症状加重</w:t>
                  </w:r>
                </w:p>
                <w:p>
                  <w:pPr>
                    <w:pStyle w:val="BodyText"/>
                    <w:ind w:left="22"/>
                    <w:spacing w:before="9" w:line="22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CT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影像学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25%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50%</w:t>
                  </w:r>
                </w:p>
                <w:p>
                  <w:pPr>
                    <w:ind w:left="376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肺实质受累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3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2"/>
        </w:rPr>
        <w:t>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：严重甚至危</w:t>
      </w:r>
    </w:p>
    <w:p>
      <w:pPr>
        <w:ind w:left="6495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及生命的呼吸道症状</w:t>
      </w:r>
    </w:p>
    <w:p>
      <w:pPr>
        <w:pStyle w:val="BodyText"/>
        <w:ind w:left="6420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（如缺氧）并</w:t>
      </w:r>
      <w:r>
        <w:rPr>
          <w:sz w:val="16"/>
          <w:szCs w:val="16"/>
          <w:color w:val="231F20"/>
          <w:spacing w:val="-1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影像学</w:t>
      </w:r>
    </w:p>
    <w:p>
      <w:pPr>
        <w:ind w:left="6502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累及所有肺叶或超过</w:t>
      </w:r>
    </w:p>
    <w:p>
      <w:pPr>
        <w:pStyle w:val="BodyText"/>
        <w:ind w:left="6735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64" style="position:absolute;margin-left:129.141pt;margin-top:1.75248pt;mso-position-vertical-relative:text;mso-position-horizontal-relative:text;width:25.7pt;height:11.55pt;z-index:251942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症状或</w:t>
                  </w:r>
                </w:p>
              </w:txbxContent>
            </v:textbox>
          </v:shape>
        </w:pict>
      </w:r>
      <w:r>
        <w:pict>
          <v:shape id="_x0000_s266" style="position:absolute;margin-left:273.309pt;margin-top:1.75248pt;mso-position-vertical-relative:text;mso-position-horizontal-relative:text;width:25.7pt;height:31.6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症状或</w:t>
                  </w:r>
                </w:p>
                <w:p>
                  <w:pPr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影像学</w:t>
                  </w:r>
                </w:p>
                <w:p>
                  <w:pPr>
                    <w:ind w:left="98"/>
                    <w:spacing w:before="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进展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50%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肺实质受累</w:t>
      </w:r>
    </w:p>
    <w:p>
      <w:pPr>
        <w:ind w:left="2602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68" style="position:absolute;margin-left:77.0882pt;margin-top:4.8502pt;mso-position-vertical-relative:text;mso-position-horizontal-relative:text;width:0.5pt;height:10.1pt;z-index:251953152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270" style="position:absolute;margin-left:218.216pt;margin-top:4.85209pt;mso-position-vertical-relative:text;mso-position-horizontal-relative:text;width:0.5pt;height:10.1pt;z-index:251954176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272" style="position:absolute;margin-left:363.698pt;margin-top:4.8502pt;mso-position-vertical-relative:text;mso-position-horizontal-relative:text;width:0.5pt;height:10.1pt;z-index:251956224;" filled="false" strokecolor="#231F20" strokeweight="0.50pt" coordsize="10,202" coordorigin="0,0" path="m5,0l5,201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影像学</w:t>
      </w:r>
    </w:p>
    <w:p>
      <w:pPr>
        <w:ind w:left="2681"/>
        <w:spacing w:before="10"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进展</w:t>
      </w:r>
    </w:p>
    <w:p>
      <w:pPr>
        <w:ind w:left="8508"/>
        <w:spacing w:before="1" w:line="217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74" style="position:absolute;margin-left:187.529pt;margin-top:3.33494pt;mso-position-vertical-relative:text;mso-position-horizontal-relative:text;width:65.8pt;height:41.6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暂停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治疗。</w:t>
                  </w:r>
                </w:p>
                <w:p>
                  <w:pPr>
                    <w:pStyle w:val="BodyText"/>
                    <w:ind w:left="40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泼尼松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甲泼尼龙</w:t>
                  </w:r>
                </w:p>
                <w:p>
                  <w:pPr>
                    <w:pStyle w:val="BodyText"/>
                    <w:ind w:left="20"/>
                    <w:spacing w:before="9" w:line="21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）</w:t>
                  </w:r>
                </w:p>
                <w:p>
                  <w:pPr>
                    <w:pStyle w:val="BodyText"/>
                    <w:ind w:left="119"/>
                    <w:spacing w:before="16" w:line="221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应用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48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72 h</w:t>
                  </w:r>
                </w:p>
              </w:txbxContent>
            </v:textbox>
          </v:shape>
        </w:pict>
      </w:r>
      <w:r>
        <w:pict>
          <v:shape id="_x0000_s276" style="position:absolute;margin-left:327.284pt;margin-top:3.33494pt;mso-position-vertical-relative:text;mso-position-horizontal-relative:text;width:76pt;height:42.2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8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停用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治疗，</w:t>
                  </w:r>
                </w:p>
                <w:p>
                  <w:pPr>
                    <w:pStyle w:val="BodyText"/>
                    <w:ind w:left="154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泼尼松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甲泼尼龙</w:t>
                  </w:r>
                </w:p>
                <w:p>
                  <w:pPr>
                    <w:pStyle w:val="BodyText"/>
                    <w:spacing w:before="9" w:line="21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～ </w:t>
                  </w:r>
                  <w:r>
                    <w:rPr>
                      <w:sz w:val="16"/>
                      <w:szCs w:val="16"/>
                      <w:color w:val="231F20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  <w:w w:val="90"/>
                    </w:rPr>
                    <w:t>），</w:t>
                  </w:r>
                </w:p>
                <w:p>
                  <w:pPr>
                    <w:pStyle w:val="BodyText"/>
                    <w:ind w:left="390"/>
                    <w:spacing w:before="15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48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72 h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</w:rPr>
        <w:t>症状无缓解，可考虑加用</w:t>
      </w:r>
    </w:p>
    <w:p>
      <w:pPr>
        <w:ind w:left="8511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78" style="position:absolute;margin-left:60.4322pt;margin-top:3.87119pt;mso-position-vertical-relative:text;mso-position-horizontal-relative:text;width:33.7pt;height:21.6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密切监测</w:t>
                  </w:r>
                </w:p>
                <w:p>
                  <w:pPr>
                    <w:pStyle w:val="BodyText"/>
                    <w:ind w:left="59"/>
                    <w:spacing w:before="8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免疫抑制剂</w:t>
      </w:r>
    </w:p>
    <w:p>
      <w:pPr>
        <w:pStyle w:val="BodyText"/>
        <w:ind w:left="8120"/>
        <w:spacing w:before="11" w:line="217" w:lineRule="auto"/>
        <w:tabs>
          <w:tab w:val="left" w:pos="8295"/>
        </w:tabs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-1288972</wp:posOffset>
            </wp:positionV>
            <wp:extent cx="6155397" cy="4681259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468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trike/>
          <w:color w:val="231F20"/>
        </w:rPr>
        <w:tab/>
      </w:r>
      <w:r>
        <w:rPr>
          <w:sz w:val="16"/>
          <w:szCs w:val="16"/>
          <w:color w:val="231F20"/>
          <w:spacing w:val="2"/>
        </w:rPr>
        <w:t xml:space="preserve">     </w:t>
      </w:r>
      <w:r>
        <w:rPr>
          <w:sz w:val="16"/>
          <w:szCs w:val="16"/>
          <w:color w:val="231F20"/>
          <w:spacing w:val="-4"/>
        </w:rPr>
        <w:t>NCCN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：①英夫利西单抗</w:t>
      </w:r>
    </w:p>
    <w:p>
      <w:pPr>
        <w:pStyle w:val="BodyText"/>
        <w:ind w:left="8509"/>
        <w:spacing w:before="12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5 mg/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每</w:t>
      </w:r>
      <w:r>
        <w:rPr>
          <w:sz w:val="16"/>
          <w:szCs w:val="16"/>
          <w:color w:val="231F20"/>
          <w:spacing w:val="-2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</w:t>
      </w:r>
      <w:r>
        <w:rPr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次；</w:t>
      </w:r>
    </w:p>
    <w:p>
      <w:pPr>
        <w:pStyle w:val="BodyText"/>
        <w:ind w:left="8506"/>
        <w:spacing w:before="16" w:line="21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80" style="position:absolute;margin-left:77.0882pt;margin-top:9.58993pt;mso-position-vertical-relative:text;mso-position-horizontal-relative:text;width:0.5pt;height:10.15pt;z-index:25194496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82" style="position:absolute;margin-left:218.216pt;margin-top:9.59179pt;mso-position-vertical-relative:text;mso-position-horizontal-relative:text;width:0.5pt;height:10.15pt;z-index:251945984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84" style="position:absolute;margin-left:363.698pt;margin-top:9.58993pt;mso-position-vertical-relative:text;mso-position-horizontal-relative:text;width:0.5pt;height:10.15pt;z-index:251947008;" filled="false" strokecolor="#231F20" strokeweight="0.50pt" coordsize="10,202" coordorigin="0,0" path="m5,0l5,202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②免疫球蛋白</w:t>
      </w:r>
      <w:r>
        <w:rPr>
          <w:sz w:val="16"/>
          <w:szCs w:val="16"/>
          <w:color w:val="231F20"/>
          <w:spacing w:val="8"/>
        </w:rPr>
        <w:t>2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g/</w:t>
      </w:r>
      <w:r>
        <w:rPr>
          <w:sz w:val="16"/>
          <w:szCs w:val="16"/>
          <w:color w:val="231F20"/>
        </w:rPr>
        <w:t>kg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，分</w:t>
      </w:r>
    </w:p>
    <w:p>
      <w:pPr>
        <w:pStyle w:val="BodyText"/>
        <w:ind w:left="8505"/>
        <w:spacing w:before="16" w:line="21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2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5"/>
        </w:rPr>
        <w:t>5 d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静脉滴注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；③吗替</w:t>
      </w:r>
    </w:p>
    <w:p>
      <w:pPr>
        <w:pStyle w:val="BodyText"/>
        <w:ind w:left="8508" w:right="172"/>
        <w:spacing w:before="11" w:line="231" w:lineRule="auto"/>
        <w:jc w:val="both"/>
        <w:rPr>
          <w:rFonts w:ascii="SimSun" w:hAnsi="SimSun" w:eastAsia="SimSun" w:cs="SimSun"/>
          <w:sz w:val="16"/>
          <w:szCs w:val="16"/>
        </w:rPr>
      </w:pPr>
      <w:r>
        <w:pict>
          <v:shape id="_x0000_s286" style="position:absolute;margin-left:179.76pt;margin-top:8.42474pt;mso-position-vertical-relative:text;mso-position-horizontal-relative:text;width:76.25pt;height:31.6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>症状好转，继续应用</w:t>
                  </w:r>
                </w:p>
                <w:p>
                  <w:pPr>
                    <w:ind w:left="54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激素，逐步减量，共</w:t>
                  </w:r>
                </w:p>
                <w:p>
                  <w:pPr>
                    <w:pStyle w:val="BodyText"/>
                    <w:ind w:left="335"/>
                    <w:spacing w:before="9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应用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周</w:t>
                  </w:r>
                </w:p>
              </w:txbxContent>
            </v:textbox>
          </v:shape>
        </w:pict>
      </w:r>
      <w:r>
        <w:pict>
          <v:shape id="_x0000_s288" style="position:absolute;margin-left:326.66pt;margin-top:8.42474pt;mso-position-vertical-relative:text;mso-position-horizontal-relative:text;width:74.4pt;height:31.5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 w:right="20" w:hanging="126"/>
                    <w:spacing w:before="19" w:line="23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症状好转，继续应用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激素，逐步减量，</w:t>
                  </w:r>
                </w:p>
                <w:p>
                  <w:pPr>
                    <w:pStyle w:val="BodyText"/>
                    <w:ind w:left="126"/>
                    <w:spacing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共应用＞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6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周</w:t>
                  </w:r>
                </w:p>
              </w:txbxContent>
            </v:textbox>
          </v:shape>
        </w:pict>
      </w:r>
      <w:r>
        <w:pict>
          <v:shape id="_x0000_s290" style="position:absolute;margin-left:56.4002pt;margin-top:13.4246pt;mso-position-vertical-relative:text;mso-position-horizontal-relative:text;width:41.7pt;height:21.5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 w:right="20" w:hanging="241"/>
                    <w:spacing w:before="20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影像学表现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恢复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</w:rPr>
        <w:t>麦考酚酯</w:t>
      </w:r>
      <w:r>
        <w:rPr>
          <w:sz w:val="16"/>
          <w:szCs w:val="16"/>
          <w:color w:val="231F20"/>
        </w:rPr>
        <w:t>1.0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</w:rPr>
        <w:t>1.5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rFonts w:ascii="SimSun" w:hAnsi="SimSun" w:eastAsia="SimSun" w:cs="SimSun"/>
          <w:sz w:val="16"/>
          <w:szCs w:val="16"/>
          <w:color w:val="231F20"/>
        </w:rPr>
        <w:t>，每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日</w:t>
      </w:r>
      <w:r>
        <w:rPr>
          <w:sz w:val="16"/>
          <w:szCs w:val="16"/>
          <w:color w:val="231F20"/>
          <w:spacing w:val="9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次，口服并根据症状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减量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8503"/>
        <w:spacing w:before="1" w:line="21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>ASCO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：①英夫利西单抗</w:t>
      </w:r>
    </w:p>
    <w:p>
      <w:pPr>
        <w:pStyle w:val="BodyText"/>
        <w:ind w:left="8509"/>
        <w:spacing w:before="11" w:line="21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92" style="position:absolute;margin-left:77.0882pt;margin-top:3.87533pt;mso-position-vertical-relative:text;mso-position-horizontal-relative:text;width:0.5pt;height:10.15pt;z-index:251948032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94" style="position:absolute;margin-left:218.216pt;margin-top:3.87533pt;mso-position-vertical-relative:text;mso-position-horizontal-relative:text;width:0.5pt;height:10.15pt;z-index:25195008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296" style="position:absolute;margin-left:363.698pt;margin-top:3.87533pt;mso-position-vertical-relative:text;mso-position-horizontal-relative:text;width:0.5pt;height:10.15pt;z-index:251949056;" filled="false" strokecolor="#231F20" strokeweight="0.50pt" coordsize="10,202" coordorigin="0,0" path="m5,0l5,202e">
            <v:stroke joinstyle="miter" miterlimit="10"/>
          </v:shape>
        </w:pict>
      </w:r>
      <w:r>
        <w:rPr>
          <w:sz w:val="16"/>
          <w:szCs w:val="16"/>
          <w:color w:val="231F20"/>
          <w:spacing w:val="-2"/>
        </w:rPr>
        <w:t>5 mg/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每</w:t>
      </w:r>
      <w:r>
        <w:rPr>
          <w:sz w:val="16"/>
          <w:szCs w:val="16"/>
          <w:color w:val="231F20"/>
          <w:spacing w:val="-2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</w:t>
      </w:r>
      <w:r>
        <w:rPr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次；</w:t>
      </w:r>
    </w:p>
    <w:p>
      <w:pPr>
        <w:pStyle w:val="BodyText"/>
        <w:ind w:left="8507" w:right="119" w:hanging="1"/>
        <w:spacing w:before="16" w:line="230" w:lineRule="auto"/>
        <w:jc w:val="both"/>
        <w:rPr>
          <w:rFonts w:ascii="SimSun" w:hAnsi="SimSun" w:eastAsia="SimSun" w:cs="SimSun"/>
          <w:sz w:val="16"/>
          <w:szCs w:val="16"/>
        </w:rPr>
      </w:pPr>
      <w:r>
        <w:pict>
          <v:shape id="_x0000_s298" style="position:absolute;margin-left:179.648pt;margin-top:13.1803pt;mso-position-vertical-relative:text;mso-position-horizontal-relative:text;width:77.35pt;height:21.55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6" w:right="20" w:hanging="116"/>
                    <w:spacing w:before="19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>相关肺炎降至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及完全恢复且停用</w:t>
                  </w:r>
                </w:p>
              </w:txbxContent>
            </v:textbox>
          </v:shape>
        </w:pict>
      </w:r>
      <w:r>
        <w:pict>
          <v:shape id="_x0000_s300" style="position:absolute;margin-left:56.4642pt;margin-top:18.181pt;mso-position-vertical-relative:text;mso-position-horizontal-relative:text;width:41.65pt;height:11.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可考虑继续</w:t>
                  </w:r>
                </w:p>
              </w:txbxContent>
            </v:textbox>
          </v:shape>
        </w:pict>
      </w:r>
      <w:r>
        <w:pict>
          <v:shape id="_x0000_s302" style="position:absolute;margin-left:326.66pt;margin-top:23.1808pt;mso-position-vertical-relative:text;mso-position-horizontal-relative:text;width:76.65pt;height:11.5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好转，停用激素治疗，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0"/>
        </w:rPr>
        <w:t>②吗替麦考酚酯</w:t>
      </w:r>
      <w:r>
        <w:rPr>
          <w:sz w:val="16"/>
          <w:szCs w:val="16"/>
          <w:color w:val="231F20"/>
          <w:spacing w:val="-10"/>
        </w:rPr>
        <w:t>0.5</w:t>
      </w:r>
      <w:r>
        <w:rPr>
          <w:rFonts w:ascii="SimSun" w:hAnsi="SimSun" w:eastAsia="SimSun" w:cs="SimSun"/>
          <w:sz w:val="16"/>
          <w:szCs w:val="16"/>
          <w:color w:val="231F20"/>
          <w:spacing w:val="-10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10"/>
        </w:rPr>
        <w:t>1.0 g</w:t>
      </w:r>
      <w:r>
        <w:rPr>
          <w:rFonts w:ascii="SimSun" w:hAnsi="SimSun" w:eastAsia="SimSun" w:cs="SimSun"/>
          <w:sz w:val="16"/>
          <w:szCs w:val="16"/>
          <w:color w:val="231F20"/>
          <w:spacing w:val="-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每</w:t>
      </w:r>
      <w:r>
        <w:rPr>
          <w:sz w:val="16"/>
          <w:szCs w:val="16"/>
          <w:color w:val="231F20"/>
          <w:spacing w:val="5"/>
        </w:rPr>
        <w:t>12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小时</w:t>
      </w:r>
      <w:r>
        <w:rPr>
          <w:sz w:val="16"/>
          <w:szCs w:val="16"/>
          <w:color w:val="231F20"/>
          <w:spacing w:val="5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次，口服，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并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根据症状减量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；③免疫球</w:t>
      </w:r>
    </w:p>
    <w:p>
      <w:pPr>
        <w:pStyle w:val="BodyText"/>
        <w:ind w:left="8503" w:right="165" w:firstLine="9"/>
        <w:spacing w:before="3" w:line="227" w:lineRule="auto"/>
        <w:jc w:val="both"/>
        <w:rPr>
          <w:rFonts w:ascii="SimSun" w:hAnsi="SimSun" w:eastAsia="SimSun" w:cs="SimSun"/>
          <w:sz w:val="16"/>
          <w:szCs w:val="16"/>
        </w:rPr>
      </w:pPr>
      <w:r>
        <w:pict>
          <v:shape id="_x0000_s304" style="position:absolute;margin-left:410.348pt;margin-top:2.52124pt;mso-position-vertical-relative:text;mso-position-horizontal-relative:text;width:8.8pt;height:0.5pt;z-index:251957248;" filled="false" strokecolor="#231F20" strokeweight="0.50pt" coordsize="176,10" coordorigin="0,0" path="m0,5l175,5e">
            <v:stroke joinstyle="miter" miterlimit="10"/>
          </v:shape>
        </w:pict>
      </w:r>
      <w:r>
        <w:pict>
          <v:shape id="_x0000_s306" style="position:absolute;margin-left:218.216pt;margin-top:27.9393pt;mso-position-vertical-relative:text;mso-position-horizontal-relative:text;width:0.5pt;height:10.15pt;z-index:251943936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308" style="position:absolute;margin-left:62.9562pt;margin-top:-2.47675pt;mso-position-vertical-relative:text;mso-position-horizontal-relative:text;width:28.5pt;height:11.5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</w:p>
              </w:txbxContent>
            </v:textbox>
          </v:shape>
        </w:pict>
      </w:r>
      <w:r>
        <w:pict>
          <v:shape id="_x0000_s310" style="position:absolute;margin-left:189.656pt;margin-top:2.52255pt;mso-position-vertical-relative:text;mso-position-horizontal-relative:text;width:57.6pt;height:21.2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泼尼松剂量降至</w:t>
                  </w:r>
                </w:p>
                <w:p>
                  <w:pPr>
                    <w:pStyle w:val="BodyText"/>
                    <w:ind w:left="165"/>
                    <w:spacing w:before="10" w:line="21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10 mg/d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以下</w:t>
                  </w:r>
                </w:p>
              </w:txbxContent>
            </v:textbox>
          </v:shape>
        </w:pict>
      </w:r>
      <w:r>
        <w:pict>
          <v:shape id="_x0000_s312" style="position:absolute;margin-left:333.742pt;margin-top:2.52304pt;mso-position-vertical-relative:text;mso-position-horizontal-relative:text;width:60.3pt;height:11.55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永久停用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蛋白</w:t>
      </w:r>
      <w:r>
        <w:rPr>
          <w:sz w:val="16"/>
          <w:szCs w:val="16"/>
          <w:color w:val="231F20"/>
          <w:spacing w:val="-1"/>
        </w:rPr>
        <w:t>2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g/kg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，分</w:t>
      </w:r>
      <w:r>
        <w:rPr>
          <w:sz w:val="16"/>
          <w:szCs w:val="16"/>
          <w:color w:val="231F20"/>
          <w:spacing w:val="-1"/>
        </w:rPr>
        <w:t>2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"/>
        </w:rPr>
        <w:t>5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d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静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脉滴注；④环磷酰胺</w:t>
      </w:r>
      <w:r>
        <w:rPr>
          <w:sz w:val="16"/>
          <w:szCs w:val="16"/>
          <w:color w:val="231F20"/>
          <w:spacing w:val="-6"/>
        </w:rPr>
        <w:t>1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6"/>
        </w:rPr>
        <w:t>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mg/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）静脉滴注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705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可考虑继续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856"/>
        <w:spacing w:before="53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-3"/>
        </w:rPr>
        <w:t>症状</w:t>
      </w:r>
      <w:r>
        <w:rPr>
          <w:rFonts w:ascii="NSimSun" w:hAnsi="NSimSun" w:eastAsia="NSimSun" w:cs="N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：呼吸困难、咳嗽最为常见，发热、胸痛等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ind w:left="855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-2"/>
        </w:rPr>
        <w:t>体征</w:t>
      </w:r>
      <w:r>
        <w:rPr>
          <w:rFonts w:ascii="NSimSun" w:hAnsi="NSimSun" w:eastAsia="NSimSun" w:cs="N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：体温、氧饱和度、呼吸频率、心率、肺部听诊等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860" w:right="108" w:hanging="2"/>
        <w:spacing w:before="8"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-6"/>
        </w:rPr>
        <w:t>实验室指标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：血常规、</w:t>
      </w:r>
      <w:r>
        <w:rPr>
          <w:sz w:val="16"/>
          <w:szCs w:val="16"/>
          <w:color w:val="231F20"/>
          <w:spacing w:val="-6"/>
        </w:rPr>
        <w:t>CRP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、</w:t>
      </w:r>
      <w:r>
        <w:rPr>
          <w:sz w:val="16"/>
          <w:szCs w:val="16"/>
          <w:color w:val="231F20"/>
          <w:spacing w:val="-6"/>
        </w:rPr>
        <w:t>PCT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、血气分析、血</w:t>
      </w:r>
      <w:r>
        <w:rPr>
          <w:sz w:val="16"/>
          <w:szCs w:val="16"/>
          <w:color w:val="231F20"/>
          <w:spacing w:val="-6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痰</w:t>
      </w:r>
      <w:r>
        <w:rPr>
          <w:sz w:val="16"/>
          <w:szCs w:val="16"/>
          <w:color w:val="231F20"/>
          <w:spacing w:val="-6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尿</w:t>
      </w:r>
      <w:r>
        <w:rPr>
          <w:sz w:val="16"/>
          <w:szCs w:val="16"/>
          <w:color w:val="231F20"/>
          <w:spacing w:val="-6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肺泡灌洗液</w:t>
      </w:r>
      <w:r>
        <w:rPr>
          <w:sz w:val="16"/>
          <w:szCs w:val="16"/>
          <w:color w:val="231F20"/>
          <w:spacing w:val="-6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鼻咽拭子等病原体检查（包括细菌、真菌、结核、病毒等）、</w:t>
      </w:r>
      <w:r>
        <w:rPr>
          <w:sz w:val="16"/>
          <w:szCs w:val="16"/>
          <w:color w:val="231F20"/>
          <w:spacing w:val="-6"/>
        </w:rPr>
        <w:t>D-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二聚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体、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心脏指标、肿瘤标志物（排除是否有肺部感染、肿瘤肺部进展、心脏原因、肺栓塞等引起呼吸道症状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）；</w:t>
      </w:r>
    </w:p>
    <w:p>
      <w:pPr>
        <w:pStyle w:val="BodyText"/>
        <w:ind w:left="858"/>
        <w:spacing w:before="1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-4"/>
          <w:position w:val="1"/>
        </w:rPr>
        <w:t>检查</w:t>
      </w:r>
      <w:r>
        <w:rPr>
          <w:rFonts w:ascii="NSimSun" w:hAnsi="NSimSun" w:eastAsia="NSimSun" w:cs="NSimSun"/>
          <w:sz w:val="16"/>
          <w:szCs w:val="16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CT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、</w:t>
      </w:r>
      <w:r>
        <w:rPr>
          <w:sz w:val="16"/>
          <w:szCs w:val="16"/>
          <w:color w:val="231F20"/>
          <w:spacing w:val="-4"/>
        </w:rPr>
        <w:t>X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线胸片、肺功能（</w:t>
      </w:r>
      <w:r>
        <w:rPr>
          <w:sz w:val="16"/>
          <w:szCs w:val="16"/>
          <w:color w:val="231F20"/>
          <w:spacing w:val="-4"/>
        </w:rPr>
        <w:t>FVC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、</w:t>
      </w:r>
      <w:r>
        <w:rPr>
          <w:sz w:val="16"/>
          <w:szCs w:val="16"/>
          <w:color w:val="231F20"/>
          <w:spacing w:val="-4"/>
        </w:rPr>
        <w:t>FEV</w:t>
      </w:r>
      <w:r>
        <w:rPr>
          <w:sz w:val="9"/>
          <w:szCs w:val="9"/>
          <w:color w:val="231F20"/>
          <w:spacing w:val="-4"/>
          <w:position w:val="-2"/>
        </w:rPr>
        <w:t>1</w:t>
      </w:r>
      <w:r>
        <w:rPr>
          <w:sz w:val="9"/>
          <w:szCs w:val="9"/>
          <w:color w:val="231F20"/>
          <w:spacing w:val="-5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、</w:t>
      </w:r>
      <w:r>
        <w:rPr>
          <w:sz w:val="16"/>
          <w:szCs w:val="16"/>
          <w:color w:val="231F20"/>
          <w:spacing w:val="-4"/>
        </w:rPr>
        <w:t>DLCO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等）、心脏彩超、气管镜活检肺泡灌洗等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</w:p>
    <w:p>
      <w:pPr>
        <w:ind w:left="860"/>
        <w:spacing w:before="5" w:line="209" w:lineRule="auto"/>
        <w:rPr>
          <w:rFonts w:ascii="SimSun" w:hAnsi="SimSun" w:eastAsia="SimSun" w:cs="SimSun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-1"/>
          <w:position w:val="1"/>
        </w:rPr>
        <w:t>治疗</w:t>
      </w:r>
      <w:r>
        <w:rPr>
          <w:rFonts w:ascii="NSimSun" w:hAnsi="NSimSun" w:eastAsia="NSimSun" w:cs="NSimSun"/>
          <w:sz w:val="16"/>
          <w:szCs w:val="16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：经验性抗感染治疗、预防性抗感染治疗、氧疗及呼吸支持治疗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、吸入雾化充分痰液引流</w:t>
      </w:r>
    </w:p>
    <w:p>
      <w:pPr>
        <w:pStyle w:val="BodyText"/>
        <w:ind w:left="4377"/>
        <w:spacing w:before="266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图</w:t>
      </w:r>
      <w:r>
        <w:rPr>
          <w:b/>
          <w:bCs/>
          <w:color w:val="231F20"/>
          <w:spacing w:val="-2"/>
        </w:rPr>
        <w:t>13    ICI</w:t>
      </w:r>
      <w:r>
        <w:rPr>
          <w:rFonts w:ascii="Microsoft YaHei" w:hAnsi="Microsoft YaHei" w:eastAsia="Microsoft YaHei" w:cs="Microsoft YaHei"/>
          <w:color w:val="231F20"/>
          <w:spacing w:val="-2"/>
        </w:rPr>
        <w:t>相关肺炎的诊疗流程</w:t>
      </w:r>
    </w:p>
    <w:p>
      <w:pPr>
        <w:pStyle w:val="BodyText"/>
        <w:ind w:left="728" w:firstLine="329"/>
        <w:spacing w:before="48"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注：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为免疫检查点抑制剂；</w:t>
      </w:r>
      <w:r>
        <w:rPr>
          <w:sz w:val="16"/>
          <w:szCs w:val="16"/>
          <w:color w:val="231F20"/>
          <w:spacing w:val="-2"/>
        </w:rPr>
        <w:t>NCCN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为美国国家综合癌症网络；</w:t>
      </w:r>
      <w:r>
        <w:rPr>
          <w:sz w:val="16"/>
          <w:szCs w:val="16"/>
          <w:color w:val="231F20"/>
          <w:spacing w:val="-2"/>
        </w:rPr>
        <w:t>ASCO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为美国临床肿瘤学会；</w:t>
      </w:r>
      <w:r>
        <w:rPr>
          <w:sz w:val="16"/>
          <w:szCs w:val="16"/>
          <w:color w:val="231F20"/>
          <w:spacing w:val="-2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为计算机断层扫描；</w:t>
      </w:r>
      <w:r>
        <w:rPr>
          <w:sz w:val="16"/>
          <w:szCs w:val="16"/>
          <w:color w:val="231F20"/>
          <w:spacing w:val="-2"/>
        </w:rPr>
        <w:t>CRP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</w:t>
      </w:r>
      <w:r>
        <w:rPr>
          <w:sz w:val="16"/>
          <w:szCs w:val="16"/>
          <w:color w:val="231F20"/>
          <w:spacing w:val="-2"/>
        </w:rPr>
        <w:t>C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反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应蛋白；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PCT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为降钙素原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FVC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为用力肺活量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FEV</w:t>
      </w:r>
      <w:r>
        <w:rPr>
          <w:sz w:val="9"/>
          <w:szCs w:val="9"/>
          <w:color w:val="231F20"/>
          <w:spacing w:val="-3"/>
          <w:position w:val="-2"/>
        </w:rPr>
        <w:t>1</w:t>
      </w:r>
      <w:r>
        <w:rPr>
          <w:sz w:val="9"/>
          <w:szCs w:val="9"/>
          <w:color w:val="231F20"/>
          <w:spacing w:val="-7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第</w:t>
      </w:r>
      <w:r>
        <w:rPr>
          <w:sz w:val="16"/>
          <w:szCs w:val="16"/>
          <w:color w:val="231F20"/>
          <w:spacing w:val="-3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秒用力呼气容积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DLCO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为肺一氧化碳弥散量。</w:t>
      </w:r>
    </w:p>
    <w:p>
      <w:pPr>
        <w:spacing w:line="160" w:lineRule="exact"/>
        <w:rPr/>
      </w:pPr>
      <w:r/>
    </w:p>
    <w:p>
      <w:pPr>
        <w:spacing w:line="160" w:lineRule="exact"/>
        <w:sectPr>
          <w:type w:val="continuous"/>
          <w:pgSz w:w="11906" w:h="16158"/>
          <w:pgMar w:top="1233" w:right="1035" w:bottom="400" w:left="407" w:header="772" w:footer="0" w:gutter="0"/>
          <w:cols w:equalWidth="0" w:num="1">
            <w:col w:w="10462" w:space="0"/>
          </w:cols>
        </w:sectPr>
        <w:rPr/>
      </w:pPr>
    </w:p>
    <w:p>
      <w:pPr>
        <w:pStyle w:val="BodyText"/>
        <w:ind w:left="734" w:right="305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3.4.1.4    </w:t>
      </w:r>
      <w:r>
        <w:rPr>
          <w:rFonts w:ascii="SimSun" w:hAnsi="SimSun" w:eastAsia="SimSun" w:cs="SimSun"/>
          <w:sz w:val="21"/>
          <w:szCs w:val="21"/>
          <w:color w:val="231F20"/>
        </w:rPr>
        <w:t>随访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 </w:t>
      </w:r>
      <w:r>
        <w:rPr>
          <w:sz w:val="21"/>
          <w:szCs w:val="21"/>
          <w:color w:val="231F20"/>
        </w:rPr>
        <w:t>1</w:t>
      </w:r>
      <w:r>
        <w:rPr>
          <w:rFonts w:ascii="SimSun" w:hAnsi="SimSun" w:eastAsia="SimSun" w:cs="SimSun"/>
          <w:sz w:val="21"/>
          <w:szCs w:val="21"/>
          <w:color w:val="231F20"/>
        </w:rPr>
        <w:t>级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</w:rPr>
        <w:t>治愈后可合理进行免疫治疗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再挑战并密切随访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</w:t>
      </w:r>
      <w:r>
        <w:rPr>
          <w:sz w:val="21"/>
          <w:szCs w:val="21"/>
          <w:color w:val="231F20"/>
          <w:spacing w:val="-1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治疗后降至</w:t>
      </w:r>
      <w:r>
        <w:rPr>
          <w:sz w:val="21"/>
          <w:szCs w:val="21"/>
          <w:color w:val="231F20"/>
          <w:spacing w:val="-1"/>
        </w:rPr>
        <w:t>0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应充分权衡利弊，再决定是否继续进行免疫治疗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</w:t>
      </w:r>
    </w:p>
    <w:p>
      <w:pPr>
        <w:pStyle w:val="BodyText"/>
        <w:ind w:left="734"/>
        <w:spacing w:before="1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3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</w:t>
      </w:r>
      <w:r>
        <w:rPr>
          <w:sz w:val="21"/>
          <w:szCs w:val="21"/>
          <w:color w:val="231F20"/>
          <w:spacing w:val="-2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永久停用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737" w:right="368" w:firstLine="418"/>
        <w:spacing w:before="99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再次使用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时需密切监测不良反应，如再次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发生</w:t>
      </w:r>
      <w:r>
        <w:rPr>
          <w:sz w:val="21"/>
          <w:szCs w:val="21"/>
          <w:color w:val="231F20"/>
          <w:spacing w:val="-1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，建议永久停用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36" w:right="286" w:firstLine="416"/>
        <w:spacing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对于≥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周使用超过</w:t>
      </w:r>
      <w:r>
        <w:rPr>
          <w:sz w:val="21"/>
          <w:szCs w:val="21"/>
          <w:color w:val="231F20"/>
          <w:spacing w:val="6"/>
        </w:rPr>
        <w:t>20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泼尼松或等效剂量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药物的患者，应考虑使用抗生素预防肺孢子菌肺炎。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2"/>
        <w:spacing w:before="39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所有接受类固醇激素治疗的</w:t>
      </w:r>
      <w:r>
        <w:rPr>
          <w:sz w:val="21"/>
          <w:szCs w:val="21"/>
          <w:color w:val="231F20"/>
          <w:spacing w:val="8"/>
        </w:rPr>
        <w:t>2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8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级</w:t>
      </w:r>
      <w:r>
        <w:rPr>
          <w:sz w:val="21"/>
          <w:szCs w:val="21"/>
          <w:color w:val="231F20"/>
        </w:rPr>
        <w:t>CIP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患者也应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接受质子泵抑制剂治疗以预防胃肠道反应。</w:t>
      </w:r>
    </w:p>
    <w:p>
      <w:pPr>
        <w:pStyle w:val="BodyText"/>
        <w:ind w:left="1" w:right="42"/>
        <w:spacing w:before="2" w:line="30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3.4.2    </w:t>
      </w:r>
      <w:r>
        <w:rPr>
          <w:rFonts w:ascii="SimSun" w:hAnsi="SimSun" w:eastAsia="SimSun" w:cs="SimSun"/>
          <w:sz w:val="21"/>
          <w:szCs w:val="21"/>
          <w:color w:val="231F20"/>
        </w:rPr>
        <w:t>肺结节病  免疫相关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性肺结节病，即肉芽肿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反应，常见肺内小结节、多发淋巴结肿大。</w:t>
      </w:r>
    </w:p>
    <w:p>
      <w:pPr>
        <w:pStyle w:val="BodyText"/>
        <w:ind w:left="2" w:right="41" w:hanging="1"/>
        <w:spacing w:before="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3.4.2.1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临床表现多样</w:t>
      </w:r>
      <w:r>
        <w:rPr>
          <w:rFonts w:ascii="SimSun" w:hAnsi="SimSun" w:eastAsia="SimSun" w:cs="SimSun"/>
          <w:sz w:val="21"/>
          <w:szCs w:val="21"/>
          <w:color w:val="231F20"/>
        </w:rPr>
        <w:t>且具有个体特异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性，常见咳嗽、气短、乏力、胸痛或无症状。影像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学表现为肺门或纵隔淋巴结肿大、肺内多发小结节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等改变，可与消化道肿瘤转移至肺部类似。</w:t>
      </w:r>
    </w:p>
    <w:p>
      <w:pPr>
        <w:spacing w:line="276" w:lineRule="auto"/>
        <w:sectPr>
          <w:type w:val="continuous"/>
          <w:pgSz w:w="11906" w:h="16158"/>
          <w:pgMar w:top="1233" w:right="1035" w:bottom="400" w:left="407" w:header="772" w:footer="0" w:gutter="0"/>
          <w:cols w:equalWidth="0" w:num="2">
            <w:col w:w="5707" w:space="100"/>
            <w:col w:w="465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68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77" w:right="304" w:firstLine="1"/>
        <w:spacing w:before="37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3.4.2.2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  通过超声支气管内镜、细针抽吸或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经气管镜肺活检发现明确的上皮样非干酪性肉芽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肿，有助于诊断。此外，确诊肺结节病需要排除感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染和其他相关诊断，部分结节病也可能只有肺外病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变。一旦肺结节病诊断成立，需进行眼部检查和基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线心电图分析，以除外其他器官受累。同时，须立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即暂停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治疗，特别是广泛期的结节病（分期≥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期，根据</w:t>
      </w:r>
      <w:r>
        <w:rPr>
          <w:sz w:val="21"/>
          <w:szCs w:val="21"/>
          <w:color w:val="231F20"/>
          <w:spacing w:val="-1"/>
        </w:rPr>
        <w:t>Scadding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分期，</w:t>
      </w:r>
      <w:r>
        <w:rPr>
          <w:sz w:val="21"/>
          <w:szCs w:val="21"/>
          <w:color w:val="231F20"/>
          <w:spacing w:val="-1"/>
        </w:rPr>
        <w:t>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：双肺正常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Ⅰ期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双肺门淋巴结肿大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；Ⅱ期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：双肺门淋巴结肿大伴肺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内浸润影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；Ⅲ期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：仅有肺内浸润影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；Ⅳ期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：肺纤维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化）</w:t>
      </w:r>
      <w:r>
        <w:rPr>
          <w:sz w:val="12"/>
          <w:szCs w:val="12"/>
          <w:color w:val="231F20"/>
          <w:spacing w:val="-1"/>
          <w:position w:val="9"/>
        </w:rPr>
        <w:t>[81]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、累及重要的肺外器官（眼、心肌、神经系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统和肾脏）或结节病引起的高钙血症。如存在以下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情况，需考虑对免疫相关性结节病进行治疗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：①进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" w:firstLine="3"/>
        <w:spacing w:before="3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行性加重的影像学改变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；②持续和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或加重的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肺部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症状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；③肺功能恶化，包括肺总量下降≥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7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用力肺活量下降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3"/>
        </w:rPr>
        <w:t>15%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，一氧化碳弥散功能下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降≥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3"/>
        </w:rPr>
        <w:t>20%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；④同时累及其他肺外器官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；⑤结节病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相关性高钙血症。目前有关免疫相关性肺结节病的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研究相对较少，多见于个案报道，因此有必要进一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步探索该病的处理策略。</w:t>
      </w:r>
    </w:p>
    <w:p>
      <w:pPr>
        <w:pStyle w:val="BodyText"/>
        <w:ind w:left="1" w:right="74"/>
        <w:spacing w:before="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3.4.2.3  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鉴别诊断  影像学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表现为纵隔淋巴结肿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大、肺密度不均匀等改变，可能在与疾病进展鉴别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诊断上存在困难。</w:t>
      </w:r>
    </w:p>
    <w:p>
      <w:pPr>
        <w:pStyle w:val="BodyText"/>
        <w:ind w:right="74" w:firstLine="1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3.4.2.4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处理  截至目前，未有关于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引发的肺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结节病管理的研究。目前的建议仅基于临床经验和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病例报道。诊疗流程见图</w:t>
      </w:r>
      <w:r>
        <w:rPr>
          <w:sz w:val="21"/>
          <w:szCs w:val="21"/>
          <w:color w:val="231F20"/>
          <w:spacing w:val="-1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78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52" w:space="100"/>
            <w:col w:w="468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2722"/>
        <w:spacing w:before="254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ICl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引发的肺结节病</w:t>
      </w:r>
    </w:p>
    <w:p>
      <w:pPr>
        <w:spacing w:line="444" w:lineRule="auto"/>
        <w:rPr>
          <w:rFonts w:ascii="Arial"/>
          <w:sz w:val="21"/>
        </w:rPr>
      </w:pPr>
      <w:r>
        <w:pict>
          <v:shape id="_x0000_s316" style="position:absolute;margin-left:215.396pt;margin-top:4.8598pt;mso-position-vertical-relative:text;mso-position-horizontal-relative:text;width:0.5pt;height:10.15pt;z-index:25197056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318" style="position:absolute;margin-left:122.661pt;margin-top:4.8598pt;mso-position-vertical-relative:text;mso-position-horizontal-relative:text;width:0.5pt;height:10.15pt;z-index:251971584;" filled="false" strokecolor="#231F20" strokeweight="0.50pt" coordsize="10,202" coordorigin="0,0" path="m5,0l5,202e">
            <v:stroke joinstyle="miter" miterlimit="10"/>
          </v:shape>
        </w:pict>
      </w:r>
      <w:r/>
    </w:p>
    <w:p>
      <w:pPr>
        <w:pStyle w:val="BodyText"/>
        <w:ind w:left="2351"/>
        <w:spacing w:before="52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20" style="position:absolute;margin-left:250.492pt;margin-top:1.61745pt;mso-position-vertical-relative:text;mso-position-horizontal-relative:text;width:22.95pt;height:11.65pt;z-index:25196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9"/>
                    </w:rPr>
                    <w:t>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9"/>
                    </w:rPr>
                    <w:t>级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0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10"/>
        </w:rPr>
        <w:t>级</w:t>
      </w:r>
    </w:p>
    <w:p>
      <w:pPr>
        <w:ind w:left="2448"/>
        <w:spacing w:before="91" w:line="202" w:lineRule="exact"/>
        <w:rPr/>
      </w:pPr>
      <w:r>
        <w:pict>
          <v:shape id="_x0000_s322" style="position:absolute;margin-left:302.024pt;margin-top:4.81104pt;mso-position-vertical-relative:text;mso-position-horizontal-relative:text;width:0.5pt;height:10.15pt;z-index:251975680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324" style="position:absolute;margin-left:215.396pt;margin-top:4.81104pt;mso-position-vertical-relative:text;mso-position-horizontal-relative:text;width:0.5pt;height:10.15pt;z-index:251973632;" filled="false" strokecolor="#231F20" strokeweight="0.50pt" coordsize="10,202" coordorigin="0,0" path="m5,0l5,202e">
            <v:stroke joinstyle="miter" miterlimit="10"/>
          </v:shape>
        </w:pict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1058925</wp:posOffset>
            </wp:positionH>
            <wp:positionV relativeFrom="paragraph">
              <wp:posOffset>-638693</wp:posOffset>
            </wp:positionV>
            <wp:extent cx="4888585" cy="3580409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8585" cy="3580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50" cy="12827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87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26" style="position:absolute;margin-left:274.299pt;margin-top:-3.39164pt;mso-position-vertical-relative:text;mso-position-horizontal-relative:text;width:157.25pt;height:21.5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对于≥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级肺结节以及下列情况之一的患者，</w:t>
                  </w:r>
                </w:p>
                <w:p>
                  <w:pPr>
                    <w:ind w:left="673"/>
                    <w:spacing w:before="8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考虑使用皮质类固醇治疗</w:t>
                  </w:r>
                </w:p>
              </w:txbxContent>
            </v:textbox>
          </v:shape>
        </w:pict>
      </w:r>
      <w:r>
        <w:pict>
          <v:shape id="_x0000_s328" style="position:absolute;margin-left:185.376pt;margin-top:1.60867pt;mso-position-vertical-relative:text;mso-position-horizontal-relative:text;width:60.4pt;height:11.5pt;z-index:25196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考虑继续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考虑继续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</w:p>
    <w:p>
      <w:pPr>
        <w:spacing w:line="272" w:lineRule="auto"/>
        <w:rPr>
          <w:rFonts w:ascii="Arial"/>
          <w:sz w:val="21"/>
        </w:rPr>
      </w:pPr>
      <w:r>
        <w:pict>
          <v:shape id="_x0000_s330" style="position:absolute;margin-left:122.661pt;margin-top:9.91483pt;mso-position-vertical-relative:text;mso-position-horizontal-relative:text;width:0.5pt;height:10.15pt;z-index:251972608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332" style="position:absolute;margin-left:215.396pt;margin-top:9.91483pt;mso-position-vertical-relative:text;mso-position-horizontal-relative:text;width:0.5pt;height:10.15pt;z-index:251974656;" filled="false" strokecolor="#231F20" strokeweight="0.50pt" coordsize="10,202" coordorigin="0,0" path="m5,0l5,202e">
            <v:stroke joinstyle="miter" miterlimit="10"/>
          </v:shape>
        </w:pic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639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34" style="position:absolute;margin-left:295.52pt;margin-top:6.63893pt;mso-position-vertical-relative:text;mso-position-horizontal-relative:text;width:13.1pt;height:0.5pt;z-index:251966464;" filled="false" strokecolor="#231F20" strokeweight="0.50pt" coordsize="262,10" coordorigin="0,0" path="m0,5l261,5e">
            <v:stroke joinstyle="miter" miterlimit="10"/>
          </v:shape>
        </w:pict>
      </w:r>
      <w:r>
        <w:pict>
          <v:shape id="_x0000_s336" style="position:absolute;margin-left:198.74pt;margin-top:1.64176pt;mso-position-vertical-relative:text;mso-position-horizontal-relative:text;width:33.7pt;height:11.55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密切随访</w:t>
                  </w:r>
                </w:p>
              </w:txbxContent>
            </v:textbox>
          </v:shape>
        </w:pict>
      </w:r>
      <w:r>
        <w:pict>
          <v:shape id="_x0000_s338" style="position:absolute;margin-left:106.005pt;margin-top:1.64176pt;mso-position-vertical-relative:text;mso-position-horizontal-relative:text;width:33.7pt;height:11.55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密切随访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影像学进展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6609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40" style="position:absolute;margin-left:295.52pt;margin-top:6.63871pt;mso-position-vertical-relative:text;mso-position-horizontal-relative:text;width:13.1pt;height:0.5pt;z-index:251965440;" filled="false" strokecolor="#231F20" strokeweight="0.50pt" coordsize="262,10" coordorigin="0,0" path="m0,5l261,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结节相关高血钙症</w:t>
      </w:r>
    </w:p>
    <w:p>
      <w:pPr>
        <w:ind w:left="1799"/>
        <w:spacing w:before="20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皮质类固醇剂量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</w:t>
      </w:r>
    </w:p>
    <w:p>
      <w:pPr>
        <w:pStyle w:val="BodyText"/>
        <w:ind w:left="6487"/>
        <w:spacing w:before="110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42" style="position:absolute;margin-left:295.52pt;margin-top:9.49375pt;mso-position-vertical-relative:text;mso-position-horizontal-relative:text;width:13.1pt;height:0.5pt;z-index:251968512;" filled="false" strokecolor="#231F20" strokeweight="0.50pt" coordsize="262,10" coordorigin="0,0" path="m0,5l261,5e">
            <v:stroke joinstyle="miter" miterlimit="10"/>
          </v:shape>
        </w:pict>
      </w:r>
      <w:r>
        <w:pict>
          <v:shape id="_x0000_s344" style="position:absolute;margin-left:88.8298pt;margin-top:-0.502096pt;mso-position-vertical-relative:text;mso-position-horizontal-relative:text;width:144.3pt;height:31.5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1" w:line="229" w:lineRule="auto"/>
                    <w:jc w:val="both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对于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级肺结节或需要住院的严重病例，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泼尼松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</w:rPr>
                    <w:t>mg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</w:rPr>
                    <w:t>kg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（或甲泼尼龙静脉注射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0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视应答情况而定，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周内逐步停药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持续性和</w:t>
      </w:r>
      <w:r>
        <w:rPr>
          <w:sz w:val="16"/>
          <w:szCs w:val="16"/>
          <w:color w:val="231F20"/>
          <w:spacing w:val="-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或突发肺部症状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6491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46" style="position:absolute;margin-left:295.52pt;margin-top:6.63838pt;mso-position-vertical-relative:text;mso-position-horizontal-relative:text;width:13.1pt;height:0.5pt;z-index:251967488;" filled="false" strokecolor="#231F20" strokeweight="0.50pt" coordsize="262,10" coordorigin="0,0" path="m0,5l261,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关键的肺外器官系统伴随受累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6388" w:right="1195" w:hanging="13"/>
        <w:spacing w:before="53" w:line="233" w:lineRule="auto"/>
        <w:rPr>
          <w:sz w:val="16"/>
          <w:szCs w:val="16"/>
        </w:rPr>
      </w:pPr>
      <w:r>
        <w:pict>
          <v:shape id="_x0000_s348" style="position:absolute;margin-left:295.52pt;margin-top:11.6451pt;mso-position-vertical-relative:text;mso-position-horizontal-relative:text;width:13.1pt;height:0.5pt;z-index:251969536;" filled="false" strokecolor="#231F20" strokeweight="0.50pt" coordsize="262,10" coordorigin="0,0" path="m0,5l261,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肺功能恶化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：</w:t>
      </w:r>
      <w:r>
        <w:rPr>
          <w:sz w:val="16"/>
          <w:szCs w:val="16"/>
          <w:color w:val="231F20"/>
        </w:rPr>
        <w:t>TLC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下降≥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5"/>
        </w:rPr>
        <w:t>10%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，</w:t>
      </w:r>
      <w:r>
        <w:rPr>
          <w:sz w:val="16"/>
          <w:szCs w:val="16"/>
          <w:color w:val="231F20"/>
        </w:rPr>
        <w:t>FVC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下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降≥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4"/>
        </w:rPr>
        <w:t>15%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DLCO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下降≥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4"/>
        </w:rPr>
        <w:t>20%</w:t>
      </w:r>
    </w:p>
    <w:p>
      <w:pPr>
        <w:pStyle w:val="BodyText"/>
        <w:ind w:left="4141"/>
        <w:spacing w:before="253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14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相关肺结节病的诊疗流程</w:t>
      </w:r>
    </w:p>
    <w:p>
      <w:pPr>
        <w:pStyle w:val="BodyText"/>
        <w:ind w:left="1001"/>
        <w:spacing w:before="47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TLC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肺总容量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FVC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为用力肺活量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DLCO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为肺一氧化碳弥散量。</w:t>
      </w:r>
    </w:p>
    <w:p>
      <w:pPr>
        <w:spacing w:line="186" w:lineRule="exact"/>
        <w:rPr/>
      </w:pPr>
      <w:r/>
    </w:p>
    <w:p>
      <w:pPr>
        <w:spacing w:line="186" w:lineRule="exact"/>
        <w:sectPr>
          <w:type w:val="continuous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77" w:right="281" w:firstLine="1"/>
        <w:spacing w:before="45" w:line="29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3.4.2.5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随访  经激素治疗后缓解的肺结节病患者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的复发率较高，且大多数患者在激素停用后</w:t>
      </w:r>
      <w:r>
        <w:rPr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3"/>
        </w:rPr>
        <w:t>6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个月即出现复发。因此，推荐肺结节病患者在治疗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初期时</w:t>
      </w:r>
      <w:r>
        <w:rPr>
          <w:sz w:val="21"/>
          <w:szCs w:val="21"/>
          <w:color w:val="231F20"/>
          <w:spacing w:val="1"/>
        </w:rPr>
        <w:t>4</w:t>
      </w:r>
      <w:r>
        <w:rPr>
          <w:sz w:val="21"/>
          <w:szCs w:val="21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周随访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次，经治疗好转后每</w:t>
      </w:r>
      <w:r>
        <w:rPr>
          <w:sz w:val="21"/>
          <w:szCs w:val="21"/>
          <w:color w:val="231F20"/>
          <w:spacing w:val="1"/>
        </w:rPr>
        <w:t>3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1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月复查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次；停药后每</w:t>
      </w:r>
      <w:r>
        <w:rPr>
          <w:sz w:val="21"/>
          <w:szCs w:val="21"/>
          <w:color w:val="231F20"/>
          <w:spacing w:val="-6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个月复查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次，至少持续</w:t>
      </w:r>
      <w:r>
        <w:rPr>
          <w:sz w:val="21"/>
          <w:szCs w:val="21"/>
          <w:color w:val="231F20"/>
          <w:spacing w:val="-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年后可适当延长随访间隔。但对于有重要肺外脏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器（心脏、中枢神经等）受累的患者，建议长期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随访。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1"/>
        </w:rPr>
        <w:t>4</w:t>
      </w:r>
      <w:r>
        <w:rPr>
          <w:rFonts w:ascii="Arial" w:hAnsi="Arial" w:eastAsia="Arial" w:cs="Arial"/>
          <w:sz w:val="21"/>
          <w:szCs w:val="21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消化道肿瘤其他免疫相关不良事件的管理</w:t>
      </w:r>
    </w:p>
    <w:p>
      <w:pPr>
        <w:pStyle w:val="BodyText"/>
        <w:ind w:left="5" w:right="73" w:hanging="5"/>
        <w:spacing w:before="81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类风湿性关节毒性  类风湿性关节炎是一种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以炎性滑膜炎为主的系统性疾病，其特征是手、足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小关节的多关节、对称性、侵袭性关节炎症，常伴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有血清类风湿因子、环瓜氨酸肽抗体阳性，可导致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关节畸形及功能丧失，可伴有关节外器官受累。</w:t>
      </w:r>
    </w:p>
    <w:p>
      <w:pPr>
        <w:pStyle w:val="BodyText"/>
        <w:ind w:left="9" w:hanging="9"/>
        <w:spacing w:before="101" w:line="24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4.1.1  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主要包括关节疼痛、肿胀、压痛、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炎性症状（关节僵硬，活动或加热可改善）。</w:t>
      </w:r>
    </w:p>
    <w:p>
      <w:pPr>
        <w:spacing w:line="246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47" w:space="100"/>
            <w:col w:w="469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71"/>
          <w:pgSz w:w="11906" w:h="16158"/>
          <w:pgMar w:top="1233" w:right="1004" w:bottom="400" w:left="407" w:header="772" w:footer="0" w:gutter="0"/>
          <w:cols w:equalWidth="0" w:num="1">
            <w:col w:w="10493" w:space="0"/>
          </w:cols>
        </w:sectPr>
        <w:rPr/>
      </w:pPr>
    </w:p>
    <w:p>
      <w:pPr>
        <w:pStyle w:val="BodyText"/>
        <w:ind w:left="734" w:right="356" w:hanging="5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4.1.2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诊断  尽管可以通过常规</w:t>
      </w:r>
      <w:r>
        <w:rPr>
          <w:sz w:val="21"/>
          <w:szCs w:val="21"/>
          <w:color w:val="231F20"/>
          <w:spacing w:val="2"/>
        </w:rPr>
        <w:t>X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线或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其他影像学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技术如</w:t>
      </w:r>
      <w:r>
        <w:rPr>
          <w:sz w:val="21"/>
          <w:szCs w:val="21"/>
          <w:color w:val="231F20"/>
        </w:rPr>
        <w:t>MRI</w:t>
      </w:r>
      <w:r>
        <w:rPr>
          <w:rFonts w:ascii="SimSun" w:hAnsi="SimSun" w:eastAsia="SimSun" w:cs="SimSun"/>
          <w:sz w:val="21"/>
          <w:szCs w:val="21"/>
          <w:color w:val="231F20"/>
        </w:rPr>
        <w:t>，发现结构改变来区分类风湿性关节炎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和其他关节炎，但关节损伤很少在疾病早期阶段表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现出来，更多是随着病程延长持续累积。早期干预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可改善临床预后，减少和避免关节损伤、伤残。</w:t>
      </w:r>
    </w:p>
    <w:p>
      <w:pPr>
        <w:pStyle w:val="BodyText"/>
        <w:ind w:left="739" w:right="281" w:firstLine="414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类风湿性关节炎的诊断依据病史、体格检查、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实验室检查，其分类标准如</w:t>
      </w:r>
      <w:r>
        <w:rPr>
          <w:sz w:val="21"/>
          <w:szCs w:val="21"/>
          <w:color w:val="231F20"/>
          <w:spacing w:val="-1"/>
        </w:rPr>
        <w:t>1987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年美国风湿病学会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" w:firstLine="1"/>
        <w:spacing w:before="39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诊断标准和</w:t>
      </w:r>
      <w:r>
        <w:rPr>
          <w:sz w:val="21"/>
          <w:szCs w:val="21"/>
          <w:color w:val="231F20"/>
          <w:spacing w:val="-3"/>
        </w:rPr>
        <w:t>2010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年欧洲抗风湿病联盟</w:t>
      </w:r>
      <w:r>
        <w:rPr>
          <w:sz w:val="21"/>
          <w:szCs w:val="21"/>
          <w:color w:val="231F20"/>
          <w:spacing w:val="-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美国风湿病学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会类风湿性关节炎分类标准可作为诊断的辅助手段。</w:t>
      </w:r>
    </w:p>
    <w:p>
      <w:pPr>
        <w:pStyle w:val="BodyText"/>
        <w:ind w:left="3" w:right="73" w:hanging="3"/>
        <w:spacing w:before="2" w:line="2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4.1.3    </w:t>
      </w:r>
      <w:r>
        <w:rPr>
          <w:rFonts w:ascii="SimSun" w:hAnsi="SimSun" w:eastAsia="SimSun" w:cs="SimSun"/>
          <w:sz w:val="21"/>
          <w:szCs w:val="21"/>
          <w:color w:val="231F20"/>
        </w:rPr>
        <w:t>鉴别诊断  最常见的鉴别诊断包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括其他原因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导致的关节痛，如退行性关节疾病或骨关节炎，以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及软组织风湿性疾病，如肩袖肌腱炎、晶体性关节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病（痛风和假性囊肿）和感染性关节炎。</w:t>
      </w:r>
    </w:p>
    <w:p>
      <w:pPr>
        <w:pStyle w:val="BodyText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4.1.4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220" w:lineRule="auto"/>
        <w:sectPr>
          <w:type w:val="continuous"/>
          <w:pgSz w:w="11906" w:h="16158"/>
          <w:pgMar w:top="1233" w:right="1004" w:bottom="400" w:left="407" w:header="772" w:footer="0" w:gutter="0"/>
          <w:cols w:equalWidth="0" w:num="2">
            <w:col w:w="5703" w:space="100"/>
            <w:col w:w="469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4938"/>
        <w:spacing w:before="22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类风湿性关节毒性</w:t>
      </w:r>
    </w:p>
    <w:p>
      <w:pPr>
        <w:ind w:left="9093"/>
        <w:spacing w:before="208" w:line="146" w:lineRule="exact"/>
        <w:rPr/>
      </w:pP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-199207</wp:posOffset>
            </wp:positionV>
            <wp:extent cx="6155397" cy="227791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227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2" style="position:absolute;margin-left:95.8205pt;margin-top:10.6984pt;mso-position-vertical-relative:text;mso-position-horizontal-relative:text;width:0.5pt;height:7.3pt;z-index:252003328;" filled="false" strokecolor="#231F20" strokeweight="0.50pt" coordsize="10,146" coordorigin="0,0" path="m5,0l5,145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6350" cy="9225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07"/>
        <w:spacing w:before="202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54" style="position:absolute;margin-left:230.11pt;margin-top:9.10789pt;mso-position-vertical-relative:text;mso-position-horizontal-relative:text;width:22pt;height:11.65pt;z-index:25199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356" style="position:absolute;margin-left:41.7742pt;margin-top:9.10789pt;mso-position-vertical-relative:text;mso-position-horizontal-relative:text;width:121.1pt;height:31.5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：</w:t>
                  </w:r>
                </w:p>
                <w:p>
                  <w:pPr>
                    <w:ind w:left="20" w:right="20"/>
                    <w:spacing w:before="7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轻度疼痛伴炎症症状（通过运动或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加温可改善），红斑，关节肿胀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</w:p>
    <w:p>
      <w:pPr>
        <w:ind w:left="4626" w:right="3966" w:firstLine="1"/>
        <w:spacing w:before="8" w:line="232" w:lineRule="auto"/>
        <w:jc w:val="both"/>
        <w:rPr>
          <w:rFonts w:ascii="SimSun" w:hAnsi="SimSun" w:eastAsia="SimSun" w:cs="SimSun"/>
          <w:sz w:val="16"/>
          <w:szCs w:val="16"/>
        </w:rPr>
      </w:pPr>
      <w:r>
        <w:pict>
          <v:shape id="_x0000_s358" style="position:absolute;margin-left:394.367pt;margin-top:-0.587073pt;mso-position-vertical-relative:text;mso-position-horizontal-relative:text;width:121.45pt;height:31.55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重度疼痛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ind w:left="22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不可逆的关节损伤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残疾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；影响自理日常生活活动能力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前述相关中度疼痛影响使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用工具性日常生活活动能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力</w:t>
      </w:r>
    </w:p>
    <w:p>
      <w:pPr>
        <w:ind w:left="5567"/>
        <w:spacing w:before="79" w:line="146" w:lineRule="exact"/>
        <w:rPr/>
      </w:pPr>
      <w:r>
        <w:pict>
          <v:shape id="_x0000_s360" style="position:absolute;margin-left:95.8205pt;margin-top:4.23804pt;mso-position-vertical-relative:text;mso-position-horizontal-relative:text;width:0.5pt;height:7.3pt;z-index:252001280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62" style="position:absolute;margin-left:454.928pt;margin-top:4.23804pt;mso-position-vertical-relative:text;mso-position-horizontal-relative:text;width:0.5pt;height:7.3pt;z-index:25200230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64" style="position:absolute;margin-left:41.9022pt;margin-top:20.4979pt;mso-position-vertical-relative:text;mso-position-horizontal-relative:text;width:123.65pt;height:51.2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193" w:right="20" w:hanging="174"/>
                    <w:spacing w:before="9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>•   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2"/>
                    </w:rPr>
                    <w:t>（如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2"/>
                    </w:rPr>
                    <w:t>周萘普生，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>0.5 g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次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1"/>
                    </w:rPr>
                    <w:t>）；</w:t>
                  </w:r>
                </w:p>
                <w:p>
                  <w:pPr>
                    <w:pStyle w:val="BodyText"/>
                    <w:ind w:left="197" w:right="66" w:hanging="178"/>
                    <w:spacing w:before="10" w:line="22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如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无效，考虑使用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周泼尼松，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10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20 mg/d</w:t>
                  </w:r>
                </w:p>
              </w:txbxContent>
            </v:textbox>
          </v:shape>
        </w:pict>
      </w:r>
      <w:r>
        <w:pict>
          <v:shape id="_x0000_s366" style="position:absolute;margin-left:394.495pt;margin-top:20.4979pt;mso-position-vertical-relative:text;mso-position-horizontal-relative:text;width:123.55pt;height:31.2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暂停或永久停用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8" w:right="20" w:hanging="189"/>
                    <w:spacing w:before="9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使用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周泼尼松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甲泼尼龙，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>），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如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周内症状未改</w:t>
                  </w:r>
                </w:p>
              </w:txbxContent>
            </v:textbox>
          </v:shape>
        </w:pict>
      </w:r>
      <w:r>
        <w:rPr>
          <w:position w:val="-3"/>
        </w:rPr>
        <w:drawing>
          <wp:inline distT="0" distB="0" distL="0" distR="0">
            <wp:extent cx="6350" cy="9225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27"/>
        <w:spacing w:before="205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暂停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4799" w:right="3966" w:hanging="172"/>
        <w:spacing w:before="10" w:line="221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68" style="position:absolute;margin-left:188.014pt;margin-top:14.4934pt;mso-position-vertical-relative:text;mso-position-horizontal-relative:text;width:17.6pt;height:21.55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如无</w:t>
                  </w:r>
                </w:p>
                <w:p>
                  <w:pPr>
                    <w:ind w:left="23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改善</w:t>
                  </w:r>
                </w:p>
              </w:txbxContent>
            </v:textbox>
          </v:shape>
        </w:pict>
      </w:r>
      <w:r>
        <w:pict>
          <v:shape id="_x0000_s370" style="position:absolute;margin-left:352.128pt;margin-top:14.4934pt;mso-position-vertical-relative:text;mso-position-horizontal-relative:text;width:17.6pt;height:21.5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如无</w:t>
                  </w:r>
                </w:p>
                <w:p>
                  <w:pPr>
                    <w:ind w:left="23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改善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便用</w:t>
      </w:r>
      <w:r>
        <w:rPr>
          <w:sz w:val="16"/>
          <w:szCs w:val="16"/>
          <w:color w:val="231F20"/>
          <w:spacing w:val="-1"/>
        </w:rPr>
        <w:t>4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6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周泼尼松，</w:t>
      </w:r>
      <w:r>
        <w:rPr>
          <w:sz w:val="16"/>
          <w:szCs w:val="16"/>
          <w:color w:val="231F20"/>
          <w:spacing w:val="-1"/>
        </w:rPr>
        <w:t>0.5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mg/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</w:t>
      </w:r>
    </w:p>
    <w:p>
      <w:pPr>
        <w:ind w:left="7498"/>
        <w:spacing w:before="16" w:line="219" w:lineRule="auto"/>
        <w:tabs>
          <w:tab w:val="left" w:pos="7697"/>
        </w:tabs>
        <w:rPr>
          <w:rFonts w:ascii="SimSun" w:hAnsi="SimSun" w:eastAsia="SimSun" w:cs="SimSun"/>
          <w:sz w:val="16"/>
          <w:szCs w:val="16"/>
        </w:rPr>
      </w:pPr>
      <w:r>
        <w:pict>
          <v:shape id="_x0000_s372" style="position:absolute;margin-left:168.511pt;margin-top:4.7967pt;mso-position-vertical-relative:text;mso-position-horizontal-relative:text;width:10pt;height:0.5pt;z-index:251998208;" filled="false" strokecolor="#231F20" strokeweight="0.50pt" coordsize="200,10" coordorigin="0,0" path="m0,5l199,5e">
            <v:stroke joinstyle="miter" miterlimit="10"/>
          </v:shape>
        </w:pict>
      </w:r>
      <w:r>
        <w:pict>
          <v:shape id="_x0000_s374" style="position:absolute;margin-left:211.078pt;margin-top:4.7967pt;mso-position-vertical-relative:text;mso-position-horizontal-relative:text;width:10pt;height:0.5pt;z-index:252000256;" filled="false" strokecolor="#231F20" strokeweight="0.50pt" coordsize="200,10" coordorigin="0,0" path="m0,5l199,5e">
            <v:stroke joinstyle="miter" miterlimit="10"/>
          </v:shape>
        </w:pict>
      </w:r>
      <w:r>
        <w:pict>
          <v:shape id="_x0000_s376" style="position:absolute;margin-left:332.624pt;margin-top:4.7967pt;mso-position-vertical-relative:text;mso-position-horizontal-relative:text;width:10pt;height:0.5pt;z-index:251999232;" filled="false" strokecolor="#231F20" strokeweight="0.50pt" coordsize="200,10" coordorigin="0,0" path="m0,5l199,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strike/>
          <w:color w:val="231F20"/>
        </w:rPr>
        <w:tab/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 xml:space="preserve"> 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善，请风湿免疫科会诊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8086" w:right="202" w:hanging="177"/>
        <w:spacing w:before="10" w:line="23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考虑其他免疫抑制剂（如甲氨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蝶呤、柳氮磺胺嘧啶或来氟米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特等）</w:t>
      </w:r>
    </w:p>
    <w:p>
      <w:pPr>
        <w:pStyle w:val="BodyText"/>
        <w:ind w:left="3837"/>
        <w:spacing w:before="252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15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相关类风湿性关节毒性的诊疗流程</w:t>
      </w:r>
    </w:p>
    <w:p>
      <w:pPr>
        <w:pStyle w:val="BodyText"/>
        <w:ind w:left="1057"/>
        <w:spacing w:before="48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NSAIDs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为非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甾体抗炎药。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906" w:h="16158"/>
          <w:pgMar w:top="1233" w:right="1004" w:bottom="400" w:left="407" w:header="772" w:footer="0" w:gutter="0"/>
          <w:cols w:equalWidth="0" w:num="1">
            <w:col w:w="10493" w:space="0"/>
          </w:cols>
        </w:sectPr>
        <w:rPr/>
      </w:pPr>
    </w:p>
    <w:p>
      <w:pPr>
        <w:pStyle w:val="BodyText"/>
        <w:ind w:left="733" w:right="356" w:hanging="4"/>
        <w:spacing w:before="4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1"/>
        </w:rPr>
        <w:t>4.2 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神经系统毒性  据报道，接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受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10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抑制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剂治疗的患者神经毒性发生率为</w:t>
      </w:r>
      <w:r>
        <w:rPr>
          <w:sz w:val="21"/>
          <w:szCs w:val="21"/>
          <w:color w:val="231F20"/>
          <w:spacing w:val="7"/>
        </w:rPr>
        <w:t>3.8%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，接受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7"/>
        </w:rPr>
        <w:t>-1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抑制剂治疗的患者神经毒性发生率为</w:t>
      </w:r>
      <w:r>
        <w:rPr>
          <w:sz w:val="21"/>
          <w:szCs w:val="21"/>
          <w:color w:val="231F20"/>
          <w:spacing w:val="8"/>
        </w:rPr>
        <w:t>6.1%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，接受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4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抑制剂联合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4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抑制剂治疗的患者神经毒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性发生率为</w:t>
      </w:r>
      <w:r>
        <w:rPr>
          <w:sz w:val="21"/>
          <w:szCs w:val="21"/>
          <w:color w:val="231F20"/>
          <w:spacing w:val="-1"/>
        </w:rPr>
        <w:t>12%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。发病时间为</w:t>
      </w:r>
      <w:r>
        <w:rPr>
          <w:sz w:val="21"/>
          <w:szCs w:val="21"/>
          <w:color w:val="231F20"/>
          <w:spacing w:val="-1"/>
        </w:rPr>
        <w:t>6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1"/>
        </w:rPr>
        <w:t>13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周。神经毒性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包括多发性神经病变、面部神经麻痹、脱髓鞘、重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症肌无力、急性炎症性脱髓鞘性多发性神经病、后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部可逆性脑白质病、横向脊髓炎、肠神经病变、脑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炎和无菌性脑膜炎。</w:t>
      </w:r>
    </w:p>
    <w:p>
      <w:pPr>
        <w:pStyle w:val="BodyText"/>
        <w:ind w:left="735" w:right="356" w:hanging="6"/>
        <w:spacing w:before="3" w:line="2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4.2.1    </w:t>
      </w:r>
      <w:r>
        <w:rPr>
          <w:rFonts w:ascii="SimSun" w:hAnsi="SimSun" w:eastAsia="SimSun" w:cs="SimSun"/>
          <w:sz w:val="21"/>
          <w:szCs w:val="21"/>
          <w:color w:val="231F20"/>
        </w:rPr>
        <w:t>临床表现  大多数免疫相关性神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经系统毒性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</w:t>
      </w:r>
      <w:r>
        <w:rPr>
          <w:sz w:val="21"/>
          <w:szCs w:val="21"/>
          <w:color w:val="231F20"/>
          <w:spacing w:val="-2"/>
        </w:rPr>
        <w:t>1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级非特异性症状，</w:t>
      </w:r>
      <w:r>
        <w:rPr>
          <w:sz w:val="21"/>
          <w:szCs w:val="21"/>
          <w:color w:val="231F20"/>
          <w:spacing w:val="-2"/>
        </w:rPr>
        <w:t>3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级及以上免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疫相关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性神经系统毒性发生率低于</w:t>
      </w:r>
      <w:r>
        <w:rPr>
          <w:sz w:val="21"/>
          <w:szCs w:val="21"/>
          <w:color w:val="231F20"/>
          <w:spacing w:val="5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。有这些症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状的患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者通常出现在开始治疗的</w:t>
      </w:r>
      <w:r>
        <w:rPr>
          <w:sz w:val="21"/>
          <w:szCs w:val="21"/>
          <w:color w:val="231F20"/>
          <w:spacing w:val="-6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周内（</w:t>
      </w:r>
      <w:r>
        <w:rPr>
          <w:sz w:val="21"/>
          <w:szCs w:val="21"/>
          <w:color w:val="231F20"/>
          <w:spacing w:val="-6"/>
        </w:rPr>
        <w:t>2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6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周）。</w:t>
      </w:r>
    </w:p>
    <w:p>
      <w:pPr>
        <w:pStyle w:val="BodyText"/>
        <w:ind w:left="733" w:right="297" w:hanging="4"/>
        <w:spacing w:before="101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4.2.2    </w:t>
      </w:r>
      <w:r>
        <w:rPr>
          <w:rFonts w:ascii="SimSun" w:hAnsi="SimSun" w:eastAsia="SimSun" w:cs="SimSun"/>
          <w:sz w:val="21"/>
          <w:szCs w:val="21"/>
          <w:color w:val="231F20"/>
        </w:rPr>
        <w:t>诊断  常规需要检查血清肌酸激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酶和肌钙蛋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白水平。肌肉活检标本的肌内膜和肌膜周区域经常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被巨噬细胞密集浸润，并有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7"/>
        </w:rPr>
        <w:t>8</w:t>
      </w:r>
      <w:r>
        <w:rPr>
          <w:sz w:val="12"/>
          <w:szCs w:val="12"/>
          <w:color w:val="231F20"/>
          <w:spacing w:val="7"/>
          <w:position w:val="9"/>
        </w:rPr>
        <w:t>+</w:t>
      </w:r>
      <w:r>
        <w:rPr>
          <w:sz w:val="12"/>
          <w:szCs w:val="12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7"/>
        </w:rPr>
        <w:t>4</w:t>
      </w:r>
      <w:r>
        <w:rPr>
          <w:sz w:val="12"/>
          <w:szCs w:val="12"/>
          <w:color w:val="231F20"/>
          <w:spacing w:val="7"/>
          <w:position w:val="9"/>
        </w:rPr>
        <w:t>+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7"/>
        </w:rPr>
        <w:t>20</w:t>
      </w:r>
      <w:r>
        <w:rPr>
          <w:sz w:val="12"/>
          <w:szCs w:val="12"/>
          <w:color w:val="231F20"/>
          <w:spacing w:val="7"/>
          <w:position w:val="9"/>
        </w:rPr>
        <w:t>+</w:t>
      </w:r>
      <w:r>
        <w:rPr>
          <w:sz w:val="12"/>
          <w:szCs w:val="12"/>
          <w:color w:val="231F20"/>
          <w:position w:val="9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免疫细胞聚集。神经肌电图和肌肉活检样本的检查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也是区分重症肌无力和坏死性肌炎的有用方法。脑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炎和</w:t>
      </w:r>
      <w:r>
        <w:rPr>
          <w:sz w:val="21"/>
          <w:szCs w:val="21"/>
          <w:color w:val="231F20"/>
          <w:spacing w:val="-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或无菌性脑膜炎患者会有中枢神经系统症状，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如癫痫、精神错乱、共济失调甚至失忆，应进行广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泛的诊断检查，以排除感染性、代谢性和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或毒性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并发症、副肿瘤现象以及中枢神经转移的可能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性。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脑脊液检查可显示多克隆淋巴细胞增多和蛋白质浓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度升高。脑部</w:t>
      </w:r>
      <w:r>
        <w:rPr>
          <w:sz w:val="21"/>
          <w:szCs w:val="21"/>
          <w:color w:val="231F20"/>
          <w:spacing w:val="-3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通常无明显异常。</w:t>
      </w:r>
    </w:p>
    <w:p>
      <w:pPr>
        <w:pStyle w:val="BodyText"/>
        <w:ind w:left="3" w:right="73" w:hanging="3"/>
        <w:spacing w:before="6" w:line="29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4.2.3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鉴别诊断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由于症状非特异性、临床表现差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异性和鉴别诊断繁多。诊断免疫相关性神经系统毒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性需要排除其他病因导致的中枢和周围神经系统症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状，如肿瘤进展、中枢神经系统转移、感染、糖尿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病神经病变或维生素</w:t>
      </w:r>
      <w:r>
        <w:rPr>
          <w:sz w:val="21"/>
          <w:szCs w:val="21"/>
          <w:color w:val="231F20"/>
          <w:spacing w:val="6"/>
        </w:rPr>
        <w:t>B</w:t>
      </w:r>
      <w:r>
        <w:rPr>
          <w:sz w:val="12"/>
          <w:szCs w:val="12"/>
          <w:color w:val="231F20"/>
          <w:spacing w:val="6"/>
          <w:position w:val="-3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缺乏等，因此需要详细询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问病史、全面神经系统检测，脑部</w:t>
      </w:r>
      <w:r>
        <w:rPr>
          <w:sz w:val="21"/>
          <w:szCs w:val="21"/>
          <w:color w:val="231F20"/>
        </w:rPr>
        <w:t>MRI</w:t>
      </w:r>
      <w:r>
        <w:rPr>
          <w:rFonts w:ascii="SimSun" w:hAnsi="SimSun" w:eastAsia="SimSun" w:cs="SimSun"/>
          <w:sz w:val="21"/>
          <w:szCs w:val="21"/>
          <w:color w:val="231F20"/>
        </w:rPr>
        <w:t>、脑脊液检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查，如有必要可行活检明确诊断。建议尽早咨询神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经科医生。</w:t>
      </w:r>
    </w:p>
    <w:p>
      <w:pPr>
        <w:pStyle w:val="BodyText"/>
        <w:spacing w:before="100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4.2.4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16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5" w:right="15" w:hanging="5"/>
        <w:spacing w:before="99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4.3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骨骼肌毒性  肌炎是罕见的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治疗并发症，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有时可致命。肌炎主要见于接受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抑制剂单药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或联合治疗的患者。</w:t>
      </w:r>
    </w:p>
    <w:p>
      <w:pPr>
        <w:pStyle w:val="BodyText"/>
        <w:ind w:left="3" w:right="73" w:hanging="3"/>
        <w:spacing w:before="4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4.3.1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患者主诉无力，偶有肌痛，难以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将手臂举过头顶，难以站立和行走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；严重时，可能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会出现吞咽困难、声音嘶哑和呼吸困难的症状。</w:t>
      </w:r>
    </w:p>
    <w:p>
      <w:pPr>
        <w:pStyle w:val="BodyText"/>
        <w:spacing w:before="101" w:line="1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4.3.2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诊断  临床医生应确认在接受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治疗后开</w:t>
      </w:r>
    </w:p>
    <w:p>
      <w:pPr>
        <w:spacing w:line="185" w:lineRule="auto"/>
        <w:sectPr>
          <w:type w:val="continuous"/>
          <w:pgSz w:w="11906" w:h="16158"/>
          <w:pgMar w:top="1233" w:right="1004" w:bottom="400" w:left="407" w:header="772" w:footer="0" w:gutter="0"/>
          <w:cols w:equalWidth="0" w:num="2">
            <w:col w:w="5703" w:space="100"/>
            <w:col w:w="469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83" w:lineRule="exact"/>
        <w:rPr/>
      </w:pPr>
      <w:r/>
    </w:p>
    <w:tbl>
      <w:tblPr>
        <w:tblStyle w:val="TableNormal"/>
        <w:tblW w:w="9683" w:type="dxa"/>
        <w:tblInd w:w="67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9683"/>
      </w:tblGrid>
      <w:tr>
        <w:trPr>
          <w:trHeight w:val="395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4523"/>
              <w:spacing w:before="118" w:line="219" w:lineRule="auto"/>
              <w:rPr/>
            </w:pPr>
            <w:r>
              <w:rPr>
                <w:color w:val="231F20"/>
                <w:spacing w:val="-2"/>
              </w:rPr>
              <w:t>神经毒性</w:t>
            </w:r>
          </w:p>
        </w:tc>
      </w:tr>
    </w:tbl>
    <w:p>
      <w:pPr>
        <w:ind w:firstLine="2082"/>
        <w:spacing w:line="262" w:lineRule="exact"/>
        <w:rPr/>
      </w:pPr>
      <w:r>
        <w:pict>
          <v:shape id="_x0000_s380" style="position:absolute;margin-left:275.844pt;margin-top:6.10699pt;mso-position-vertical-relative:text;mso-position-horizontal-relative:text;width:0.5pt;height:7.3pt;z-index:25204121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82" style="position:absolute;margin-left:447.317pt;margin-top:6.10699pt;mso-position-vertical-relative:text;mso-position-horizontal-relative:text;width:0.5pt;height:7.3pt;z-index:25204019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84" style="position:absolute;margin-left:104.48pt;margin-top:5.73199pt;mso-position-vertical-relative:text;mso-position-horizontal-relative:text;width:343.45pt;height:0.5pt;z-index:252044288;" filled="false" strokecolor="#231F20" strokeweight="0.50pt" coordsize="6869,10" coordorigin="0,0" path="m0,5l6868,5e">
            <v:stroke joinstyle="miter" miterlimit="10"/>
          </v:shape>
        </w:pict>
      </w:r>
      <w:r>
        <w:pict>
          <v:shape id="_x0000_s386" style="position:absolute;margin-left:104.372pt;margin-top:57.6617pt;mso-position-vertical-relative:text;mso-position-horizontal-relative:text;width:0.5pt;height:7.3pt;z-index:-25129369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88" style="position:absolute;margin-left:275.844pt;margin-top:57.6597pt;mso-position-vertical-relative:text;mso-position-horizontal-relative:text;width:0.5pt;height:7.3pt;z-index:25203507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90" style="position:absolute;margin-left:447.317pt;margin-top:57.6617pt;mso-position-vertical-relative:text;mso-position-horizontal-relative:text;width:0.5pt;height:7.3pt;z-index:25203302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392" style="position:absolute;margin-left:361.277pt;margin-top:16.0699pt;mso-position-vertical-relative:text;mso-position-horizontal-relative:text;width:157.95pt;height:42.3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7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3</w:t>
                        </w:r>
                        <w:r>
                          <w:rPr>
                            <w:color w:val="231F20"/>
                            <w:spacing w:val="-3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127" w:right="125" w:hanging="7"/>
                          <w:spacing w:before="8" w:line="233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无法自理且需要急救，具有生命威胁如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呼吸困难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94" style="position:absolute;margin-left:199.726pt;margin-top:16.07pt;mso-position-vertical-relative:text;mso-position-horizontal-relative:text;width:152.25pt;height:42.35pt;z-index:252027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99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994"/>
                  </w:tblGrid>
                  <w:tr>
                    <w:trPr>
                      <w:trHeight w:val="786" w:hRule="atLeast"/>
                    </w:trPr>
                    <w:tc>
                      <w:tcPr>
                        <w:tcW w:w="2994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113" w:line="222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级</w:t>
                        </w:r>
                        <w:r>
                          <w:rPr>
                            <w:color w:val="231F20"/>
                            <w:spacing w:val="-3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119"/>
                          <w:spacing w:before="7" w:line="220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影响日常行为生活，任何轻度脑部症状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1299141</wp:posOffset>
            </wp:positionH>
            <wp:positionV relativeFrom="paragraph">
              <wp:posOffset>145895</wp:posOffset>
            </wp:positionV>
            <wp:extent cx="4408156" cy="72478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156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3476842</wp:posOffset>
            </wp:positionH>
            <wp:positionV relativeFrom="paragraph">
              <wp:posOffset>800614</wp:posOffset>
            </wp:positionV>
            <wp:extent cx="52755" cy="7247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396" style="mso-position-vertical-relative:line;mso-position-horizontal-relative:char;width:172pt;height:13.2pt;" filled="false" strokecolor="#231F20" strokeweight="0.50pt" coordsize="3440,263" coordorigin="0,0" path="m3434,0l3434,113m5,118l5,263e">
            <v:stroke joinstyle="miter" miterlimit="10"/>
          </v:shape>
        </w:pict>
      </w:r>
    </w:p>
    <w:p>
      <w:pPr>
        <w:spacing w:line="78" w:lineRule="exact"/>
        <w:rPr/>
      </w:pPr>
      <w:r/>
    </w:p>
    <w:tbl>
      <w:tblPr>
        <w:tblStyle w:val="TableNormal"/>
        <w:tblW w:w="2824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824"/>
      </w:tblGrid>
      <w:tr>
        <w:trPr>
          <w:trHeight w:val="786" w:hRule="atLeast"/>
        </w:trPr>
        <w:tc>
          <w:tcPr>
            <w:tcW w:w="2824" w:type="dxa"/>
            <w:vAlign w:val="top"/>
          </w:tcPr>
          <w:p>
            <w:pPr>
              <w:pStyle w:val="TableText"/>
              <w:ind w:left="132"/>
              <w:spacing w:before="213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</w:t>
            </w:r>
            <w:r>
              <w:rPr>
                <w:color w:val="231F20"/>
                <w:spacing w:val="-7"/>
              </w:rPr>
              <w:t>级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：</w:t>
            </w:r>
          </w:p>
          <w:p>
            <w:pPr>
              <w:pStyle w:val="TableText"/>
              <w:ind w:left="120"/>
              <w:spacing w:before="7" w:line="220" w:lineRule="auto"/>
              <w:rPr/>
            </w:pPr>
            <w:r>
              <w:rPr>
                <w:color w:val="231F20"/>
                <w:spacing w:val="-1"/>
              </w:rPr>
              <w:t>无症状，无功能影响</w:t>
            </w:r>
          </w:p>
        </w:tc>
      </w:tr>
    </w:tbl>
    <w:p>
      <w:pPr>
        <w:ind w:firstLine="2045"/>
        <w:spacing w:before="112" w:line="114" w:lineRule="exact"/>
        <w:rPr/>
      </w:pPr>
      <w:r>
        <w:pict>
          <v:shape id="_x0000_s398" style="position:absolute;margin-left:199.726pt;margin-top:10.339pt;mso-position-vertical-relative:text;mso-position-horizontal-relative:text;width:152.25pt;height:82.3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99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994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2994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3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6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2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ICI</w:t>
                        </w:r>
                        <w:r>
                          <w:rPr>
                            <w:color w:val="231F20"/>
                            <w:spacing w:val="-2"/>
                          </w:rPr>
                          <w:t>治疗直至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2"/>
                          </w:rPr>
                          <w:t>1</w:t>
                        </w:r>
                        <w:r>
                          <w:rPr>
                            <w:color w:val="231F20"/>
                            <w:spacing w:val="-2"/>
                          </w:rPr>
                          <w:t>级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294" w:right="112" w:hanging="172"/>
                          <w:spacing w:before="9" w:line="227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•   </w:t>
                        </w:r>
                        <w:r>
                          <w:rPr>
                            <w:color w:val="231F20"/>
                            <w:spacing w:val="4"/>
                          </w:rPr>
                          <w:t>初步使用泼尼松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/</w:t>
                        </w:r>
                        <w:r>
                          <w:rPr>
                            <w:color w:val="231F20"/>
                            <w:spacing w:val="4"/>
                          </w:rPr>
                          <w:t>甲泼尼龙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0.5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～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1.0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mg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/</w:t>
                        </w:r>
                        <w:r>
                          <w:rPr>
                            <w:color w:val="231F20"/>
                            <w:spacing w:val="4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</w:rPr>
                          <w:t>kg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•d</w:t>
                        </w:r>
                        <w:r>
                          <w:rPr>
                            <w:color w:val="231F20"/>
                            <w:spacing w:val="4"/>
                          </w:rPr>
                          <w:t>）和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4"/>
                          </w:rPr>
                          <w:t>/</w:t>
                        </w:r>
                        <w:r>
                          <w:rPr>
                            <w:color w:val="231F20"/>
                            <w:spacing w:val="4"/>
                          </w:rPr>
                          <w:t>或普瑞巴林或度洛西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汀镇痛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00" style="position:absolute;margin-left:361.277pt;margin-top:10.339pt;mso-position-vertical-relative:text;mso-position-horizontal-relative:text;width:157.95pt;height:82.35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08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108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3108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3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7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3"/>
                          </w:rPr>
                          <w:t>暂停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ICI</w:t>
                        </w:r>
                        <w:r>
                          <w:rPr>
                            <w:color w:val="231F20"/>
                            <w:spacing w:val="-3"/>
                          </w:rPr>
                          <w:t>治疗</w:t>
                        </w:r>
                        <w:r>
                          <w:rPr>
                            <w:color w:val="231F20"/>
                            <w:spacing w:val="-4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300" w:right="67" w:hanging="178"/>
                          <w:spacing w:before="8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•   </w:t>
                        </w:r>
                        <w:r>
                          <w:rPr>
                            <w:color w:val="231F20"/>
                            <w:spacing w:val="-5"/>
                          </w:rPr>
                          <w:t>初步使用泼尼松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/</w:t>
                        </w:r>
                        <w:r>
                          <w:rPr>
                            <w:color w:val="231F20"/>
                            <w:spacing w:val="-5"/>
                          </w:rPr>
                          <w:t>甲泼尼龙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mg/</w:t>
                        </w:r>
                        <w:r>
                          <w:rPr>
                            <w:color w:val="231F20"/>
                            <w:spacing w:val="-5"/>
                          </w:rPr>
                          <w:t>（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5"/>
                          </w:rPr>
                          <w:t>kg•d</w:t>
                        </w:r>
                        <w:r>
                          <w:rPr>
                            <w:color w:val="231F20"/>
                            <w:spacing w:val="-38"/>
                            <w:w w:val="91"/>
                          </w:rPr>
                          <w:t>），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静脉注射</w:t>
                        </w:r>
                        <w:r>
                          <w:rPr>
                            <w:color w:val="231F20"/>
                            <w:spacing w:val="-3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302" w:right="112" w:hanging="180"/>
                          <w:spacing w:before="10" w:line="225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6"/>
                          </w:rPr>
                          <w:t>•   </w:t>
                        </w:r>
                        <w:r>
                          <w:rPr>
                            <w:color w:val="231F20"/>
                            <w:spacing w:val="6"/>
                          </w:rPr>
                          <w:t>血浆置换或静脉注射用免疫球蛋可用 </w:t>
                        </w:r>
                        <w:r>
                          <w:rPr>
                            <w:color w:val="231F20"/>
                            <w:spacing w:val="-1"/>
                          </w:rPr>
                          <w:t>于肌无力和吉兰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-</w:t>
                        </w:r>
                        <w:r>
                          <w:rPr>
                            <w:color w:val="231F20"/>
                            <w:spacing w:val="-1"/>
                          </w:rPr>
                          <w:t>巴雷综合征</w:t>
                        </w:r>
                        <w:r>
                          <w:rPr>
                            <w:color w:val="231F20"/>
                            <w:spacing w:val="-3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9" w:line="219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1"/>
                          </w:rPr>
                          <w:t>•   </w:t>
                        </w:r>
                        <w:r>
                          <w:rPr>
                            <w:color w:val="231F20"/>
                            <w:spacing w:val="-1"/>
                          </w:rPr>
                          <w:t>神经科医生参与治疗</w:t>
                        </w:r>
                        <w:r>
                          <w:rPr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122"/>
                          <w:spacing w:before="10" w:line="22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231F20"/>
                            <w:spacing w:val="-3"/>
                          </w:rPr>
                          <w:t>•    </w:t>
                        </w:r>
                        <w:r>
                          <w:rPr>
                            <w:color w:val="231F20"/>
                            <w:spacing w:val="-3"/>
                          </w:rPr>
                          <w:t>日常监测神经功能±生活能力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5654542</wp:posOffset>
            </wp:positionH>
            <wp:positionV relativeFrom="paragraph">
              <wp:posOffset>71533</wp:posOffset>
            </wp:positionV>
            <wp:extent cx="52755" cy="7247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52755" cy="7247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" cy="7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824" w:type="dxa"/>
        <w:tblInd w:w="67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824"/>
      </w:tblGrid>
      <w:tr>
        <w:trPr>
          <w:trHeight w:val="1586" w:hRule="atLeast"/>
        </w:trPr>
        <w:tc>
          <w:tcPr>
            <w:tcW w:w="2824" w:type="dxa"/>
            <w:vAlign w:val="top"/>
          </w:tcPr>
          <w:p>
            <w:pPr>
              <w:pStyle w:val="TableText"/>
              <w:ind w:left="302" w:right="68" w:hanging="180"/>
              <w:spacing w:before="113" w:line="22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•   </w:t>
            </w:r>
            <w:r>
              <w:rPr>
                <w:color w:val="231F20"/>
                <w:spacing w:val="-3"/>
              </w:rPr>
              <w:t>可考虑暂停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ICI</w:t>
            </w:r>
            <w:r>
              <w:rPr>
                <w:color w:val="231F20"/>
                <w:spacing w:val="-3"/>
              </w:rPr>
              <w:t>治疗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；如继续使用，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则需严密监测症状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</w:t>
            </w:r>
            <w:r>
              <w:rPr>
                <w:color w:val="231F20"/>
                <w:spacing w:val="-1"/>
              </w:rPr>
              <w:t>周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"/>
              </w:rPr>
              <w:t>；</w:t>
            </w:r>
          </w:p>
          <w:p>
            <w:pPr>
              <w:pStyle w:val="TableText"/>
              <w:ind w:left="122"/>
              <w:spacing w:before="9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•   </w:t>
            </w:r>
            <w:r>
              <w:rPr>
                <w:color w:val="231F20"/>
                <w:spacing w:val="-1"/>
              </w:rPr>
              <w:t>严密监测任何进展</w:t>
            </w:r>
          </w:p>
        </w:tc>
      </w:tr>
    </w:tbl>
    <w:p>
      <w:pPr>
        <w:pStyle w:val="BodyText"/>
        <w:ind w:left="4141"/>
        <w:spacing w:before="173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16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相关神经毒性的诊疗流程</w:t>
      </w:r>
    </w:p>
    <w:p>
      <w:pPr>
        <w:pStyle w:val="BodyText"/>
        <w:ind w:left="1001"/>
        <w:spacing w:before="47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为免疫检查点抑制剂。</w:t>
      </w:r>
    </w:p>
    <w:p>
      <w:pPr>
        <w:spacing w:before="87"/>
        <w:rPr/>
      </w:pPr>
      <w:r/>
    </w:p>
    <w:p>
      <w:pPr>
        <w:sectPr>
          <w:headerReference w:type="default" r:id="rId75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ind w:left="677" w:right="356" w:firstLine="1"/>
        <w:spacing w:before="41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始出现症状，并排除任何具有相似症状的既往风湿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病，如肿瘤相关性肌炎。</w:t>
      </w:r>
    </w:p>
    <w:p>
      <w:pPr>
        <w:pStyle w:val="BodyText"/>
        <w:ind w:left="676" w:right="298" w:hanging="3"/>
        <w:spacing w:before="1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4.3.3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鉴别诊断  鉴别诊断包括肌无力的其他原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因，如肌肉营养不良、药物性肌病（如既往使用他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汀类药物或皮质类固醇）、神经综合征和激素紊乱，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如甲状腺功能减退或肾上腺功能不全。表现为肌痛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者，则主要与纤维肌痛、风湿性多肌痛等其他引起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肌痛的疾病进行鉴别。</w:t>
      </w:r>
    </w:p>
    <w:p>
      <w:pPr>
        <w:pStyle w:val="BodyText"/>
        <w:ind w:left="673"/>
        <w:spacing w:before="99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4.3.4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17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4" w:right="282" w:hanging="1"/>
        <w:spacing w:before="9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4.4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输注反应  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相关的输注反应大多轻微，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可伴有低热、寒战、头痛或恶心。在其他所有</w:t>
      </w:r>
      <w:r>
        <w:rPr>
          <w:sz w:val="21"/>
          <w:szCs w:val="21"/>
          <w:color w:val="231F20"/>
          <w:spacing w:val="-9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中，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发生严重或高级别输注反应的患者不足</w:t>
      </w:r>
      <w:r>
        <w:rPr>
          <w:sz w:val="21"/>
          <w:szCs w:val="21"/>
          <w:color w:val="231F20"/>
          <w:spacing w:val="5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。其余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的任何级别输注反应发生率，阿替利珠单抗为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3"/>
        </w:rPr>
        <w:t>1.3%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、度伐利尤单抗为</w:t>
      </w:r>
      <w:r>
        <w:rPr>
          <w:sz w:val="21"/>
          <w:szCs w:val="21"/>
          <w:color w:val="231F20"/>
          <w:spacing w:val="-3"/>
        </w:rPr>
        <w:t>2.2%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、</w:t>
      </w:r>
      <w:r>
        <w:rPr>
          <w:sz w:val="21"/>
          <w:szCs w:val="21"/>
          <w:color w:val="231F20"/>
          <w:spacing w:val="-3"/>
        </w:rPr>
        <w:t>PD-1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抑制剂＜ </w:t>
      </w:r>
      <w:r>
        <w:rPr>
          <w:sz w:val="21"/>
          <w:szCs w:val="21"/>
          <w:color w:val="231F20"/>
          <w:spacing w:val="-3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伊匹木单抗单药治疗不足</w:t>
      </w:r>
      <w:r>
        <w:rPr>
          <w:sz w:val="21"/>
          <w:szCs w:val="21"/>
          <w:color w:val="231F20"/>
          <w:spacing w:val="-1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" w:hanging="6"/>
        <w:spacing w:before="102" w:line="2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4.4.1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临床表现  输注反应的症状可有发热、发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冷、寒战， 荨麻疹</w:t>
      </w:r>
      <w:r>
        <w:rPr>
          <w:sz w:val="21"/>
          <w:szCs w:val="21"/>
          <w:color w:val="231F20"/>
          <w:spacing w:val="-1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瘙痒，血管性水肿，潮红，头痛，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高血压或低血压，和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或气短、咳嗽或哮鸣。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还可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能出现低氧血症、头晕</w:t>
      </w:r>
      <w:r>
        <w:rPr>
          <w:sz w:val="21"/>
          <w:szCs w:val="21"/>
          <w:color w:val="231F20"/>
          <w:spacing w:val="-9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晕厥、出汗、关节痛或肌痛。</w:t>
      </w:r>
    </w:p>
    <w:p>
      <w:pPr>
        <w:pStyle w:val="BodyText"/>
        <w:ind w:left="3" w:right="74" w:hanging="3"/>
        <w:spacing w:before="100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4.4.2    </w:t>
      </w:r>
      <w:r>
        <w:rPr>
          <w:rFonts w:ascii="SimSun" w:hAnsi="SimSun" w:eastAsia="SimSun" w:cs="SimSun"/>
          <w:sz w:val="21"/>
          <w:szCs w:val="21"/>
          <w:color w:val="231F20"/>
        </w:rPr>
        <w:t>处理  对于可能出现输注反应的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患者，进行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体格检查、监测生命体征和脉搏血氧饱和度，并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在患者出现胸痛或持续性心动过速时进行心电图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检查。</w:t>
      </w:r>
    </w:p>
    <w:p>
      <w:pPr>
        <w:pStyle w:val="BodyText"/>
        <w:ind w:left="3" w:right="74" w:firstLine="437"/>
        <w:spacing w:before="9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级输注反应可以不必中断输液，或下调输液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速度或暂停直至症状消失，然后在耐受的情况下恢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复输注，同时在后续输注时使用对乙酰氨基酚、法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莫替丁和苯海拉明等进行预处理。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级反应考虑暂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停输注，使用</w:t>
      </w:r>
      <w:r>
        <w:rPr>
          <w:sz w:val="21"/>
          <w:szCs w:val="21"/>
          <w:color w:val="231F20"/>
        </w:rPr>
        <w:t>NSAIDs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、抗组胺药物、阿片类药物</w:t>
      </w:r>
    </w:p>
    <w:p>
      <w:pPr>
        <w:spacing w:line="308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48" w:space="100"/>
            <w:col w:w="469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ind w:left="5123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骨骼肌毒性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9139"/>
        <w:spacing w:before="1" w:line="202" w:lineRule="exact"/>
        <w:rPr/>
      </w:pP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425513</wp:posOffset>
            </wp:positionH>
            <wp:positionV relativeFrom="paragraph">
              <wp:posOffset>-441988</wp:posOffset>
            </wp:positionV>
            <wp:extent cx="6155410" cy="232865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410" cy="232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2" style="position:absolute;margin-left:100.12pt;margin-top:0.281662pt;mso-position-vertical-relative:text;mso-position-horizontal-relative:text;width:0.5pt;height:10.15pt;z-index:252037120;" filled="false" strokecolor="#231F20" strokeweight="0.50pt" coordsize="10,202" coordorigin="0,0" path="m5,0l5,202e">
            <v:stroke joinstyle="miter" miterlimit="10"/>
          </v:shape>
        </w:pict>
      </w:r>
      <w:r>
        <w:rPr>
          <w:position w:val="-4"/>
        </w:rPr>
        <w:drawing>
          <wp:inline distT="0" distB="0" distL="0" distR="0">
            <wp:extent cx="6350" cy="12827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58"/>
        <w:spacing w:before="194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04" style="position:absolute;margin-left:206.063pt;margin-top:8.73346pt;mso-position-vertical-relative:text;mso-position-horizontal-relative:text;width:139.35pt;height:31.55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：</w:t>
                  </w:r>
                </w:p>
                <w:p>
                  <w:pPr>
                    <w:ind w:left="24" w:right="20" w:firstLine="13"/>
                    <w:spacing w:before="8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中度症状伴或不伴疼痛，影响使用工具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性日常生活功能</w:t>
                  </w:r>
                </w:p>
              </w:txbxContent>
            </v:textbox>
          </v:shape>
        </w:pict>
      </w:r>
      <w:r>
        <w:pict>
          <v:shape id="_x0000_s406" style="position:absolute;margin-left:39.0188pt;margin-top:13.7328pt;mso-position-vertical-relative:text;mso-position-horizontal-relative:text;width:81.7pt;height:21.55pt;z-index:25203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：</w:t>
                  </w:r>
                </w:p>
                <w:p>
                  <w:pPr>
                    <w:ind w:left="20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轻度症状伴或不伴疼痛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</w:p>
    <w:p>
      <w:pPr>
        <w:ind w:left="7660" w:right="205" w:hanging="1"/>
        <w:spacing w:before="7" w:line="2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严重肌痛、虚弱，影响自理日常生活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功能</w:t>
      </w:r>
    </w:p>
    <w:p>
      <w:pPr>
        <w:ind w:left="9139"/>
        <w:spacing w:before="79" w:line="202" w:lineRule="exact"/>
        <w:rPr/>
      </w:pPr>
      <w:r>
        <w:pict>
          <v:shape id="_x0000_s408" style="position:absolute;margin-left:100.12pt;margin-top:4.17612pt;mso-position-vertical-relative:text;mso-position-horizontal-relative:text;width:0.5pt;height:10.1pt;z-index:252038144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410" style="position:absolute;margin-left:275.844pt;margin-top:4.17801pt;mso-position-vertical-relative:text;mso-position-horizontal-relative:text;width:0.5pt;height:10.1pt;z-index:252039168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412" style="position:absolute;margin-left:206.335pt;margin-top:23.2704pt;mso-position-vertical-relative:text;mso-position-horizontal-relative:text;width:139.1pt;height:51.2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0" w:right="20" w:hanging="180"/>
                    <w:spacing w:before="20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暂停</w:t>
                  </w:r>
                  <w:r>
                    <w:rPr>
                      <w:sz w:val="16"/>
                      <w:szCs w:val="16"/>
                      <w:color w:val="231F20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治疗至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级，肌酸激酶恢复至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正常水平并且泼尼松剂量＜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10 mg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15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对乙酰氨基酚或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进行镇痛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197" w:right="36" w:hanging="177"/>
                    <w:spacing w:before="10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>若肌酸激酶≥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>倍正常值上限，则口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服泼尼松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0.5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1.0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414" style="position:absolute;margin-left:39.1148pt;margin-top:23.2704pt;mso-position-vertical-relative:text;mso-position-horizontal-relative:text;width:122.45pt;height:31.55pt;z-index:25202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188" w:right="20" w:hanging="169"/>
                    <w:spacing w:before="9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若无禁忌，可使用对乙氨基酚或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进行镇痛</w:t>
                  </w:r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6350" cy="12827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40" w:right="207" w:hanging="179"/>
        <w:spacing w:before="204" w:line="22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暂停</w:t>
      </w:r>
      <w:r>
        <w:rPr>
          <w:sz w:val="16"/>
          <w:szCs w:val="16"/>
          <w:color w:val="231F20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；若心肌受累，则永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久中止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7661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风湿科、神经科会诊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7661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考虑住院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7661"/>
        <w:spacing w:before="10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使用泼尼松</w:t>
      </w:r>
      <w:r>
        <w:rPr>
          <w:sz w:val="16"/>
          <w:szCs w:val="16"/>
          <w:color w:val="231F20"/>
          <w:spacing w:val="-3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甲泼尼龙</w:t>
      </w:r>
      <w:r>
        <w:rPr>
          <w:sz w:val="16"/>
          <w:szCs w:val="16"/>
          <w:color w:val="231F20"/>
          <w:spacing w:val="-3"/>
        </w:rPr>
        <w:t>1 mg/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sz w:val="16"/>
          <w:szCs w:val="16"/>
          <w:color w:val="231F20"/>
          <w:spacing w:val="-3"/>
        </w:rPr>
        <w:t>kg•d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>）；</w:t>
      </w:r>
    </w:p>
    <w:p>
      <w:pPr>
        <w:pStyle w:val="BodyText"/>
        <w:ind w:left="7661"/>
        <w:spacing w:before="16" w:line="21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16" style="position:absolute;margin-left:39.1148pt;margin-top:9.80081pt;mso-position-vertical-relative:text;mso-position-horizontal-relative:text;width:121.6pt;height:11.55pt;z-index:25203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如患者发生肌酸激酶升高伴肌无力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考虑血浆置换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7661"/>
        <w:spacing w:before="11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考虑静脉注射用免疫球蛋白治疗</w:t>
      </w:r>
    </w:p>
    <w:p>
      <w:pPr>
        <w:pStyle w:val="BodyText"/>
        <w:ind w:left="4051"/>
        <w:spacing w:before="266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17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相关骨骼肌毒性的诊疗流程</w:t>
      </w:r>
    </w:p>
    <w:p>
      <w:pPr>
        <w:pStyle w:val="BodyText"/>
        <w:ind w:left="1001"/>
        <w:spacing w:before="48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NSAIDs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为非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甾体抗炎药。</w:t>
      </w:r>
    </w:p>
    <w:p>
      <w:pPr>
        <w:spacing w:line="200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83"/>
          <w:pgSz w:w="11906" w:h="16158"/>
          <w:pgMar w:top="1233" w:right="1003" w:bottom="400" w:left="407" w:header="772" w:footer="0" w:gutter="0"/>
          <w:cols w:equalWidth="0" w:num="1">
            <w:col w:w="10495" w:space="0"/>
          </w:cols>
        </w:sectPr>
        <w:rPr/>
      </w:pPr>
    </w:p>
    <w:p>
      <w:pPr>
        <w:ind w:left="733" w:right="289" w:firstLine="1"/>
        <w:spacing w:before="41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和皮质类固醇对症处理，并考虑在后续输注时使用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对乙酰氨基酚、法莫替丁和苯海拉明进行预处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理。</w:t>
      </w:r>
    </w:p>
    <w:p>
      <w:pPr>
        <w:pStyle w:val="BodyText"/>
        <w:ind w:left="754" w:right="304" w:hanging="20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3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级输注反应需永久停用</w:t>
      </w:r>
      <w:r>
        <w:rPr>
          <w:sz w:val="21"/>
          <w:szCs w:val="21"/>
          <w:color w:val="231F20"/>
          <w:spacing w:val="-6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，并予以对症处理，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同时请过敏相关的专科会诊。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 w:firstLine="430"/>
        <w:spacing w:before="3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临床医生应参考每种免疫治疗药物的处方信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息，以获得有关预防输注反应的用药前建议。但通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常不建议在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治疗前使用糖皮质激素来预防输注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反应。诊疗流程见图</w:t>
      </w:r>
      <w:r>
        <w:rPr>
          <w:sz w:val="21"/>
          <w:szCs w:val="21"/>
          <w:color w:val="231F20"/>
          <w:spacing w:val="-1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308" w:lineRule="auto"/>
        <w:sectPr>
          <w:type w:val="continuous"/>
          <w:pgSz w:w="11906" w:h="16158"/>
          <w:pgMar w:top="1233" w:right="1003" w:bottom="400" w:left="407" w:header="772" w:footer="0" w:gutter="0"/>
          <w:cols w:equalWidth="0" w:num="2">
            <w:col w:w="5709" w:space="100"/>
            <w:col w:w="46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39" w:lineRule="exact"/>
        <w:rPr/>
      </w:pPr>
      <w:r/>
    </w:p>
    <w:tbl>
      <w:tblPr>
        <w:tblStyle w:val="TableNormal"/>
        <w:tblW w:w="9683" w:type="dxa"/>
        <w:tblInd w:w="73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3"/>
      </w:tblGrid>
      <w:tr>
        <w:trPr>
          <w:trHeight w:val="386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4522"/>
              <w:spacing w:before="113" w:line="220" w:lineRule="auto"/>
              <w:rPr/>
            </w:pPr>
            <w:r>
              <w:rPr>
                <w:color w:val="231F20"/>
                <w:spacing w:val="-2"/>
              </w:rPr>
              <w:t>输注反应</w:t>
            </w:r>
          </w:p>
        </w:tc>
      </w:tr>
    </w:tbl>
    <w:p>
      <w:pPr>
        <w:ind w:left="5567"/>
        <w:spacing w:line="145" w:lineRule="exact"/>
        <w:rPr/>
      </w:pPr>
      <w:r>
        <w:drawing>
          <wp:anchor distT="0" distB="0" distL="0" distR="0" simplePos="0" relativeHeight="252073984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71521</wp:posOffset>
            </wp:positionV>
            <wp:extent cx="6155397" cy="235040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23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50" cy="92252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78"/>
        <w:spacing w:before="204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体格检查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3578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监测生命体征和脉搏血氧饱和度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3578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心电图检查（如果存在胸痛或持续性心动过速）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420" style="position:absolute;margin-left:278.632pt;margin-top:4.76501pt;mso-position-vertical-relative:text;mso-position-horizontal-relative:text;width:0.5pt;height:5.7pt;z-index:252072960;" filled="false" strokecolor="#231F20" strokeweight="0.50pt" coordsize="10,113" coordorigin="0,0" path="m5,0l5,113e">
            <v:stroke joinstyle="miter" miterlimit="10"/>
          </v:shape>
        </w:pict>
      </w:r>
      <w:r>
        <w:pict>
          <v:shape id="_x0000_s422" style="position:absolute;margin-left:92.9858pt;margin-top:10.685pt;mso-position-vertical-relative:text;mso-position-horizontal-relative:text;width:0.5pt;height:7.3pt;z-index:25206886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24" style="position:absolute;margin-left:216.75pt;margin-top:10.685pt;mso-position-vertical-relative:text;mso-position-horizontal-relative:text;width:0.5pt;height:7.3pt;z-index:25206988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26" style="position:absolute;margin-left:340.513pt;margin-top:10.685pt;mso-position-vertical-relative:text;mso-position-horizontal-relative:text;width:0.5pt;height:7.3pt;z-index:25207091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28" style="position:absolute;margin-left:464.277pt;margin-top:10.685pt;mso-position-vertical-relative:text;mso-position-horizontal-relative:text;width:0.5pt;height:7.3pt;z-index:252071936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277"/>
        <w:spacing w:before="52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30" style="position:absolute;margin-left:42.3982pt;margin-top:1.61575pt;mso-position-vertical-relative:text;mso-position-horizontal-relative:text;width:21.25pt;height:11.65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9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9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9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432" style="position:absolute;margin-left:289.318pt;margin-top:1.61575pt;mso-position-vertical-relative:text;mso-position-horizontal-relative:text;width:21.85pt;height:11.6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5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5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434" style="position:absolute;margin-left:165.394pt;margin-top:1.61575pt;mso-position-vertical-relative:text;mso-position-horizontal-relative:text;width:22pt;height:11.65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4"/>
                    </w:rPr>
                    <w:t>：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4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</w:p>
    <w:p>
      <w:pPr>
        <w:ind w:left="8731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36" style="position:absolute;margin-left:64.3298pt;margin-top:-0.595846pt;mso-position-vertical-relative:text;mso-position-horizontal-relative:text;width:57.7pt;height:11.55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轻度一过性反应</w:t>
                  </w:r>
                </w:p>
              </w:txbxContent>
            </v:textbox>
          </v:shape>
        </w:pict>
      </w:r>
      <w:r>
        <w:pict>
          <v:shape id="_x0000_s438" style="position:absolute;margin-left:323.857pt;margin-top:-0.595846pt;mso-position-vertical-relative:text;mso-position-horizontal-relative:text;width:33.7pt;height:11.55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严重反应</w:t>
                  </w:r>
                </w:p>
              </w:txbxContent>
            </v:textbox>
          </v:shape>
        </w:pict>
      </w:r>
      <w:r>
        <w:pict>
          <v:shape id="_x0000_s440" style="position:absolute;margin-left:188.814pt;margin-top:-0.595846pt;mso-position-vertical-relative:text;mso-position-horizontal-relative:text;width:56.95pt;height:11.5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中度较重的反应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威胁生命的后果</w:t>
      </w:r>
    </w:p>
    <w:p>
      <w:pPr>
        <w:spacing w:line="388" w:lineRule="auto"/>
        <w:rPr>
          <w:rFonts w:ascii="Arial"/>
          <w:sz w:val="21"/>
        </w:rPr>
      </w:pPr>
      <w:r>
        <w:pict>
          <v:shape id="_x0000_s442" style="position:absolute;margin-left:92.9858pt;margin-top:4.89343pt;mso-position-vertical-relative:text;mso-position-horizontal-relative:text;width:0.5pt;height:7.3pt;z-index:25206579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44" style="position:absolute;margin-left:216.75pt;margin-top:4.89343pt;mso-position-vertical-relative:text;mso-position-horizontal-relative:text;width:0.5pt;height:7.3pt;z-index:252066816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46" style="position:absolute;margin-left:340.513pt;margin-top:4.89343pt;mso-position-vertical-relative:text;mso-position-horizontal-relative:text;width:0.5pt;height:7.3pt;z-index:25206476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48" style="position:absolute;margin-left:464.277pt;margin-top:4.89343pt;mso-position-vertical-relative:text;mso-position-horizontal-relative:text;width:0.5pt;height:7.3pt;z-index:252067840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50" style="position:absolute;margin-left:41.9022pt;margin-top:21.153pt;mso-position-vertical-relative:text;mso-position-horizontal-relative:text;width:104.85pt;height:71.55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7" w:right="70" w:hanging="178"/>
                    <w:spacing w:before="19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>不必中断输液，或下调输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液速度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50%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spacing w:before="8"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或暂停输液直至症状消失；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3"/>
                      <w:w w:val="97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3"/>
                      <w:w w:val="97"/>
                    </w:rPr>
                    <w:t>可选用</w:t>
                  </w:r>
                  <w:r>
                    <w:rPr>
                      <w:sz w:val="16"/>
                      <w:szCs w:val="16"/>
                      <w:color w:val="231F20"/>
                      <w:spacing w:val="-13"/>
                      <w:w w:val="97"/>
                    </w:rPr>
                    <w:t>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3"/>
                      <w:w w:val="97"/>
                    </w:rPr>
                    <w:t>、抗组胺药物；</w:t>
                  </w:r>
                </w:p>
                <w:p>
                  <w:pPr>
                    <w:pStyle w:val="BodyText"/>
                    <w:ind w:left="196" w:right="63" w:hanging="176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后续治疗可考虑使用对乙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酰氨基酚、法莫替丁、苯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海拉明进行预处理</w:t>
                  </w:r>
                </w:p>
              </w:txbxContent>
            </v:textbox>
          </v:shape>
        </w:pict>
      </w:r>
      <w:r>
        <w:pict>
          <v:shape id="_x0000_s452" style="position:absolute;margin-left:289.43pt;margin-top:21.153pt;mso-position-vertical-relative:text;mso-position-horizontal-relative:text;width:105.5pt;height:61.55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永久停用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ICI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88" w:right="20" w:hanging="169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对症处理（如抗组胺药物、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NSAIDs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、阿片类药物、皮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质类固醇等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）；</w:t>
                  </w:r>
                </w:p>
                <w:p>
                  <w:pPr>
                    <w:pStyle w:val="BodyText"/>
                    <w:ind w:left="20"/>
                    <w:spacing w:before="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请相关专科会诊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住院治疗其他临床后遗症</w:t>
                  </w:r>
                </w:p>
              </w:txbxContent>
            </v:textbox>
          </v:shape>
        </w:pict>
      </w:r>
      <w:r>
        <w:pict>
          <v:shape id="_x0000_s454" style="position:absolute;margin-left:413.194pt;margin-top:21.153pt;mso-position-vertical-relative:text;mso-position-horizontal-relative:text;width:77.4pt;height:31.55pt;z-index:25205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永久停用相关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ICI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紧急处理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ICU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住院治疗</w:t>
                  </w:r>
                </w:p>
              </w:txbxContent>
            </v:textbox>
          </v:shape>
        </w:pict>
      </w:r>
      <w:r/>
    </w:p>
    <w:p>
      <w:pPr>
        <w:pStyle w:val="BodyText"/>
        <w:ind w:left="3509" w:right="5149" w:hanging="176"/>
        <w:spacing w:before="53" w:line="22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20"/>
        </w:rPr>
        <w:t>•</w:t>
      </w:r>
      <w:r>
        <w:rPr>
          <w:sz w:val="16"/>
          <w:szCs w:val="16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20"/>
        </w:rPr>
        <w:t>暂时中断输注至恢复到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0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；</w:t>
      </w:r>
    </w:p>
    <w:p>
      <w:pPr>
        <w:pStyle w:val="BodyText"/>
        <w:ind w:left="3502" w:right="5091" w:hanging="169"/>
        <w:spacing w:before="8" w:line="22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对症处理（如抗组胺药物、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NSAIDs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，必要时应用皮质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类固醇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）；</w:t>
      </w:r>
    </w:p>
    <w:p>
      <w:pPr>
        <w:pStyle w:val="BodyText"/>
        <w:ind w:left="3333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重启输注前</w:t>
      </w:r>
      <w:r>
        <w:rPr>
          <w:sz w:val="16"/>
          <w:szCs w:val="16"/>
          <w:color w:val="231F20"/>
          <w:spacing w:val="-1"/>
        </w:rPr>
        <w:t>24 h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内预处理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3333"/>
        <w:spacing w:before="10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输注时减慢滴速</w:t>
      </w:r>
      <w:r>
        <w:rPr>
          <w:sz w:val="16"/>
          <w:szCs w:val="16"/>
          <w:color w:val="231F20"/>
          <w:spacing w:val="-1"/>
        </w:rPr>
        <w:t>50%</w:t>
      </w:r>
    </w:p>
    <w:p>
      <w:pPr>
        <w:pStyle w:val="BodyText"/>
        <w:ind w:left="4197"/>
        <w:spacing w:before="265" w:line="17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18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相关输注反应的诊疗流程</w:t>
      </w:r>
    </w:p>
    <w:p>
      <w:pPr>
        <w:pStyle w:val="BodyText"/>
        <w:ind w:left="1057"/>
        <w:spacing w:before="48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NSAIDs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为非甾体抗炎药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为免疫检查点抑制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ICU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为重症监护病房。</w:t>
      </w:r>
    </w:p>
    <w:p>
      <w:pPr>
        <w:spacing w:line="190" w:lineRule="exact"/>
        <w:rPr/>
      </w:pPr>
      <w:r/>
    </w:p>
    <w:p>
      <w:pPr>
        <w:spacing w:line="190" w:lineRule="exact"/>
        <w:sectPr>
          <w:type w:val="continuous"/>
          <w:pgSz w:w="11906" w:h="16158"/>
          <w:pgMar w:top="1233" w:right="1003" w:bottom="400" w:left="407" w:header="772" w:footer="0" w:gutter="0"/>
          <w:cols w:equalWidth="0" w:num="1">
            <w:col w:w="10495" w:space="0"/>
          </w:cols>
        </w:sectPr>
        <w:rPr/>
      </w:pPr>
    </w:p>
    <w:p>
      <w:pPr>
        <w:pStyle w:val="BodyText"/>
        <w:ind w:left="733" w:right="262" w:hanging="4"/>
        <w:spacing w:before="44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4.5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肾脏毒性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的肾脏毒性主要表现为急性肾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损伤（</w:t>
      </w:r>
      <w:r>
        <w:rPr>
          <w:sz w:val="21"/>
          <w:szCs w:val="21"/>
          <w:color w:val="231F20"/>
          <w:spacing w:val="-5"/>
        </w:rPr>
        <w:t>acute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-5"/>
        </w:rPr>
        <w:t>kidney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-5"/>
        </w:rPr>
        <w:t>injury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  <w:r>
        <w:rPr>
          <w:sz w:val="21"/>
          <w:szCs w:val="21"/>
          <w:color w:val="231F20"/>
          <w:spacing w:val="-5"/>
        </w:rPr>
        <w:t>1.0%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-5"/>
        </w:rPr>
        <w:t>1.7%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患者使用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单药治疗后出现血肌酐升高，</w:t>
      </w:r>
      <w:r>
        <w:rPr>
          <w:sz w:val="21"/>
          <w:szCs w:val="21"/>
          <w:color w:val="231F20"/>
        </w:rPr>
        <w:t>3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</w:rPr>
        <w:t>4</w:t>
      </w:r>
      <w:r>
        <w:rPr>
          <w:rFonts w:ascii="SimSun" w:hAnsi="SimSun" w:eastAsia="SimSun" w:cs="SimSun"/>
          <w:sz w:val="21"/>
          <w:szCs w:val="21"/>
          <w:color w:val="231F20"/>
        </w:rPr>
        <w:t>级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的比例为</w:t>
      </w:r>
      <w:r>
        <w:rPr>
          <w:sz w:val="21"/>
          <w:szCs w:val="21"/>
          <w:color w:val="231F20"/>
          <w:spacing w:val="-1"/>
        </w:rPr>
        <w:t>0.2%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"/>
        </w:rPr>
        <w:t>0.8%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，而不同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联合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治疗的患者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</w:t>
      </w:r>
      <w:r>
        <w:rPr>
          <w:sz w:val="21"/>
          <w:szCs w:val="21"/>
          <w:color w:val="231F20"/>
          <w:spacing w:val="4"/>
        </w:rPr>
        <w:t>4.9%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4"/>
        </w:rPr>
        <w:t>5.1%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出现血肌酐升高，</w:t>
      </w:r>
      <w:r>
        <w:rPr>
          <w:sz w:val="21"/>
          <w:szCs w:val="21"/>
          <w:color w:val="231F20"/>
          <w:spacing w:val="4"/>
        </w:rPr>
        <w:t>3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级的比例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</w:t>
      </w:r>
      <w:r>
        <w:rPr>
          <w:sz w:val="21"/>
          <w:szCs w:val="21"/>
          <w:color w:val="231F20"/>
          <w:spacing w:val="-3"/>
        </w:rPr>
        <w:t>1.7%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3"/>
        </w:rPr>
        <w:t>2.2%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734" w:right="261" w:firstLine="424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与其他药物不同，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导致的</w:t>
      </w:r>
      <w:r>
        <w:rPr>
          <w:sz w:val="21"/>
          <w:szCs w:val="21"/>
          <w:color w:val="231F20"/>
          <w:spacing w:val="-2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往往发生在启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动药物治疗后较长时间。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8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抑制剂引起的肾损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伤往往在治疗启动后的</w:t>
      </w:r>
      <w:r>
        <w:rPr>
          <w:sz w:val="21"/>
          <w:szCs w:val="21"/>
          <w:color w:val="231F20"/>
          <w:spacing w:val="3"/>
        </w:rPr>
        <w:t>3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3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个月出现，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3"/>
        </w:rPr>
        <w:t>-4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抑制剂相关的肾损伤出现更早，一般发生在治疗启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动后的</w:t>
      </w:r>
      <w:r>
        <w:rPr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个月。与其他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报道一样，联合使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用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4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抑制剂和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4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抑制剂时，更易发生肾脏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毒性。</w:t>
      </w:r>
    </w:p>
    <w:p>
      <w:pPr>
        <w:pStyle w:val="BodyText"/>
        <w:ind w:left="732" w:right="203" w:hanging="3"/>
        <w:spacing w:before="4" w:line="2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4.5.1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发生</w:t>
      </w:r>
      <w:r>
        <w:rPr>
          <w:sz w:val="21"/>
          <w:szCs w:val="21"/>
          <w:color w:val="231F20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的患者中只有约</w:t>
      </w:r>
      <w:r>
        <w:rPr>
          <w:sz w:val="21"/>
          <w:szCs w:val="21"/>
          <w:color w:val="231F20"/>
          <w:spacing w:val="2"/>
        </w:rPr>
        <w:t>15%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现少尿或高血压，大部分患者无临床表现，因此，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对于接受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治疗的患者密切监测血肌酐非常重要，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否则容易漏诊。</w:t>
      </w:r>
    </w:p>
    <w:p>
      <w:pPr>
        <w:pStyle w:val="BodyText"/>
        <w:ind w:left="732" w:right="205" w:hanging="3"/>
        <w:spacing w:before="100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4.5.2 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诊断和鉴别诊断  根据</w:t>
      </w:r>
      <w:r>
        <w:rPr>
          <w:sz w:val="21"/>
          <w:szCs w:val="21"/>
          <w:color w:val="231F20"/>
          <w:spacing w:val="7"/>
        </w:rPr>
        <w:t>2012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改善全球肾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脏病预后组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织（</w:t>
      </w:r>
      <w:r>
        <w:rPr>
          <w:sz w:val="21"/>
          <w:szCs w:val="21"/>
          <w:color w:val="231F20"/>
        </w:rPr>
        <w:t>Kidney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</w:rPr>
        <w:t>Disease</w:t>
      </w:r>
      <w:r>
        <w:rPr>
          <w:sz w:val="21"/>
          <w:szCs w:val="21"/>
          <w:color w:val="231F20"/>
          <w:spacing w:val="10"/>
        </w:rPr>
        <w:t>: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</w:rPr>
        <w:t>Improving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Global  </w:t>
      </w:r>
      <w:r>
        <w:rPr>
          <w:sz w:val="21"/>
          <w:szCs w:val="21"/>
          <w:color w:val="231F20"/>
          <w:spacing w:val="-2"/>
        </w:rPr>
        <w:t>Outcomes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KDIGO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）发布的指南</w:t>
      </w:r>
      <w:r>
        <w:rPr>
          <w:sz w:val="12"/>
          <w:szCs w:val="12"/>
          <w:color w:val="231F20"/>
          <w:spacing w:val="-2"/>
          <w:position w:val="9"/>
        </w:rPr>
        <w:t>[82]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定义为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：</w:t>
      </w:r>
    </w:p>
    <w:p>
      <w:pPr>
        <w:pStyle w:val="BodyText"/>
        <w:ind w:left="733"/>
        <w:spacing w:before="101" w:line="1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①</w:t>
      </w:r>
      <w:r>
        <w:rPr>
          <w:sz w:val="21"/>
          <w:szCs w:val="21"/>
          <w:color w:val="231F20"/>
          <w:spacing w:val="-1"/>
        </w:rPr>
        <w:t>48 h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内血肌酐上升≥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1"/>
        </w:rPr>
        <w:t>0.3 mg/dl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(≥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1"/>
        </w:rPr>
        <w:t>26.5 μmol/L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）；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0" w:right="82" w:hanging="3"/>
        <w:spacing w:before="4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②已知或推测</w:t>
      </w:r>
      <w:r>
        <w:rPr>
          <w:sz w:val="21"/>
          <w:szCs w:val="21"/>
          <w:color w:val="231F20"/>
          <w:spacing w:val="5"/>
        </w:rPr>
        <w:t>7</w:t>
      </w:r>
      <w:r>
        <w:rPr>
          <w:sz w:val="21"/>
          <w:szCs w:val="21"/>
          <w:color w:val="231F20"/>
          <w:spacing w:val="29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之内发生的肾损伤，血肌酐上升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至≥基础值的</w:t>
      </w:r>
      <w:r>
        <w:rPr>
          <w:sz w:val="21"/>
          <w:szCs w:val="21"/>
          <w:color w:val="231F20"/>
          <w:spacing w:val="-3"/>
        </w:rPr>
        <w:t>1.5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倍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；③尿量＜ </w:t>
      </w:r>
      <w:r>
        <w:rPr>
          <w:sz w:val="21"/>
          <w:szCs w:val="21"/>
          <w:color w:val="231F20"/>
          <w:spacing w:val="-3"/>
        </w:rPr>
        <w:t>0.5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3"/>
        </w:rPr>
        <w:t>m</w:t>
      </w:r>
      <w:r>
        <w:rPr>
          <w:sz w:val="21"/>
          <w:szCs w:val="21"/>
          <w:color w:val="231F20"/>
          <w:spacing w:val="-4"/>
        </w:rPr>
        <w:t>l/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kg•h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续</w:t>
      </w:r>
      <w:r>
        <w:rPr>
          <w:sz w:val="21"/>
          <w:szCs w:val="21"/>
          <w:color w:val="231F20"/>
          <w:spacing w:val="5"/>
        </w:rPr>
        <w:t>6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h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。满足以上三者之一，即可诊断。结合血肌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酐上升幅度及尿量情况，将</w:t>
      </w:r>
      <w:r>
        <w:rPr>
          <w:sz w:val="21"/>
          <w:szCs w:val="21"/>
          <w:color w:val="231F20"/>
          <w:spacing w:val="-1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分为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期，见表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98" w:firstLine="423"/>
        <w:spacing w:before="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大部分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导致的</w:t>
      </w:r>
      <w:r>
        <w:rPr>
          <w:sz w:val="21"/>
          <w:szCs w:val="21"/>
          <w:color w:val="231F20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肾脏病理表现为急性间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质性肾炎，肾间质可见大量淋巴细胞、少量浆细胞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和嗜酸性粒细胞浸润，与其他药物导致的急性间质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性肾炎并无明显区别。除急性间质性肾炎外，急性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肾小管坏死也不少见。此外，也有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引起肾小球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病变的报道，此类患者除血肌酐升高外，往往合并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不同程度尿检异常甚至肾病综合征。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治疗患者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肾小球病变表现多样，包括微小病变、</w:t>
      </w:r>
      <w:r>
        <w:rPr>
          <w:sz w:val="21"/>
          <w:szCs w:val="21"/>
          <w:color w:val="231F20"/>
        </w:rPr>
        <w:t>IgA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肾病、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膜性肾病、淀粉样变性、狼疮性肾炎等。此外，肉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芽肿性多血管炎、血栓性微血管病等也有报道。</w:t>
      </w:r>
    </w:p>
    <w:p>
      <w:pPr>
        <w:pStyle w:val="BodyText"/>
        <w:ind w:firstLine="94"/>
        <w:spacing w:before="1" w:line="29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4.5.3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处理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由于急性间质性肾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炎是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所致</w:t>
      </w:r>
      <w:r>
        <w:rPr>
          <w:sz w:val="21"/>
          <w:szCs w:val="21"/>
          <w:color w:val="231F20"/>
        </w:rPr>
        <w:t>AKI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的主要病理类型，因此糖皮质激素是首选治疗药物。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通常口服泼尼松</w:t>
      </w:r>
      <w:r>
        <w:rPr>
          <w:sz w:val="21"/>
          <w:szCs w:val="21"/>
          <w:color w:val="231F20"/>
          <w:spacing w:val="4"/>
        </w:rPr>
        <w:t>0.5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4"/>
        </w:rPr>
        <w:t>1.0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sz w:val="21"/>
          <w:szCs w:val="21"/>
          <w:color w:val="231F20"/>
        </w:rPr>
        <w:t>kg</w:t>
      </w:r>
      <w:r>
        <w:rPr>
          <w:sz w:val="21"/>
          <w:szCs w:val="21"/>
          <w:color w:val="231F20"/>
          <w:spacing w:val="4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）并根据临床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反应缓慢停药，如未改善或肾功能仍进一步恶化，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口服应升级为静脉注射，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剂量为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6"/>
        </w:rPr>
        <w:t>2 mg/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</w:t>
      </w:r>
      <w:r>
        <w:rPr>
          <w:sz w:val="21"/>
          <w:szCs w:val="21"/>
          <w:color w:val="231F20"/>
          <w:spacing w:val="-6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级或</w:t>
      </w:r>
      <w:r>
        <w:rPr>
          <w:sz w:val="21"/>
          <w:szCs w:val="21"/>
          <w:color w:val="231F20"/>
          <w:spacing w:val="2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级肾脏毒性患者依据美国临床肿瘤学会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American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  <w:spacing w:val="-1"/>
        </w:rPr>
        <w:t>Society of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-1"/>
        </w:rPr>
        <w:t>Clinical Oncology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ASCO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）指</w:t>
      </w:r>
    </w:p>
    <w:p>
      <w:pPr>
        <w:spacing w:line="292" w:lineRule="auto"/>
        <w:sectPr>
          <w:type w:val="continuous"/>
          <w:pgSz w:w="11906" w:h="16158"/>
          <w:pgMar w:top="1233" w:right="1003" w:bottom="400" w:left="407" w:header="772" w:footer="0" w:gutter="0"/>
          <w:cols w:equalWidth="0" w:num="2">
            <w:col w:w="5609" w:space="100"/>
            <w:col w:w="47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4688"/>
        <w:spacing w:before="182" w:line="180" w:lineRule="auto"/>
        <w:outlineLvl w:val="0"/>
        <w:rPr>
          <w:sz w:val="10"/>
          <w:szCs w:val="10"/>
        </w:rPr>
      </w:pP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表</w:t>
      </w:r>
      <w:r>
        <w:rPr>
          <w:b/>
          <w:bCs/>
          <w:color w:val="231F20"/>
          <w:spacing w:val="-1"/>
          <w:position w:val="-1"/>
        </w:rPr>
        <w:t>1</w:t>
      </w:r>
      <w:r>
        <w:rPr>
          <w:b/>
          <w:bCs/>
          <w:color w:val="231F20"/>
          <w:spacing w:val="15"/>
          <w:position w:val="-1"/>
        </w:rPr>
        <w:t xml:space="preserve">   </w:t>
      </w:r>
      <w:r>
        <w:rPr>
          <w:b/>
          <w:bCs/>
          <w:color w:val="231F20"/>
          <w:spacing w:val="-1"/>
          <w:position w:val="-1"/>
        </w:rPr>
        <w:t>AKI</w:t>
      </w: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分期标准</w:t>
      </w:r>
      <w:r>
        <w:rPr>
          <w:sz w:val="10"/>
          <w:szCs w:val="10"/>
          <w:b/>
          <w:bCs/>
          <w:color w:val="231F20"/>
          <w:spacing w:val="-1"/>
          <w:position w:val="7"/>
        </w:rPr>
        <w:t>[82]</w:t>
      </w:r>
    </w:p>
    <w:p>
      <w:pPr>
        <w:spacing w:line="5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93" w:type="dxa"/>
        <w:tblInd w:w="6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8"/>
        <w:gridCol w:w="5778"/>
        <w:gridCol w:w="2398"/>
        <w:gridCol w:w="1059"/>
      </w:tblGrid>
      <w:tr>
        <w:trPr>
          <w:trHeight w:val="209" w:hRule="atLeast"/>
        </w:trPr>
        <w:tc>
          <w:tcPr>
            <w:tcW w:w="45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"/>
              <w:spacing w:before="23" w:line="203" w:lineRule="auto"/>
              <w:rPr/>
            </w:pPr>
            <w:r>
              <w:rPr>
                <w:color w:val="231F20"/>
                <w:spacing w:val="-3"/>
              </w:rPr>
              <w:t>分期</w:t>
            </w:r>
          </w:p>
        </w:tc>
        <w:tc>
          <w:tcPr>
            <w:tcW w:w="57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98"/>
              <w:spacing w:before="23" w:line="203" w:lineRule="auto"/>
              <w:rPr/>
            </w:pPr>
            <w:r>
              <w:rPr>
                <w:color w:val="231F20"/>
                <w:spacing w:val="-1"/>
              </w:rPr>
              <w:t>血肌酐标准</w:t>
            </w:r>
          </w:p>
        </w:tc>
        <w:tc>
          <w:tcPr>
            <w:tcW w:w="23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09"/>
              <w:spacing w:before="23" w:line="203" w:lineRule="auto"/>
              <w:rPr/>
            </w:pPr>
            <w:r>
              <w:rPr>
                <w:color w:val="231F20"/>
                <w:spacing w:val="-1"/>
              </w:rPr>
              <w:t>尿量标准</w:t>
            </w:r>
          </w:p>
        </w:tc>
        <w:tc>
          <w:tcPr>
            <w:tcW w:w="10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8" w:hRule="atLeast"/>
        </w:trPr>
        <w:tc>
          <w:tcPr>
            <w:tcW w:w="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"/>
              <w:spacing w:before="25" w:line="21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</w:t>
            </w:r>
            <w:r>
              <w:rPr>
                <w:color w:val="231F20"/>
                <w:spacing w:val="-10"/>
              </w:rPr>
              <w:t>期</w:t>
            </w:r>
          </w:p>
        </w:tc>
        <w:tc>
          <w:tcPr>
            <w:tcW w:w="57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25" w:line="211" w:lineRule="auto"/>
              <w:rPr/>
            </w:pPr>
            <w:r>
              <w:rPr>
                <w:color w:val="231F20"/>
                <w:spacing w:val="-1"/>
              </w:rPr>
              <w:t>血肌酐达基础值的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1.5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～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1.9</w:t>
            </w:r>
            <w:r>
              <w:rPr>
                <w:color w:val="231F20"/>
                <w:spacing w:val="-1"/>
              </w:rPr>
              <w:t>倍或上升≥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 mg/dl  </w:t>
            </w:r>
            <w:r>
              <w:rPr>
                <w:color w:val="231F20"/>
                <w:spacing w:val="-1"/>
              </w:rPr>
              <w:t>(≥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26.5 μmol/L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23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26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</w:rPr>
              <w:t>&lt;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0.5 ml/</w:t>
            </w:r>
            <w:r>
              <w:rPr>
                <w:color w:val="231F2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kg•h</w:t>
            </w:r>
            <w:r>
              <w:rPr>
                <w:color w:val="231F20"/>
                <w:spacing w:val="-37"/>
              </w:rPr>
              <w:t>），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12 h</w:t>
            </w:r>
          </w:p>
        </w:tc>
        <w:tc>
          <w:tcPr>
            <w:tcW w:w="1059" w:type="dxa"/>
            <w:vAlign w:val="top"/>
            <w:tcBorders>
              <w:top w:val="single" w:color="231F20" w:sz="2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4" w:hRule="atLeast"/>
        </w:trPr>
        <w:tc>
          <w:tcPr>
            <w:tcW w:w="458" w:type="dxa"/>
            <w:vAlign w:val="top"/>
          </w:tcPr>
          <w:p>
            <w:pPr>
              <w:pStyle w:val="TableText"/>
              <w:ind w:left="120"/>
              <w:spacing w:before="23" w:line="20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</w:t>
            </w:r>
            <w:r>
              <w:rPr>
                <w:color w:val="231F20"/>
                <w:spacing w:val="-2"/>
              </w:rPr>
              <w:t>期</w:t>
            </w:r>
          </w:p>
        </w:tc>
        <w:tc>
          <w:tcPr>
            <w:tcW w:w="5778" w:type="dxa"/>
            <w:vAlign w:val="top"/>
          </w:tcPr>
          <w:p>
            <w:pPr>
              <w:pStyle w:val="TableText"/>
              <w:ind w:left="78"/>
              <w:spacing w:before="23" w:line="208" w:lineRule="auto"/>
              <w:rPr/>
            </w:pPr>
            <w:r>
              <w:rPr>
                <w:color w:val="231F20"/>
                <w:spacing w:val="-2"/>
              </w:rPr>
              <w:t>血肌酐达基础值的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2.0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2.9</w:t>
            </w:r>
            <w:r>
              <w:rPr>
                <w:color w:val="231F20"/>
                <w:spacing w:val="-2"/>
              </w:rPr>
              <w:t>倍</w:t>
            </w:r>
          </w:p>
        </w:tc>
        <w:tc>
          <w:tcPr>
            <w:tcW w:w="2398" w:type="dxa"/>
            <w:vAlign w:val="top"/>
          </w:tcPr>
          <w:p>
            <w:pPr>
              <w:pStyle w:val="TableText"/>
              <w:ind w:left="67"/>
              <w:spacing w:before="24" w:line="20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"/>
              </w:rPr>
              <w:t>&lt;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0.5 ml/</w:t>
            </w:r>
            <w:r>
              <w:rPr>
                <w:color w:val="231F20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kg•h</w:t>
            </w:r>
            <w:r>
              <w:rPr>
                <w:color w:val="231F20"/>
                <w:spacing w:val="-33"/>
              </w:rPr>
              <w:t>），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  <w:spacing w:val="-1"/>
              </w:rPr>
              <w:t>≥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12 h</w:t>
            </w:r>
          </w:p>
        </w:tc>
        <w:tc>
          <w:tcPr>
            <w:tcW w:w="1059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10" w:hRule="atLeast"/>
        </w:trPr>
        <w:tc>
          <w:tcPr>
            <w:tcW w:w="4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3"/>
              <w:spacing w:before="26" w:line="23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</w:t>
            </w:r>
            <w:r>
              <w:rPr>
                <w:color w:val="231F20"/>
                <w:spacing w:val="-4"/>
              </w:rPr>
              <w:t>期</w:t>
            </w:r>
          </w:p>
        </w:tc>
        <w:tc>
          <w:tcPr>
            <w:tcW w:w="57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" w:right="63"/>
              <w:spacing w:before="27" w:line="215" w:lineRule="auto"/>
              <w:rPr/>
            </w:pPr>
            <w:r>
              <w:rPr>
                <w:color w:val="231F20"/>
                <w:spacing w:val="3"/>
              </w:rPr>
              <w:t>血肌酐达基础值的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3</w:t>
            </w:r>
            <w:r>
              <w:rPr>
                <w:color w:val="231F20"/>
                <w:spacing w:val="3"/>
              </w:rPr>
              <w:t>倍，或升至≥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4.0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3"/>
              </w:rPr>
              <w:t>(≥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353.6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mol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/L</w:t>
            </w:r>
            <w:r>
              <w:rPr>
                <w:color w:val="231F20"/>
                <w:spacing w:val="-38"/>
                <w:w w:val="87"/>
              </w:rPr>
              <w:t>）；（</w:t>
            </w:r>
            <w:r>
              <w:rPr>
                <w:color w:val="231F20"/>
                <w:spacing w:val="3"/>
              </w:rPr>
              <w:t>或）开始肾脏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替代治疗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2"/>
                <w:w w:val="75"/>
              </w:rPr>
              <w:t>；（</w:t>
            </w:r>
            <w:r>
              <w:rPr>
                <w:color w:val="231F20"/>
                <w:spacing w:val="-1"/>
              </w:rPr>
              <w:t>或）年龄＜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18</w:t>
            </w:r>
            <w:r>
              <w:rPr>
                <w:color w:val="231F20"/>
                <w:spacing w:val="-1"/>
              </w:rPr>
              <w:t>岁者，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eGFR</w:t>
            </w:r>
            <w:r>
              <w:rPr>
                <w:color w:val="231F20"/>
                <w:spacing w:val="-1"/>
              </w:rPr>
              <w:t>降</w:t>
            </w:r>
            <w:r>
              <w:rPr>
                <w:color w:val="231F20"/>
                <w:spacing w:val="-2"/>
              </w:rPr>
              <w:t>至＜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35 ml/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min•1.73m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2"/>
                <w:position w:val="7"/>
              </w:rPr>
              <w:t>2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23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27" w:line="214" w:lineRule="auto"/>
              <w:jc w:val="right"/>
              <w:rPr/>
            </w:pPr>
            <w:r>
              <w:rPr>
                <w:color w:val="231F20"/>
              </w:rPr>
              <w:t>&lt;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0.3 ml/</w:t>
            </w:r>
            <w:r>
              <w:rPr>
                <w:color w:val="231F2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kg•h</w:t>
            </w:r>
            <w:r>
              <w:rPr>
                <w:color w:val="231F20"/>
                <w:spacing w:val="-37"/>
                <w:w w:val="87"/>
              </w:rPr>
              <w:t>），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</w:rPr>
              <w:t>≥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24 h </w:t>
            </w:r>
            <w:r>
              <w:rPr>
                <w:color w:val="231F20"/>
                <w:spacing w:val="-37"/>
                <w:w w:val="87"/>
              </w:rPr>
              <w:t>；（</w:t>
            </w:r>
            <w:r>
              <w:rPr>
                <w:color w:val="231F20"/>
              </w:rPr>
              <w:t>或）</w:t>
            </w:r>
          </w:p>
        </w:tc>
        <w:tc>
          <w:tcPr>
            <w:tcW w:w="10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"/>
              <w:spacing w:before="26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4"/>
              </w:rPr>
              <w:t>无尿≥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12 h</w:t>
            </w:r>
          </w:p>
        </w:tc>
      </w:tr>
    </w:tbl>
    <w:p>
      <w:pPr>
        <w:pStyle w:val="BodyText"/>
        <w:ind w:left="1001"/>
        <w:spacing w:before="56" w:line="23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AKI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为急性肾损伤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eGFR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为估算肾小球滤过率。</w:t>
      </w: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86"/>
          <w:pgSz w:w="11906" w:h="16158"/>
          <w:pgMar w:top="1233" w:right="1074" w:bottom="400" w:left="407" w:header="772" w:footer="0" w:gutter="0"/>
          <w:cols w:equalWidth="0" w:num="1">
            <w:col w:w="10423" w:space="0"/>
          </w:cols>
        </w:sectPr>
        <w:rPr/>
      </w:pPr>
    </w:p>
    <w:p>
      <w:pPr>
        <w:pStyle w:val="BodyText"/>
        <w:ind w:left="671" w:right="298" w:firstLine="9"/>
        <w:spacing w:before="41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南需要高剂量皮质类固醇初始治疗</w:t>
      </w:r>
      <w:r>
        <w:rPr>
          <w:sz w:val="21"/>
          <w:szCs w:val="21"/>
          <w:color w:val="231F20"/>
          <w:spacing w:val="3"/>
        </w:rPr>
        <w:t>[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泼尼松</w:t>
      </w:r>
      <w:r>
        <w:rPr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甲泼尼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龙</w:t>
      </w:r>
      <w:r>
        <w:rPr>
          <w:sz w:val="21"/>
          <w:szCs w:val="21"/>
          <w:color w:val="231F20"/>
          <w:spacing w:val="2"/>
        </w:rPr>
        <w:t>1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2"/>
        </w:rPr>
        <w:t>2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2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</w:rPr>
        <w:t>kg</w:t>
      </w:r>
      <w:r>
        <w:rPr>
          <w:sz w:val="21"/>
          <w:szCs w:val="21"/>
          <w:color w:val="231F20"/>
          <w:spacing w:val="2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</w:t>
      </w:r>
      <w:r>
        <w:rPr>
          <w:sz w:val="21"/>
          <w:szCs w:val="21"/>
          <w:color w:val="231F20"/>
          <w:spacing w:val="2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。糖皮质激素治疗需要逐渐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减量后停药，持续时间通常超过</w:t>
      </w:r>
      <w:r>
        <w:rPr>
          <w:sz w:val="21"/>
          <w:szCs w:val="21"/>
          <w:color w:val="231F20"/>
          <w:spacing w:val="2"/>
        </w:rPr>
        <w:t>4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2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周，少数患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者在糖皮质激素减量期间发生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相关肾损伤复发，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此时应加用免疫抑制剂治疗。在临床上，可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根据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AKI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的程度决定下一步治疗策略。免疫相关肾脏毒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性的诊疗流程见图</w:t>
      </w:r>
      <w:r>
        <w:rPr>
          <w:sz w:val="21"/>
          <w:szCs w:val="21"/>
          <w:color w:val="231F20"/>
          <w:spacing w:val="-1"/>
        </w:rPr>
        <w:t>19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76" w:right="299" w:hanging="3"/>
        <w:spacing w:before="2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4.6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心脏毒性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心肌炎是所有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病率低，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但病死率最高的疾病。心肌炎一般在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应用的较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早时期即可出现，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项国外注册研究显示心脏毒性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中位发生时间分别为首次用药后</w:t>
      </w:r>
      <w:r>
        <w:rPr>
          <w:sz w:val="21"/>
          <w:szCs w:val="21"/>
          <w:color w:val="231F20"/>
          <w:spacing w:val="1"/>
        </w:rPr>
        <w:t>34</w:t>
      </w:r>
      <w:r>
        <w:rPr>
          <w:sz w:val="21"/>
          <w:szCs w:val="21"/>
          <w:color w:val="231F20"/>
          <w:spacing w:val="41"/>
          <w:w w:val="101"/>
        </w:rPr>
        <w:t xml:space="preserve"> </w:t>
      </w:r>
      <w:r>
        <w:rPr>
          <w:sz w:val="21"/>
          <w:szCs w:val="21"/>
          <w:color w:val="231F20"/>
          <w:spacing w:val="1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</w:t>
      </w:r>
      <w:r>
        <w:rPr>
          <w:sz w:val="21"/>
          <w:szCs w:val="21"/>
          <w:color w:val="231F20"/>
          <w:spacing w:val="1"/>
        </w:rPr>
        <w:t>27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  <w:spacing w:val="1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。心肌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炎在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联合用药、既往有基础心血管疾病、自身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免疫性疾病、糖尿病、肥胖以及</w:t>
      </w:r>
      <w:r>
        <w:rPr>
          <w:sz w:val="21"/>
          <w:szCs w:val="21"/>
          <w:color w:val="231F20"/>
          <w:spacing w:val="-1"/>
        </w:rPr>
        <w:t>80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岁以上患者中更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易发生。目前消化道肿瘤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治疗相关心脏毒性的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8" w:firstLine="9"/>
        <w:spacing w:before="42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临床经验来自更为广泛肿瘤谱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治疗中的心脏毒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性报道。</w:t>
      </w:r>
    </w:p>
    <w:p>
      <w:pPr>
        <w:pStyle w:val="BodyText"/>
        <w:ind w:left="6" w:right="1" w:hanging="7"/>
        <w:spacing w:before="6" w:line="29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4.6.1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由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相关心脏毒性表现形式中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最常见为心肌炎，具体临床表现缺乏特异性，如乏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力、胸闷、心悸、气促和浮肿，多数无明显胸痛，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部分患者无明显症状，另一部分则可在数日内进展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为心源性休克、心搏骤停甚至死亡。此外还可表现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为心律失常、血管炎和心包炎。</w:t>
      </w:r>
    </w:p>
    <w:p>
      <w:pPr>
        <w:pStyle w:val="BodyText"/>
        <w:ind w:left="4" w:hanging="4"/>
        <w:spacing w:before="100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4.6.2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诊断和鉴别诊断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相关心肌炎，由于症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状、体征、实验室检查和辅助检查不具有特异性，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而心肌活检在实际临床实践中开展难度较大，因此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诊断较为困难，为排他性诊断，需仔细鉴别排除其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他临床情况后确定。常用检查包括心电图、心肌标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志物、超声心动图检查。心脏</w:t>
      </w:r>
      <w:r>
        <w:rPr>
          <w:sz w:val="21"/>
          <w:szCs w:val="21"/>
          <w:color w:val="231F20"/>
        </w:rPr>
        <w:t>MRI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检查可见</w:t>
      </w:r>
      <w:r>
        <w:rPr>
          <w:sz w:val="21"/>
          <w:szCs w:val="21"/>
          <w:color w:val="231F20"/>
          <w:spacing w:val="1"/>
        </w:rPr>
        <w:t>T</w:t>
      </w:r>
      <w:r>
        <w:rPr>
          <w:sz w:val="12"/>
          <w:szCs w:val="12"/>
          <w:color w:val="231F20"/>
          <w:spacing w:val="1"/>
          <w:position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加权</w:t>
      </w:r>
    </w:p>
    <w:p>
      <w:pPr>
        <w:spacing w:line="293" w:lineRule="auto"/>
        <w:sectPr>
          <w:type w:val="continuous"/>
          <w:pgSz w:w="11906" w:h="16158"/>
          <w:pgMar w:top="1233" w:right="1074" w:bottom="400" w:left="407" w:header="772" w:footer="0" w:gutter="0"/>
          <w:cols w:equalWidth="0" w:num="2">
            <w:col w:w="5648" w:space="100"/>
            <w:col w:w="467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855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接受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治疗的患者</w:t>
      </w:r>
    </w:p>
    <w:p>
      <w:pPr>
        <w:ind w:left="5511"/>
        <w:spacing w:before="92" w:line="145" w:lineRule="exact"/>
        <w:rPr/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425526</wp:posOffset>
            </wp:positionH>
            <wp:positionV relativeFrom="paragraph">
              <wp:posOffset>-199598</wp:posOffset>
            </wp:positionV>
            <wp:extent cx="6155397" cy="4054703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405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50" cy="92278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75"/>
        <w:spacing w:before="235" w:line="186" w:lineRule="auto"/>
        <w:rPr>
          <w:sz w:val="16"/>
          <w:szCs w:val="16"/>
        </w:rPr>
      </w:pPr>
      <w:r>
        <w:pict>
          <v:shape id="_x0000_s458" style="position:absolute;margin-left:275.017pt;margin-top:24.5538pt;mso-position-vertical-relative:text;mso-position-horizontal-relative:text;width:0.5pt;height:5.7pt;z-index:252108800;" filled="false" strokecolor="#231F20" strokeweight="0.50pt" coordsize="10,113" coordorigin="0,0" path="m5,0l5,113e">
            <v:stroke joinstyle="miter" miterlimit="10"/>
          </v:shape>
        </w:pict>
      </w:r>
      <w:r>
        <w:rPr>
          <w:sz w:val="16"/>
          <w:szCs w:val="16"/>
          <w:color w:val="231F20"/>
          <w:spacing w:val="-1"/>
        </w:rPr>
        <w:t>AKI</w:t>
      </w:r>
    </w:p>
    <w:p>
      <w:pPr>
        <w:ind w:left="7560"/>
        <w:spacing w:before="227" w:line="145" w:lineRule="exact"/>
        <w:rPr/>
      </w:pPr>
      <w:r>
        <w:pict>
          <v:shape id="_x0000_s460" style="position:absolute;margin-left:97.2851pt;margin-top:11.6089pt;mso-position-vertical-relative:text;mso-position-horizontal-relative:text;width:0.5pt;height:7.3pt;z-index:252104704;" filled="false" strokecolor="#231F20" strokeweight="0.50pt" coordsize="10,146" coordorigin="0,0" path="m5,0l5,145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6350" cy="9227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22"/>
        <w:spacing w:before="203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62" style="position:absolute;margin-left:82.2397pt;margin-top:9.12947pt;mso-position-vertical-relative:text;mso-position-horizontal-relative:text;width:30.2pt;height:11.55pt;z-index:25209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AKI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期</w:t>
                  </w:r>
                </w:p>
              </w:txbxContent>
            </v:textbox>
          </v:shape>
        </w:pict>
      </w:r>
      <w:r>
        <w:pict>
          <v:shape id="_x0000_s464" style="position:absolute;margin-left:98.6689pt;margin-top:24.4201pt;mso-position-vertical-relative:text;mso-position-horizontal-relative:text;width:0.5pt;height:5.7pt;z-index:252110848;" filled="false" strokecolor="#231F20" strokeweight="0.50pt" coordsize="10,113" coordorigin="0,0" path="m5,0l5,113e">
            <v:stroke joinstyle="miter" miterlimit="10"/>
          </v:shape>
        </w:pict>
      </w:r>
      <w:r>
        <w:rPr>
          <w:sz w:val="16"/>
          <w:szCs w:val="16"/>
          <w:color w:val="231F20"/>
          <w:spacing w:val="-1"/>
        </w:rPr>
        <w:t>AKI 2/3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ind w:left="6772" w:right="1398" w:firstLine="788"/>
        <w:spacing w:before="92" w:line="393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66" style="position:absolute;margin-left:61.852pt;margin-top:10.6393pt;mso-position-vertical-relative:text;mso-position-horizontal-relative:text;width:71.4pt;height:7.3pt;z-index:252092416;" filled="false" strokecolor="#231F20" strokeweight="0.50pt" coordsize="1428,146" coordorigin="0,0" path="m5,0l5,145m1422,0l1422,145e">
            <v:stroke joinstyle="miter" miterlimit="10"/>
          </v:shape>
        </w:pict>
      </w:r>
      <w:r>
        <w:pict>
          <v:shape id="_x0000_s468" style="position:absolute;margin-left:45.324pt;margin-top:26.7751pt;mso-position-vertical-relative:text;mso-position-horizontal-relative:text;width:104.4pt;height:21.55pt;z-index:252087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8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缓解              进展</w:t>
                  </w:r>
                </w:p>
                <w:p>
                  <w:pPr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继续用药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停止用药</w:t>
                  </w:r>
                </w:p>
              </w:txbxContent>
            </v:textbox>
          </v:shape>
        </w:pict>
      </w:r>
      <w:r>
        <w:pict>
          <v:shape id="_x0000_s470" style="position:absolute;margin-left:378.272pt;margin-top:39.2311pt;mso-position-vertical-relative:text;mso-position-horizontal-relative:text;width:0.5pt;height:5.7pt;z-index:252109824;" filled="false" strokecolor="#231F20" strokeweight="0.50pt" coordsize="10,113" coordorigin="0,0" path="m5,0l5,113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231F20"/>
        </w:rPr>
        <w:drawing>
          <wp:inline distT="0" distB="0" distL="0" distR="0">
            <wp:extent cx="6350" cy="12827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立即转诊肾脏科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停药的同时多学科讨论</w:t>
      </w:r>
    </w:p>
    <w:p>
      <w:pPr>
        <w:ind w:left="5747"/>
        <w:spacing w:before="85" w:line="145" w:lineRule="exact"/>
        <w:rPr/>
      </w:pPr>
      <w:r>
        <w:pict>
          <v:shape id="_x0000_s472" style="position:absolute;margin-left:468.904pt;margin-top:4.49924pt;mso-position-vertical-relative:text;mso-position-horizontal-relative:text;width:0.5pt;height:7.3pt;z-index:252103680;" filled="false" strokecolor="#231F20" strokeweight="0.50pt" coordsize="10,146" coordorigin="0,0" path="m5,0l5,145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6350" cy="92278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44"/>
        <w:spacing w:before="109" w:line="218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74" style="position:absolute;margin-left:254.513pt;margin-top:9.12327pt;mso-position-vertical-relative:text;mso-position-horizontal-relative:text;width:66.6pt;height:11.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考虑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AKI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由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引起</w:t>
                  </w:r>
                </w:p>
              </w:txbxContent>
            </v:textbox>
          </v:shape>
        </w:pict>
      </w:r>
      <w:r>
        <w:pict>
          <v:shape id="_x0000_s476" style="position:absolute;margin-left:425.107pt;margin-top:9.12327pt;mso-position-vertical-relative:text;mso-position-horizontal-relative:text;width:87.95pt;height:11.5pt;z-index:25209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考虑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AKI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由其他因素引起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周后重复评估，持续监测</w:t>
      </w:r>
    </w:p>
    <w:p>
      <w:pPr>
        <w:spacing w:line="297" w:lineRule="auto"/>
        <w:rPr>
          <w:rFonts w:ascii="Arial"/>
          <w:sz w:val="21"/>
        </w:rPr>
      </w:pPr>
      <w:r>
        <w:pict>
          <v:shape id="_x0000_s478" style="position:absolute;margin-left:287.643pt;margin-top:9.52541pt;mso-position-vertical-relative:text;mso-position-horizontal-relative:text;width:0.5pt;height:5.7pt;z-index:252106752;" filled="false" strokecolor="#231F20" strokeweight="0.50pt" coordsize="10,113" coordorigin="0,0" path="m5,0l5,113e">
            <v:stroke joinstyle="miter" miterlimit="10"/>
          </v:shape>
        </w:pict>
      </w:r>
      <w:r/>
    </w:p>
    <w:p>
      <w:pPr>
        <w:spacing w:line="298" w:lineRule="auto"/>
        <w:rPr>
          <w:rFonts w:ascii="Arial"/>
          <w:sz w:val="21"/>
        </w:rPr>
      </w:pPr>
      <w:r>
        <w:pict>
          <v:shape id="_x0000_s480" style="position:absolute;margin-left:225.193pt;margin-top:0.503769pt;mso-position-vertical-relative:text;mso-position-horizontal-relative:text;width:0.5pt;height:7.3pt;z-index:252100608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482" style="position:absolute;margin-left:350.09pt;margin-top:0.503769pt;mso-position-vertical-relative:text;mso-position-horizontal-relative:text;width:0.5pt;height:7.3pt;z-index:252099584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ind w:left="8904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84" style="position:absolute;margin-left:300.355pt;margin-top:1.64672pt;mso-position-vertical-relative:text;mso-position-horizontal-relative:text;width:99.85pt;height:21.55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3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存在肾外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irAEs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无菌性脓尿和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或白细胞管型</w:t>
                  </w:r>
                </w:p>
              </w:txbxContent>
            </v:textbox>
          </v:shape>
        </w:pict>
      </w:r>
      <w:r>
        <w:pict>
          <v:shape id="_x0000_s486" style="position:absolute;margin-left:187.301pt;margin-top:6.64673pt;mso-position-vertical-relative:text;mso-position-horizontal-relative:text;width:75.8pt;height:11.55pt;z-index:25209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没有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irAEs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；尿检正常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针对病因治疗</w:t>
      </w:r>
    </w:p>
    <w:p>
      <w:pPr>
        <w:pStyle w:val="BodyText"/>
        <w:ind w:left="8677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88" style="position:absolute;margin-left:350.09pt;margin-top:14.8514pt;mso-position-vertical-relative:text;mso-position-horizontal-relative:text;width:0.5pt;height:7.3pt;z-index:252098560;" filled="false" strokecolor="#231F20" strokeweight="0.50pt" coordsize="10,146" coordorigin="0,0" path="m5,0l5,145e">
            <v:stroke joinstyle="miter" miterlimit="10"/>
          </v:shape>
        </w:pict>
      </w:r>
      <w:r>
        <w:rPr>
          <w:sz w:val="16"/>
          <w:szCs w:val="16"/>
          <w:color w:val="231F20"/>
          <w:spacing w:val="-1"/>
        </w:rPr>
        <w:t>AKI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恢复后再次用药</w:t>
      </w:r>
    </w:p>
    <w:p>
      <w:pPr>
        <w:pStyle w:val="BodyText"/>
        <w:ind w:left="8556"/>
        <w:spacing w:before="206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周后无改善考虑肾活检</w:t>
      </w:r>
    </w:p>
    <w:p>
      <w:pPr>
        <w:ind w:left="6448"/>
        <w:spacing w:before="47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糖皮质激素治疗</w:t>
      </w:r>
    </w:p>
    <w:p>
      <w:pPr>
        <w:spacing w:line="388" w:lineRule="auto"/>
        <w:rPr>
          <w:rFonts w:ascii="Arial"/>
          <w:sz w:val="21"/>
        </w:rPr>
      </w:pPr>
      <w:r>
        <w:pict>
          <v:shape id="_x0000_s490" style="position:absolute;margin-left:350.09pt;margin-top:4.88318pt;mso-position-vertical-relative:text;mso-position-horizontal-relative:text;width:0.5pt;height:7.3pt;z-index:252097536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pStyle w:val="BodyText"/>
        <w:ind w:left="6238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92" style="position:absolute;margin-left:225.194pt;margin-top:16.9164pt;mso-position-vertical-relative:text;mso-position-horizontal-relative:text;width:0.5pt;height:5.7pt;z-index:252105728;" filled="false" strokecolor="#231F20" strokeweight="0.50pt" coordsize="10,113" coordorigin="0,0" path="m5,0l5,113e">
            <v:stroke joinstyle="miter" miterlimit="10"/>
          </v:shape>
        </w:pict>
      </w:r>
      <w:r>
        <w:pict>
          <v:shape id="_x0000_s494" style="position:absolute;margin-left:284.878pt;margin-top:6.62147pt;mso-position-vertical-relative:text;mso-position-horizontal-relative:text;width:10.15pt;height:0.5pt;z-index:252096512;" filled="false" strokecolor="#231F20" strokeweight="0.50pt" coordsize="202,10" coordorigin="0,0" path="m0,5l202,5e">
            <v:stroke joinstyle="miter" miterlimit="10"/>
          </v:shape>
        </w:pict>
      </w:r>
      <w:r>
        <w:pict>
          <v:shape id="_x0000_s496" style="position:absolute;margin-left:213.193pt;margin-top:1.62419pt;mso-position-vertical-relative:text;mso-position-horizontal-relative:text;width:25pt;height:11.55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肾活检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ATI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未缓解或出现进展</w:t>
      </w:r>
    </w:p>
    <w:p>
      <w:pPr>
        <w:pStyle w:val="BodyText"/>
        <w:ind w:left="6340"/>
        <w:spacing w:before="154" w:line="218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498" style="position:absolute;margin-left:162.744pt;margin-top:10.7009pt;mso-position-vertical-relative:text;mso-position-horizontal-relative:text;width:0.5pt;height:7.3pt;z-index:25210163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500" style="position:absolute;margin-left:287.641pt;margin-top:10.7009pt;mso-position-vertical-relative:text;mso-position-horizontal-relative:text;width:0.5pt;height:7.3pt;z-index:252102656;" filled="false" strokecolor="#231F20" strokeweight="0.50pt" coordsize="10,146" coordorigin="0,0" path="m5,0l5,145e">
            <v:stroke joinstyle="miter" miterlimit="10"/>
          </v:shape>
        </w:pict>
      </w:r>
      <w:r>
        <w:rPr>
          <w:sz w:val="16"/>
          <w:szCs w:val="16"/>
          <w:color w:val="231F20"/>
          <w:spacing w:val="-4"/>
        </w:rPr>
        <w:t>1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4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周后再次评估</w:t>
      </w:r>
    </w:p>
    <w:p>
      <w:pPr>
        <w:pStyle w:val="BodyText"/>
        <w:ind w:left="5200" w:right="3686" w:hanging="430"/>
        <w:spacing w:before="214" w:line="233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02" style="position:absolute;margin-left:112.616pt;margin-top:9.69334pt;mso-position-vertical-relative:text;mso-position-horizontal-relative:text;width:100.35pt;height:21.55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1" w:right="20" w:hanging="131"/>
                    <w:spacing w:before="19" w:line="23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ATI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或其他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非</w:t>
                  </w:r>
                  <w:r>
                    <w:rPr>
                      <w:sz w:val="16"/>
                      <w:szCs w:val="16"/>
                      <w:color w:val="231F20"/>
                    </w:rPr>
                    <w:t>AIN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的病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>理类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型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；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AKI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缓解后再次用药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AIN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：激素治疗</w:t>
      </w:r>
      <w:r>
        <w:rPr>
          <w:sz w:val="16"/>
          <w:szCs w:val="16"/>
          <w:color w:val="231F20"/>
        </w:rPr>
        <w:t>AKI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缓解后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再次用药有争议</w:t>
      </w:r>
    </w:p>
    <w:p>
      <w:pPr>
        <w:pStyle w:val="BodyText"/>
        <w:ind w:left="4141"/>
        <w:spacing w:before="251" w:line="179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19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相关肾脏毒性的诊疗流程</w:t>
      </w:r>
    </w:p>
    <w:p>
      <w:pPr>
        <w:pStyle w:val="BodyText"/>
        <w:ind w:left="1001"/>
        <w:spacing w:before="48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AKI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为急性肾损伤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irAEs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为免疫相关不良事件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ATI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为肾小管损伤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AIN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为急性间质性肾炎。</w:t>
      </w:r>
    </w:p>
    <w:p>
      <w:pPr>
        <w:spacing w:line="200" w:lineRule="auto"/>
        <w:sectPr>
          <w:type w:val="continuous"/>
          <w:pgSz w:w="11906" w:h="16158"/>
          <w:pgMar w:top="1233" w:right="1074" w:bottom="400" w:left="407" w:header="772" w:footer="0" w:gutter="0"/>
          <w:cols w:equalWidth="0" w:num="1">
            <w:col w:w="10423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92"/>
          <w:pgSz w:w="11906" w:h="16158"/>
          <w:pgMar w:top="1233" w:right="1002" w:bottom="400" w:left="407" w:header="772" w:footer="0" w:gutter="0"/>
          <w:cols w:equalWidth="0" w:num="1">
            <w:col w:w="10495" w:space="0"/>
          </w:cols>
        </w:sectPr>
        <w:rPr/>
      </w:pPr>
    </w:p>
    <w:p>
      <w:pPr>
        <w:pStyle w:val="BodyText"/>
        <w:ind w:left="733" w:right="282" w:firstLine="3"/>
        <w:spacing w:before="3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短时间反转恢复序列局部信号增高以及延迟强化。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心内膜活检可见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5"/>
        </w:rPr>
        <w:t>3</w:t>
      </w:r>
      <w:r>
        <w:rPr>
          <w:sz w:val="12"/>
          <w:szCs w:val="12"/>
          <w:color w:val="231F20"/>
          <w:spacing w:val="5"/>
          <w:position w:val="9"/>
        </w:rPr>
        <w:t>+</w:t>
      </w:r>
      <w:r>
        <w:rPr>
          <w:sz w:val="12"/>
          <w:szCs w:val="12"/>
          <w:color w:val="231F20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、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5"/>
        </w:rPr>
        <w:t>4</w:t>
      </w:r>
      <w:r>
        <w:rPr>
          <w:sz w:val="12"/>
          <w:szCs w:val="12"/>
          <w:color w:val="231F20"/>
          <w:spacing w:val="5"/>
          <w:position w:val="9"/>
        </w:rPr>
        <w:t>+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、</w:t>
      </w:r>
      <w:r>
        <w:rPr>
          <w:sz w:val="21"/>
          <w:szCs w:val="21"/>
          <w:color w:val="231F20"/>
        </w:rPr>
        <w:t>CD</w:t>
      </w:r>
      <w:r>
        <w:rPr>
          <w:sz w:val="21"/>
          <w:szCs w:val="21"/>
          <w:color w:val="231F20"/>
          <w:spacing w:val="5"/>
        </w:rPr>
        <w:t>8</w:t>
      </w:r>
      <w:r>
        <w:rPr>
          <w:sz w:val="12"/>
          <w:szCs w:val="12"/>
          <w:color w:val="231F20"/>
          <w:spacing w:val="5"/>
          <w:position w:val="9"/>
        </w:rPr>
        <w:t>+</w:t>
      </w:r>
      <w:r>
        <w:rPr>
          <w:sz w:val="21"/>
          <w:szCs w:val="21"/>
          <w:color w:val="231F20"/>
          <w:spacing w:val="5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淋巴细胞和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CD68</w:t>
      </w:r>
      <w:r>
        <w:rPr>
          <w:sz w:val="12"/>
          <w:szCs w:val="12"/>
          <w:color w:val="231F20"/>
          <w:spacing w:val="-2"/>
          <w:position w:val="10"/>
        </w:rPr>
        <w:t>+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巨噬细胞浸润。此外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相关心脏毒性患者可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能同时出现其他系统的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，如免疫性肌炎、内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分泌系统受累、肠炎、肺炎、神经炎、皮肤损伤等，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需同时加以检查识别。</w:t>
      </w:r>
    </w:p>
    <w:p>
      <w:pPr>
        <w:pStyle w:val="BodyText"/>
        <w:ind w:left="732" w:right="300" w:firstLine="442"/>
        <w:spacing w:before="4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国内学者提出目前诊断标准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：①接受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史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；②心肌标志物肌钙蛋白Ⅰ或肌钙蛋白</w:t>
      </w:r>
      <w:r>
        <w:rPr>
          <w:sz w:val="21"/>
          <w:szCs w:val="21"/>
          <w:color w:val="231F20"/>
          <w:spacing w:val="4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</w:t>
      </w:r>
      <w:r>
        <w:rPr>
          <w:sz w:val="21"/>
          <w:szCs w:val="21"/>
          <w:color w:val="231F20"/>
          <w:spacing w:val="4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利钠肽或氨基末端脑利钠肽前体升高（排除其他原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因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③胸痛、心悸、气短、浮肿等症状和体征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④超声心动图提示左心室扩张、形态异常、室壁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运动异常、收缩功能障碍等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；⑤心肌活检证实</w:t>
      </w:r>
      <w:r>
        <w:rPr>
          <w:sz w:val="21"/>
          <w:szCs w:val="21"/>
          <w:color w:val="231F20"/>
          <w:spacing w:val="1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" w:firstLine="20"/>
        <w:spacing w:before="39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巴细胞浸润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；⑥伴或不伴有其他脏器免疫性损伤。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符合以上第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条和第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条即可疑诊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诱发的心肌炎，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如合并第</w:t>
      </w:r>
      <w:r>
        <w:rPr>
          <w:sz w:val="21"/>
          <w:szCs w:val="21"/>
          <w:color w:val="231F20"/>
          <w:spacing w:val="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条可确定诊断。需注意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相关心脏毒性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为排他性诊断，应谨慎鉴别诊断。</w:t>
      </w:r>
    </w:p>
    <w:p>
      <w:pPr>
        <w:pStyle w:val="BodyText"/>
        <w:ind w:left="3" w:hanging="3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4.6.3  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处理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相关心脏毒性的患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者，从年龄、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原发肿瘤分期、体能分级、基础心血管疾病状况、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抗肿瘤药物致心脏毒性的严重程度及合并症等来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看，具有广泛异质性特点，因此多部权威指南均推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荐根据心肌炎分级进行相应处理。具体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心肌炎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的分级标准和相应处理见图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。对于重症患者，建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议早期用药、大剂量激素用药、一线联合用药。诊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疗流程见图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307" w:lineRule="auto"/>
        <w:sectPr>
          <w:type w:val="continuous"/>
          <w:pgSz w:w="11906" w:h="16158"/>
          <w:pgMar w:top="1233" w:right="1002" w:bottom="400" w:left="407" w:header="772" w:footer="0" w:gutter="0"/>
          <w:cols w:equalWidth="0" w:num="2">
            <w:col w:w="5703" w:space="100"/>
            <w:col w:w="469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153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治疗中需引起重视的症状、体征及实验室检查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</w:p>
    <w:p>
      <w:pPr>
        <w:pStyle w:val="BodyText"/>
        <w:ind w:left="3158"/>
        <w:spacing w:before="9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胸痛、心悸、气短、浮肿等症状和体征</w:t>
      </w:r>
    </w:p>
    <w:p>
      <w:pPr>
        <w:pStyle w:val="BodyText"/>
        <w:ind w:left="3158"/>
        <w:spacing w:before="9" w:line="21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06" style="position:absolute;margin-left:278.632pt;margin-top:14.783pt;mso-position-vertical-relative:text;mso-position-horizontal-relative:text;width:0.5pt;height:5.7pt;z-index:252131328;" filled="false" strokecolor="#231F20" strokeweight="0.50pt" coordsize="10,113" coordorigin="0,0" path="m5,0l5,113e">
            <v:stroke joinstyle="miter" miterlimit="10"/>
          </v:shape>
        </w:pict>
      </w: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心肌标志物</w:t>
      </w:r>
      <w:r>
        <w:rPr>
          <w:sz w:val="16"/>
          <w:szCs w:val="16"/>
          <w:color w:val="231F20"/>
          <w:spacing w:val="-1"/>
        </w:rPr>
        <w:t>TnI/TnT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和</w:t>
      </w:r>
      <w:r>
        <w:rPr>
          <w:sz w:val="16"/>
          <w:szCs w:val="16"/>
          <w:color w:val="231F20"/>
          <w:spacing w:val="-1"/>
        </w:rPr>
        <w:t>BNP/NT-proBNP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升高（排除其他原因）</w:t>
      </w:r>
    </w:p>
    <w:p>
      <w:pPr>
        <w:ind w:left="4329"/>
        <w:spacing w:before="216" w:line="202" w:lineRule="exact"/>
        <w:rPr/>
      </w:pPr>
      <w:r>
        <w:pict>
          <v:shape id="_x0000_s508" style="position:absolute;margin-left:92.9858pt;margin-top:11.0219pt;mso-position-vertical-relative:text;mso-position-horizontal-relative:text;width:0.5pt;height:10.15pt;z-index:252125184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510" style="position:absolute;margin-left:464.277pt;margin-top:11.0219pt;mso-position-vertical-relative:text;mso-position-horizontal-relative:text;width:0.5pt;height:10.15pt;z-index:252126208;" filled="false" strokecolor="#231F20" strokeweight="0.50pt" coordsize="10,202" coordorigin="0,0" path="m5,0l5,202e">
            <v:stroke joinstyle="miter" miterlimit="10"/>
          </v:shape>
        </w:pict>
      </w:r>
      <w: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-449110</wp:posOffset>
            </wp:positionV>
            <wp:extent cx="6155397" cy="4002481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5397" cy="400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578150" cy="12827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81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6"/>
        <w:spacing w:before="204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12" style="position:absolute;margin-left:41.9022pt;margin-top:9.23045pt;mso-position-vertical-relative:text;mso-position-horizontal-relative:text;width:82.6pt;height:31.5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7"/>
                    </w:rPr>
                    <w:t>：</w:t>
                  </w:r>
                </w:p>
                <w:p>
                  <w:pPr>
                    <w:pStyle w:val="BodyText"/>
                    <w:ind w:left="20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无症状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心肌标志物轻度升高</w:t>
                  </w:r>
                </w:p>
              </w:txbxContent>
            </v:textbox>
          </v:shape>
        </w:pict>
      </w:r>
      <w:r>
        <w:pict>
          <v:shape id="_x0000_s514" style="position:absolute;margin-left:165.394pt;margin-top:9.23045pt;mso-position-vertical-relative:text;mso-position-horizontal-relative:text;width:102.9pt;height:41.55pt;z-index:25212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：</w:t>
                  </w:r>
                </w:p>
                <w:p>
                  <w:pPr>
                    <w:pStyle w:val="BodyText"/>
                    <w:ind w:left="25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轻微心血管症状</w:t>
                  </w:r>
                </w:p>
                <w:p>
                  <w:pPr>
                    <w:pStyle w:val="BodyText"/>
                    <w:ind w:left="204" w:right="20" w:hanging="179"/>
                    <w:spacing w:before="9" w:line="22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伴心肌标志物和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"/>
                    </w:rPr>
                    <w:t>或心电图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异常</w:t>
                  </w:r>
                </w:p>
              </w:txbxContent>
            </v:textbox>
          </v:shape>
        </w:pict>
      </w:r>
      <w:r>
        <w:pict>
          <v:shape id="_x0000_s516" style="position:absolute;margin-left:412.881pt;margin-top:9.23045pt;mso-position-vertical-relative:text;mso-position-horizontal-relative:text;width:74.9pt;height:31.5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：</w:t>
                  </w:r>
                </w:p>
                <w:p>
                  <w:pPr>
                    <w:pStyle w:val="BodyText"/>
                    <w:ind w:left="26"/>
                    <w:spacing w:before="7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症状危及生命</w:t>
                  </w:r>
                </w:p>
                <w:p>
                  <w:pPr>
                    <w:pStyle w:val="BodyText"/>
                    <w:ind w:left="26"/>
                    <w:spacing w:before="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需要紧急干预治疗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级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</w:p>
    <w:p>
      <w:pPr>
        <w:pStyle w:val="BodyText"/>
        <w:ind w:left="5808"/>
        <w:spacing w:before="8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10"/>
          <w:w w:val="102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明显的心血管症状</w:t>
      </w:r>
    </w:p>
    <w:p>
      <w:pPr>
        <w:pStyle w:val="BodyText"/>
        <w:ind w:left="5987" w:right="2673" w:hanging="179"/>
        <w:spacing w:before="10" w:line="225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18" style="position:absolute;margin-left:92.9858pt;margin-top:24.9155pt;mso-position-vertical-relative:text;mso-position-horizontal-relative:text;width:0.5pt;height:10.1pt;z-index:252128256;" filled="false" strokecolor="#231F20" strokeweight="0.50pt" coordsize="10,202" coordorigin="0,0" path="m5,0l5,201e">
            <v:stroke joinstyle="miter" miterlimit="10"/>
          </v:shape>
        </w:pict>
      </w:r>
      <w:r>
        <w:pict>
          <v:shape id="_x0000_s520" style="position:absolute;margin-left:464.277pt;margin-top:24.9155pt;mso-position-vertical-relative:text;mso-position-horizontal-relative:text;width:0.5pt;height:10.1pt;z-index:252129280;" filled="false" strokecolor="#231F20" strokeweight="0.50pt" coordsize="10,202" coordorigin="0,0" path="m5,0l5,201e">
            <v:stroke joinstyle="miter" miterlimit="10"/>
          </v:shape>
        </w:pict>
      </w:r>
      <w:r>
        <w:rPr>
          <w:sz w:val="16"/>
          <w:szCs w:val="16"/>
          <w:color w:val="231F20"/>
          <w:spacing w:val="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伴心肌标志物和</w:t>
      </w:r>
      <w:r>
        <w:rPr>
          <w:sz w:val="16"/>
          <w:szCs w:val="16"/>
          <w:color w:val="231F20"/>
          <w:spacing w:val="1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或心电图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异常</w:t>
      </w:r>
    </w:p>
    <w:p>
      <w:pPr>
        <w:ind w:left="6805"/>
        <w:spacing w:before="93" w:line="202" w:lineRule="exact"/>
        <w:rPr/>
      </w:pPr>
      <w:r>
        <w:pict>
          <v:shape id="_x0000_s522" style="position:absolute;margin-left:216.75pt;margin-top:4.90497pt;mso-position-vertical-relative:text;mso-position-horizontal-relative:text;width:0.5pt;height:10.15pt;z-index:252127232;" filled="false" strokecolor="#231F20" strokeweight="0.50pt" coordsize="10,202" coordorigin="0,0" path="m5,0l5,202e">
            <v:stroke joinstyle="miter" miterlimit="10"/>
          </v:shape>
        </w:pict>
      </w:r>
      <w:r>
        <w:pict>
          <v:shape id="_x0000_s524" style="position:absolute;margin-left:41.9022pt;margin-top:23.9977pt;mso-position-vertical-relative:text;mso-position-horizontal-relative:text;width:102.65pt;height:31.6pt;z-index:25212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继续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202" w:right="20" w:hanging="182"/>
                    <w:spacing w:before="8" w:line="22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密切随访心电图和心肌标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志物</w:t>
                  </w:r>
                </w:p>
              </w:txbxContent>
            </v:textbox>
          </v:shape>
        </w:pict>
      </w:r>
      <w:r>
        <w:pict>
          <v:shape id="_x0000_s526" style="position:absolute;margin-left:165.666pt;margin-top:23.9987pt;mso-position-vertical-relative:text;mso-position-horizontal-relative:text;width:102.65pt;height:81.55pt;z-index:25212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停用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97" w:right="20" w:hanging="178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3"/>
                    </w:rPr>
                    <w:t>口服或静脉给予甲泼尼龙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1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2 mg/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（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kg•d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7"/>
                      <w:w w:val="89"/>
                    </w:rPr>
                    <w:t>），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连续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~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5 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，后逐渐减量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96" w:right="20" w:hanging="176"/>
                    <w:spacing w:before="9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完善心肌标志物检查和心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脏彩超检查，有条件完善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心脏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MRI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必要时行心内膜心肌活检</w:t>
                  </w:r>
                </w:p>
              </w:txbxContent>
            </v:textbox>
          </v:shape>
        </w:pict>
      </w:r>
      <w:r>
        <w:pict>
          <v:shape id="_x0000_s528" style="position:absolute;margin-left:413.193pt;margin-top:23.9977pt;mso-position-vertical-relative:text;mso-position-horizontal-relative:text;width:104.85pt;height:181.55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永久停用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   ICU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级别监护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8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心脏彩超或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MRI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检查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96" w:right="20" w:hanging="176"/>
                    <w:spacing w:before="9" w:line="228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给予甲泼尼龙冲击，</w:t>
                  </w:r>
                  <w:r>
                    <w:rPr>
                      <w:sz w:val="16"/>
                      <w:szCs w:val="16"/>
                      <w:color w:val="231F20"/>
                    </w:rPr>
                    <w:t>500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>~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1000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mg/d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，持续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治疗至心功能恢复基线后，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在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4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周内逐渐减量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"/>
                    </w:rPr>
                    <w:t>；</w:t>
                  </w:r>
                </w:p>
                <w:p>
                  <w:pPr>
                    <w:pStyle w:val="BodyText"/>
                    <w:ind w:left="197" w:right="64" w:hanging="177"/>
                    <w:spacing w:before="9" w:line="22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早期加用静脉注射丙种球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蛋白和</w:t>
                  </w:r>
                  <w:r>
                    <w:rPr>
                      <w:sz w:val="16"/>
                      <w:szCs w:val="16"/>
                      <w:color w:val="231F20"/>
                    </w:rPr>
                    <w:t>JAK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2"/>
                    </w:rPr>
                    <w:t>抑制剂托法替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布等联合用药，其他免疫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抑制剂包括吗替麦考酚酯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和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ATG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5"/>
                    </w:rPr>
                    <w:t>；</w:t>
                  </w:r>
                </w:p>
                <w:p>
                  <w:pPr>
                    <w:pStyle w:val="BodyText"/>
                    <w:ind w:left="197" w:right="64" w:hanging="177"/>
                    <w:spacing w:before="8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对于出现严重缓慢性心律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失常的患者可给予临时起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搏治疗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2"/>
                    </w:rPr>
                    <w:t>；</w:t>
                  </w:r>
                </w:p>
                <w:p>
                  <w:pPr>
                    <w:pStyle w:val="BodyText"/>
                    <w:ind w:left="196" w:right="64" w:hanging="176"/>
                    <w:spacing w:before="10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•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5"/>
                    </w:rPr>
                    <w:t>如条件允许可考虑联合血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6"/>
                    </w:rPr>
                    <w:t>浆置换和淋巴细胞清除以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及生命支持治疗措施</w:t>
                  </w:r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6350" cy="12827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8"/>
        <w:spacing w:before="205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永久停用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808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立即请心内科会诊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；</w:t>
      </w:r>
    </w:p>
    <w:p>
      <w:pPr>
        <w:pStyle w:val="BodyText"/>
        <w:ind w:left="5909" w:right="2681" w:hanging="101"/>
        <w:spacing w:before="12" w:line="228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完善心电图检查、心肌损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9"/>
        </w:rPr>
        <w:t>伤标志物（肌酸激酶和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肌钙蛋白）、炎性标志物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sz w:val="16"/>
          <w:szCs w:val="16"/>
          <w:color w:val="231F20"/>
          <w:spacing w:val="-4"/>
        </w:rPr>
        <w:t>ESR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、</w:t>
      </w:r>
      <w:r>
        <w:rPr>
          <w:sz w:val="16"/>
          <w:szCs w:val="16"/>
          <w:color w:val="231F20"/>
          <w:spacing w:val="-4"/>
        </w:rPr>
        <w:t>CRP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、</w:t>
      </w:r>
      <w:r>
        <w:rPr>
          <w:sz w:val="16"/>
          <w:szCs w:val="16"/>
          <w:color w:val="231F20"/>
          <w:spacing w:val="-4"/>
        </w:rPr>
        <w:t>WBC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）；</w:t>
      </w:r>
    </w:p>
    <w:p>
      <w:pPr>
        <w:pStyle w:val="BodyText"/>
        <w:ind w:left="5808"/>
        <w:spacing w:before="7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心脏彩超或</w:t>
      </w:r>
      <w:r>
        <w:rPr>
          <w:sz w:val="16"/>
          <w:szCs w:val="16"/>
          <w:color w:val="231F20"/>
          <w:spacing w:val="-2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检查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808"/>
        <w:spacing w:before="10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6"/>
        </w:rPr>
        <w:t xml:space="preserve"> 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心电监护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</w:p>
    <w:p>
      <w:pPr>
        <w:pStyle w:val="BodyText"/>
        <w:ind w:left="5984" w:right="2629" w:hanging="176"/>
        <w:spacing w:before="9" w:line="228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</w:rPr>
        <w:t>给予甲泼尼龙冲击，</w:t>
      </w:r>
      <w:r>
        <w:rPr>
          <w:sz w:val="16"/>
          <w:szCs w:val="16"/>
          <w:color w:val="231F20"/>
        </w:rPr>
        <w:t>500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~ </w:t>
      </w:r>
      <w:r>
        <w:rPr>
          <w:sz w:val="16"/>
          <w:szCs w:val="16"/>
          <w:color w:val="231F20"/>
          <w:spacing w:val="-2"/>
        </w:rPr>
        <w:t>1000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mg/d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，持续</w:t>
      </w:r>
      <w:r>
        <w:rPr>
          <w:sz w:val="16"/>
          <w:szCs w:val="16"/>
          <w:color w:val="231F20"/>
          <w:spacing w:val="-2"/>
        </w:rPr>
        <w:t>3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5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d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治疗至心功能恢复基线后，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在</w:t>
      </w:r>
      <w:r>
        <w:rPr>
          <w:sz w:val="16"/>
          <w:szCs w:val="16"/>
          <w:color w:val="231F20"/>
          <w:spacing w:val="-3"/>
        </w:rPr>
        <w:t>4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～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6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周内逐渐减量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</w:p>
    <w:p>
      <w:pPr>
        <w:pStyle w:val="BodyText"/>
        <w:ind w:left="5986" w:right="2673" w:hanging="178"/>
        <w:spacing w:before="10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对于激素不敏感患者可加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用免疫抑制剂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</w:p>
    <w:p>
      <w:pPr>
        <w:pStyle w:val="BodyText"/>
        <w:ind w:left="5985" w:right="2681" w:hanging="177"/>
        <w:spacing w:before="10" w:line="22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•  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针对心力衰竭等，给予对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症支持治疗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197"/>
        <w:spacing w:before="78" w:line="179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图</w:t>
      </w:r>
      <w:r>
        <w:rPr>
          <w:b/>
          <w:bCs/>
          <w:color w:val="231F20"/>
          <w:spacing w:val="-1"/>
        </w:rPr>
        <w:t>20    ICI</w:t>
      </w:r>
      <w:r>
        <w:rPr>
          <w:rFonts w:ascii="Microsoft YaHei" w:hAnsi="Microsoft YaHei" w:eastAsia="Microsoft YaHei" w:cs="Microsoft YaHei"/>
          <w:color w:val="231F20"/>
          <w:spacing w:val="-1"/>
        </w:rPr>
        <w:t>相关心脏毒性的诊疗流程</w:t>
      </w:r>
    </w:p>
    <w:p>
      <w:pPr>
        <w:pStyle w:val="BodyText"/>
        <w:ind w:left="732" w:right="75" w:firstLine="325"/>
        <w:spacing w:before="48" w:line="23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</w:t>
      </w:r>
      <w:r>
        <w:rPr>
          <w:sz w:val="16"/>
          <w:szCs w:val="16"/>
          <w:color w:val="231F20"/>
          <w:spacing w:val="-2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为免疫检查点抑制剂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TnI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为肌钙蛋白</w:t>
      </w:r>
      <w:r>
        <w:rPr>
          <w:sz w:val="16"/>
          <w:szCs w:val="16"/>
          <w:color w:val="231F20"/>
          <w:spacing w:val="-2"/>
        </w:rPr>
        <w:t>I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TnT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为肌钙蛋白</w:t>
      </w:r>
      <w:r>
        <w:rPr>
          <w:sz w:val="16"/>
          <w:szCs w:val="16"/>
          <w:color w:val="231F20"/>
          <w:spacing w:val="-2"/>
        </w:rPr>
        <w:t>T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BNP/NT-proBNP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</w:t>
      </w:r>
      <w:r>
        <w:rPr>
          <w:sz w:val="16"/>
          <w:szCs w:val="16"/>
          <w:color w:val="231F20"/>
          <w:spacing w:val="-2"/>
        </w:rPr>
        <w:t>B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型利钠肽或氨基末端脑利钠肽前体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；</w:t>
      </w:r>
      <w:r>
        <w:rPr>
          <w:sz w:val="16"/>
          <w:szCs w:val="16"/>
          <w:color w:val="231F20"/>
          <w:spacing w:val="-2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为磁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共振成像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ESR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为红细胞沉降率血沉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；</w:t>
      </w:r>
      <w:r>
        <w:rPr>
          <w:sz w:val="16"/>
          <w:szCs w:val="16"/>
          <w:color w:val="231F20"/>
          <w:spacing w:val="-3"/>
        </w:rPr>
        <w:t>CRP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为</w:t>
      </w:r>
      <w:r>
        <w:rPr>
          <w:sz w:val="16"/>
          <w:szCs w:val="16"/>
          <w:color w:val="231F20"/>
          <w:spacing w:val="-4"/>
        </w:rPr>
        <w:t>C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反应蛋白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WBC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为白细胞计数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ICU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为重症监护病房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；</w:t>
      </w:r>
      <w:r>
        <w:rPr>
          <w:sz w:val="16"/>
          <w:szCs w:val="16"/>
          <w:color w:val="231F20"/>
          <w:spacing w:val="-4"/>
        </w:rPr>
        <w:t>ATG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为抗胸腺细胞球蛋白。</w:t>
      </w:r>
    </w:p>
    <w:p>
      <w:pPr>
        <w:spacing w:before="34"/>
        <w:rPr/>
      </w:pPr>
      <w:r/>
    </w:p>
    <w:p>
      <w:pPr>
        <w:sectPr>
          <w:type w:val="continuous"/>
          <w:pgSz w:w="11906" w:h="16158"/>
          <w:pgMar w:top="1233" w:right="1002" w:bottom="400" w:left="407" w:header="772" w:footer="0" w:gutter="0"/>
          <w:cols w:equalWidth="0" w:num="1">
            <w:col w:w="10495" w:space="0"/>
          </w:cols>
        </w:sectPr>
        <w:rPr/>
      </w:pPr>
    </w:p>
    <w:p>
      <w:pPr>
        <w:pStyle w:val="BodyText"/>
        <w:ind w:left="732" w:right="288" w:hanging="3"/>
        <w:spacing w:before="46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4.6.4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随访和监测  对于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肌损伤，建议治疗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全周期管理，包括治疗前评估和治疗中全程监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测。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治疗前对患者全面体检，系统回顾疾病史、个人史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和家族史。对于既往存在心血管疾病患者需要心血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管内科协助评估和规范管理。对于存在自身免疫性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疾病的肿瘤患者，先优化免疫抑制方案，目标是维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" w:firstLine="2"/>
        <w:spacing w:before="45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持泼尼松日剂量＜ </w:t>
      </w:r>
      <w:r>
        <w:rPr>
          <w:sz w:val="21"/>
          <w:szCs w:val="21"/>
          <w:color w:val="231F20"/>
          <w:spacing w:val="-3"/>
        </w:rPr>
        <w:t>10</w:t>
      </w:r>
      <w:r>
        <w:rPr>
          <w:sz w:val="21"/>
          <w:szCs w:val="21"/>
          <w:color w:val="231F20"/>
          <w:spacing w:val="31"/>
        </w:rPr>
        <w:t xml:space="preserve"> </w:t>
      </w:r>
      <w:r>
        <w:rPr>
          <w:sz w:val="21"/>
          <w:szCs w:val="21"/>
          <w:color w:val="231F20"/>
          <w:spacing w:val="-3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。这类患者在治疗过程中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需要更严密的监测策略。对于</w:t>
      </w:r>
      <w:r>
        <w:rPr>
          <w:sz w:val="21"/>
          <w:szCs w:val="21"/>
          <w:color w:val="231F20"/>
          <w:spacing w:val="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周内发生急性冠脉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综合征、急性失代偿性心力衰竭或慢性心力衰竭心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功能Ⅳ级、急性肺栓塞等视为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治疗暂时性禁忌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证。此外应对患者进行药物不良反应教育，利于早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期自我识别相关症状。开始治疗前应完成病史采集</w:t>
      </w:r>
    </w:p>
    <w:p>
      <w:pPr>
        <w:spacing w:line="287" w:lineRule="auto"/>
        <w:sectPr>
          <w:type w:val="continuous"/>
          <w:pgSz w:w="11906" w:h="16158"/>
          <w:pgMar w:top="1233" w:right="1002" w:bottom="400" w:left="407" w:header="772" w:footer="0" w:gutter="0"/>
          <w:cols w:equalWidth="0" w:num="2">
            <w:col w:w="5708" w:space="100"/>
            <w:col w:w="468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96"/>
          <w:footerReference w:type="default" r:id="rId97"/>
          <w:pgSz w:w="11906" w:h="16158"/>
          <w:pgMar w:top="1233" w:right="1042" w:bottom="1040" w:left="407" w:header="772" w:footer="837" w:gutter="0"/>
          <w:cols w:equalWidth="0" w:num="1">
            <w:col w:w="10455" w:space="0"/>
          </w:cols>
        </w:sectPr>
        <w:rPr/>
      </w:pPr>
    </w:p>
    <w:p>
      <w:pPr>
        <w:pStyle w:val="BodyText"/>
        <w:ind w:left="676" w:right="356" w:firstLine="2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和体检、心电图、超声心动图和生物标志物（心肌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肌钙蛋白、利钠肽、肌酸激酶、肌酸激酶同工酶、</w:t>
      </w:r>
      <w:r>
        <w:rPr>
          <w:sz w:val="21"/>
          <w:szCs w:val="21"/>
          <w:color w:val="231F20"/>
          <w:spacing w:val="-10"/>
        </w:rPr>
        <w:t>D-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二聚体等）的基线采集。</w:t>
      </w:r>
    </w:p>
    <w:p>
      <w:pPr>
        <w:pStyle w:val="BodyText"/>
        <w:ind w:left="676" w:right="282" w:firstLine="427"/>
        <w:spacing w:before="9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治疗中对患者进行定期随访，监测内容包括症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状体征、心电图、心肌标志物，如有异常，及时复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查超声心动图。建议第</w:t>
      </w:r>
      <w:r>
        <w:rPr>
          <w:sz w:val="21"/>
          <w:szCs w:val="21"/>
          <w:color w:val="231F20"/>
        </w:rPr>
        <w:t>1</w:t>
      </w:r>
      <w:r>
        <w:rPr>
          <w:rFonts w:ascii="SimSun" w:hAnsi="SimSun" w:eastAsia="SimSun" w:cs="SimSun"/>
          <w:sz w:val="21"/>
          <w:szCs w:val="21"/>
          <w:color w:val="231F20"/>
        </w:rPr>
        <w:t>次复查在给药后</w:t>
      </w:r>
      <w:r>
        <w:rPr>
          <w:sz w:val="21"/>
          <w:szCs w:val="21"/>
          <w:color w:val="231F20"/>
        </w:rPr>
        <w:t>7</w:t>
      </w:r>
      <w:r>
        <w:rPr>
          <w:sz w:val="21"/>
          <w:szCs w:val="21"/>
          <w:color w:val="231F20"/>
          <w:spacing w:val="35"/>
        </w:rPr>
        <w:t xml:space="preserve"> </w:t>
      </w:r>
      <w:r>
        <w:rPr>
          <w:sz w:val="21"/>
          <w:szCs w:val="21"/>
          <w:color w:val="231F20"/>
        </w:rPr>
        <w:t>d</w:t>
      </w:r>
      <w:r>
        <w:rPr>
          <w:rFonts w:ascii="SimSun" w:hAnsi="SimSun" w:eastAsia="SimSun" w:cs="SimSun"/>
          <w:sz w:val="21"/>
          <w:szCs w:val="21"/>
          <w:color w:val="231F20"/>
        </w:rPr>
        <w:t>，不论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双周或三周方案，治疗开始后的前</w:t>
      </w:r>
      <w:r>
        <w:rPr>
          <w:sz w:val="21"/>
          <w:szCs w:val="21"/>
          <w:color w:val="231F20"/>
          <w:spacing w:val="-1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周，每个周期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给药前需进行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次随访，监测内容同前。对于出现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8"/>
        </w:rPr>
        <w:t>irAEs G1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的亚临床心肌损伤的患者，应每周随访</w:t>
      </w:r>
      <w:r>
        <w:rPr>
          <w:sz w:val="21"/>
          <w:szCs w:val="21"/>
          <w:color w:val="231F20"/>
          <w:spacing w:val="-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次，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直至心肌肌钙蛋白水平恢复到基线保持稳定，无新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发心电图和影像学异常，可将监测频率降低到每个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治疗周期前</w:t>
      </w:r>
      <w:r>
        <w:rPr>
          <w:sz w:val="21"/>
          <w:szCs w:val="21"/>
          <w:color w:val="231F20"/>
          <w:spacing w:val="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次。对于给予激素减量治疗的患者，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每周随访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次，随访内容包括症状体征、心电图和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心肌标志物，警惕激素减量过程中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急剧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恶化。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激素停用后</w:t>
      </w:r>
      <w:r>
        <w:rPr>
          <w:sz w:val="21"/>
          <w:szCs w:val="21"/>
          <w:color w:val="231F20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个月内，至少每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周随访</w:t>
      </w:r>
      <w:r>
        <w:rPr>
          <w:sz w:val="21"/>
          <w:szCs w:val="21"/>
          <w:color w:val="231F20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次。</w:t>
      </w:r>
    </w:p>
    <w:p>
      <w:pPr>
        <w:pStyle w:val="BodyText"/>
        <w:ind w:left="675" w:right="299" w:firstLine="422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G1</w:t>
      </w:r>
      <w:r>
        <w:rPr>
          <w:rFonts w:ascii="SimSun" w:hAnsi="SimSun" w:eastAsia="SimSun" w:cs="SimSun"/>
          <w:sz w:val="21"/>
          <w:szCs w:val="21"/>
          <w:color w:val="231F20"/>
        </w:rPr>
        <w:t>心肌炎在心肌肌钙蛋白恢复至基线水平后，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可以重启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治疗。</w:t>
      </w:r>
      <w:r>
        <w:rPr>
          <w:sz w:val="21"/>
          <w:szCs w:val="21"/>
          <w:color w:val="231F20"/>
          <w:spacing w:val="4"/>
        </w:rPr>
        <w:t>G2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心肌炎在未彻底治愈前均不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推荐重启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治疗。治愈后，如患者无其他替代治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疗方案，确需重启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治疗，可以经心血管内科医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生和肿瘤科医生及患者共同讨论后决定，建议既往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联合治疗者改为单药治疗。</w:t>
      </w:r>
      <w:r>
        <w:rPr>
          <w:sz w:val="21"/>
          <w:szCs w:val="21"/>
          <w:color w:val="231F20"/>
          <w:spacing w:val="4"/>
        </w:rPr>
        <w:t>G3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以上心肌炎不建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议重启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治疗。此外，如重启治疗再次出现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相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关心肌炎则必须永久停用。</w:t>
      </w:r>
    </w:p>
    <w:p>
      <w:pPr>
        <w:pStyle w:val="BodyText"/>
        <w:ind w:left="676" w:right="299" w:hanging="3"/>
        <w:spacing w:before="1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6"/>
        </w:rPr>
        <w:t>4.7 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眼毒性  消化道肿瘤免疫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治疗引起的免疫相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关性眼毒性以葡萄膜炎（前葡萄膜炎较后葡萄膜炎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和全葡萄膜炎更常见）较为常见，但发生率较低，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截至目前，仅在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4"/>
        </w:rPr>
        <w:t>-059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中发现帕博利珠单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抗任意级别的葡萄膜炎发生率为</w:t>
      </w:r>
      <w:r>
        <w:rPr>
          <w:sz w:val="21"/>
          <w:szCs w:val="21"/>
          <w:color w:val="231F20"/>
          <w:spacing w:val="-1"/>
        </w:rPr>
        <w:t>0.4%</w:t>
      </w:r>
      <w:r>
        <w:rPr>
          <w:sz w:val="12"/>
          <w:szCs w:val="12"/>
          <w:color w:val="231F20"/>
          <w:spacing w:val="-1"/>
          <w:position w:val="9"/>
        </w:rPr>
        <w:t>[83]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6" w:hanging="5"/>
        <w:spacing w:before="4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4.7.1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临床表现  葡萄膜炎临床表现为视物模糊</w:t>
      </w:r>
      <w:r>
        <w:rPr>
          <w:sz w:val="21"/>
          <w:szCs w:val="21"/>
          <w:color w:val="231F20"/>
          <w:spacing w:val="5"/>
        </w:rPr>
        <w:t>/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扭曲、眼前暗点、色觉改变、畏光、触痛</w:t>
      </w:r>
      <w:r>
        <w:rPr>
          <w:sz w:val="21"/>
          <w:szCs w:val="21"/>
          <w:color w:val="231F20"/>
          <w:spacing w:val="9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疼痛、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眼睑肿胀和眼球突出，葡萄膜炎可能伴有眼红。</w:t>
      </w:r>
    </w:p>
    <w:p>
      <w:pPr>
        <w:pStyle w:val="BodyText"/>
        <w:ind w:left="4" w:hanging="4"/>
        <w:spacing w:before="93" w:line="30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4.7.2    </w:t>
      </w:r>
      <w:r>
        <w:rPr>
          <w:rFonts w:ascii="SimSun" w:hAnsi="SimSun" w:eastAsia="SimSun" w:cs="SimSun"/>
          <w:sz w:val="21"/>
          <w:szCs w:val="21"/>
          <w:color w:val="231F20"/>
        </w:rPr>
        <w:t>诊断和鉴别诊断  葡萄膜炎诊断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需在眼科医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生指导下进行评估，包括每只眼睛的视力检查，色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觉检查，红光反射检查，瞳孔的大小、形状和反应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性检查，眼睛前部检查，眼底检查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；此外需要排除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既往的活动性葡萄膜炎，或需要全身免疫抑制或持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续局部治疗的复发性葡萄膜炎。前葡萄膜炎的炎症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主要局限于虹膜和角膜之间的眼前段，即虹膜睫状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体炎，通过仔细的裂隙灯检查可以确诊。前葡萄膜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炎会迅速导致眼红、疼痛、畏光和视力下降。如果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炎症长期未得到控制，虹膜可能黏附在晶状体囊膜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上，导致瞳孔不规则，并可影响眼内房水的正常流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动从而导致眼压升高。后葡萄膜炎由玻璃体腔、视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网膜或脉络膜发炎引起，症状可能包括飞蚊症和闪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光，视力有不同程度的下降。与前葡萄膜炎（虹膜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睫状体炎）不同，后葡萄膜炎早期可能无眼红、眼痛，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从而可能延误诊断和治疗。后葡萄膜炎或全葡萄膜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炎的全面评估包括仔细的散瞳检查，或者进一步行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眼部超声检查、荧光素血管造影和光学相干断层扫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描（</w:t>
      </w:r>
      <w:r>
        <w:rPr>
          <w:sz w:val="21"/>
          <w:szCs w:val="21"/>
          <w:color w:val="231F20"/>
          <w:spacing w:val="-1"/>
        </w:rPr>
        <w:t>optical</w:t>
      </w:r>
      <w:r>
        <w:rPr>
          <w:sz w:val="21"/>
          <w:szCs w:val="21"/>
          <w:color w:val="231F20"/>
          <w:spacing w:val="35"/>
        </w:rPr>
        <w:t xml:space="preserve"> </w:t>
      </w:r>
      <w:r>
        <w:rPr>
          <w:sz w:val="21"/>
          <w:szCs w:val="21"/>
          <w:color w:val="231F20"/>
          <w:spacing w:val="-1"/>
        </w:rPr>
        <w:t>coherence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tomography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OCT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）等检查。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聚合酶链反应（</w:t>
      </w:r>
      <w:r>
        <w:rPr>
          <w:sz w:val="21"/>
          <w:szCs w:val="21"/>
          <w:color w:val="231F20"/>
        </w:rPr>
        <w:t>polymerase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</w:rPr>
        <w:t>chain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reaction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，</w:t>
      </w:r>
      <w:r>
        <w:rPr>
          <w:sz w:val="21"/>
          <w:szCs w:val="21"/>
          <w:color w:val="231F20"/>
        </w:rPr>
        <w:t>PCR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等实验室检查可用于鉴别排除感染性或其他类型的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葡萄膜炎。</w:t>
      </w:r>
    </w:p>
    <w:p>
      <w:pPr>
        <w:pStyle w:val="BodyText"/>
        <w:spacing w:before="98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4.7.3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处理  诊疗流程见图</w:t>
      </w:r>
      <w:r>
        <w:rPr>
          <w:sz w:val="21"/>
          <w:szCs w:val="21"/>
          <w:color w:val="231F20"/>
          <w:spacing w:val="-1"/>
        </w:rPr>
        <w:t>21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6" w:right="31" w:hanging="6"/>
        <w:spacing w:before="100" w:line="30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4.8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血液学毒性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相关血液学毒性的真实发生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率尚不清楚，但与皮肤、胃肠和内分泌毒性相比，</w:t>
      </w:r>
    </w:p>
    <w:p>
      <w:pPr>
        <w:spacing w:line="300" w:lineRule="auto"/>
        <w:sectPr>
          <w:type w:val="continuous"/>
          <w:pgSz w:w="11906" w:h="16158"/>
          <w:pgMar w:top="1233" w:right="1042" w:bottom="1040" w:left="407" w:header="772" w:footer="837" w:gutter="0"/>
          <w:cols w:equalWidth="0" w:num="2">
            <w:col w:w="5648" w:space="100"/>
            <w:col w:w="470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4934"/>
        <w:spacing w:before="242" w:line="22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相关葡萄膜炎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162"/>
        <w:spacing w:before="53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评估每只眼睛的视力检查，色觉检查，红光反射检查，瞳孔的大小、</w:t>
      </w:r>
    </w:p>
    <w:p>
      <w:pPr>
        <w:ind w:left="3925"/>
        <w:spacing w:before="1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形状和反应性检查，眼底检查，眼睛前部检查</w:t>
      </w:r>
    </w:p>
    <w:p>
      <w:pPr>
        <w:ind w:left="2224"/>
        <w:spacing w:before="209" w:line="146" w:lineRule="exact"/>
        <w:rPr/>
      </w:pPr>
      <w:r>
        <w:pict>
          <v:shape id="_x0000_s532" style="position:absolute;margin-left:440.23pt;margin-top:10.6905pt;mso-position-vertical-relative:text;mso-position-horizontal-relative:text;width:0.5pt;height:7.3pt;z-index:252156928;" filled="false" strokecolor="#231F20" strokeweight="0.50pt" coordsize="10,146" coordorigin="0,0" path="m5,0l5,145e">
            <v:stroke joinstyle="miter" miterlimit="10"/>
          </v:shape>
        </w:pict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605523</wp:posOffset>
            </wp:positionH>
            <wp:positionV relativeFrom="paragraph">
              <wp:posOffset>-656100</wp:posOffset>
            </wp:positionV>
            <wp:extent cx="5795390" cy="2117826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5390" cy="211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50" cy="9225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00"/>
        <w:spacing w:before="202" w:line="22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34" style="position:absolute;margin-left:105.394pt;margin-top:9.10776pt;mso-position-vertical-relative:text;mso-position-horizontal-relative:text;width:13.1pt;height:11.65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0"/>
                    </w:rPr>
                    <w:t>级</w:t>
                  </w:r>
                </w:p>
              </w:txbxContent>
            </v:textbox>
          </v:shape>
        </w:pict>
      </w:r>
      <w:r>
        <w:pict>
          <v:shape id="_x0000_s536" style="position:absolute;margin-left:425.558pt;margin-top:9.10776pt;mso-position-vertical-relative:text;mso-position-horizontal-relative:text;width:29.7pt;height:11.6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～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6"/>
                    </w:rPr>
                    <w:t>级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级</w:t>
      </w:r>
    </w:p>
    <w:p>
      <w:pPr>
        <w:ind w:left="5511"/>
        <w:spacing w:before="91" w:line="145" w:lineRule="exact"/>
        <w:rPr/>
      </w:pPr>
      <w:r>
        <w:pict>
          <v:shape id="_x0000_s538" style="position:absolute;margin-left:440.23pt;margin-top:4.81104pt;mso-position-vertical-relative:text;mso-position-horizontal-relative:text;width:0.5pt;height:7.3pt;z-index:252157952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540" style="position:absolute;margin-left:111.458pt;margin-top:4.81104pt;mso-position-vertical-relative:text;mso-position-horizontal-relative:text;width:0.5pt;height:7.3pt;z-index:252158976;" filled="false" strokecolor="#231F20" strokeweight="0.50pt" coordsize="10,146" coordorigin="0,0" path="m5,0l5,145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6350" cy="9225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97"/>
        <w:spacing w:before="202" w:line="21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42" style="position:absolute;margin-left:95.2743pt;margin-top:9.11214pt;mso-position-vertical-relative:text;mso-position-horizontal-relative:text;width:33.2pt;height:11.5pt;z-index:25215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4"/>
                    </w:rPr>
                    <w:t>眼科会诊</w:t>
                  </w:r>
                </w:p>
              </w:txbxContent>
            </v:textbox>
          </v:shape>
        </w:pict>
      </w:r>
      <w:r>
        <w:pict>
          <v:shape id="_x0000_s544" style="position:absolute;margin-left:390.274pt;margin-top:9.11214pt;mso-position-vertical-relative:text;mso-position-horizontal-relative:text;width:100.3pt;height:11.5pt;z-index:25215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永久停止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ICI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治疗，眼科会诊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停止</w:t>
      </w:r>
      <w:r>
        <w:rPr>
          <w:sz w:val="16"/>
          <w:szCs w:val="16"/>
          <w:color w:val="231F20"/>
          <w:spacing w:val="-1"/>
        </w:rPr>
        <w:t>ICI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治疗，眼科会诊</w:t>
      </w:r>
    </w:p>
    <w:p>
      <w:pPr>
        <w:spacing w:line="387" w:lineRule="auto"/>
        <w:rPr>
          <w:rFonts w:ascii="Arial"/>
          <w:sz w:val="21"/>
        </w:rPr>
      </w:pPr>
      <w:r>
        <w:pict>
          <v:shape id="_x0000_s546" style="position:absolute;margin-left:111.458pt;margin-top:4.97781pt;mso-position-vertical-relative:text;mso-position-horizontal-relative:text;width:0.5pt;height:7.3pt;z-index:252160000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548" style="position:absolute;margin-left:275.844pt;margin-top:4.97781pt;mso-position-vertical-relative:text;mso-position-horizontal-relative:text;width:0.5pt;height:7.3pt;z-index:252161024;" filled="false" strokecolor="#231F20" strokeweight="0.50pt" coordsize="10,146" coordorigin="0,0" path="m5,0l5,145e">
            <v:stroke joinstyle="miter" miterlimit="10"/>
          </v:shape>
        </w:pict>
      </w:r>
      <w:r>
        <w:pict>
          <v:shape id="_x0000_s550" style="position:absolute;margin-left:440.23pt;margin-top:4.97781pt;mso-position-vertical-relative:text;mso-position-horizontal-relative:text;width:0.5pt;height:7.3pt;z-index:252162048;" filled="false" strokecolor="#231F20" strokeweight="0.50pt" coordsize="10,146" coordorigin="0,0" path="m5,0l5,145e">
            <v:stroke joinstyle="miter" miterlimit="10"/>
          </v:shape>
        </w:pict>
      </w:r>
      <w:r/>
    </w:p>
    <w:p>
      <w:pPr>
        <w:ind w:left="4644" w:right="3511" w:hanging="555"/>
        <w:spacing w:before="53" w:line="23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552" style="position:absolute;margin-left:74.8663pt;margin-top:1.64293pt;mso-position-vertical-relative:text;mso-position-horizontal-relative:text;width:73.6pt;height:11.55pt;z-index:25215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酌情使用润滑液滴眼</w:t>
                  </w:r>
                </w:p>
              </w:txbxContent>
            </v:textbox>
          </v:shape>
        </w:pict>
      </w:r>
      <w:r>
        <w:pict>
          <v:shape id="_x0000_s554" style="position:absolute;margin-left:391.638pt;margin-top:1.64293pt;mso-position-vertical-relative:text;mso-position-horizontal-relative:text;width:97.6pt;height:11.55pt;z-index:25215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"/>
                    </w:rPr>
                    <w:t>局部或全身糖皮质激素治疗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局部或系统性使用糖皮质激素，必要时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可考虑使用睫状肌麻痹剂</w:t>
      </w:r>
    </w:p>
    <w:p>
      <w:pPr>
        <w:pStyle w:val="BodyText"/>
        <w:ind w:left="4141"/>
        <w:spacing w:before="253" w:line="171" w:lineRule="exact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图</w:t>
      </w:r>
      <w:r>
        <w:rPr>
          <w:b/>
          <w:bCs/>
          <w:color w:val="231F20"/>
          <w:spacing w:val="-1"/>
          <w:position w:val="-1"/>
        </w:rPr>
        <w:t>21    ICI</w:t>
      </w:r>
      <w:r>
        <w:rPr>
          <w:rFonts w:ascii="Microsoft YaHei" w:hAnsi="Microsoft YaHei" w:eastAsia="Microsoft YaHei" w:cs="Microsoft YaHei"/>
          <w:color w:val="231F20"/>
          <w:spacing w:val="-1"/>
          <w:position w:val="-1"/>
        </w:rPr>
        <w:t>相关葡萄膜炎的诊疗流程</w:t>
      </w:r>
    </w:p>
    <w:p>
      <w:pPr>
        <w:spacing w:line="171" w:lineRule="exact"/>
        <w:sectPr>
          <w:type w:val="continuous"/>
          <w:pgSz w:w="11906" w:h="16158"/>
          <w:pgMar w:top="1233" w:right="1042" w:bottom="1040" w:left="407" w:header="772" w:footer="837" w:gutter="0"/>
          <w:cols w:equalWidth="0" w:num="1">
            <w:col w:w="1045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01"/>
          <w:footerReference w:type="default" r:id="rId37"/>
          <w:pgSz w:w="11906" w:h="16158"/>
          <w:pgMar w:top="1233" w:right="986" w:bottom="400" w:left="407" w:header="772" w:footer="0" w:gutter="0"/>
          <w:cols w:equalWidth="0" w:num="1">
            <w:col w:w="10511" w:space="0"/>
          </w:cols>
        </w:sectPr>
        <w:rPr/>
      </w:pPr>
    </w:p>
    <w:p>
      <w:pPr>
        <w:pStyle w:val="BodyText"/>
        <w:ind w:left="729" w:right="280" w:firstLine="5"/>
        <w:spacing w:before="4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其发生率相对较低。</w:t>
      </w:r>
      <w:r>
        <w:rPr>
          <w:sz w:val="21"/>
          <w:szCs w:val="21"/>
          <w:color w:val="231F20"/>
          <w:spacing w:val="-3"/>
        </w:rPr>
        <w:t>KEYNOTE-181</w:t>
      </w:r>
      <w:r>
        <w:rPr>
          <w:sz w:val="12"/>
          <w:szCs w:val="12"/>
          <w:color w:val="231F20"/>
          <w:spacing w:val="-3"/>
          <w:position w:val="9"/>
        </w:rPr>
        <w:t>[2]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、</w:t>
      </w:r>
      <w:r>
        <w:rPr>
          <w:sz w:val="21"/>
          <w:szCs w:val="21"/>
          <w:color w:val="231F20"/>
          <w:spacing w:val="-3"/>
        </w:rPr>
        <w:t>ES</w:t>
      </w:r>
      <w:r>
        <w:rPr>
          <w:sz w:val="21"/>
          <w:szCs w:val="21"/>
          <w:color w:val="231F20"/>
          <w:spacing w:val="-4"/>
        </w:rPr>
        <w:t>CORT</w:t>
      </w:r>
      <w:r>
        <w:rPr>
          <w:sz w:val="12"/>
          <w:szCs w:val="12"/>
          <w:color w:val="231F20"/>
          <w:spacing w:val="-4"/>
          <w:position w:val="9"/>
        </w:rPr>
        <w:t>[3]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KNEYNOTE</w:t>
      </w:r>
      <w:r>
        <w:rPr>
          <w:sz w:val="21"/>
          <w:szCs w:val="21"/>
          <w:color w:val="231F20"/>
          <w:spacing w:val="4"/>
        </w:rPr>
        <w:t>-177</w:t>
      </w:r>
      <w:r>
        <w:rPr>
          <w:sz w:val="12"/>
          <w:szCs w:val="12"/>
          <w:color w:val="231F20"/>
          <w:spacing w:val="4"/>
          <w:position w:val="9"/>
        </w:rPr>
        <w:t>[20]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等研究显示，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单药贫血发生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率为</w:t>
      </w:r>
      <w:r>
        <w:rPr>
          <w:sz w:val="21"/>
          <w:szCs w:val="21"/>
          <w:color w:val="231F20"/>
          <w:spacing w:val="-2"/>
        </w:rPr>
        <w:t>8%</w:t>
      </w:r>
      <w:r>
        <w:rPr>
          <w:sz w:val="21"/>
          <w:szCs w:val="21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2"/>
        </w:rPr>
        <w:t>23%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，其中</w:t>
      </w:r>
      <w:r>
        <w:rPr>
          <w:sz w:val="21"/>
          <w:szCs w:val="21"/>
          <w:color w:val="231F20"/>
          <w:spacing w:val="-2"/>
        </w:rPr>
        <w:t>3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级占比</w:t>
      </w:r>
      <w:r>
        <w:rPr>
          <w:sz w:val="21"/>
          <w:szCs w:val="21"/>
          <w:color w:val="231F20"/>
          <w:spacing w:val="-2"/>
        </w:rPr>
        <w:t>1%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2"/>
        </w:rPr>
        <w:t>5%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；白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细胞减少症发生率约为</w:t>
      </w:r>
      <w:r>
        <w:rPr>
          <w:sz w:val="21"/>
          <w:szCs w:val="21"/>
          <w:color w:val="231F20"/>
          <w:spacing w:val="3"/>
        </w:rPr>
        <w:t>1%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；中性粒细胞减少症发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生率约为</w:t>
      </w:r>
      <w:r>
        <w:rPr>
          <w:sz w:val="21"/>
          <w:szCs w:val="21"/>
          <w:color w:val="231F20"/>
          <w:spacing w:val="5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，其中卡瑞利珠单抗导致的白细胞减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少症发生率为</w:t>
      </w:r>
      <w:r>
        <w:rPr>
          <w:sz w:val="21"/>
          <w:szCs w:val="21"/>
          <w:color w:val="231F20"/>
          <w:spacing w:val="-3"/>
        </w:rPr>
        <w:t>8%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，中性粒细胞减少症发生率为</w:t>
      </w:r>
      <w:r>
        <w:rPr>
          <w:sz w:val="21"/>
          <w:szCs w:val="21"/>
          <w:color w:val="231F20"/>
          <w:spacing w:val="-3"/>
        </w:rPr>
        <w:t>4%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由于肿瘤及其并发症、其他抗肿瘤治疗均可导致血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细胞减少，因此在诊断免疫相关血液学毒性时应排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除这些因素。</w:t>
      </w:r>
    </w:p>
    <w:p>
      <w:pPr>
        <w:pStyle w:val="BodyText"/>
        <w:ind w:left="7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4.8.1</w:t>
      </w:r>
      <w:r>
        <w:rPr>
          <w:sz w:val="21"/>
          <w:szCs w:val="21"/>
          <w:color w:val="231F20"/>
          <w:spacing w:val="11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自身免疫性溶血性贫血</w:t>
      </w:r>
    </w:p>
    <w:p>
      <w:pPr>
        <w:pStyle w:val="BodyText"/>
        <w:ind w:left="741" w:right="280" w:hanging="12"/>
        <w:spacing w:before="99" w:line="26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4.8.1.1  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常见虚弱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、苍白、体力差、胸闷、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心慌、黄疸、尿色深、发热和心脏杂音。</w:t>
      </w:r>
    </w:p>
    <w:p>
      <w:pPr>
        <w:pStyle w:val="BodyText"/>
        <w:ind w:left="733" w:right="279" w:hanging="4"/>
        <w:spacing w:before="100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4.8.1.2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诊断  主要通过血常规、网织红细胞计数、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外周血涂片、尿常规、粪常规、乳酸脱氢酶、直接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和间接胆红素、叶酸、维生素</w:t>
      </w:r>
      <w:r>
        <w:rPr>
          <w:sz w:val="21"/>
          <w:szCs w:val="21"/>
          <w:color w:val="231F20"/>
          <w:spacing w:val="-8"/>
        </w:rPr>
        <w:t>B</w:t>
      </w:r>
      <w:r>
        <w:rPr>
          <w:sz w:val="12"/>
          <w:szCs w:val="12"/>
          <w:color w:val="231F20"/>
          <w:spacing w:val="-8"/>
          <w:position w:val="-3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、铁蛋白、血清铁、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触珠蛋白、</w:t>
      </w:r>
      <w:r>
        <w:rPr>
          <w:sz w:val="21"/>
          <w:szCs w:val="21"/>
          <w:color w:val="231F20"/>
        </w:rPr>
        <w:t>Coombs</w:t>
      </w:r>
      <w:r>
        <w:rPr>
          <w:rFonts w:ascii="SimSun" w:hAnsi="SimSun" w:eastAsia="SimSun" w:cs="SimSun"/>
          <w:sz w:val="21"/>
          <w:szCs w:val="21"/>
          <w:color w:val="231F20"/>
        </w:rPr>
        <w:t>试验，骨髓检查，并排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除药物、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感染和其他原因等导致的溶血性贫血。</w:t>
      </w:r>
    </w:p>
    <w:p>
      <w:pPr>
        <w:pStyle w:val="BodyText"/>
        <w:ind w:left="732" w:right="353" w:hanging="3"/>
        <w:spacing w:before="101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4.8.1.3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鉴别诊断包括纯红细胞再生障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碍性贫血和出血。对于贫血，应对常见原因进行评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估，如消化道出血、肿瘤相关慢性病性贫血或化疗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药物导致的骨髓抑制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；如不能确定贫血的原因，可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通过骨髓检查排除纯红细胞再生障碍性贫血。</w:t>
      </w:r>
    </w:p>
    <w:p>
      <w:pPr>
        <w:pStyle w:val="BodyText"/>
        <w:ind w:left="732" w:right="296" w:hanging="3"/>
        <w:spacing w:before="98" w:line="29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4.8.1.4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处理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 xml:space="preserve">  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级毒性可以继续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治疗，同时密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切随访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；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级毒性需暂停或永久停用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治疗，并使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用</w:t>
      </w:r>
      <w:r>
        <w:rPr>
          <w:sz w:val="21"/>
          <w:szCs w:val="21"/>
          <w:color w:val="231F20"/>
          <w:spacing w:val="1"/>
        </w:rPr>
        <w:t>0.5</w:t>
      </w:r>
      <w:r>
        <w:rPr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1"/>
        </w:rPr>
        <w:t>1.0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</w:rPr>
        <w:t>kg</w:t>
      </w:r>
      <w:r>
        <w:rPr>
          <w:sz w:val="21"/>
          <w:szCs w:val="21"/>
          <w:color w:val="231F20"/>
          <w:spacing w:val="1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）泼尼松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级毒性需永久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停用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治疗，并使用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3"/>
        </w:rPr>
        <w:t>2 mg/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）甲泼尼龙，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还可输注红细胞纠正贫血，使非心脏病患者血红蛋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白达到</w:t>
      </w:r>
      <w:r>
        <w:rPr>
          <w:sz w:val="21"/>
          <w:szCs w:val="21"/>
          <w:color w:val="231F20"/>
          <w:spacing w:val="4"/>
        </w:rPr>
        <w:t>70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4"/>
        </w:rPr>
        <w:t>80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4"/>
        </w:rPr>
        <w:t>g/L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，可根据患者情况确定是否请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血液科会诊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；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级毒性需要永久停用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治疗，同时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请血液科会诊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；予以泼尼松</w:t>
      </w:r>
      <w:r>
        <w:rPr>
          <w:sz w:val="21"/>
          <w:szCs w:val="21"/>
          <w:color w:val="231F20"/>
          <w:spacing w:val="-2"/>
        </w:rPr>
        <w:t>1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2"/>
        </w:rPr>
        <w:t>mg/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无效或恶化，给予免疫抑制剂，如利妥昔单抗、静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脉注射丙种球蛋白、环孢素和吗替麦考酚酯等。</w:t>
      </w:r>
    </w:p>
    <w:p>
      <w:pPr>
        <w:pStyle w:val="BodyText"/>
        <w:ind w:left="729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4.8.2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免疫性血小板减少症</w:t>
      </w:r>
    </w:p>
    <w:p>
      <w:pPr>
        <w:pStyle w:val="BodyText"/>
        <w:ind w:left="732" w:right="280" w:hanging="3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4.8.2.1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临床表现为出血，容易瘀伤。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瘀点、紫癜、瘀斑、皮肤黏膜紫癜和血小板减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少。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白细胞和红细胞也可能会减少。</w:t>
      </w:r>
    </w:p>
    <w:p>
      <w:pPr>
        <w:pStyle w:val="BodyText"/>
        <w:ind w:left="733" w:right="281" w:hanging="4"/>
        <w:spacing w:before="103" w:line="28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4.8.2.2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  建议检测血常规、外周血涂片、骨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髓象、自身抗体、血小板抗体、病毒或细菌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检测、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营养学评估等来进行诊断。此外，关注自身免疫性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家族史或自身免疫性疾病个人史，并注意淋巴细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" w:firstLine="7"/>
        <w:spacing w:before="44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胞减少，如氟达拉滨、抗胸腺细胞球蛋白（</w:t>
      </w:r>
      <w:r>
        <w:rPr>
          <w:sz w:val="21"/>
          <w:szCs w:val="21"/>
          <w:color w:val="231F20"/>
        </w:rPr>
        <w:t>antith</w:t>
      </w:r>
      <w:r>
        <w:rPr>
          <w:sz w:val="21"/>
          <w:szCs w:val="21"/>
          <w:color w:val="231F20"/>
          <w:spacing w:val="3"/>
        </w:rPr>
        <w:t>-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5"/>
        </w:rPr>
        <w:t>ymocyte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  <w:spacing w:val="-5"/>
        </w:rPr>
        <w:t>globulins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ATG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）、皮质类固醇、细胞毒性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治疗病史的患者。</w:t>
      </w:r>
    </w:p>
    <w:p>
      <w:pPr>
        <w:pStyle w:val="BodyText"/>
        <w:ind w:left="7" w:right="91" w:hanging="5"/>
        <w:spacing w:before="5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4.8.2.3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鉴别诊断  包括弥散性血管内凝血、肝素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诱导的血小板减少、微血管病性贫血、血栓性血小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板减少性紫癜、溶血性尿毒症综合征、药物诱发的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血栓性微血管病。</w:t>
      </w:r>
    </w:p>
    <w:p>
      <w:pPr>
        <w:pStyle w:val="BodyText"/>
        <w:ind w:left="5" w:right="17" w:hanging="3"/>
        <w:spacing w:before="99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4.8.2.4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处理  对于</w:t>
      </w:r>
      <w:r>
        <w:rPr>
          <w:sz w:val="21"/>
          <w:szCs w:val="21"/>
          <w:color w:val="231F20"/>
          <w:spacing w:val="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级毒性可继续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治疗，并密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切临床随访和实验室检查。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级毒性则需要暂停</w:t>
      </w:r>
      <w:r>
        <w:rPr>
          <w:sz w:val="21"/>
          <w:szCs w:val="21"/>
          <w:color w:val="231F20"/>
        </w:rPr>
        <w:t>ICI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治疗，密切随访及治疗，如果恢复到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级可继续</w:t>
      </w:r>
      <w:r>
        <w:rPr>
          <w:sz w:val="21"/>
          <w:szCs w:val="21"/>
          <w:color w:val="231F20"/>
        </w:rPr>
        <w:t>ICI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治疗；治疗则给予泼尼松</w:t>
      </w:r>
      <w:r>
        <w:rPr>
          <w:sz w:val="21"/>
          <w:szCs w:val="21"/>
          <w:color w:val="231F20"/>
          <w:spacing w:val="-9"/>
        </w:rPr>
        <w:t>0.5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～</w:t>
      </w:r>
      <w:r>
        <w:rPr>
          <w:sz w:val="21"/>
          <w:szCs w:val="21"/>
          <w:color w:val="231F20"/>
          <w:spacing w:val="-9"/>
        </w:rPr>
        <w:t>2.0 mg/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（</w:t>
      </w:r>
      <w:r>
        <w:rPr>
          <w:sz w:val="21"/>
          <w:szCs w:val="21"/>
          <w:color w:val="231F20"/>
          <w:spacing w:val="-9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w w:val="8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口服，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持续</w:t>
      </w:r>
      <w:r>
        <w:rPr>
          <w:sz w:val="21"/>
          <w:szCs w:val="21"/>
          <w:color w:val="231F20"/>
          <w:spacing w:val="4"/>
        </w:rPr>
        <w:t>2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周，然后在</w:t>
      </w:r>
      <w:r>
        <w:rPr>
          <w:sz w:val="21"/>
          <w:szCs w:val="21"/>
          <w:color w:val="231F20"/>
          <w:spacing w:val="4"/>
        </w:rPr>
        <w:t>4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周内逐渐减量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；如果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需要快速升高血小板，可以联用静脉免疫球蛋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白。</w:t>
      </w:r>
    </w:p>
    <w:p>
      <w:pPr>
        <w:pStyle w:val="BodyText"/>
        <w:ind w:left="6" w:firstLine="1"/>
        <w:spacing w:before="103" w:line="30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级毒性需暂停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治疗，密切随访及治疗，如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恢复到</w:t>
      </w:r>
      <w:r>
        <w:rPr>
          <w:sz w:val="21"/>
          <w:szCs w:val="21"/>
          <w:color w:val="231F20"/>
          <w:spacing w:val="-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级可继续治疗；予以泼尼松</w:t>
      </w:r>
      <w:r>
        <w:rPr>
          <w:sz w:val="21"/>
          <w:szCs w:val="21"/>
          <w:color w:val="231F20"/>
          <w:spacing w:val="-7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～</w:t>
      </w:r>
      <w:r>
        <w:rPr>
          <w:sz w:val="21"/>
          <w:szCs w:val="21"/>
          <w:color w:val="231F20"/>
          <w:spacing w:val="-7"/>
        </w:rPr>
        <w:t>2 mg/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</w:t>
      </w:r>
      <w:r>
        <w:rPr>
          <w:sz w:val="21"/>
          <w:szCs w:val="21"/>
          <w:color w:val="231F20"/>
          <w:spacing w:val="-7"/>
        </w:rPr>
        <w:t>kg</w:t>
      </w:r>
      <w:r>
        <w:rPr>
          <w:sz w:val="21"/>
          <w:szCs w:val="21"/>
          <w:color w:val="231F20"/>
          <w:spacing w:val="-8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口服，如无缓解或恶化，继续使用泼尼松，并联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合静脉免疫球蛋白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；严重者应用利妥昔单抗、促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血小板生成素受体激动剂（</w:t>
      </w:r>
      <w:r>
        <w:rPr>
          <w:sz w:val="21"/>
          <w:szCs w:val="21"/>
          <w:color w:val="231F20"/>
        </w:rPr>
        <w:t>thrombopoietin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</w:rPr>
        <w:t>receptor   </w:t>
      </w:r>
      <w:r>
        <w:rPr>
          <w:sz w:val="21"/>
          <w:szCs w:val="21"/>
          <w:color w:val="231F20"/>
          <w:spacing w:val="-2"/>
        </w:rPr>
        <w:t>agonist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TPO-RA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同时请血液科会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诊。</w:t>
      </w:r>
    </w:p>
    <w:p>
      <w:pPr>
        <w:pStyle w:val="BodyText"/>
        <w:ind w:left="2"/>
        <w:spacing w:before="8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4.8.3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获得性血友病</w:t>
      </w:r>
    </w:p>
    <w:p>
      <w:pPr>
        <w:pStyle w:val="BodyText"/>
        <w:ind w:left="5" w:right="32" w:hanging="3"/>
        <w:spacing w:before="102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4.8.3.1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在外科手术、创伤性操作后，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或严重者自发出现出血，如血肿、广泛的瘀斑、胃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肠道出血、血尿等。</w:t>
      </w:r>
    </w:p>
    <w:p>
      <w:pPr>
        <w:pStyle w:val="BodyText"/>
        <w:ind w:right="16" w:firstLine="1"/>
        <w:spacing w:before="101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4.8.3.2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  建议监测血常规和凝血功能，后者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包括凝血酶原时间（</w:t>
      </w:r>
      <w:r>
        <w:rPr>
          <w:sz w:val="21"/>
          <w:szCs w:val="21"/>
          <w:color w:val="231F20"/>
          <w:spacing w:val="-3"/>
        </w:rPr>
        <w:t>prothrombin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time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P</w:t>
      </w:r>
      <w:r>
        <w:rPr>
          <w:sz w:val="21"/>
          <w:szCs w:val="21"/>
          <w:color w:val="231F20"/>
          <w:spacing w:val="-4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）、活化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部分凝血活酶时间（</w:t>
      </w:r>
      <w:r>
        <w:rPr>
          <w:sz w:val="21"/>
          <w:szCs w:val="21"/>
          <w:color w:val="231F20"/>
        </w:rPr>
        <w:t>activated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partial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thromboplastin  </w:t>
      </w:r>
      <w:r>
        <w:rPr>
          <w:sz w:val="21"/>
          <w:szCs w:val="21"/>
          <w:color w:val="231F20"/>
          <w:spacing w:val="-7"/>
        </w:rPr>
        <w:t>time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APTT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）、凝血酶时间（</w:t>
      </w:r>
      <w:r>
        <w:rPr>
          <w:sz w:val="21"/>
          <w:szCs w:val="21"/>
          <w:color w:val="231F20"/>
          <w:spacing w:val="-7"/>
        </w:rPr>
        <w:t>thromb</w:t>
      </w:r>
      <w:r>
        <w:rPr>
          <w:sz w:val="21"/>
          <w:szCs w:val="21"/>
          <w:color w:val="231F20"/>
          <w:spacing w:val="-8"/>
        </w:rPr>
        <w:t>in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  <w:spacing w:val="-8"/>
        </w:rPr>
        <w:t>time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</w:t>
      </w:r>
      <w:r>
        <w:rPr>
          <w:sz w:val="21"/>
          <w:szCs w:val="21"/>
          <w:color w:val="231F20"/>
          <w:spacing w:val="-8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纤维蛋白原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；</w:t>
      </w:r>
      <w:r>
        <w:rPr>
          <w:sz w:val="21"/>
          <w:szCs w:val="21"/>
          <w:color w:val="231F20"/>
          <w:spacing w:val="-1"/>
        </w:rPr>
        <w:t>PT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APTT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纠正实验、凝血因子活性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分析、</w:t>
      </w:r>
      <w:r>
        <w:rPr>
          <w:sz w:val="21"/>
          <w:szCs w:val="21"/>
          <w:color w:val="231F20"/>
          <w:spacing w:val="-2"/>
        </w:rPr>
        <w:t>Bethesda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凝血因子抑制物测定。</w:t>
      </w:r>
    </w:p>
    <w:p>
      <w:pPr>
        <w:pStyle w:val="BodyText"/>
        <w:ind w:left="5" w:right="16" w:hanging="3"/>
        <w:spacing w:before="100" w:line="26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4.8.3.3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鉴别诊断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需考虑凝血因子Ⅺ或Ⅸ缺乏、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遗传性因子Ⅷ缺乏、血管性血友病等。</w:t>
      </w:r>
    </w:p>
    <w:p>
      <w:pPr>
        <w:pStyle w:val="BodyText"/>
        <w:ind w:left="2" w:right="89"/>
        <w:spacing w:before="96" w:line="29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4.8.3.4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处理  针对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级反应（凝血因子活性</w:t>
      </w:r>
      <w:r>
        <w:rPr>
          <w:sz w:val="21"/>
          <w:szCs w:val="21"/>
          <w:color w:val="231F20"/>
          <w:spacing w:val="3"/>
        </w:rPr>
        <w:t>5%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即</w:t>
      </w:r>
      <w:r>
        <w:rPr>
          <w:sz w:val="21"/>
          <w:szCs w:val="21"/>
          <w:color w:val="231F20"/>
        </w:rPr>
        <w:t>0.05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0.40 U/ml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>需暂停</w:t>
      </w:r>
      <w:r>
        <w:rPr>
          <w:sz w:val="21"/>
          <w:szCs w:val="21"/>
          <w:color w:val="231F20"/>
        </w:rPr>
        <w:t>I</w:t>
      </w:r>
      <w:r>
        <w:rPr>
          <w:sz w:val="21"/>
          <w:szCs w:val="21"/>
          <w:color w:val="231F20"/>
          <w:spacing w:val="-1"/>
        </w:rPr>
        <w:t>CI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治疗且仅在考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虑风险和获益后，再与患者讨论恢复治疗，治疗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上予以泼尼松</w:t>
      </w:r>
      <w:r>
        <w:rPr>
          <w:sz w:val="21"/>
          <w:szCs w:val="21"/>
          <w:color w:val="231F20"/>
          <w:spacing w:val="-2"/>
        </w:rPr>
        <w:t>0.5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2"/>
        </w:rPr>
        <w:t>1.0 mg/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并根据需要提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供血制品支持治疗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；对于</w:t>
      </w:r>
      <w:r>
        <w:rPr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级毒性（凝血因子活性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1%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5%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即</w:t>
      </w:r>
      <w:r>
        <w:rPr>
          <w:sz w:val="21"/>
          <w:szCs w:val="21"/>
          <w:color w:val="231F20"/>
          <w:spacing w:val="-3"/>
        </w:rPr>
        <w:t>0.01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-3"/>
        </w:rPr>
        <w:t>0.05 U/ml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先暂停</w:t>
      </w:r>
      <w:r>
        <w:rPr>
          <w:sz w:val="21"/>
          <w:szCs w:val="21"/>
          <w:color w:val="231F20"/>
          <w:spacing w:val="-3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治疗且仅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在考虑风险和获益后，与患者讨论恢复</w:t>
      </w:r>
      <w:r>
        <w:rPr>
          <w:sz w:val="21"/>
          <w:szCs w:val="21"/>
          <w:color w:val="231F20"/>
          <w:spacing w:val="-6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；可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考虑用凝血因子替代治疗，在出血发作期间，应提供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凝血因子支持治疗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；同时考虑泼尼松</w:t>
      </w:r>
      <w:r>
        <w:rPr>
          <w:sz w:val="21"/>
          <w:szCs w:val="21"/>
          <w:color w:val="231F20"/>
          <w:spacing w:val="-9"/>
        </w:rPr>
        <w:t>1mg/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（</w:t>
      </w:r>
      <w:r>
        <w:rPr>
          <w:sz w:val="21"/>
          <w:szCs w:val="21"/>
          <w:color w:val="231F20"/>
          <w:spacing w:val="-10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）±</w:t>
      </w:r>
    </w:p>
    <w:p>
      <w:pPr>
        <w:spacing w:line="296" w:lineRule="auto"/>
        <w:sectPr>
          <w:type w:val="continuous"/>
          <w:pgSz w:w="11906" w:h="16158"/>
          <w:pgMar w:top="1233" w:right="986" w:bottom="400" w:left="407" w:header="772" w:footer="0" w:gutter="0"/>
          <w:cols w:equalWidth="0" w:num="2">
            <w:col w:w="5701" w:space="100"/>
            <w:col w:w="471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02"/>
          <w:pgSz w:w="11906" w:h="16158"/>
          <w:pgMar w:top="1233" w:right="1060" w:bottom="400" w:left="407" w:header="772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673" w:right="360" w:firstLine="5"/>
        <w:spacing w:before="48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利妥昔单抗（每周</w:t>
      </w:r>
      <w:r>
        <w:rPr>
          <w:sz w:val="21"/>
          <w:szCs w:val="21"/>
          <w:color w:val="231F20"/>
          <w:spacing w:val="5"/>
        </w:rPr>
        <w:t>375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5"/>
        </w:rPr>
        <w:t>/m</w:t>
      </w:r>
      <w:r>
        <w:rPr>
          <w:sz w:val="12"/>
          <w:szCs w:val="12"/>
          <w:color w:val="231F20"/>
          <w:spacing w:val="5"/>
          <w:position w:val="10"/>
        </w:rPr>
        <w:t>2</w:t>
      </w:r>
      <w:r>
        <w:rPr>
          <w:sz w:val="12"/>
          <w:szCs w:val="12"/>
          <w:color w:val="231F20"/>
          <w:spacing w:val="-5"/>
          <w:position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，连续</w:t>
      </w:r>
      <w:r>
        <w:rPr>
          <w:sz w:val="21"/>
          <w:szCs w:val="21"/>
          <w:color w:val="231F20"/>
          <w:spacing w:val="5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周）和</w:t>
      </w:r>
      <w:r>
        <w:rPr>
          <w:sz w:val="21"/>
          <w:szCs w:val="21"/>
          <w:color w:val="231F20"/>
          <w:spacing w:val="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或环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磷酰胺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2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mg/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</w:rPr>
        <w:t>泼尼松和环磷酰胺应至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少服用</w:t>
      </w:r>
      <w:r>
        <w:rPr>
          <w:sz w:val="21"/>
          <w:szCs w:val="21"/>
          <w:color w:val="231F20"/>
          <w:spacing w:val="-7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周；对于</w:t>
      </w:r>
      <w:r>
        <w:rPr>
          <w:sz w:val="21"/>
          <w:szCs w:val="21"/>
          <w:color w:val="231F20"/>
          <w:spacing w:val="-7"/>
        </w:rPr>
        <w:t>3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7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级毒性（凝血因子活性＜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8"/>
        </w:rPr>
        <w:t>1%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即＜ </w:t>
      </w:r>
      <w:r>
        <w:rPr>
          <w:sz w:val="21"/>
          <w:szCs w:val="21"/>
          <w:color w:val="231F20"/>
          <w:spacing w:val="14"/>
        </w:rPr>
        <w:t>0.01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  <w:spacing w:val="14"/>
        </w:rPr>
        <w:t>U/</w:t>
      </w:r>
      <w:r>
        <w:rPr>
          <w:sz w:val="21"/>
          <w:szCs w:val="21"/>
          <w:color w:val="231F20"/>
        </w:rPr>
        <w:t>ml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应永久停止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治疗，并根据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Bethesda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法检测抑制物的表达水平选择凝血因子替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代治疗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；同时予以泼尼松</w:t>
      </w:r>
      <w:r>
        <w:rPr>
          <w:sz w:val="21"/>
          <w:szCs w:val="21"/>
          <w:color w:val="231F20"/>
          <w:spacing w:val="3"/>
        </w:rPr>
        <w:t>1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</w:rPr>
        <w:t>kg</w:t>
      </w:r>
      <w:r>
        <w:rPr>
          <w:sz w:val="21"/>
          <w:szCs w:val="21"/>
          <w:color w:val="231F20"/>
          <w:spacing w:val="3"/>
        </w:rPr>
        <w:t>•d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）±利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妥昔单抗（每周</w:t>
      </w:r>
      <w:r>
        <w:rPr>
          <w:sz w:val="21"/>
          <w:szCs w:val="21"/>
          <w:color w:val="231F20"/>
          <w:spacing w:val="5"/>
        </w:rPr>
        <w:t>375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5"/>
        </w:rPr>
        <w:t>/m</w:t>
      </w:r>
      <w:r>
        <w:rPr>
          <w:sz w:val="12"/>
          <w:szCs w:val="12"/>
          <w:color w:val="231F20"/>
          <w:spacing w:val="5"/>
          <w:position w:val="10"/>
        </w:rPr>
        <w:t>2</w:t>
      </w:r>
      <w:r>
        <w:rPr>
          <w:sz w:val="12"/>
          <w:szCs w:val="12"/>
          <w:color w:val="231F20"/>
          <w:spacing w:val="-5"/>
          <w:position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，连续</w:t>
      </w:r>
      <w:r>
        <w:rPr>
          <w:sz w:val="21"/>
          <w:szCs w:val="21"/>
          <w:color w:val="231F20"/>
          <w:spacing w:val="5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周）和</w:t>
      </w:r>
      <w:r>
        <w:rPr>
          <w:sz w:val="21"/>
          <w:szCs w:val="21"/>
          <w:color w:val="231F20"/>
          <w:spacing w:val="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或环磷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酰胺</w:t>
      </w:r>
      <w:r>
        <w:rPr>
          <w:sz w:val="21"/>
          <w:szCs w:val="21"/>
          <w:color w:val="231F20"/>
        </w:rPr>
        <w:t>1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2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mg/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</w:rPr>
        <w:t>如病情恶化或无好转，可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加环孢霉素或其他免疫抑制剂治疗。</w:t>
      </w:r>
    </w:p>
    <w:p>
      <w:pPr>
        <w:pStyle w:val="BodyText"/>
        <w:ind w:left="673"/>
        <w:spacing w:before="7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4.8.4  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再生障碍性贫血</w:t>
      </w:r>
    </w:p>
    <w:p>
      <w:pPr>
        <w:pStyle w:val="BodyText"/>
        <w:ind w:left="681" w:right="286" w:hanging="8"/>
        <w:spacing w:before="99" w:line="26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4.8.4.1    </w:t>
      </w:r>
      <w:r>
        <w:rPr>
          <w:rFonts w:ascii="SimSun" w:hAnsi="SimSun" w:eastAsia="SimSun" w:cs="SimSun"/>
          <w:sz w:val="21"/>
          <w:szCs w:val="21"/>
          <w:color w:val="231F20"/>
        </w:rPr>
        <w:t>临床表现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临床表现包括贫血、出血、感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染，血常规提示全血细胞减少，骨髓造血功能减退。</w:t>
      </w:r>
    </w:p>
    <w:p>
      <w:pPr>
        <w:pStyle w:val="BodyText"/>
        <w:ind w:left="676" w:right="286" w:hanging="3"/>
        <w:spacing w:before="99" w:line="286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4.8.4.2  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诊断  详细了解病史，完善血常规、网织红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细胞计数、骨髓象、肝肾功能、铁代谢、维生素</w:t>
      </w:r>
      <w:r>
        <w:rPr>
          <w:sz w:val="21"/>
          <w:szCs w:val="21"/>
          <w:color w:val="231F20"/>
          <w:spacing w:val="-8"/>
        </w:rPr>
        <w:t>B</w:t>
      </w:r>
      <w:r>
        <w:rPr>
          <w:sz w:val="12"/>
          <w:szCs w:val="12"/>
          <w:color w:val="231F20"/>
          <w:spacing w:val="-8"/>
          <w:position w:val="-3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叶酸水平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；骨髓检查，并排除药物、辐射、毒素、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病毒感染等继发性因素。</w:t>
      </w:r>
    </w:p>
    <w:p>
      <w:pPr>
        <w:pStyle w:val="BodyText"/>
        <w:ind w:left="676" w:right="285" w:hanging="3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4.8.4.3  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鉴别诊断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需要考虑骨髓增生异常综合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征、阵发性睡眠性血红蛋白尿症、肿瘤骨髓转移、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病毒感染和药物不良反应。</w:t>
      </w:r>
    </w:p>
    <w:p>
      <w:pPr>
        <w:pStyle w:val="BodyText"/>
        <w:ind w:left="677" w:right="302" w:hanging="4"/>
        <w:spacing w:before="100" w:line="2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4.8.4.4  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处理  暂停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治疗，</w:t>
      </w:r>
      <w:r>
        <w:rPr>
          <w:sz w:val="21"/>
          <w:szCs w:val="21"/>
          <w:color w:val="231F20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级毒性需密切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随访，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并予以造血生长因子治疗，根据指南合理进行输血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支持治疗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级毒性可考虑加用免疫抑制剂，必要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时给予环孢菌素和</w:t>
      </w:r>
      <w:r>
        <w:rPr>
          <w:sz w:val="21"/>
          <w:szCs w:val="21"/>
          <w:color w:val="231F20"/>
        </w:rPr>
        <w:t>ATG</w:t>
      </w:r>
      <w:r>
        <w:rPr>
          <w:rFonts w:ascii="SimSun" w:hAnsi="SimSun" w:eastAsia="SimSun" w:cs="SimSun"/>
          <w:sz w:val="21"/>
          <w:szCs w:val="21"/>
          <w:color w:val="231F20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；</w:t>
      </w:r>
      <w:r>
        <w:rPr>
          <w:sz w:val="21"/>
          <w:szCs w:val="21"/>
          <w:color w:val="231F20"/>
        </w:rPr>
        <w:t>3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4</w:t>
      </w:r>
      <w:r>
        <w:rPr>
          <w:rFonts w:ascii="SimSun" w:hAnsi="SimSun" w:eastAsia="SimSun" w:cs="SimSun"/>
          <w:sz w:val="21"/>
          <w:szCs w:val="21"/>
          <w:color w:val="231F20"/>
        </w:rPr>
        <w:t>级毒性请血液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科会诊强化免疫抑制剂治疗，有条件者可考虑干细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胞移植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；对难治性患者给予</w:t>
      </w:r>
      <w:r>
        <w:rPr>
          <w:sz w:val="21"/>
          <w:szCs w:val="21"/>
          <w:color w:val="231F20"/>
          <w:spacing w:val="-4"/>
        </w:rPr>
        <w:t>TPO-RA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支持治疗。</w:t>
      </w:r>
    </w:p>
    <w:p>
      <w:pPr>
        <w:ind w:left="678"/>
        <w:spacing w:before="102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5</w:t>
      </w:r>
      <w:r>
        <w:rPr>
          <w:rFonts w:ascii="Arial" w:hAnsi="Arial" w:eastAsia="Arial" w:cs="Arial"/>
          <w:sz w:val="21"/>
          <w:szCs w:val="21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特殊关注问题</w:t>
      </w:r>
    </w:p>
    <w:p>
      <w:pPr>
        <w:pStyle w:val="BodyText"/>
        <w:ind w:left="676" w:right="302" w:firstLine="3"/>
        <w:spacing w:before="80" w:line="29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5.1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免疫相关多脏器功能损伤的管理  相较免疫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相关的单器官不良反应已广泛报道，目前临床研究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证据对多器官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知之甚少，其特征多表现为同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一患者的多器官系统受累，这可能是由于对此类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认识不足和缺乏报道。一项纳入</w:t>
      </w:r>
      <w:r>
        <w:rPr>
          <w:sz w:val="21"/>
          <w:szCs w:val="21"/>
          <w:color w:val="231F20"/>
          <w:spacing w:val="1"/>
        </w:rPr>
        <w:t>623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例非小细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胞肺癌的多中心回顾性研究显示，多器官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发生率为</w:t>
      </w:r>
      <w:r>
        <w:rPr>
          <w:sz w:val="21"/>
          <w:szCs w:val="21"/>
          <w:color w:val="231F20"/>
          <w:spacing w:val="6"/>
        </w:rPr>
        <w:t>9.3%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。在接受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6"/>
        </w:rPr>
        <w:t>-1/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6"/>
        </w:rPr>
        <w:t>-L1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抑制剂单药治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疗的患者中最常见的多器官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模式为肺炎和甲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状腺炎（</w:t>
      </w:r>
      <w:r>
        <w:rPr>
          <w:sz w:val="21"/>
          <w:szCs w:val="21"/>
          <w:i/>
          <w:iCs/>
          <w:color w:val="231F20"/>
          <w:spacing w:val="-9"/>
        </w:rPr>
        <w:t>n</w:t>
      </w:r>
      <w:r>
        <w:rPr>
          <w:sz w:val="21"/>
          <w:szCs w:val="21"/>
          <w:i/>
          <w:iCs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9"/>
        </w:rPr>
        <w:t>7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，</w:t>
      </w:r>
      <w:r>
        <w:rPr>
          <w:sz w:val="21"/>
          <w:szCs w:val="21"/>
          <w:color w:val="231F20"/>
          <w:spacing w:val="-9"/>
        </w:rPr>
        <w:t>14%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）、肝炎和甲状腺炎（</w:t>
      </w:r>
      <w:r>
        <w:rPr>
          <w:sz w:val="21"/>
          <w:szCs w:val="21"/>
          <w:i/>
          <w:iCs/>
          <w:color w:val="231F20"/>
          <w:spacing w:val="-10"/>
        </w:rPr>
        <w:t>n</w:t>
      </w:r>
      <w:r>
        <w:rPr>
          <w:sz w:val="21"/>
          <w:szCs w:val="21"/>
          <w:i/>
          <w:iCs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0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）、皮炎和肺炎（</w:t>
      </w:r>
      <w:r>
        <w:rPr>
          <w:sz w:val="21"/>
          <w:szCs w:val="21"/>
          <w:i/>
          <w:iCs/>
          <w:color w:val="231F20"/>
          <w:spacing w:val="-5"/>
        </w:rPr>
        <w:t>n</w:t>
      </w:r>
      <w:r>
        <w:rPr>
          <w:sz w:val="21"/>
          <w:szCs w:val="21"/>
          <w:i/>
          <w:iCs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5"/>
        </w:rPr>
        <w:t>5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）。良好的体能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状况和较长的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持续治疗时间是多器官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发展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的独立风险因素。而多变量回归分析提示，与未发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的患者相比，</w:t>
      </w:r>
      <w:r>
        <w:rPr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个器官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和多系统</w:t>
      </w:r>
      <w:r>
        <w:rPr>
          <w:sz w:val="21"/>
          <w:szCs w:val="21"/>
          <w:color w:val="231F20"/>
        </w:rPr>
        <w:t>irAEs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的患者</w:t>
      </w:r>
      <w:r>
        <w:rPr>
          <w:sz w:val="21"/>
          <w:szCs w:val="21"/>
          <w:color w:val="231F20"/>
          <w:spacing w:val="-3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sz w:val="21"/>
          <w:szCs w:val="21"/>
          <w:color w:val="231F20"/>
          <w:spacing w:val="-3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均明显改善</w:t>
      </w:r>
      <w:r>
        <w:rPr>
          <w:sz w:val="12"/>
          <w:szCs w:val="12"/>
          <w:color w:val="231F20"/>
          <w:spacing w:val="-3"/>
          <w:position w:val="9"/>
        </w:rPr>
        <w:t>[84]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。而在另一项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纳入</w:t>
      </w:r>
      <w:r>
        <w:rPr>
          <w:sz w:val="21"/>
          <w:szCs w:val="21"/>
          <w:color w:val="231F20"/>
          <w:spacing w:val="-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2"/>
        <w:spacing w:before="45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非小细胞肺癌临床研究的阿替利珠单抗单药治疗组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患者的数据进行事后汇总不良反应的分析研究表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明，共</w:t>
      </w:r>
      <w:r>
        <w:rPr>
          <w:sz w:val="21"/>
          <w:szCs w:val="21"/>
          <w:color w:val="231F20"/>
          <w:spacing w:val="6"/>
        </w:rPr>
        <w:t>1548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例患者中，</w:t>
      </w:r>
      <w:r>
        <w:rPr>
          <w:sz w:val="21"/>
          <w:szCs w:val="21"/>
          <w:color w:val="231F20"/>
          <w:spacing w:val="6"/>
        </w:rPr>
        <w:t>84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例（</w:t>
      </w:r>
      <w:r>
        <w:rPr>
          <w:sz w:val="21"/>
          <w:szCs w:val="21"/>
          <w:color w:val="231F20"/>
          <w:spacing w:val="6"/>
        </w:rPr>
        <w:t>5.4%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）患者有多器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，具体而言，影响</w:t>
      </w:r>
      <w:r>
        <w:rPr>
          <w:sz w:val="21"/>
          <w:szCs w:val="21"/>
          <w:color w:val="231F20"/>
          <w:spacing w:val="7"/>
        </w:rPr>
        <w:t>2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</w:t>
      </w:r>
      <w:r>
        <w:rPr>
          <w:sz w:val="21"/>
          <w:szCs w:val="21"/>
          <w:color w:val="231F20"/>
          <w:spacing w:val="7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个器官的</w:t>
      </w:r>
      <w:r>
        <w:rPr>
          <w:sz w:val="21"/>
          <w:szCs w:val="21"/>
          <w:color w:val="231F20"/>
        </w:rPr>
        <w:t>irAEs  </w:t>
      </w:r>
      <w:r>
        <w:rPr>
          <w:rFonts w:ascii="SimSun" w:hAnsi="SimSun" w:eastAsia="SimSun" w:cs="SimSun"/>
          <w:sz w:val="21"/>
          <w:szCs w:val="21"/>
          <w:color w:val="231F20"/>
        </w:rPr>
        <w:t>发生率分别为</w:t>
      </w:r>
      <w:r>
        <w:rPr>
          <w:sz w:val="21"/>
          <w:szCs w:val="21"/>
          <w:color w:val="231F20"/>
        </w:rPr>
        <w:t>4.50%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0.80%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</w:rPr>
        <w:t>0.06%</w:t>
      </w:r>
      <w:r>
        <w:rPr>
          <w:rFonts w:ascii="SimSun" w:hAnsi="SimSun" w:eastAsia="SimSun" w:cs="SimSun"/>
          <w:sz w:val="21"/>
          <w:szCs w:val="21"/>
          <w:color w:val="231F20"/>
        </w:rPr>
        <w:t>。受影响的主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要器官是皮肤、肺、肝和甲状腺，垂体腺较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少见。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此外，该研究同样发现多系统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的发展与</w:t>
      </w:r>
      <w:r>
        <w:rPr>
          <w:sz w:val="21"/>
          <w:szCs w:val="21"/>
          <w:color w:val="231F20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改善相关，提示多器官</w:t>
      </w:r>
      <w:r>
        <w:rPr>
          <w:sz w:val="21"/>
          <w:szCs w:val="21"/>
          <w:color w:val="231F20"/>
        </w:rPr>
        <w:t>irAE</w:t>
      </w:r>
      <w:r>
        <w:rPr>
          <w:rFonts w:ascii="SimSun" w:hAnsi="SimSun" w:eastAsia="SimSun" w:cs="SimSun"/>
          <w:sz w:val="21"/>
          <w:szCs w:val="21"/>
          <w:color w:val="231F20"/>
        </w:rPr>
        <w:t>的致死率并未升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</w:t>
      </w:r>
      <w:r>
        <w:rPr>
          <w:sz w:val="12"/>
          <w:szCs w:val="12"/>
          <w:color w:val="231F20"/>
          <w:spacing w:val="-1"/>
          <w:position w:val="9"/>
        </w:rPr>
        <w:t>[85]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right="14" w:firstLine="420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然而，尽管临床上免疫相关性心肌炎合并肌炎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的发生率较低，但致死率极高。在一项纳入了</w:t>
      </w:r>
      <w:r>
        <w:rPr>
          <w:sz w:val="21"/>
          <w:szCs w:val="21"/>
          <w:color w:val="231F20"/>
          <w:spacing w:val="-1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免疫相关性心肌炎伴肌炎</w:t>
      </w:r>
      <w:r>
        <w:rPr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重症肌无力患者的荟萃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分析研究中发现，这些患者即使在初始治疗中采用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高剂量激素和免疫抑制剂的联合应用，其致死率仍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高达</w:t>
      </w:r>
      <w:r>
        <w:rPr>
          <w:sz w:val="21"/>
          <w:szCs w:val="21"/>
          <w:color w:val="231F20"/>
          <w:spacing w:val="-1"/>
        </w:rPr>
        <w:t>60%</w:t>
      </w:r>
      <w:r>
        <w:rPr>
          <w:sz w:val="12"/>
          <w:szCs w:val="12"/>
          <w:color w:val="231F20"/>
          <w:spacing w:val="-1"/>
          <w:position w:val="9"/>
        </w:rPr>
        <w:t>[86]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。提示临床上急需进行前瞻性研究，以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了解诊断和管理这些患者的最佳方法，同时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探索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相关生物标志物以预测这类严重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的发生和预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后。针对多器官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的治疗仍多采用激素治疗，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通常以合并受累器官中推荐激素剂量较大者为使用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原则。</w:t>
      </w:r>
    </w:p>
    <w:p>
      <w:pPr>
        <w:pStyle w:val="BodyText"/>
        <w:ind w:left="1" w:right="72" w:firstLine="419"/>
        <w:spacing w:before="9" w:line="29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目前的临床研究证据显示免疫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治疗导致的多器官</w:t>
      </w:r>
      <w:r>
        <w:rPr>
          <w:sz w:val="21"/>
          <w:szCs w:val="21"/>
          <w:color w:val="231F20"/>
        </w:rPr>
        <w:t>irAEs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致死率并未升高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总体安</w:t>
      </w:r>
      <w:r>
        <w:rPr>
          <w:rFonts w:ascii="NSimSun" w:hAnsi="NSimSun" w:eastAsia="NSimSun" w:cs="NSimSun"/>
          <w:sz w:val="21"/>
          <w:szCs w:val="21"/>
          <w:color w:val="231F20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全性可控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然而临床上认为一般发生多器官</w:t>
      </w:r>
      <w:r>
        <w:rPr>
          <w:sz w:val="21"/>
          <w:szCs w:val="21"/>
          <w:color w:val="231F20"/>
        </w:rPr>
        <w:t>irAEs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的患者程度更为严重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多采用大剂量激素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当激素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使用未见好转时应尽快加用其他免疫抑制剂以控制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不良反应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尤其当出现合并免疫相关性心肌炎的多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器官</w:t>
      </w:r>
      <w:r>
        <w:rPr>
          <w:sz w:val="21"/>
          <w:szCs w:val="21"/>
          <w:color w:val="231F20"/>
        </w:rPr>
        <w:t>irAEs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应尽早选用大剂量激素同时合并免疫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抑制剂的使用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多学科团队的管理在多器官损伤中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的作用尤为重要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pStyle w:val="BodyText"/>
        <w:ind w:right="72" w:firstLine="2"/>
        <w:spacing w:before="6" w:line="29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5.2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肿瘤化疗激素预处理问题  多项研究显示接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受免疫治疗的肿瘤患者基线或早期使用激素大于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"/>
        </w:rPr>
        <w:t>10 mg/d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，其预后会更差</w:t>
      </w:r>
      <w:r>
        <w:rPr>
          <w:sz w:val="12"/>
          <w:szCs w:val="12"/>
          <w:color w:val="231F20"/>
          <w:spacing w:val="-1"/>
          <w:position w:val="9"/>
        </w:rPr>
        <w:t>[87-88]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。使用激素的原因包括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脑转移、骨转移所致疼痛等。进一步研究发现，如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患者使用激素的原因并非肿瘤相关的疾病（如自身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免疫性疾病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与未使用激素的患者相比，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等预后差异均无统计学意义，说明激素未影响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肿瘤免疫治疗效果。因此，导致肿瘤患者免疫治疗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预后更差的原因是肿瘤自身原因引起的合并症，而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不是激素。一项研究表明，激素用量＞ </w:t>
      </w:r>
      <w:r>
        <w:rPr>
          <w:sz w:val="21"/>
          <w:szCs w:val="21"/>
          <w:color w:val="231F20"/>
        </w:rPr>
        <w:t>50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sz w:val="21"/>
          <w:szCs w:val="21"/>
          <w:color w:val="231F20"/>
        </w:rPr>
        <w:t>mg/d</w:t>
      </w:r>
      <w:r>
        <w:rPr>
          <w:rFonts w:ascii="SimSun" w:hAnsi="SimSun" w:eastAsia="SimSun" w:cs="SimSun"/>
          <w:sz w:val="21"/>
          <w:szCs w:val="21"/>
          <w:color w:val="231F20"/>
        </w:rPr>
        <w:t>对 </w:t>
      </w:r>
      <w:r>
        <w:rPr>
          <w:rFonts w:ascii="SimSun" w:hAnsi="SimSun" w:eastAsia="SimSun" w:cs="SimSun"/>
          <w:sz w:val="21"/>
          <w:szCs w:val="21"/>
          <w:color w:val="231F20"/>
        </w:rPr>
        <w:t>预后才有影响</w:t>
      </w:r>
      <w:r>
        <w:rPr>
          <w:sz w:val="12"/>
          <w:szCs w:val="12"/>
          <w:color w:val="231F20"/>
          <w:position w:val="9"/>
        </w:rPr>
        <w:t>[89]</w:t>
      </w:r>
      <w:r>
        <w:rPr>
          <w:rFonts w:ascii="SimSun" w:hAnsi="SimSun" w:eastAsia="SimSun" w:cs="SimSun"/>
          <w:sz w:val="21"/>
          <w:szCs w:val="21"/>
          <w:color w:val="231F20"/>
        </w:rPr>
        <w:t>，也佐证了这一点，常规化疗预处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理无需如此大剂量的激素。</w:t>
      </w:r>
    </w:p>
    <w:p>
      <w:pPr>
        <w:spacing w:line="297" w:lineRule="auto"/>
        <w:sectPr>
          <w:type w:val="continuous"/>
          <w:pgSz w:w="11906" w:h="16158"/>
          <w:pgMar w:top="1233" w:right="1060" w:bottom="400" w:left="407" w:header="772" w:footer="0" w:gutter="0"/>
          <w:cols w:equalWidth="0" w:num="2">
            <w:col w:w="5652" w:space="100"/>
            <w:col w:w="46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03"/>
          <w:pgSz w:w="11906" w:h="16158"/>
          <w:pgMar w:top="1233" w:right="986" w:bottom="400" w:left="407" w:header="772" w:footer="0" w:gutter="0"/>
          <w:cols w:equalWidth="0" w:num="1">
            <w:col w:w="10511" w:space="0"/>
          </w:cols>
        </w:sectPr>
        <w:rPr/>
      </w:pPr>
    </w:p>
    <w:p>
      <w:pPr>
        <w:pStyle w:val="BodyText"/>
        <w:ind w:left="734" w:right="298" w:firstLine="373"/>
        <w:spacing w:before="4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4"/>
          <w:w w:val="96"/>
          <w:position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w w:val="96"/>
          <w:position w:val="-1"/>
        </w:rPr>
        <w:t>项重要Ⅲ期研究</w:t>
      </w:r>
      <w:r>
        <w:rPr>
          <w:sz w:val="21"/>
          <w:szCs w:val="21"/>
          <w:color w:val="231F20"/>
          <w:spacing w:val="-14"/>
          <w:w w:val="96"/>
          <w:position w:val="-1"/>
        </w:rPr>
        <w:t>KEYNOTE-189</w:t>
      </w:r>
      <w:r>
        <w:rPr>
          <w:sz w:val="12"/>
          <w:szCs w:val="12"/>
          <w:color w:val="231F20"/>
          <w:spacing w:val="-14"/>
          <w:w w:val="96"/>
          <w:position w:val="9"/>
        </w:rPr>
        <w:t>[90]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w w:val="96"/>
          <w:position w:val="-1"/>
        </w:rPr>
        <w:t>和</w:t>
      </w:r>
      <w:r>
        <w:rPr>
          <w:sz w:val="21"/>
          <w:szCs w:val="21"/>
          <w:color w:val="231F20"/>
          <w:spacing w:val="-10"/>
          <w:w w:val="94"/>
          <w:position w:val="-1"/>
        </w:rPr>
        <w:t>KEYNOTE-407</w:t>
      </w:r>
      <w:r>
        <w:rPr>
          <w:sz w:val="12"/>
          <w:szCs w:val="12"/>
          <w:color w:val="231F20"/>
          <w:spacing w:val="-10"/>
          <w:w w:val="94"/>
          <w:position w:val="9"/>
        </w:rPr>
        <w:t>[91]</w:t>
      </w:r>
      <w:r>
        <w:rPr>
          <w:sz w:val="12"/>
          <w:szCs w:val="12"/>
          <w:color w:val="231F20"/>
          <w:spacing w:val="4"/>
          <w:position w:val="9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证明使用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11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抑制剂前常规预处理剂量的激素，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不影响患者的获益，其中</w:t>
      </w:r>
      <w:r>
        <w:rPr>
          <w:sz w:val="21"/>
          <w:szCs w:val="21"/>
          <w:color w:val="231F20"/>
        </w:rPr>
        <w:t>KEYNOTE</w:t>
      </w:r>
      <w:r>
        <w:rPr>
          <w:sz w:val="21"/>
          <w:szCs w:val="21"/>
          <w:color w:val="231F20"/>
          <w:spacing w:val="4"/>
        </w:rPr>
        <w:t>-407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研究是免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疫治疗联合紫杉醇方案。但结合临床实际，可尽量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减少激素用量。</w:t>
      </w:r>
    </w:p>
    <w:p>
      <w:pPr>
        <w:pStyle w:val="BodyText"/>
        <w:ind w:left="733" w:right="282" w:firstLine="420"/>
        <w:spacing w:line="29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①对于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单药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不建议使用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激素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②对于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联合铂类或氟尿嘧啶类药物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可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不使用激素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可以联用</w:t>
      </w:r>
      <w:r>
        <w:rPr>
          <w:sz w:val="21"/>
          <w:szCs w:val="21"/>
          <w:color w:val="231F20"/>
        </w:rPr>
        <w:t>NK</w:t>
      </w:r>
      <w:r>
        <w:rPr>
          <w:sz w:val="21"/>
          <w:szCs w:val="21"/>
          <w:color w:val="231F20"/>
          <w:spacing w:val="6"/>
        </w:rPr>
        <w:t>-1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抑制剂止吐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异丙嗪</w:t>
      </w:r>
      <w:r>
        <w:rPr>
          <w:rFonts w:ascii="NSimSun" w:hAnsi="NSimSun" w:eastAsia="NSimSun" w:cs="NSimSun"/>
          <w:sz w:val="21"/>
          <w:szCs w:val="21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注射药抗过敏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③对于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联合紫杉类药物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联用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白蛋白紫杉醇可不使用激素预处理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如为紫杉醇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5"/>
        </w:rPr>
        <w:t>多西他赛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5"/>
        </w:rPr>
        <w:t>可以降低激素使用量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5"/>
        </w:rPr>
        <w:t>如地塞米松</w:t>
      </w:r>
      <w:r>
        <w:rPr>
          <w:sz w:val="21"/>
          <w:szCs w:val="21"/>
          <w:color w:val="231F20"/>
          <w:spacing w:val="-5"/>
        </w:rPr>
        <w:t>10 mg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或</w:t>
      </w:r>
      <w:r>
        <w:rPr>
          <w:sz w:val="21"/>
          <w:szCs w:val="21"/>
          <w:color w:val="231F20"/>
          <w:spacing w:val="-1"/>
        </w:rPr>
        <w:t>5 mg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预处理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31" w:right="282" w:firstLine="4"/>
        <w:spacing w:before="4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5.3  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治疗期间的抗感染治疗  多项研究表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明接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治疗的患者，如果暴露抗生素，会降低免疫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治疗效果</w:t>
      </w:r>
      <w:r>
        <w:rPr>
          <w:sz w:val="12"/>
          <w:szCs w:val="12"/>
          <w:color w:val="231F20"/>
          <w:spacing w:val="4"/>
          <w:position w:val="9"/>
        </w:rPr>
        <w:t>[92-93]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。一项纳入</w:t>
      </w:r>
      <w:r>
        <w:rPr>
          <w:sz w:val="21"/>
          <w:szCs w:val="21"/>
          <w:color w:val="231F20"/>
          <w:spacing w:val="4"/>
        </w:rPr>
        <w:t>249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例晚期肿瘤患者接受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治疗的研究中，</w:t>
      </w:r>
      <w:r>
        <w:rPr>
          <w:sz w:val="21"/>
          <w:szCs w:val="21"/>
          <w:color w:val="231F20"/>
          <w:spacing w:val="1"/>
        </w:rPr>
        <w:t>69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例患者在免疫治疗前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个月内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或治疗后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个月进行抗生素治疗。结果表明，与未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服用抗生素相比，服用抗生素并接受免疫治疗组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患者的中位</w:t>
      </w:r>
      <w:r>
        <w:rPr>
          <w:sz w:val="21"/>
          <w:szCs w:val="21"/>
          <w:color w:val="231F20"/>
        </w:rPr>
        <w:t>PFS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</w:rPr>
        <w:t>mPFS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）时间缩短</w:t>
      </w:r>
      <w:r>
        <w:rPr>
          <w:sz w:val="21"/>
          <w:szCs w:val="21"/>
          <w:color w:val="231F20"/>
          <w:spacing w:val="3"/>
        </w:rPr>
        <w:t>0.6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个月（</w:t>
      </w:r>
      <w:r>
        <w:rPr>
          <w:sz w:val="21"/>
          <w:szCs w:val="21"/>
          <w:color w:val="231F20"/>
          <w:spacing w:val="3"/>
        </w:rPr>
        <w:t>4.1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个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月∶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"/>
        </w:rPr>
        <w:t>3.5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个月，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sz w:val="21"/>
          <w:szCs w:val="21"/>
          <w:i/>
          <w:iCs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＝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1"/>
        </w:rPr>
        <w:t>0.017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中位</w:t>
      </w:r>
      <w:r>
        <w:rPr>
          <w:sz w:val="21"/>
          <w:szCs w:val="21"/>
          <w:color w:val="231F20"/>
          <w:spacing w:val="-1"/>
        </w:rPr>
        <w:t>OS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mO</w:t>
      </w:r>
      <w:r>
        <w:rPr>
          <w:sz w:val="21"/>
          <w:szCs w:val="21"/>
          <w:color w:val="231F20"/>
          <w:spacing w:val="-2"/>
        </w:rPr>
        <w:t>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）时间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缩短</w:t>
      </w:r>
      <w:r>
        <w:rPr>
          <w:sz w:val="21"/>
          <w:szCs w:val="21"/>
          <w:color w:val="231F20"/>
          <w:spacing w:val="-8"/>
        </w:rPr>
        <w:t>9.1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个月（</w:t>
      </w:r>
      <w:r>
        <w:rPr>
          <w:sz w:val="21"/>
          <w:szCs w:val="21"/>
          <w:color w:val="231F20"/>
          <w:spacing w:val="-8"/>
        </w:rPr>
        <w:t>20.6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个月∶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8"/>
        </w:rPr>
        <w:t>11.5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个月，</w:t>
      </w:r>
      <w:r>
        <w:rPr>
          <w:sz w:val="21"/>
          <w:szCs w:val="21"/>
          <w:i/>
          <w:iCs/>
          <w:color w:val="231F20"/>
          <w:spacing w:val="-8"/>
        </w:rPr>
        <w:t>P</w:t>
      </w:r>
      <w:r>
        <w:rPr>
          <w:sz w:val="21"/>
          <w:szCs w:val="21"/>
          <w:i/>
          <w:iCs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8"/>
        </w:rPr>
        <w:t>0.001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</w:t>
      </w:r>
      <w:r>
        <w:rPr>
          <w:sz w:val="12"/>
          <w:szCs w:val="12"/>
          <w:color w:val="231F20"/>
          <w:spacing w:val="2"/>
          <w:position w:val="9"/>
        </w:rPr>
        <w:t>[94]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>。</w:t>
      </w:r>
    </w:p>
    <w:p>
      <w:pPr>
        <w:pStyle w:val="BodyText"/>
        <w:ind w:left="733" w:right="298" w:firstLine="419"/>
        <w:spacing w:before="7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对于发生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需要大剂量或长期使用激素</w:t>
      </w:r>
      <w:r>
        <w:rPr>
          <w:sz w:val="21"/>
          <w:szCs w:val="21"/>
          <w:color w:val="231F20"/>
          <w:spacing w:val="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疫抑制剂的患者，是否需要行抗生素预防机会性感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染目前尚无定论，研究较少。一项纳入</w:t>
      </w:r>
      <w:r>
        <w:rPr>
          <w:sz w:val="21"/>
          <w:szCs w:val="21"/>
          <w:color w:val="231F20"/>
          <w:spacing w:val="1"/>
        </w:rPr>
        <w:t>112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治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疗患者接受剂量≥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7"/>
        </w:rPr>
        <w:t>20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7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、时间超过</w:t>
      </w:r>
      <w:r>
        <w:rPr>
          <w:sz w:val="21"/>
          <w:szCs w:val="21"/>
          <w:color w:val="231F20"/>
          <w:spacing w:val="7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周的激素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治疗，约</w:t>
      </w:r>
      <w:r>
        <w:rPr>
          <w:sz w:val="21"/>
          <w:szCs w:val="21"/>
          <w:color w:val="231F20"/>
          <w:spacing w:val="2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的患者发生感染，其中</w:t>
      </w:r>
      <w:r>
        <w:rPr>
          <w:sz w:val="21"/>
          <w:szCs w:val="21"/>
          <w:color w:val="231F20"/>
          <w:spacing w:val="2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  <w:spacing w:val="2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例）为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机会性感染，</w:t>
      </w:r>
      <w:r>
        <w:rPr>
          <w:sz w:val="21"/>
          <w:szCs w:val="21"/>
          <w:color w:val="231F20"/>
        </w:rPr>
        <w:t>13%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14</w:t>
      </w:r>
      <w:r>
        <w:rPr>
          <w:rFonts w:ascii="SimSun" w:hAnsi="SimSun" w:eastAsia="SimSun" w:cs="SimSun"/>
          <w:sz w:val="21"/>
          <w:szCs w:val="21"/>
          <w:color w:val="231F20"/>
        </w:rPr>
        <w:t>例）为非机会性感染。在预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防性使用抗生素方面，</w:t>
      </w:r>
      <w:r>
        <w:rPr>
          <w:sz w:val="21"/>
          <w:szCs w:val="21"/>
          <w:color w:val="231F20"/>
          <w:spacing w:val="1"/>
        </w:rPr>
        <w:t>13%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  <w:spacing w:val="1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例）的患者予以预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防性使用复方磺胺甲</w:t>
      </w:r>
      <w:r>
        <w:rPr>
          <w:sz w:val="21"/>
          <w:szCs w:val="21"/>
          <w:position w:val="3"/>
        </w:rPr>
        <w:drawing>
          <wp:inline distT="0" distB="0" distL="0" distR="0">
            <wp:extent cx="44828" cy="78651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28" cy="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1"/>
        </w:rPr>
        <w:t>恶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唑预防卡式肺孢子菌肺炎，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</w:t>
      </w:r>
      <w:r>
        <w:rPr>
          <w:sz w:val="21"/>
          <w:szCs w:val="21"/>
          <w:color w:val="231F20"/>
          <w:spacing w:val="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例（</w:t>
      </w:r>
      <w:r>
        <w:rPr>
          <w:sz w:val="21"/>
          <w:szCs w:val="21"/>
          <w:color w:val="231F20"/>
          <w:spacing w:val="4"/>
        </w:rPr>
        <w:t>43%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）发生感染</w:t>
      </w:r>
      <w:r>
        <w:rPr>
          <w:sz w:val="12"/>
          <w:szCs w:val="12"/>
          <w:color w:val="231F20"/>
          <w:spacing w:val="4"/>
          <w:position w:val="9"/>
        </w:rPr>
        <w:t>[95]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。预防性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使用抗生素对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免疫治疗是否有影响暂无文献报道。</w:t>
      </w:r>
    </w:p>
    <w:p>
      <w:pPr>
        <w:ind w:left="751" w:right="282" w:firstLine="402"/>
        <w:spacing w:before="2" w:line="298" w:lineRule="auto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①如果在治疗过程中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7"/>
        </w:rPr>
        <w:t>明确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>出现了细菌感染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>且症状明显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>建议使用抗生素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</w:t>
      </w:r>
    </w:p>
    <w:p>
      <w:pPr>
        <w:pStyle w:val="BodyText"/>
        <w:ind w:left="735" w:right="356" w:firstLine="14"/>
        <w:spacing w:before="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②参考临床经验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对于使用剂量较大激素或免疫抑</w:t>
      </w:r>
      <w:r>
        <w:rPr>
          <w:rFonts w:ascii="NSimSun" w:hAnsi="NSimSun" w:eastAsia="NSimSun" w:cs="NSimSun"/>
          <w:sz w:val="21"/>
          <w:szCs w:val="21"/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制剂使用时间超过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周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建议酌情预防性使用抗生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素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如复方磺胺甲</w:t>
      </w:r>
      <w:r>
        <w:rPr>
          <w:sz w:val="21"/>
          <w:szCs w:val="21"/>
          <w:position w:val="2"/>
        </w:rPr>
        <w:drawing>
          <wp:inline distT="0" distB="0" distL="0" distR="0">
            <wp:extent cx="38732" cy="7660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2" cy="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恶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唑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31" w:right="356" w:firstLine="4"/>
        <w:spacing w:before="92" w:line="27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5.4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免疫治疗期间乙型病毒性肝炎管理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已有较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多研究表明，</w:t>
      </w:r>
      <w:r>
        <w:rPr>
          <w:sz w:val="21"/>
          <w:szCs w:val="21"/>
          <w:color w:val="231F20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感染人群罹患恶性肿瘤后接受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治疗不仅有效，而且安全。同时，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不影响抗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病毒药物对病毒的控制。但在接受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治疗前或同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" w:firstLine="14"/>
        <w:spacing w:before="40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时，</w:t>
      </w:r>
      <w:r>
        <w:rPr>
          <w:sz w:val="21"/>
          <w:szCs w:val="21"/>
          <w:color w:val="231F20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患者必须接受有效的抗病毒治疗。研究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表明，当患者接受</w:t>
      </w:r>
      <w:r>
        <w:rPr>
          <w:sz w:val="21"/>
          <w:szCs w:val="21"/>
          <w:color w:val="231F20"/>
          <w:spacing w:val="-2"/>
        </w:rPr>
        <w:t>PD-1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抑制剂治疗时，</w:t>
      </w:r>
      <w:r>
        <w:rPr>
          <w:sz w:val="21"/>
          <w:szCs w:val="21"/>
          <w:color w:val="231F20"/>
          <w:spacing w:val="-2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病毒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再激活率很高。一项研究纳入了</w:t>
      </w:r>
      <w:r>
        <w:rPr>
          <w:sz w:val="21"/>
          <w:szCs w:val="21"/>
          <w:color w:val="231F20"/>
          <w:spacing w:val="3"/>
        </w:rPr>
        <w:t>114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例接受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3"/>
        </w:rPr>
        <w:t>-1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抑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制剂治疗的</w:t>
      </w:r>
      <w:r>
        <w:rPr>
          <w:sz w:val="21"/>
          <w:szCs w:val="21"/>
          <w:color w:val="231F20"/>
        </w:rPr>
        <w:t>HBsAg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阳性患者，其再激活率为</w:t>
      </w:r>
      <w:r>
        <w:rPr>
          <w:sz w:val="21"/>
          <w:szCs w:val="21"/>
          <w:color w:val="231F20"/>
          <w:spacing w:val="1"/>
        </w:rPr>
        <w:t>17%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当患者同时接受抗病毒治疗时，</w:t>
      </w:r>
      <w:r>
        <w:rPr>
          <w:sz w:val="21"/>
          <w:szCs w:val="21"/>
          <w:color w:val="231F20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的再激活率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降至</w:t>
      </w:r>
      <w:r>
        <w:rPr>
          <w:sz w:val="21"/>
          <w:szCs w:val="21"/>
          <w:color w:val="231F20"/>
          <w:spacing w:val="7"/>
        </w:rPr>
        <w:t>1.2%</w:t>
      </w:r>
      <w:r>
        <w:rPr>
          <w:sz w:val="12"/>
          <w:szCs w:val="12"/>
          <w:color w:val="231F20"/>
          <w:spacing w:val="7"/>
          <w:position w:val="9"/>
        </w:rPr>
        <w:t>[96]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。另一项需要考虑的因素是患者发生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时，用大剂量皮质类固醇治疗的患者有中度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6"/>
        </w:rPr>
        <w:t>HBV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再激活风险，尤其是对于治疗时间超过</w:t>
      </w:r>
      <w:r>
        <w:rPr>
          <w:sz w:val="21"/>
          <w:szCs w:val="21"/>
          <w:color w:val="231F20"/>
          <w:spacing w:val="-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周或皮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质类固醇与抗肿瘤坏死因子药物联合治疗的患者。</w:t>
      </w:r>
    </w:p>
    <w:p>
      <w:pPr>
        <w:pStyle w:val="BodyText"/>
        <w:ind w:left="5" w:right="16" w:firstLine="420"/>
        <w:spacing w:before="5" w:line="29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3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3"/>
        </w:rPr>
        <w:t>①对于</w:t>
      </w:r>
      <w:r>
        <w:rPr>
          <w:sz w:val="21"/>
          <w:szCs w:val="21"/>
          <w:color w:val="231F20"/>
          <w:spacing w:val="-3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3"/>
        </w:rPr>
        <w:t>阳性或</w:t>
      </w:r>
      <w:r>
        <w:rPr>
          <w:sz w:val="21"/>
          <w:szCs w:val="21"/>
          <w:color w:val="231F20"/>
          <w:spacing w:val="-3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3"/>
        </w:rPr>
        <w:t>阴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性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抗</w:t>
      </w:r>
      <w:r>
        <w:rPr>
          <w:sz w:val="21"/>
          <w:szCs w:val="21"/>
          <w:color w:val="231F20"/>
        </w:rPr>
        <w:t>HBc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阳性且可检测到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的</w:t>
      </w:r>
      <w:r>
        <w:rPr>
          <w:sz w:val="21"/>
          <w:szCs w:val="21"/>
          <w:color w:val="231F20"/>
        </w:rPr>
        <w:t>HBV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感染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应在开始肿瘤免疫治疗前接受核苷酸类似物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77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②对隐匿性</w:t>
      </w:r>
      <w:r>
        <w:rPr>
          <w:sz w:val="21"/>
          <w:szCs w:val="21"/>
          <w:color w:val="231F20"/>
          <w:spacing w:val="-1"/>
        </w:rPr>
        <w:t>HBV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感染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阴性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抗</w:t>
      </w:r>
      <w:r>
        <w:rPr>
          <w:sz w:val="21"/>
          <w:szCs w:val="21"/>
          <w:color w:val="231F20"/>
          <w:spacing w:val="-1"/>
        </w:rPr>
        <w:t>HBc</w:t>
      </w:r>
      <w:r>
        <w:rPr>
          <w:sz w:val="21"/>
          <w:szCs w:val="21"/>
          <w:color w:val="231F20"/>
        </w:rPr>
        <w:t xml:space="preserve">  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阳性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可检测到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</w:t>
      </w: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等再激活风险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较低的患者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在肿瘤免疫治疗前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建议接受核苷酸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类似物抗病毒预防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如恩替卡韦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替诺福韦二吡呋</w:t>
      </w:r>
      <w:r>
        <w:rPr>
          <w:rFonts w:ascii="NSimSun" w:hAnsi="NSimSun" w:eastAsia="NSimSun" w:cs="NSimSun"/>
          <w:sz w:val="21"/>
          <w:szCs w:val="21"/>
          <w:color w:val="231F20"/>
          <w:spacing w:val="1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9"/>
        </w:rPr>
        <w:t>酯等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9"/>
        </w:rPr>
        <w:t>并应定期检测</w:t>
      </w:r>
      <w:r>
        <w:rPr>
          <w:sz w:val="21"/>
          <w:szCs w:val="21"/>
          <w:color w:val="231F20"/>
          <w:spacing w:val="-9"/>
        </w:rPr>
        <w:t>ALT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、</w:t>
      </w:r>
      <w:r>
        <w:rPr>
          <w:sz w:val="21"/>
          <w:szCs w:val="21"/>
          <w:color w:val="231F20"/>
          <w:spacing w:val="-9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9"/>
        </w:rPr>
        <w:t>和</w:t>
      </w:r>
      <w:r>
        <w:rPr>
          <w:sz w:val="21"/>
          <w:szCs w:val="21"/>
          <w:color w:val="231F20"/>
          <w:spacing w:val="-9"/>
        </w:rPr>
        <w:t>HBV DNA</w:t>
      </w:r>
      <w:r>
        <w:rPr>
          <w:rFonts w:ascii="NSimSun" w:hAnsi="NSimSun" w:eastAsia="NSimSun" w:cs="NSimSun"/>
          <w:sz w:val="21"/>
          <w:szCs w:val="21"/>
          <w:color w:val="231F20"/>
          <w:spacing w:val="-9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6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③对于血浆</w:t>
      </w:r>
      <w:r>
        <w:rPr>
          <w:sz w:val="21"/>
          <w:szCs w:val="21"/>
          <w:color w:val="231F20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阴性且</w:t>
      </w:r>
      <w:r>
        <w:rPr>
          <w:sz w:val="21"/>
          <w:szCs w:val="21"/>
          <w:color w:val="231F20"/>
        </w:rPr>
        <w:t>HBV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DNA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检测不出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5"/>
        </w:rPr>
        <w:t>但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2"/>
        </w:rPr>
        <w:t>抗</w:t>
      </w:r>
      <w:r>
        <w:rPr>
          <w:sz w:val="21"/>
          <w:szCs w:val="21"/>
          <w:color w:val="231F20"/>
          <w:spacing w:val="-12"/>
        </w:rPr>
        <w:t>HBc</w:t>
      </w:r>
      <w:r>
        <w:rPr>
          <w:rFonts w:ascii="NSimSun" w:hAnsi="NSimSun" w:eastAsia="NSimSun" w:cs="NSimSun"/>
          <w:sz w:val="21"/>
          <w:szCs w:val="21"/>
          <w:color w:val="231F20"/>
          <w:spacing w:val="-12"/>
        </w:rPr>
        <w:t>阳性的患者</w:t>
      </w:r>
      <w:r>
        <w:rPr>
          <w:rFonts w:ascii="SimSun" w:hAnsi="SimSun" w:eastAsia="SimSun" w:cs="SimSun"/>
          <w:sz w:val="21"/>
          <w:szCs w:val="21"/>
          <w:color w:val="231F20"/>
          <w:spacing w:val="-12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2"/>
        </w:rPr>
        <w:t>则在肿瘤免疫治疗期间应每</w:t>
      </w:r>
      <w:r>
        <w:rPr>
          <w:sz w:val="21"/>
          <w:szCs w:val="21"/>
          <w:color w:val="231F20"/>
          <w:spacing w:val="-12"/>
        </w:rPr>
        <w:t>6</w:t>
      </w:r>
      <w:r>
        <w:rPr>
          <w:rFonts w:ascii="NSimSun" w:hAnsi="NSimSun" w:eastAsia="NSimSun" w:cs="NSimSun"/>
          <w:sz w:val="21"/>
          <w:szCs w:val="21"/>
          <w:color w:val="231F20"/>
          <w:spacing w:val="-12"/>
        </w:rPr>
        <w:t>个月</w:t>
      </w:r>
      <w:r>
        <w:rPr>
          <w:rFonts w:ascii="NSimSun" w:hAnsi="NSimSun" w:eastAsia="NSimSun" w:cs="NSimSun"/>
          <w:sz w:val="21"/>
          <w:szCs w:val="21"/>
          <w:color w:val="231F20"/>
          <w:spacing w:val="1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检测</w:t>
      </w:r>
      <w:r>
        <w:rPr>
          <w:sz w:val="21"/>
          <w:szCs w:val="21"/>
          <w:color w:val="231F20"/>
          <w:spacing w:val="-8"/>
        </w:rPr>
        <w:t>1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次</w:t>
      </w:r>
      <w:r>
        <w:rPr>
          <w:sz w:val="21"/>
          <w:szCs w:val="21"/>
          <w:color w:val="231F20"/>
          <w:spacing w:val="-8"/>
        </w:rPr>
        <w:t>ALT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、</w:t>
      </w:r>
      <w:r>
        <w:rPr>
          <w:sz w:val="21"/>
          <w:szCs w:val="21"/>
          <w:color w:val="231F20"/>
          <w:spacing w:val="-8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和</w:t>
      </w:r>
      <w:r>
        <w:rPr>
          <w:sz w:val="21"/>
          <w:szCs w:val="21"/>
          <w:color w:val="231F20"/>
          <w:spacing w:val="-8"/>
        </w:rPr>
        <w:t>HBV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sz w:val="21"/>
          <w:szCs w:val="21"/>
          <w:color w:val="231F20"/>
          <w:spacing w:val="-8"/>
        </w:rPr>
        <w:t>DNA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如果在免疫治疗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期间</w:t>
      </w:r>
      <w:r>
        <w:rPr>
          <w:sz w:val="21"/>
          <w:szCs w:val="21"/>
          <w:color w:val="231F20"/>
          <w:spacing w:val="-7"/>
        </w:rPr>
        <w:t>ALT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升高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应立即检测</w:t>
      </w:r>
      <w:r>
        <w:rPr>
          <w:sz w:val="21"/>
          <w:szCs w:val="21"/>
          <w:color w:val="231F20"/>
          <w:spacing w:val="-7"/>
        </w:rPr>
        <w:t>HBsAg</w:t>
      </w:r>
      <w:r>
        <w:rPr>
          <w:rFonts w:ascii="NSimSun" w:hAnsi="NSimSun" w:eastAsia="NSimSun" w:cs="NSimSun"/>
          <w:sz w:val="21"/>
          <w:szCs w:val="21"/>
          <w:color w:val="231F20"/>
          <w:spacing w:val="-7"/>
        </w:rPr>
        <w:t>和</w:t>
      </w:r>
      <w:r>
        <w:rPr>
          <w:sz w:val="21"/>
          <w:szCs w:val="21"/>
          <w:color w:val="231F20"/>
          <w:spacing w:val="-7"/>
        </w:rPr>
        <w:t>HBV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sz w:val="21"/>
          <w:szCs w:val="21"/>
          <w:color w:val="231F20"/>
          <w:spacing w:val="-7"/>
        </w:rPr>
        <w:t>DNA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。</w:t>
      </w:r>
    </w:p>
    <w:p>
      <w:pPr>
        <w:pStyle w:val="BodyText"/>
        <w:ind w:left="3" w:right="16" w:firstLine="2"/>
        <w:spacing w:before="5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5.5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免疫治疗期间结核病的管理  对于既往有结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核病病史的患者，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应用导致结核复燃发生比例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低于</w:t>
      </w:r>
      <w:r>
        <w:rPr>
          <w:sz w:val="21"/>
          <w:szCs w:val="21"/>
          <w:color w:val="231F20"/>
          <w:spacing w:val="5"/>
        </w:rPr>
        <w:t>2%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，但是其临床和影像学检查十分隐匿，严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重者可以出现播散性结核病的发生，甚至危及生命。</w:t>
      </w:r>
    </w:p>
    <w:p>
      <w:pPr>
        <w:pStyle w:val="BodyText"/>
        <w:ind w:left="5" w:right="32" w:firstLine="419"/>
        <w:spacing w:line="29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推荐管理意见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8"/>
        </w:rPr>
        <w:t>对于既往有结核病病史的患者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治疗期间定期监测症状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结核杆菌斑点试验及影像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学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对于确诊结核感染者则需停止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6"/>
        </w:rPr>
        <w:t>并实</w:t>
      </w:r>
      <w:r>
        <w:rPr>
          <w:rFonts w:ascii="NSimSun" w:hAnsi="NSimSun" w:eastAsia="NSimSun" w:cs="NSimSun"/>
          <w:sz w:val="21"/>
          <w:szCs w:val="21"/>
          <w:color w:val="231F20"/>
          <w:spacing w:val="1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施规范的抗结核治疗直至临床痊愈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3" w:right="17" w:firstLine="2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5.6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特殊人群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应用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自身免疫病、器官移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植、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透析等特殊人群罹患肿瘤可以接受免疫治疗，但需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包括临床免疫学家和肿瘤学家等组成的多学科团队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参与制订诊疗策略以降低伴随疾病的并发症发生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风险。</w:t>
      </w:r>
    </w:p>
    <w:p>
      <w:pPr>
        <w:pStyle w:val="BodyText"/>
        <w:ind w:firstLine="6"/>
        <w:spacing w:before="1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5.6.1</w:t>
      </w:r>
      <w:r>
        <w:rPr>
          <w:sz w:val="21"/>
          <w:szCs w:val="21"/>
          <w:color w:val="231F20"/>
        </w:rPr>
        <w:t xml:space="preserve">   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自身免疫病  一些回顾性研究显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示</w:t>
      </w:r>
      <w:r>
        <w:rPr>
          <w:sz w:val="21"/>
          <w:szCs w:val="21"/>
          <w:color w:val="231F20"/>
          <w:spacing w:val="7"/>
        </w:rPr>
        <w:t>20%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8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的自身免疫病合并肿瘤患者在使用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后原有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自身免疫病会加重，但是可控</w:t>
      </w:r>
      <w:r>
        <w:rPr>
          <w:sz w:val="12"/>
          <w:szCs w:val="12"/>
          <w:color w:val="231F20"/>
          <w:spacing w:val="9"/>
          <w:position w:val="9"/>
        </w:rPr>
        <w:t>[97-99]</w:t>
      </w:r>
      <w:r>
        <w:rPr>
          <w:sz w:val="12"/>
          <w:szCs w:val="12"/>
          <w:color w:val="231F20"/>
          <w:spacing w:val="8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。一些个案报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道显示对于活动性自身免疫病患者，在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应用前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周，将非特异性免疫抑制剂（如糖皮质激素）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转换成特异性免疫抑制剂（如英夫利西单抗、托珠</w:t>
      </w:r>
    </w:p>
    <w:p>
      <w:pPr>
        <w:spacing w:line="287" w:lineRule="auto"/>
        <w:sectPr>
          <w:type w:val="continuous"/>
          <w:pgSz w:w="11906" w:h="16158"/>
          <w:pgMar w:top="1233" w:right="986" w:bottom="400" w:left="407" w:header="772" w:footer="0" w:gutter="0"/>
          <w:cols w:equalWidth="0" w:num="2">
            <w:col w:w="5703" w:space="100"/>
            <w:col w:w="470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106"/>
          <w:pgSz w:w="11906" w:h="16158"/>
          <w:pgMar w:top="1233" w:right="1059" w:bottom="400" w:left="407" w:header="772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77" w:right="364" w:firstLine="2"/>
        <w:spacing w:before="42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单抗等）以降低系统性</w:t>
      </w:r>
      <w:r>
        <w:rPr>
          <w:sz w:val="21"/>
          <w:szCs w:val="21"/>
          <w:color w:val="231F20"/>
          <w:spacing w:val="2"/>
        </w:rPr>
        <w:t>T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细胞抑制，则不仅抗肿瘤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疗效良好，其自身免疫病活动的概率也会明显降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6"/>
        </w:rPr>
        <w:t>低</w:t>
      </w:r>
      <w:r>
        <w:rPr>
          <w:sz w:val="12"/>
          <w:szCs w:val="12"/>
          <w:color w:val="231F20"/>
          <w:position w:val="3"/>
        </w:rPr>
        <w:t>[100-102]</w:t>
      </w:r>
      <w:r>
        <w:rPr>
          <w:rFonts w:ascii="SimSun" w:hAnsi="SimSun" w:eastAsia="SimSun" w:cs="SimSun"/>
          <w:sz w:val="21"/>
          <w:szCs w:val="21"/>
          <w:color w:val="231F20"/>
          <w:position w:val="-6"/>
        </w:rPr>
        <w:t>。</w:t>
      </w:r>
    </w:p>
    <w:p>
      <w:pPr>
        <w:pStyle w:val="BodyText"/>
        <w:ind w:left="674" w:right="353" w:firstLine="423"/>
        <w:spacing w:before="10" w:line="30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①对于控制自身免疫病的糖皮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质激素剂量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≤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1"/>
        </w:rPr>
        <w:t>10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1"/>
        </w:rPr>
        <w:t>mg/d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使用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期间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需严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密监测自身免疫病的发作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67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②对于活动性自身免疫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病患者是否该使用免疫治疗应个体化考虑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可酌情</w:t>
      </w:r>
      <w:r>
        <w:rPr>
          <w:rFonts w:ascii="NSimSun" w:hAnsi="NSimSun" w:eastAsia="NSimSun" w:cs="NSimSun"/>
          <w:sz w:val="21"/>
          <w:szCs w:val="21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考虑将糖皮质激素等非特异性免疫抑制剂转换成英</w:t>
      </w:r>
      <w:r>
        <w:rPr>
          <w:rFonts w:ascii="NSimSun" w:hAnsi="NSimSun" w:eastAsia="NSimSun" w:cs="NSimSun"/>
          <w:sz w:val="21"/>
          <w:szCs w:val="21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9"/>
        </w:rPr>
        <w:t>夫利西单抗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、</w:t>
      </w:r>
      <w:r>
        <w:rPr>
          <w:rFonts w:ascii="NSimSun" w:hAnsi="NSimSun" w:eastAsia="NSimSun" w:cs="NSimSun"/>
          <w:sz w:val="21"/>
          <w:szCs w:val="21"/>
          <w:color w:val="231F20"/>
          <w:spacing w:val="9"/>
        </w:rPr>
        <w:t>托珠单抗等特异性免疫抑制剂治疗</w:t>
      </w:r>
      <w:r>
        <w:rPr>
          <w:rFonts w:ascii="NSimSun" w:hAnsi="NSimSun" w:eastAsia="NSimSun" w:cs="NSimSun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后再考虑</w:t>
      </w:r>
      <w:r>
        <w:rPr>
          <w:sz w:val="21"/>
          <w:szCs w:val="21"/>
          <w:color w:val="231F20"/>
          <w:spacing w:val="-1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-78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③需包括经验丰富的临床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免疫学家和肿瘤学家等组成的多学科诊疗团队全程</w:t>
      </w:r>
      <w:r>
        <w:rPr>
          <w:rFonts w:ascii="NSimSun" w:hAnsi="NSimSun" w:eastAsia="NSimSun" w:cs="NSimSun"/>
          <w:sz w:val="21"/>
          <w:szCs w:val="21"/>
          <w:color w:val="231F20"/>
          <w:spacing w:val="1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2"/>
        </w:rPr>
        <w:t>管理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pStyle w:val="BodyText"/>
        <w:ind w:left="673" w:right="280" w:firstLine="6"/>
        <w:spacing w:before="6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5.6.2  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移植  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可破坏免疫耐受。接受实体器官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移植或造血干细胞移植的肿瘤患者在接受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后，容易出现同种异体移植排斥反应、移植物抗宿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主反应或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。研究显示，</w:t>
      </w:r>
      <w:r>
        <w:rPr>
          <w:sz w:val="21"/>
          <w:szCs w:val="21"/>
          <w:color w:val="231F20"/>
          <w:spacing w:val="3"/>
        </w:rPr>
        <w:t>37%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  <w:spacing w:val="3"/>
        </w:rPr>
        <w:t>41%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的移植患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者应用</w:t>
      </w:r>
      <w:r>
        <w:rPr>
          <w:sz w:val="21"/>
          <w:szCs w:val="21"/>
          <w:color w:val="231F20"/>
          <w:spacing w:val="-2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后出现异体移植排斥反应，</w:t>
      </w:r>
      <w:r>
        <w:rPr>
          <w:sz w:val="21"/>
          <w:szCs w:val="21"/>
          <w:color w:val="231F20"/>
          <w:spacing w:val="-2"/>
        </w:rPr>
        <w:t>80%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的病例导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致移植物失效，患者死亡率高达</w:t>
      </w:r>
      <w:r>
        <w:rPr>
          <w:sz w:val="21"/>
          <w:szCs w:val="21"/>
          <w:color w:val="231F20"/>
          <w:spacing w:val="-1"/>
          <w:position w:val="-1"/>
        </w:rPr>
        <w:t>38%</w:t>
      </w:r>
      <w:r>
        <w:rPr>
          <w:sz w:val="21"/>
          <w:szCs w:val="21"/>
          <w:color w:val="231F20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sz w:val="21"/>
          <w:szCs w:val="21"/>
          <w:color w:val="231F20"/>
          <w:spacing w:val="-1"/>
          <w:position w:val="-1"/>
        </w:rPr>
        <w:t>45</w:t>
      </w:r>
      <w:r>
        <w:rPr>
          <w:sz w:val="21"/>
          <w:szCs w:val="21"/>
          <w:color w:val="231F20"/>
          <w:spacing w:val="-2"/>
          <w:position w:val="-1"/>
        </w:rPr>
        <w:t>%</w:t>
      </w:r>
      <w:r>
        <w:rPr>
          <w:sz w:val="12"/>
          <w:szCs w:val="12"/>
          <w:color w:val="231F20"/>
          <w:spacing w:val="-2"/>
          <w:position w:val="9"/>
        </w:rPr>
        <w:t>[103-105]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肝移植受者较其他器官受者更常见排斥反应，</w:t>
      </w:r>
      <w:r>
        <w:rPr>
          <w:sz w:val="21"/>
          <w:szCs w:val="21"/>
          <w:color w:val="231F20"/>
          <w:spacing w:val="-4"/>
        </w:rPr>
        <w:t>PD-1/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</w:rPr>
        <w:t>PD</w:t>
      </w:r>
      <w:r>
        <w:rPr>
          <w:sz w:val="21"/>
          <w:szCs w:val="21"/>
          <w:color w:val="231F20"/>
          <w:spacing w:val="1"/>
        </w:rPr>
        <w:t>-L1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抑制剂较</w:t>
      </w:r>
      <w:r>
        <w:rPr>
          <w:sz w:val="21"/>
          <w:szCs w:val="21"/>
          <w:color w:val="231F20"/>
        </w:rPr>
        <w:t>CTLA</w:t>
      </w:r>
      <w:r>
        <w:rPr>
          <w:sz w:val="21"/>
          <w:szCs w:val="21"/>
          <w:color w:val="231F20"/>
          <w:spacing w:val="1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抑制剂更易出现排异反应。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目前没有任何临床因素可以预测移植物排斥的风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险，也尚无很好地预防移植物排斥的策略。</w:t>
      </w:r>
    </w:p>
    <w:p>
      <w:pPr>
        <w:pStyle w:val="BodyText"/>
        <w:ind w:left="679" w:right="354" w:firstLine="418"/>
        <w:spacing w:line="29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多学科讨论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4"/>
        </w:rPr>
        <w:t>若因病情必须接</w:t>
      </w:r>
      <w:r>
        <w:rPr>
          <w:rFonts w:ascii="NSimSun" w:hAnsi="NSimSun" w:eastAsia="NSimSun" w:cs="NSimSun"/>
          <w:sz w:val="21"/>
          <w:szCs w:val="21"/>
          <w:color w:val="231F20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受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治疗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建议在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治疗前做好评估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3"/>
        </w:rPr>
        <w:t>并充分知</w:t>
      </w:r>
      <w:r>
        <w:rPr>
          <w:rFonts w:ascii="NSimSun" w:hAnsi="NSimSun" w:eastAsia="NSimSun" w:cs="NSimSun"/>
          <w:sz w:val="21"/>
          <w:szCs w:val="21"/>
          <w:color w:val="231F20"/>
          <w:spacing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一旦发生移植排斥反应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建议使用大剂量激素</w:t>
      </w:r>
      <w:r>
        <w:rPr>
          <w:rFonts w:ascii="NSimSun" w:hAnsi="NSimSun" w:eastAsia="NSimSun" w:cs="NSimSun"/>
          <w:sz w:val="21"/>
          <w:szCs w:val="21"/>
          <w:color w:val="231F20"/>
          <w:spacing w:val="1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或其他免疫抑制剂治疗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677" w:right="354" w:firstLine="2"/>
        <w:spacing w:before="5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5.6.3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透析  小样本研究显示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，透析患者使用</w:t>
      </w:r>
      <w:r>
        <w:rPr>
          <w:sz w:val="21"/>
          <w:szCs w:val="21"/>
          <w:color w:val="231F20"/>
        </w:rPr>
        <w:t>ICI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的疗效和安全性与非透析患者类似。一项纳入近年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来发表的透析患者使用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治疗后安全性和疗效的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分析显示，</w:t>
      </w:r>
      <w:r>
        <w:rPr>
          <w:sz w:val="21"/>
          <w:szCs w:val="21"/>
          <w:color w:val="231F20"/>
          <w:spacing w:val="7"/>
        </w:rPr>
        <w:t>98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例透析患者中，</w:t>
      </w:r>
      <w:r>
        <w:rPr>
          <w:sz w:val="21"/>
          <w:szCs w:val="21"/>
          <w:color w:val="231F20"/>
          <w:spacing w:val="7"/>
        </w:rPr>
        <w:t>33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例患者发生</w:t>
      </w:r>
      <w:r>
        <w:rPr>
          <w:sz w:val="21"/>
          <w:szCs w:val="21"/>
          <w:color w:val="231F20"/>
          <w:spacing w:val="7"/>
        </w:rPr>
        <w:t>G1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~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G2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，以血液学毒性、皮肤毒性和消化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系统毒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性为主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；</w:t>
      </w:r>
      <w:r>
        <w:rPr>
          <w:sz w:val="21"/>
          <w:szCs w:val="21"/>
          <w:color w:val="231F20"/>
          <w:spacing w:val="-7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例发生</w:t>
      </w:r>
      <w:r>
        <w:rPr>
          <w:sz w:val="21"/>
          <w:szCs w:val="21"/>
          <w:color w:val="231F20"/>
          <w:spacing w:val="-7"/>
        </w:rPr>
        <w:t>G3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7"/>
        </w:rPr>
        <w:t>G4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7"/>
        </w:rPr>
        <w:t>irAEs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</w:t>
      </w:r>
      <w:r>
        <w:rPr>
          <w:sz w:val="21"/>
          <w:szCs w:val="21"/>
          <w:color w:val="231F20"/>
          <w:spacing w:val="-7"/>
        </w:rPr>
        <w:t>30%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的患者可观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察到肿瘤应答，</w:t>
      </w:r>
      <w:r>
        <w:rPr>
          <w:sz w:val="21"/>
          <w:szCs w:val="21"/>
          <w:color w:val="231F20"/>
          <w:spacing w:val="-3"/>
        </w:rPr>
        <w:t>28%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的患者肿瘤稳定</w:t>
      </w:r>
      <w:r>
        <w:rPr>
          <w:sz w:val="12"/>
          <w:szCs w:val="12"/>
          <w:color w:val="231F20"/>
          <w:spacing w:val="-3"/>
          <w:position w:val="9"/>
        </w:rPr>
        <w:t>[106]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679" w:right="280" w:firstLine="419"/>
        <w:spacing w:line="299" w:lineRule="auto"/>
        <w:rPr>
          <w:rFonts w:ascii="SimSun" w:hAnsi="SimSun" w:eastAsia="SimSun" w:cs="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8"/>
        </w:rPr>
        <w:t>推荐管理意见</w:t>
      </w:r>
      <w:r>
        <w:rPr>
          <w:rFonts w:ascii="NSimSun" w:hAnsi="NSimSun" w:eastAsia="NSimSun" w:cs="N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：</w:t>
      </w:r>
      <w:r>
        <w:rPr>
          <w:rFonts w:ascii="NSimSun" w:hAnsi="NSimSun" w:eastAsia="NSimSun" w:cs="NSimSun"/>
          <w:sz w:val="21"/>
          <w:szCs w:val="21"/>
          <w:color w:val="231F20"/>
          <w:spacing w:val="8"/>
        </w:rPr>
        <w:t>透析患者无需调整</w:t>
      </w:r>
      <w:r>
        <w:rPr>
          <w:sz w:val="21"/>
          <w:szCs w:val="21"/>
          <w:color w:val="231F20"/>
        </w:rPr>
        <w:t>ICI</w:t>
      </w:r>
      <w:r>
        <w:rPr>
          <w:rFonts w:ascii="NSimSun" w:hAnsi="NSimSun" w:eastAsia="NSimSun" w:cs="NSimSun"/>
          <w:sz w:val="21"/>
          <w:szCs w:val="21"/>
          <w:color w:val="231F20"/>
          <w:spacing w:val="8"/>
        </w:rPr>
        <w:t>剂量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231F20"/>
          <w:spacing w:val="-1"/>
        </w:rPr>
        <w:t>全程管理可参考非透析患者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679" w:right="281"/>
        <w:spacing w:before="1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5"/>
        </w:rPr>
        <w:t>5.7  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个体化诊治药物分类  个体化诊治是肿瘤患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者治疗的重要原则，根据纳入和排除标准严谨的大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型临床研究得到的药物应用适应证，在临床复杂、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多变的情况下，需要根据患者具体情况确定治疗策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略。药物分类如下。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firstLine="321"/>
        <w:spacing w:before="42" w:line="30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）糖皮质激素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：为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的基石药物。抗炎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作用快速、强烈。最常用的制剂为泼尼松或甲泼尼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龙。一般</w:t>
      </w:r>
      <w:r>
        <w:rPr>
          <w:sz w:val="21"/>
          <w:szCs w:val="21"/>
          <w:color w:val="231F20"/>
        </w:rPr>
        <w:t>G2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激素剂量</w:t>
      </w:r>
      <w:r>
        <w:rPr>
          <w:sz w:val="21"/>
          <w:szCs w:val="21"/>
          <w:color w:val="231F20"/>
        </w:rPr>
        <w:t>0.5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</w:rPr>
        <w:t>1.0</w:t>
      </w:r>
      <w:r>
        <w:rPr>
          <w:sz w:val="21"/>
          <w:szCs w:val="21"/>
          <w:color w:val="231F20"/>
          <w:spacing w:val="19"/>
          <w:w w:val="101"/>
        </w:rPr>
        <w:t xml:space="preserve"> </w:t>
      </w:r>
      <w:r>
        <w:rPr>
          <w:sz w:val="21"/>
          <w:szCs w:val="21"/>
          <w:color w:val="231F20"/>
        </w:rPr>
        <w:t>mg/</w:t>
      </w: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G3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G4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3"/>
        </w:rPr>
        <w:t>2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mg/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kg•d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但严重的心肌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炎和神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经系统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建议</w:t>
      </w:r>
      <w:r>
        <w:rPr>
          <w:sz w:val="21"/>
          <w:szCs w:val="21"/>
          <w:color w:val="231F20"/>
        </w:rPr>
        <w:t>500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1000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</w:rPr>
        <w:t>mg/d</w:t>
      </w:r>
      <w:r>
        <w:rPr>
          <w:rFonts w:ascii="SimSun" w:hAnsi="SimSun" w:eastAsia="SimSun" w:cs="SimSun"/>
          <w:sz w:val="21"/>
          <w:szCs w:val="21"/>
          <w:color w:val="231F20"/>
        </w:rPr>
        <w:t>开始冲击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，起效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后缓慢减量，常规换成口服后</w:t>
      </w:r>
      <w:r>
        <w:rPr>
          <w:sz w:val="21"/>
          <w:szCs w:val="21"/>
          <w:color w:val="231F20"/>
          <w:spacing w:val="-9"/>
        </w:rPr>
        <w:t>7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9"/>
        </w:rPr>
        <w:t>10 d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减</w:t>
      </w:r>
      <w:r>
        <w:rPr>
          <w:sz w:val="21"/>
          <w:szCs w:val="21"/>
          <w:color w:val="231F20"/>
          <w:spacing w:val="-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片，</w:t>
      </w:r>
      <w:r>
        <w:rPr>
          <w:sz w:val="21"/>
          <w:szCs w:val="21"/>
          <w:color w:val="231F20"/>
          <w:spacing w:val="-9"/>
        </w:rPr>
        <w:t>4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9"/>
        </w:rPr>
        <w:t>8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周减停。但对于肾上腺功能减退的患者，建议醋酸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可的松，维持剂量通常为上午</w:t>
      </w:r>
      <w:r>
        <w:rPr>
          <w:sz w:val="21"/>
          <w:szCs w:val="21"/>
          <w:color w:val="231F20"/>
          <w:spacing w:val="3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点</w:t>
      </w:r>
      <w:r>
        <w:rPr>
          <w:sz w:val="21"/>
          <w:szCs w:val="21"/>
          <w:color w:val="231F20"/>
          <w:spacing w:val="3"/>
        </w:rPr>
        <w:t>25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，下午</w:t>
      </w:r>
      <w:r>
        <w:rPr>
          <w:sz w:val="21"/>
          <w:szCs w:val="21"/>
          <w:color w:val="231F20"/>
          <w:spacing w:val="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5"/>
        </w:rPr>
        <w:t>12.5</w:t>
      </w:r>
      <w:r>
        <w:rPr>
          <w:sz w:val="21"/>
          <w:szCs w:val="21"/>
          <w:color w:val="231F20"/>
          <w:spacing w:val="24"/>
          <w:w w:val="101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，终身服用，有应激情况时剂量加倍。长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期使用糖皮质激素的患者应注意感染、消化性溃疡、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撤药反跳、高糖血症等不良反应。临床应用时需掌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握适应证和药物剂量，同时监测其不良反应。</w:t>
      </w:r>
    </w:p>
    <w:p>
      <w:pPr>
        <w:pStyle w:val="BodyText"/>
        <w:ind w:left="8" w:right="17" w:firstLine="318"/>
        <w:spacing w:before="7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）免疫抑制剂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：常用的有吗替麦考酚酯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主要用于肝脏</w:t>
      </w:r>
      <w:r>
        <w:rPr>
          <w:sz w:val="21"/>
          <w:szCs w:val="21"/>
          <w:color w:val="231F20"/>
          <w:spacing w:val="-1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right="73" w:firstLine="327"/>
        <w:spacing w:before="98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（</w:t>
      </w:r>
      <w:r>
        <w:rPr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）生物制剂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：主要针对参与免疫炎症反应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的重要致炎因子，如针对肿瘤坏死因子</w:t>
      </w:r>
      <w:r>
        <w:rPr>
          <w:sz w:val="21"/>
          <w:szCs w:val="21"/>
          <w:color w:val="231F20"/>
          <w:spacing w:val="7"/>
        </w:rPr>
        <w:t>-α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（</w:t>
      </w:r>
      <w:r>
        <w:rPr>
          <w:sz w:val="21"/>
          <w:szCs w:val="21"/>
          <w:color w:val="231F20"/>
        </w:rPr>
        <w:t>tumor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3"/>
        </w:rPr>
        <w:t>necrosis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factor-α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,</w:t>
      </w:r>
      <w:r>
        <w:rPr>
          <w:rFonts w:ascii="SimSun" w:hAnsi="SimSun" w:eastAsia="SimSun" w:cs="SimSun"/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  <w:spacing w:val="-3"/>
        </w:rPr>
        <w:t>TNF-α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)的英夫利西单抗，针对白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介素</w:t>
      </w:r>
      <w:r>
        <w:rPr>
          <w:sz w:val="21"/>
          <w:szCs w:val="21"/>
          <w:color w:val="231F20"/>
          <w:spacing w:val="-6"/>
        </w:rPr>
        <w:t>-6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</w:t>
      </w:r>
      <w:r>
        <w:rPr>
          <w:sz w:val="21"/>
          <w:szCs w:val="21"/>
          <w:color w:val="231F20"/>
          <w:spacing w:val="-6"/>
        </w:rPr>
        <w:t>interleukin-6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IL-6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）的托珠单抗，针对</w:t>
      </w:r>
      <w:r>
        <w:rPr>
          <w:sz w:val="21"/>
          <w:szCs w:val="21"/>
          <w:color w:val="231F20"/>
          <w:spacing w:val="-6"/>
        </w:rPr>
        <w:t>IL-</w:t>
      </w:r>
      <w:r>
        <w:rPr>
          <w:sz w:val="21"/>
          <w:szCs w:val="21"/>
          <w:color w:val="231F20"/>
          <w:spacing w:val="-7"/>
        </w:rPr>
        <w:t>17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的司库奇尤单抗，抑制</w:t>
      </w:r>
      <w:r>
        <w:rPr>
          <w:sz w:val="21"/>
          <w:szCs w:val="21"/>
          <w:color w:val="231F20"/>
          <w:spacing w:val="-2"/>
        </w:rPr>
        <w:t>JAK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通路的托法替布等。</w:t>
      </w:r>
    </w:p>
    <w:p>
      <w:pPr>
        <w:pStyle w:val="BodyText"/>
        <w:ind w:left="6" w:firstLine="321"/>
        <w:spacing w:before="101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  <w:spacing w:val="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</w:t>
      </w:r>
      <w:r>
        <w:rPr>
          <w:sz w:val="21"/>
          <w:szCs w:val="21"/>
          <w:color w:val="231F20"/>
        </w:rPr>
        <w:t>NSAIDs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：此类药物主要用于关节痛、肌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痛等，以选择性</w:t>
      </w:r>
      <w:r>
        <w:rPr>
          <w:sz w:val="21"/>
          <w:szCs w:val="21"/>
          <w:color w:val="231F20"/>
          <w:spacing w:val="-6"/>
        </w:rPr>
        <w:t>COX-2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抑制剂为主，包括塞来昔布、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依托考昔。</w:t>
      </w:r>
    </w:p>
    <w:p>
      <w:pPr>
        <w:pStyle w:val="BodyText"/>
        <w:ind w:left="8" w:firstLine="318"/>
        <w:spacing w:before="102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>）其他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：静脉注射免疫球蛋白、血浆置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换、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血浆免疫吸附，以及免疫调节药如羟氯喹等。</w:t>
      </w:r>
    </w:p>
    <w:p>
      <w:pPr>
        <w:pStyle w:val="BodyText"/>
        <w:ind w:left="6" w:right="74" w:firstLine="418"/>
        <w:spacing w:before="102" w:line="30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属于风湿免疫系统的一种疾病还是完全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独立于风湿免疫疾病外的另一种全新的疾病目前尚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无定论，但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的药物治疗多参考风湿免疫系统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疾病的治疗原则。药物的选择和疗效，尤其糖皮质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激素以外的其他药物，多以病例报道和小样本研究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为主，缺乏大型临床试验，证据等级较弱。</w:t>
      </w:r>
    </w:p>
    <w:p>
      <w:pPr>
        <w:ind w:left="6"/>
        <w:spacing w:line="23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5"/>
        </w:rPr>
        <w:t>6</w:t>
      </w:r>
      <w:r>
        <w:rPr>
          <w:rFonts w:ascii="Arial" w:hAnsi="Arial" w:eastAsia="Arial" w:cs="Arial"/>
          <w:sz w:val="21"/>
          <w:szCs w:val="21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结语</w:t>
      </w:r>
    </w:p>
    <w:p>
      <w:pPr>
        <w:pStyle w:val="BodyText"/>
        <w:ind w:left="6" w:firstLine="425"/>
        <w:spacing w:before="26" w:line="29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免疫治疗为消化道肿瘤的治疗带来了划时代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的进展。随着</w:t>
      </w:r>
      <w:r>
        <w:rPr>
          <w:sz w:val="21"/>
          <w:szCs w:val="21"/>
          <w:color w:val="231F20"/>
        </w:rPr>
        <w:t>ICI</w:t>
      </w:r>
      <w:r>
        <w:rPr>
          <w:rFonts w:ascii="SimSun" w:hAnsi="SimSun" w:eastAsia="SimSun" w:cs="SimSun"/>
          <w:sz w:val="21"/>
          <w:szCs w:val="21"/>
          <w:color w:val="231F20"/>
        </w:rPr>
        <w:t>药物陆续获批消化道肿瘤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适应证，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更多的消化道肿瘤患者在临床中将使用免疫治疗。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本共识基于重要研究数据，阐明了消化道肿瘤免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疫治疗中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</w:rPr>
        <w:t>的发生率、发病机制和生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物标志物。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结合消化道肿瘤多模式治疗的特点，聚焦双免疫治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疗、免疫治疗＋化疗、免疫治疗＋放（化）疗、免疫+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靶向治疗的安全性。基于循证医学证据，并汇集多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个亚专科和消化道肿瘤领域专家的临床经验，针对</w:t>
      </w:r>
    </w:p>
    <w:p>
      <w:pPr>
        <w:spacing w:line="294" w:lineRule="auto"/>
        <w:sectPr>
          <w:type w:val="continuous"/>
          <w:pgSz w:w="11906" w:h="16158"/>
          <w:pgMar w:top="1233" w:right="1059" w:bottom="400" w:left="407" w:header="772" w:footer="0" w:gutter="0"/>
          <w:cols w:equalWidth="0" w:num="2">
            <w:col w:w="5645" w:space="100"/>
            <w:col w:w="46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107"/>
          <w:pgSz w:w="11906" w:h="16158"/>
          <w:pgMar w:top="1233" w:right="1076" w:bottom="400" w:left="407" w:header="772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732" w:right="360" w:firstLine="5"/>
        <w:spacing w:before="43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消化系统毒性、内分泌毒性、皮肤毒性、呼吸系统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毒性、其他</w:t>
      </w:r>
      <w:r>
        <w:rPr>
          <w:sz w:val="21"/>
          <w:szCs w:val="21"/>
          <w:color w:val="231F20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以及特殊关注问题等方面提出意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见和建议，供临床医生作为用药参考。</w:t>
      </w:r>
      <w:r>
        <w:rPr>
          <w:sz w:val="21"/>
          <w:szCs w:val="21"/>
          <w:color w:val="231F20"/>
          <w:spacing w:val="-3"/>
        </w:rPr>
        <w:t>irAE</w:t>
      </w:r>
      <w:r>
        <w:rPr>
          <w:sz w:val="21"/>
          <w:szCs w:val="21"/>
          <w:color w:val="231F20"/>
          <w:spacing w:val="-4"/>
        </w:rPr>
        <w:t>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涉及全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身系统，需要不同专科医生共同协作和决策诊断与治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疗。新的免疫治疗药物和治疗方式仍在继续探索，对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于</w:t>
      </w:r>
      <w:r>
        <w:rPr>
          <w:sz w:val="21"/>
          <w:szCs w:val="21"/>
          <w:color w:val="231F20"/>
          <w:spacing w:val="-4"/>
        </w:rPr>
        <w:t>irAEs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的管理还需积累更多经验。随着新的循证医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学证据不断出现，本共识仍有待不断更新和补充。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737"/>
        <w:spacing w:before="90" w:line="17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致谢</w:t>
      </w:r>
    </w:p>
    <w:p>
      <w:pPr>
        <w:pStyle w:val="BodyText"/>
        <w:ind w:left="734" w:right="360" w:firstLine="426"/>
        <w:spacing w:before="78" w:line="30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感谢《中国消化道肿瘤免疫治疗不良反应专家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共识（</w:t>
      </w:r>
      <w:r>
        <w:rPr>
          <w:sz w:val="21"/>
          <w:szCs w:val="21"/>
          <w:color w:val="231F20"/>
          <w:spacing w:val="-1"/>
        </w:rPr>
        <w:t>2023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年版）》编写组所有专家对本共识的大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力支持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；感谢默沙东公司医学部对本共识提供的文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献检索和整理工作。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38" w:right="360" w:hanging="109"/>
        <w:spacing w:before="90" w:line="23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中国消化道肿瘤免疫治疗不良反应专家共识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（</w:t>
      </w:r>
      <w:r>
        <w:rPr>
          <w:sz w:val="21"/>
          <w:szCs w:val="21"/>
          <w:b/>
          <w:bCs/>
          <w:color w:val="231F20"/>
          <w:spacing w:val="-5"/>
        </w:rPr>
        <w:t>2023</w:t>
      </w:r>
      <w:r>
        <w:rPr>
          <w:sz w:val="21"/>
          <w:szCs w:val="21"/>
          <w:b/>
          <w:bCs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年版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）》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编写组</w:t>
      </w:r>
    </w:p>
    <w:p>
      <w:pPr>
        <w:ind w:left="737"/>
        <w:spacing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组长</w:t>
      </w:r>
    </w:p>
    <w:p>
      <w:pPr>
        <w:ind w:left="741" w:right="1200" w:hanging="8"/>
        <w:spacing w:before="80" w:line="26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刘天舒  复旦大学附属中山医院肿瘤内科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副组长</w:t>
      </w:r>
    </w:p>
    <w:p>
      <w:pPr>
        <w:ind w:left="735" w:right="1200" w:hanging="1"/>
        <w:spacing w:before="1" w:line="26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余一祎  复旦大学附属中山医院肿瘤内科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特别顾问</w:t>
      </w:r>
    </w:p>
    <w:p>
      <w:pPr>
        <w:ind w:left="737" w:right="1200" w:hanging="3"/>
        <w:spacing w:before="1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沈  琳  北京大学肿瘤医院消化肿瘤内科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共识执笔专家组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（以姓氏拼音为序）</w:t>
      </w:r>
    </w:p>
    <w:p>
      <w:pPr>
        <w:ind w:left="736" w:right="1200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艾罗燕  复旦大学附属中山医院肿瘤内科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丁  宁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复旦大学附属中山医院呼吸科</w:t>
      </w:r>
    </w:p>
    <w:p>
      <w:pPr>
        <w:ind w:left="734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杜世锁  复旦大学附属中山医院放疗科</w:t>
      </w:r>
    </w:p>
    <w:p>
      <w:pPr>
        <w:ind w:left="740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胡  洁  复旦大学附属中山医院呼吸科</w:t>
      </w:r>
    </w:p>
    <w:p>
      <w:pPr>
        <w:ind w:left="733" w:right="1200" w:firstLine="1"/>
        <w:spacing w:before="100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林瑾仪  复旦大学附属中山医院心脏内科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刘  青  复旦大学附属中山医院肿瘤内科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骆肖群  复旦大学附属华山医院皮肤科</w:t>
      </w:r>
    </w:p>
    <w:p>
      <w:pPr>
        <w:ind w:left="735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王伟光  复旦大学附属中山医院血液科</w:t>
      </w:r>
    </w:p>
    <w:p>
      <w:pPr>
        <w:ind w:left="735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吴  薇  复旦大学附属中山医院药剂科</w:t>
      </w:r>
    </w:p>
    <w:p>
      <w:pPr>
        <w:ind w:left="734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袁源智  复旦大学附属中山医院眼科</w:t>
      </w:r>
    </w:p>
    <w:p>
      <w:pPr>
        <w:ind w:left="741" w:right="1200" w:hanging="2"/>
        <w:spacing w:before="100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张宁萍  复旦大学附属中山医院消化内科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章晓燕  复旦大学附属中山医院肾病科</w:t>
      </w:r>
    </w:p>
    <w:p>
      <w:pPr>
        <w:ind w:left="738" w:right="1200" w:hanging="5"/>
        <w:spacing w:before="1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赵  琳  复旦大学附属中山医院内分泌科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共识顾问专家组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（以姓氏拼音为序）</w:t>
      </w:r>
    </w:p>
    <w:p>
      <w:pPr>
        <w:ind w:left="739" w:right="1200" w:hanging="6"/>
        <w:spacing w:before="1" w:line="3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邓艳红  中山大学附属第六医院肿瘤内科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纪立农  北京大学人民医院内分泌科</w:t>
      </w:r>
    </w:p>
    <w:p>
      <w:pPr>
        <w:ind w:left="735"/>
        <w:spacing w:before="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李  玥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中国医学科学院北京协和医院消化内科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李恩孝  西安交通大学第一附属医院肿瘤内科</w:t>
      </w:r>
    </w:p>
    <w:p>
      <w:pPr>
        <w:spacing w:before="1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刘宝瑞  南京大学医学院附属鼓楼医院肿瘤内科</w:t>
      </w:r>
    </w:p>
    <w:p>
      <w:pPr>
        <w:ind w:left="6"/>
        <w:spacing w:before="1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邱  萌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四川大学华西医院腹部肿瘤科</w:t>
      </w:r>
    </w:p>
    <w:p>
      <w:pPr>
        <w:ind w:left="1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孙建方  中国医学科学院皮肤病医院皮肤科</w:t>
      </w:r>
    </w:p>
    <w:p>
      <w:pPr>
        <w:ind w:left="2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王  峰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中山大学肿瘤防治中心内科</w:t>
      </w:r>
    </w:p>
    <w:p>
      <w:pPr>
        <w:spacing w:before="101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王汉萍  中国医学科学院北京协和医院呼吸与危重</w:t>
      </w:r>
    </w:p>
    <w:p>
      <w:pPr>
        <w:ind w:left="840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症医学科</w:t>
      </w:r>
    </w:p>
    <w:p>
      <w:pPr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徐  农  浙江大学医学院附属第一医院肿瘤内科</w:t>
      </w:r>
    </w:p>
    <w:p>
      <w:pPr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徐建明  中国人民解放军总医院第一医学中心肿瘤</w:t>
      </w:r>
    </w:p>
    <w:p>
      <w:pPr>
        <w:ind w:left="866"/>
        <w:spacing w:before="1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内科</w:t>
      </w:r>
    </w:p>
    <w:p>
      <w:pPr>
        <w:ind w:left="839" w:right="1" w:hanging="839"/>
        <w:spacing w:before="101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袁响林  华中科技大学同济医学院附属同济医院肿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瘤科</w:t>
      </w:r>
    </w:p>
    <w:p>
      <w:pPr>
        <w:ind w:left="5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张小田  北京大学肿瘤医院消化肿瘤内科</w:t>
      </w:r>
    </w:p>
    <w:p>
      <w:pPr>
        <w:ind w:left="5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张艳桥  哈尔滨医科大学附属肿瘤医院内科</w:t>
      </w:r>
    </w:p>
    <w:p>
      <w:pPr>
        <w:ind w:left="1"/>
        <w:spacing w:before="1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周爱萍  中国医学科学院肿瘤医院内科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1"/>
        <w:spacing w:before="77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参考文献</w:t>
      </w:r>
    </w:p>
    <w:p>
      <w:pPr>
        <w:pStyle w:val="BodyText"/>
        <w:ind w:left="531" w:hanging="526"/>
        <w:spacing w:before="146" w:line="26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</w:t>
      </w:r>
      <w:r>
        <w:rPr>
          <w:sz w:val="16"/>
          <w:szCs w:val="16"/>
          <w:color w:val="231F20"/>
          <w:spacing w:val="-1"/>
        </w:rPr>
        <w:t>1]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  <w:spacing w:val="-1"/>
        </w:rPr>
        <w:t>ZHENG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ZHANG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ZENG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H,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incidence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an</w:t>
      </w:r>
      <w:r>
        <w:rPr>
          <w:sz w:val="16"/>
          <w:szCs w:val="16"/>
          <w:color w:val="231F20"/>
          <w:spacing w:val="-1"/>
        </w:rPr>
        <w:t>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mortality in China, 2016[J]. J Natl Cancer Cent, 2022, 2(1):1-</w:t>
      </w:r>
      <w:r>
        <w:rPr>
          <w:sz w:val="16"/>
          <w:szCs w:val="16"/>
          <w:color w:val="231F20"/>
          <w:spacing w:val="-1"/>
        </w:rPr>
        <w:t>9.</w:t>
      </w:r>
    </w:p>
    <w:p>
      <w:pPr>
        <w:pStyle w:val="BodyText"/>
        <w:ind w:left="532" w:hanging="527"/>
        <w:spacing w:before="112" w:line="2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[2]         KOJIMA T,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SHAH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 A,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MURO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K,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Randomized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Phase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Ⅲ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KEYNOTE</w:t>
      </w:r>
      <w:r>
        <w:rPr>
          <w:sz w:val="16"/>
          <w:szCs w:val="16"/>
          <w:color w:val="231F20"/>
          <w:spacing w:val="6"/>
        </w:rPr>
        <w:t>-181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Pembrolizumab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Versus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Chemo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therapy in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Advanced Esophageal Cancer[J]. J Clin</w:t>
      </w:r>
      <w:r>
        <w:rPr>
          <w:sz w:val="16"/>
          <w:szCs w:val="16"/>
          <w:color w:val="231F20"/>
          <w:spacing w:val="-1"/>
        </w:rPr>
        <w:t xml:space="preserve"> Oncol, 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38(35):4138-4148.</w:t>
      </w:r>
    </w:p>
    <w:p>
      <w:pPr>
        <w:pStyle w:val="BodyText"/>
        <w:ind w:left="531" w:right="1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[3]        </w:t>
      </w:r>
      <w:r>
        <w:rPr>
          <w:sz w:val="16"/>
          <w:szCs w:val="16"/>
          <w:color w:val="231F20"/>
        </w:rPr>
        <w:t>HUANG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XU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Camrelizumab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versus </w:t>
      </w:r>
      <w:r>
        <w:rPr>
          <w:sz w:val="16"/>
          <w:szCs w:val="16"/>
          <w:color w:val="231F20"/>
          <w:spacing w:val="2"/>
        </w:rPr>
        <w:t>investigator's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choice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chemotherapy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second-line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advanced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metastatic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oesophageal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squamous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cell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ca</w:t>
      </w:r>
      <w:r>
        <w:rPr>
          <w:sz w:val="16"/>
          <w:szCs w:val="16"/>
          <w:color w:val="231F20"/>
        </w:rPr>
        <w:t>rci- </w:t>
      </w:r>
      <w:r>
        <w:rPr>
          <w:sz w:val="16"/>
          <w:szCs w:val="16"/>
          <w:color w:val="231F20"/>
        </w:rPr>
        <w:t>noma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(ESCORT):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 multicentre, randomised, open-label</w:t>
      </w:r>
      <w:r>
        <w:rPr>
          <w:sz w:val="16"/>
          <w:szCs w:val="16"/>
          <w:color w:val="231F20"/>
          <w:spacing w:val="-1"/>
        </w:rPr>
        <w:t>, phase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3 study[J]. Lancet Oncol, 2020, 21(6):832-842.</w:t>
      </w:r>
    </w:p>
    <w:p>
      <w:pPr>
        <w:pStyle w:val="BodyText"/>
        <w:ind w:left="532" w:hanging="527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[4]         KATO K, CHO B C, TAKAHASHI M,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al. Nivolumab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vers</w:t>
      </w:r>
      <w:r>
        <w:rPr>
          <w:sz w:val="16"/>
          <w:szCs w:val="16"/>
          <w:color w:val="231F20"/>
          <w:spacing w:val="-2"/>
        </w:rPr>
        <w:t>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chemotherapy in patients with advanced oesophag</w:t>
      </w:r>
      <w:r>
        <w:rPr>
          <w:sz w:val="16"/>
          <w:szCs w:val="16"/>
          <w:color w:val="231F20"/>
          <w:spacing w:val="-1"/>
        </w:rPr>
        <w:t>eal squamous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cell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carcinoma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refractory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intoleran</w:t>
      </w:r>
      <w:r>
        <w:rPr>
          <w:sz w:val="16"/>
          <w:szCs w:val="16"/>
          <w:color w:val="231F20"/>
          <w:spacing w:val="3"/>
        </w:rPr>
        <w:t>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previous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chemo-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(ATTRACTION-3):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multicentre,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randomised,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open- </w:t>
      </w:r>
      <w:r>
        <w:rPr>
          <w:sz w:val="16"/>
          <w:szCs w:val="16"/>
          <w:color w:val="231F20"/>
        </w:rPr>
        <w:t>label, phase 3 trial[J]. Lancet Oncol, 2019, 20(11):1506-1517.</w:t>
      </w:r>
    </w:p>
    <w:p>
      <w:pPr>
        <w:pStyle w:val="BodyText"/>
        <w:ind w:left="531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[5]        </w:t>
      </w:r>
      <w:r>
        <w:rPr>
          <w:sz w:val="16"/>
          <w:szCs w:val="16"/>
          <w:color w:val="231F20"/>
        </w:rPr>
        <w:t>SHEN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KATO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</w:rPr>
        <w:t>KIM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RATIONALE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5"/>
        </w:rPr>
        <w:t>302: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Randomized,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2"/>
        </w:rPr>
        <w:t>phase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3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study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tislelizumab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versus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che</w:t>
      </w:r>
      <w:r>
        <w:rPr>
          <w:sz w:val="16"/>
          <w:szCs w:val="16"/>
          <w:color w:val="231F20"/>
          <w:spacing w:val="1"/>
        </w:rPr>
        <w:t>moth-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erapy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second-line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treatment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for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advanced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unresectable/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metastatic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esophageal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squamous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cell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carcinoma[J]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J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Oncol, 2021, 39(15_suppl):4012.</w:t>
      </w:r>
    </w:p>
    <w:p>
      <w:pPr>
        <w:pStyle w:val="BodyText"/>
        <w:ind w:left="530" w:hanging="525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[6]        </w:t>
      </w:r>
      <w:r>
        <w:rPr>
          <w:sz w:val="16"/>
          <w:szCs w:val="16"/>
          <w:color w:val="231F20"/>
        </w:rPr>
        <w:t>SUN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SHEN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SHAH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Pembrolizumab </w:t>
      </w:r>
      <w:r>
        <w:rPr>
          <w:sz w:val="16"/>
          <w:szCs w:val="16"/>
          <w:color w:val="231F20"/>
          <w:spacing w:val="2"/>
        </w:rPr>
        <w:t>plus</w:t>
      </w:r>
      <w:r>
        <w:rPr>
          <w:sz w:val="16"/>
          <w:szCs w:val="16"/>
          <w:color w:val="231F20"/>
          <w:spacing w:val="4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chemotherapy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versus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chemotherapy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alone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first-line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oesophageal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</w:rPr>
        <w:t>KEYNOTE</w:t>
      </w:r>
      <w:r>
        <w:rPr>
          <w:sz w:val="16"/>
          <w:szCs w:val="16"/>
          <w:color w:val="231F20"/>
          <w:spacing w:val="6"/>
        </w:rPr>
        <w:t>-590):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placebo</w:t>
      </w:r>
      <w:r>
        <w:rPr>
          <w:sz w:val="16"/>
          <w:szCs w:val="16"/>
          <w:color w:val="231F20"/>
          <w:spacing w:val="14"/>
        </w:rPr>
        <w:t>-</w:t>
      </w:r>
      <w:r>
        <w:rPr>
          <w:sz w:val="16"/>
          <w:szCs w:val="16"/>
          <w:color w:val="231F20"/>
        </w:rPr>
        <w:t>controlled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14"/>
        </w:rPr>
        <w:t>3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14"/>
        </w:rPr>
        <w:t>[J].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Lancet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2021, 398(10302):759-771.</w:t>
      </w:r>
    </w:p>
    <w:p>
      <w:pPr>
        <w:pStyle w:val="BodyText"/>
        <w:ind w:left="535" w:hanging="530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[7]         WANG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Z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X,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CUI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C, YAO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J,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2"/>
        </w:rPr>
        <w:t>Toripalimab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plus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chemoth-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erapy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na</w:t>
      </w:r>
      <w:r>
        <w:rPr>
          <w:sz w:val="16"/>
          <w:szCs w:val="16"/>
          <w:color w:val="231F20"/>
          <w:spacing w:val="2"/>
        </w:rPr>
        <w:t>ï</w:t>
      </w:r>
      <w:r>
        <w:rPr>
          <w:sz w:val="16"/>
          <w:szCs w:val="16"/>
          <w:color w:val="231F20"/>
        </w:rPr>
        <w:t>ve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esophageal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squamous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cell </w:t>
      </w:r>
      <w:r>
        <w:rPr>
          <w:sz w:val="16"/>
          <w:szCs w:val="16"/>
          <w:color w:val="231F20"/>
        </w:rPr>
        <w:t>carcinoma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17"/>
        </w:rPr>
        <w:t>(</w:t>
      </w:r>
      <w:r>
        <w:rPr>
          <w:sz w:val="16"/>
          <w:szCs w:val="16"/>
          <w:color w:val="231F20"/>
        </w:rPr>
        <w:t>JUPITER</w:t>
      </w:r>
      <w:r>
        <w:rPr>
          <w:sz w:val="16"/>
          <w:szCs w:val="16"/>
          <w:color w:val="231F20"/>
          <w:spacing w:val="17"/>
        </w:rPr>
        <w:t>-06):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multi</w:t>
      </w:r>
      <w:r>
        <w:rPr>
          <w:sz w:val="16"/>
          <w:szCs w:val="16"/>
          <w:color w:val="231F20"/>
          <w:spacing w:val="17"/>
        </w:rPr>
        <w:t>-</w:t>
      </w:r>
      <w:r>
        <w:rPr>
          <w:sz w:val="16"/>
          <w:szCs w:val="16"/>
          <w:color w:val="231F20"/>
        </w:rPr>
        <w:t>center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17"/>
        </w:rPr>
        <w:t>3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17"/>
        </w:rPr>
        <w:t>[J]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7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 Cell, 2022, 40(3):277-288.e3.</w:t>
      </w:r>
    </w:p>
    <w:p>
      <w:pPr>
        <w:spacing w:line="300" w:lineRule="auto"/>
        <w:sectPr>
          <w:type w:val="continuous"/>
          <w:pgSz w:w="11906" w:h="16158"/>
          <w:pgMar w:top="1233" w:right="1076" w:bottom="400" w:left="407" w:header="772" w:footer="0" w:gutter="0"/>
          <w:cols w:equalWidth="0" w:num="2">
            <w:col w:w="5707" w:space="100"/>
            <w:col w:w="4615" w:space="0"/>
          </w:cols>
        </w:sectPr>
        <w:rPr>
          <w:sz w:val="16"/>
          <w:szCs w:val="16"/>
        </w:rPr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108"/>
          <w:pgSz w:w="11906" w:h="16158"/>
          <w:pgMar w:top="1233" w:right="1131" w:bottom="400" w:left="407" w:header="772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1208" w:right="364" w:hanging="525"/>
        <w:spacing w:before="27" w:line="30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[8]</w:t>
      </w:r>
      <w:r>
        <w:rPr>
          <w:sz w:val="16"/>
          <w:szCs w:val="16"/>
          <w:color w:val="231F20"/>
          <w:spacing w:val="4"/>
        </w:rPr>
        <w:t xml:space="preserve">        </w:t>
      </w:r>
      <w:r>
        <w:rPr>
          <w:sz w:val="16"/>
          <w:szCs w:val="16"/>
          <w:color w:val="231F20"/>
        </w:rPr>
        <w:t>LU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Z,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SHU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Y,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Sintilimab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ve</w:t>
      </w:r>
      <w:r>
        <w:rPr>
          <w:sz w:val="16"/>
          <w:szCs w:val="16"/>
          <w:color w:val="231F20"/>
          <w:spacing w:val="-1"/>
        </w:rPr>
        <w:t>rsus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placebo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combination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chemotherapy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first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line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</w:t>
      </w:r>
      <w:r>
        <w:rPr>
          <w:sz w:val="16"/>
          <w:szCs w:val="16"/>
          <w:color w:val="231F20"/>
          <w:spacing w:val="3"/>
        </w:rPr>
        <w:t>atment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locally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advanced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metastatic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oesophageal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4"/>
        </w:rPr>
        <w:t>s</w:t>
      </w:r>
      <w:r>
        <w:rPr>
          <w:sz w:val="16"/>
          <w:szCs w:val="16"/>
          <w:color w:val="231F20"/>
          <w:spacing w:val="3"/>
        </w:rPr>
        <w:t>quamous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cell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carcinoma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(ORIENT-15):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multicentre,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randomised,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double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blind, phase 3 trial[J]. BMJ, 2022, 377:e068714.</w:t>
      </w:r>
    </w:p>
    <w:p>
      <w:pPr>
        <w:pStyle w:val="BodyText"/>
        <w:ind w:left="1213" w:right="366" w:hanging="530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[9]         DOKI Y, AJANI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 A,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KATO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K,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al. N</w:t>
      </w:r>
      <w:r>
        <w:rPr>
          <w:sz w:val="16"/>
          <w:szCs w:val="16"/>
          <w:color w:val="231F20"/>
          <w:spacing w:val="-2"/>
        </w:rPr>
        <w:t>ivolumab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Combination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Therapy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Advanced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Esophageal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Squamou</w:t>
      </w:r>
      <w:r>
        <w:rPr>
          <w:sz w:val="16"/>
          <w:szCs w:val="16"/>
          <w:color w:val="231F20"/>
          <w:spacing w:val="4"/>
        </w:rPr>
        <w:t>s-Cell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Carcin-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oma[J]. N Engl J Med, 2022, 386(5):449-462.</w:t>
      </w:r>
    </w:p>
    <w:p>
      <w:pPr>
        <w:pStyle w:val="BodyText"/>
        <w:ind w:left="1209" w:right="365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[10]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sz w:val="16"/>
          <w:szCs w:val="16"/>
          <w:color w:val="231F20"/>
        </w:rPr>
        <w:t>LUO H, LU J, BAI Y, et al.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Eﬀect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ofCamrelizumab vs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Placebo </w:t>
      </w:r>
      <w:r>
        <w:rPr>
          <w:sz w:val="16"/>
          <w:szCs w:val="16"/>
          <w:color w:val="231F20"/>
          <w:spacing w:val="3"/>
        </w:rPr>
        <w:t>Added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Chemotherapy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Survival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Progression-Free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Survival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With Advanced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Metastatic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Esophageal </w:t>
      </w:r>
      <w:r>
        <w:rPr>
          <w:sz w:val="16"/>
          <w:szCs w:val="16"/>
          <w:color w:val="231F20"/>
          <w:spacing w:val="3"/>
        </w:rPr>
        <w:t>Squamous</w:t>
      </w:r>
      <w:r>
        <w:rPr>
          <w:sz w:val="16"/>
          <w:szCs w:val="16"/>
          <w:color w:val="231F20"/>
          <w:spacing w:val="4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Cell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Carcinoma: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ESCORT-1st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Randomized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Clinical Trial[J]. JAMA, 2021, 326(10):916-925.</w:t>
      </w:r>
    </w:p>
    <w:p>
      <w:pPr>
        <w:pStyle w:val="BodyText"/>
        <w:ind w:left="1208" w:right="365" w:hanging="525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[11]       JANJIGIAN YY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SHITARA K, MOEHLER M,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al. First-line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nivolumab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plus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chemot</w:t>
      </w:r>
      <w:r>
        <w:rPr>
          <w:sz w:val="16"/>
          <w:szCs w:val="16"/>
          <w:color w:val="231F20"/>
        </w:rPr>
        <w:t>herapy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versus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chemotherapy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alone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for </w:t>
      </w:r>
      <w:r>
        <w:rPr>
          <w:sz w:val="16"/>
          <w:szCs w:val="16"/>
          <w:color w:val="231F20"/>
        </w:rPr>
        <w:t>advanced gastric, gastro-oesophageal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junction, and oesophageal </w:t>
      </w:r>
      <w:r>
        <w:rPr>
          <w:sz w:val="16"/>
          <w:szCs w:val="16"/>
          <w:color w:val="231F20"/>
        </w:rPr>
        <w:t>adenocarcinoma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(</w:t>
      </w:r>
      <w:r>
        <w:rPr>
          <w:sz w:val="16"/>
          <w:szCs w:val="16"/>
          <w:color w:val="231F20"/>
        </w:rPr>
        <w:t>CheckMate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649):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open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label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phase 3 trial[J]. Lancet, 2021, 398(10294):27-40.</w:t>
      </w:r>
    </w:p>
    <w:p>
      <w:pPr>
        <w:pStyle w:val="BodyText"/>
        <w:ind w:left="1208" w:right="364" w:hanging="525"/>
        <w:spacing w:before="112" w:line="3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[12]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1"/>
        </w:rPr>
        <w:t>XU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JIANG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PAN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Y,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Sintilimab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plus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chemot</w:t>
      </w:r>
      <w:r>
        <w:rPr>
          <w:sz w:val="16"/>
          <w:szCs w:val="16"/>
          <w:color w:val="231F20"/>
          <w:spacing w:val="-2"/>
        </w:rPr>
        <w:t>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(chemo)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versus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chemo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first-line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treatment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advanced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gastroesophageal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junction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4"/>
        </w:rPr>
        <w:t>(G/</w:t>
      </w:r>
      <w:r>
        <w:rPr>
          <w:sz w:val="16"/>
          <w:szCs w:val="16"/>
          <w:color w:val="231F20"/>
        </w:rPr>
        <w:t>GEJ</w:t>
      </w:r>
      <w:r>
        <w:rPr>
          <w:sz w:val="16"/>
          <w:szCs w:val="16"/>
          <w:color w:val="231F20"/>
          <w:spacing w:val="4"/>
        </w:rPr>
        <w:t>)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adenocarcinoma </w:t>
      </w:r>
      <w:r>
        <w:rPr>
          <w:sz w:val="16"/>
          <w:szCs w:val="16"/>
          <w:color w:val="231F20"/>
          <w:spacing w:val="4"/>
        </w:rPr>
        <w:t>(ORIENT-16):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First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results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of 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randomized,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d</w:t>
      </w:r>
      <w:r>
        <w:rPr>
          <w:sz w:val="16"/>
          <w:szCs w:val="16"/>
          <w:color w:val="231F20"/>
          <w:spacing w:val="3"/>
        </w:rPr>
        <w:t>ouble-blind,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phase </w:t>
      </w:r>
      <w:r>
        <w:rPr>
          <w:rFonts w:ascii="SimSun" w:hAnsi="SimSun" w:eastAsia="SimSun" w:cs="SimSun"/>
          <w:sz w:val="16"/>
          <w:szCs w:val="16"/>
          <w:color w:val="231F20"/>
        </w:rPr>
        <w:t>Ⅲ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study[J].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Ann Oncol, 2021, 32:S1331.</w:t>
      </w:r>
    </w:p>
    <w:p>
      <w:pPr>
        <w:pStyle w:val="BodyText"/>
        <w:ind w:left="1209" w:right="365" w:hanging="526"/>
        <w:spacing w:before="99" w:line="319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[13]      Merck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Announces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3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KEYNOTE-859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Met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Primary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Endpoint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of Overall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Survival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Pa</w:t>
      </w:r>
      <w:r>
        <w:rPr>
          <w:sz w:val="16"/>
          <w:szCs w:val="16"/>
          <w:color w:val="231F20"/>
          <w:spacing w:val="-1"/>
        </w:rPr>
        <w:t>tients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HER2-Negative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Gastric</w:t>
      </w:r>
      <w:r>
        <w:rPr>
          <w:sz w:val="16"/>
          <w:szCs w:val="16"/>
          <w:color w:val="231F20"/>
          <w:spacing w:val="38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or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Gastroesophageal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8"/>
        </w:rPr>
        <w:t>Junction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8"/>
        </w:rPr>
        <w:t>(GEJ)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8"/>
        </w:rPr>
        <w:t>Adeno</w:t>
      </w:r>
      <w:r>
        <w:rPr>
          <w:sz w:val="16"/>
          <w:szCs w:val="16"/>
          <w:color w:val="231F20"/>
          <w:spacing w:val="7"/>
        </w:rPr>
        <w:t>car-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cinoma</w:t>
      </w:r>
      <w:r>
        <w:rPr>
          <w:sz w:val="16"/>
          <w:szCs w:val="16"/>
          <w:color w:val="231F20"/>
          <w:spacing w:val="3"/>
        </w:rPr>
        <w:t>[</w:t>
      </w:r>
      <w:r>
        <w:rPr>
          <w:sz w:val="16"/>
          <w:szCs w:val="16"/>
          <w:color w:val="231F20"/>
        </w:rPr>
        <w:t>OL</w:t>
      </w:r>
      <w:r>
        <w:rPr>
          <w:sz w:val="16"/>
          <w:szCs w:val="16"/>
          <w:color w:val="231F20"/>
          <w:spacing w:val="3"/>
        </w:rPr>
        <w:t>].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(2022-11-22)[2023-03-03].</w:t>
      </w:r>
      <w:r>
        <w:rPr>
          <w:sz w:val="16"/>
          <w:szCs w:val="16"/>
          <w:color w:val="231F20"/>
          <w:spacing w:val="19"/>
        </w:rPr>
        <w:t xml:space="preserve"> </w:t>
      </w:r>
      <w:hyperlink w:history="true" r:id="rId109">
        <w:r>
          <w:rPr>
            <w:sz w:val="16"/>
            <w:szCs w:val="16"/>
            <w:color w:val="231F20"/>
          </w:rPr>
          <w:t>https</w:t>
        </w:r>
        <w:r>
          <w:rPr>
            <w:sz w:val="16"/>
            <w:szCs w:val="16"/>
            <w:color w:val="231F20"/>
            <w:spacing w:val="3"/>
          </w:rPr>
          <w:t>://</w:t>
        </w:r>
        <w:r>
          <w:rPr>
            <w:sz w:val="16"/>
            <w:szCs w:val="16"/>
            <w:color w:val="231F20"/>
          </w:rPr>
          <w:t>www</w:t>
        </w:r>
        <w:r>
          <w:rPr>
            <w:sz w:val="16"/>
            <w:szCs w:val="16"/>
            <w:color w:val="231F20"/>
            <w:spacing w:val="3"/>
          </w:rPr>
          <w:t>.</w:t>
        </w:r>
        <w:r>
          <w:rPr>
            <w:sz w:val="16"/>
            <w:szCs w:val="16"/>
            <w:color w:val="231F20"/>
          </w:rPr>
          <w:t>merck</w:t>
        </w:r>
      </w:hyperlink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com/news/merck-announces-phase-3-keynote-859-trial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met-primary-endpoint-of-overall-survival-in-patients-with-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9"/>
        </w:rPr>
        <w:t>her2-negative-gastric-or-gastroesophageal-junction-gej-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adenocarcinoma</w:t>
      </w:r>
      <w:r>
        <w:rPr>
          <w:sz w:val="16"/>
          <w:szCs w:val="16"/>
          <w:color w:val="231F20"/>
          <w:spacing w:val="5"/>
        </w:rPr>
        <w:t>/.</w:t>
      </w:r>
    </w:p>
    <w:p>
      <w:pPr>
        <w:pStyle w:val="BodyText"/>
        <w:ind w:left="1208" w:right="350" w:hanging="525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[14]       MOEHLER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H,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KA</w:t>
      </w:r>
      <w:r>
        <w:rPr>
          <w:sz w:val="16"/>
          <w:szCs w:val="16"/>
          <w:color w:val="231F20"/>
          <w:spacing w:val="-2"/>
        </w:rPr>
        <w:t>TO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K, ARKENAU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Rationale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305: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Phase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3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study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of tislelizumab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plus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chemoth</w:t>
      </w:r>
      <w:r>
        <w:rPr>
          <w:sz w:val="16"/>
          <w:szCs w:val="16"/>
          <w:color w:val="231F20"/>
          <w:spacing w:val="4"/>
        </w:rPr>
        <w:t>erapy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vs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placebo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plus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chemotherapy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first-lin</w:t>
      </w:r>
      <w:r>
        <w:rPr>
          <w:sz w:val="16"/>
          <w:szCs w:val="16"/>
          <w:color w:val="231F20"/>
          <w:spacing w:val="4"/>
        </w:rPr>
        <w:t>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treatment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(1L)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gastroesophageal junction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ad</w:t>
      </w:r>
      <w:r>
        <w:rPr>
          <w:sz w:val="16"/>
          <w:szCs w:val="16"/>
          <w:color w:val="231F20"/>
          <w:spacing w:val="-1"/>
        </w:rPr>
        <w:t>enocarcinoma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(GC/GEJC)[J]. J Clin Oncol, 2023, 41(4_suppl):286.</w:t>
      </w:r>
    </w:p>
    <w:p>
      <w:pPr>
        <w:pStyle w:val="BodyText"/>
        <w:ind w:left="1211" w:right="365" w:hanging="528"/>
        <w:spacing w:before="111" w:line="31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[15]       SHITARA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K,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CUTSEM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E,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BANG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Efficacy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and  Safety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9"/>
        </w:rPr>
        <w:t>Pembrolizumab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or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9"/>
        </w:rPr>
        <w:t>Pembrolizumab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9"/>
        </w:rPr>
        <w:t>Plus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Chemotherapy vs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Chemotherapy Alone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for Patients With Fi</w:t>
      </w:r>
      <w:r>
        <w:rPr>
          <w:sz w:val="16"/>
          <w:szCs w:val="16"/>
          <w:color w:val="231F20"/>
          <w:spacing w:val="-1"/>
        </w:rPr>
        <w:t>rst-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line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4"/>
        </w:rPr>
        <w:t>: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KEYNOTE</w:t>
      </w:r>
      <w:r>
        <w:rPr>
          <w:sz w:val="16"/>
          <w:szCs w:val="16"/>
          <w:color w:val="231F20"/>
          <w:spacing w:val="4"/>
        </w:rPr>
        <w:t>-062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3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Clinical Trial[J]. JAMA Oncol, 2020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"/>
        </w:rPr>
        <w:t>6(10):1571-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1580.</w:t>
      </w:r>
    </w:p>
    <w:p>
      <w:pPr>
        <w:pStyle w:val="BodyText"/>
        <w:ind w:left="1211" w:right="365" w:hanging="528"/>
        <w:spacing w:before="89" w:line="27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[16]      </w:t>
      </w:r>
      <w:r>
        <w:rPr>
          <w:sz w:val="16"/>
          <w:szCs w:val="16"/>
          <w:color w:val="231F20"/>
        </w:rPr>
        <w:t>JANJIGIAN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KAWAZOE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YA</w:t>
      </w:r>
      <w:r>
        <w:rPr>
          <w:sz w:val="16"/>
          <w:szCs w:val="16"/>
          <w:color w:val="231F20"/>
          <w:spacing w:val="6"/>
        </w:rPr>
        <w:t>Ñ</w:t>
      </w:r>
      <w:r>
        <w:rPr>
          <w:sz w:val="16"/>
          <w:szCs w:val="16"/>
          <w:color w:val="231F20"/>
        </w:rPr>
        <w:t>EZ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The </w:t>
      </w:r>
      <w:r>
        <w:rPr>
          <w:sz w:val="16"/>
          <w:szCs w:val="16"/>
          <w:color w:val="231F20"/>
          <w:spacing w:val="-2"/>
        </w:rPr>
        <w:t>KEYNOTE-811 trial of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dual PD-1 and HER2 blockade in HER2-</w:t>
      </w:r>
    </w:p>
    <w:p>
      <w:pPr>
        <w:pStyle w:val="BodyText"/>
        <w:ind w:left="1208"/>
        <w:spacing w:before="113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positive gastric cancer[J]. Nature, </w:t>
      </w:r>
      <w:r>
        <w:rPr>
          <w:sz w:val="16"/>
          <w:szCs w:val="16"/>
          <w:color w:val="231F20"/>
          <w:spacing w:val="-2"/>
        </w:rPr>
        <w:t>2021, 600(7890):727-730.</w:t>
      </w:r>
    </w:p>
    <w:p>
      <w:pPr>
        <w:pStyle w:val="BodyText"/>
        <w:ind w:left="1208" w:right="365" w:hanging="525"/>
        <w:spacing w:before="110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[17]      </w:t>
      </w:r>
      <w:r>
        <w:rPr>
          <w:sz w:val="16"/>
          <w:szCs w:val="16"/>
          <w:color w:val="231F20"/>
        </w:rPr>
        <w:t>KANG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BOKU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SATOH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Nivolumab  in </w:t>
      </w:r>
      <w:r>
        <w:rPr>
          <w:sz w:val="16"/>
          <w:szCs w:val="16"/>
          <w:color w:val="231F20"/>
          <w:spacing w:val="1"/>
        </w:rPr>
        <w:t>patients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advanced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gastric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gastro-oeso</w:t>
      </w:r>
      <w:r>
        <w:rPr>
          <w:sz w:val="16"/>
          <w:szCs w:val="16"/>
          <w:color w:val="231F20"/>
        </w:rPr>
        <w:t>phageal junction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refractory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to,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intolerant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of,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at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least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two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previous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chemotherapy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regimens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(</w:t>
      </w:r>
      <w:r>
        <w:rPr>
          <w:sz w:val="16"/>
          <w:szCs w:val="16"/>
          <w:color w:val="231F20"/>
        </w:rPr>
        <w:t>ONO</w:t>
      </w:r>
      <w:r>
        <w:rPr>
          <w:sz w:val="16"/>
          <w:szCs w:val="16"/>
          <w:color w:val="231F20"/>
          <w:spacing w:val="1"/>
        </w:rPr>
        <w:t>-4538-12, </w:t>
      </w:r>
      <w:r>
        <w:rPr>
          <w:sz w:val="16"/>
          <w:szCs w:val="16"/>
          <w:color w:val="231F20"/>
        </w:rPr>
        <w:t>ATTRACTION</w:t>
      </w:r>
      <w:r>
        <w:rPr>
          <w:sz w:val="16"/>
          <w:szCs w:val="16"/>
          <w:color w:val="231F20"/>
          <w:spacing w:val="1"/>
        </w:rPr>
        <w:t>-2):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randomised,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double-blind,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placebo-controlled,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3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trial[J]. </w:t>
      </w:r>
      <w:r>
        <w:rPr>
          <w:sz w:val="16"/>
          <w:szCs w:val="16"/>
          <w:color w:val="231F20"/>
        </w:rPr>
        <w:t>Lancet, 2017, 390(10111):2461-247</w:t>
      </w:r>
      <w:r>
        <w:rPr>
          <w:sz w:val="16"/>
          <w:szCs w:val="16"/>
          <w:color w:val="231F20"/>
          <w:spacing w:val="-1"/>
        </w:rPr>
        <w:t>1.</w:t>
      </w:r>
    </w:p>
    <w:p>
      <w:pPr>
        <w:pStyle w:val="BodyText"/>
        <w:ind w:left="1211" w:right="366" w:hanging="528"/>
        <w:spacing w:before="87" w:line="28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[18]       LE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T,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KIM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W,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VAN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2"/>
        </w:rPr>
        <w:t>CUTSEM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E,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Phase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Ⅱ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Open-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Label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Pembrolizumab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Treatment-Refracto</w:t>
      </w:r>
      <w:r>
        <w:rPr>
          <w:sz w:val="16"/>
          <w:szCs w:val="16"/>
          <w:color w:val="231F20"/>
          <w:spacing w:val="5"/>
        </w:rPr>
        <w:t>ry,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Microsatellite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Instability-High/Mismatch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Repair-Defi</w:t>
      </w:r>
      <w:r>
        <w:rPr>
          <w:sz w:val="16"/>
          <w:szCs w:val="16"/>
          <w:color w:val="231F20"/>
          <w:spacing w:val="4"/>
        </w:rPr>
        <w:t>cient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/>
        <w:spacing w:before="27" w:line="19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</w:rPr>
        <w:t>Metastatic Colorectal Cancer: KEYNOTE</w:t>
      </w:r>
      <w:r>
        <w:rPr>
          <w:sz w:val="16"/>
          <w:szCs w:val="16"/>
          <w:color w:val="231F20"/>
          <w:spacing w:val="-1"/>
        </w:rPr>
        <w:t>-164[J]. J Clin Oncol,</w:t>
      </w:r>
    </w:p>
    <w:p>
      <w:pPr>
        <w:pStyle w:val="BodyText"/>
        <w:ind w:left="528"/>
        <w:spacing w:before="112" w:line="19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2020, 38(1):11-19.</w:t>
      </w:r>
    </w:p>
    <w:p>
      <w:pPr>
        <w:pStyle w:val="BodyText"/>
        <w:ind w:left="522" w:right="1" w:hanging="523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[19]      </w:t>
      </w:r>
      <w:r>
        <w:rPr>
          <w:sz w:val="16"/>
          <w:szCs w:val="16"/>
          <w:color w:val="231F20"/>
        </w:rPr>
        <w:t>OVERMAN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</w:rPr>
        <w:t>MCDERMOTT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LEACH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Nivolumab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patients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metastati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DNA mismatch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repair- </w:t>
      </w:r>
      <w:r>
        <w:rPr>
          <w:sz w:val="16"/>
          <w:szCs w:val="16"/>
          <w:color w:val="231F20"/>
          <w:spacing w:val="3"/>
        </w:rPr>
        <w:t>deficient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or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microsatellite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instability-high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colorectal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canc</w:t>
      </w:r>
      <w:r>
        <w:rPr>
          <w:sz w:val="16"/>
          <w:szCs w:val="16"/>
          <w:color w:val="231F20"/>
          <w:spacing w:val="2"/>
        </w:rPr>
        <w:t>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(CheckMate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142):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open-label, multicen</w:t>
      </w:r>
      <w:r>
        <w:rPr>
          <w:sz w:val="16"/>
          <w:szCs w:val="16"/>
          <w:color w:val="231F20"/>
          <w:spacing w:val="-1"/>
        </w:rPr>
        <w:t>tre, phase 2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study[J].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Lancet Oncol, 2017,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18(9):1182-1191.</w:t>
      </w:r>
    </w:p>
    <w:p>
      <w:pPr>
        <w:pStyle w:val="BodyText"/>
        <w:ind w:left="525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[20]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</w:rPr>
        <w:t>DIAZ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LA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R,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SHIU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K,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KIM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W,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Pembroliz</w:t>
      </w:r>
      <w:r>
        <w:rPr>
          <w:sz w:val="16"/>
          <w:szCs w:val="16"/>
          <w:color w:val="231F20"/>
          <w:spacing w:val="-1"/>
        </w:rPr>
        <w:t>umab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v</w:t>
      </w:r>
      <w:r>
        <w:rPr>
          <w:sz w:val="16"/>
          <w:szCs w:val="16"/>
          <w:color w:val="231F20"/>
          <w:spacing w:val="-4"/>
        </w:rPr>
        <w:t>ersus chemotherapy for microsatellite instability-high or mismatc</w:t>
      </w:r>
      <w:r>
        <w:rPr>
          <w:sz w:val="16"/>
          <w:szCs w:val="16"/>
          <w:color w:val="231F20"/>
          <w:spacing w:val="-3"/>
        </w:rPr>
        <w:t>h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repair-deficient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metastati</w:t>
      </w:r>
      <w:r>
        <w:rPr>
          <w:sz w:val="16"/>
          <w:szCs w:val="16"/>
          <w:color w:val="231F20"/>
          <w:spacing w:val="-1"/>
        </w:rPr>
        <w:t>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colorectal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(KEYNOTE-177):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final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open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</w:rPr>
        <w:t>label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3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10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Lancet Oncol, 2022, 23(5):659-670.</w:t>
      </w:r>
    </w:p>
    <w:p>
      <w:pPr>
        <w:pStyle w:val="BodyText"/>
        <w:ind w:left="525" w:hanging="526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[21]      WEINMANN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C,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PISETSKY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S.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Mechanisms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im</w:t>
      </w:r>
      <w:r>
        <w:rPr>
          <w:sz w:val="16"/>
          <w:szCs w:val="16"/>
          <w:color w:val="231F20"/>
          <w:spacing w:val="-1"/>
        </w:rPr>
        <w:t>mune-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related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adverse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events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during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treatment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of cancer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immune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inhibitors[J]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Rheumato</w:t>
      </w:r>
      <w:r>
        <w:rPr>
          <w:sz w:val="16"/>
          <w:szCs w:val="16"/>
          <w:color w:val="231F20"/>
          <w:spacing w:val="3"/>
        </w:rPr>
        <w:t>logy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(Oxford),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2019, 58(Suppl 7):vii59-vii67.</w:t>
      </w:r>
    </w:p>
    <w:p>
      <w:pPr>
        <w:pStyle w:val="BodyText"/>
        <w:ind w:left="530" w:right="1" w:hanging="530"/>
        <w:spacing w:before="111" w:line="2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[22]       MARTINS F,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SOFIYAL,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SYKIOTIS G P, et al.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Advers</w:t>
      </w:r>
      <w:r>
        <w:rPr>
          <w:sz w:val="16"/>
          <w:szCs w:val="16"/>
          <w:color w:val="231F20"/>
          <w:spacing w:val="-2"/>
        </w:rPr>
        <w:t>e eﬀects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2"/>
        </w:rPr>
        <w:t>: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epidemiology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management </w:t>
      </w:r>
      <w:r>
        <w:rPr>
          <w:sz w:val="16"/>
          <w:szCs w:val="16"/>
          <w:color w:val="231F20"/>
        </w:rPr>
        <w:t>and surveillance[J]. Nat Rev Clin Oncol, 2019,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16(9):563-580.</w:t>
      </w:r>
    </w:p>
    <w:p>
      <w:pPr>
        <w:pStyle w:val="BodyText"/>
        <w:ind w:left="527" w:right="2" w:hanging="528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[23]      RAMOS-CASALS M, BRAHMER JR, CALLAHAN MK, et 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Immune-related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adverse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events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of checkpoint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inhi</w:t>
      </w:r>
      <w:r>
        <w:rPr>
          <w:sz w:val="16"/>
          <w:szCs w:val="16"/>
          <w:color w:val="231F20"/>
          <w:spacing w:val="-1"/>
        </w:rPr>
        <w:t>bitors[J]. Nat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Rev Dis Primers, 2020, 6(1):38.</w:t>
      </w:r>
    </w:p>
    <w:p>
      <w:pPr>
        <w:pStyle w:val="BodyText"/>
        <w:ind w:left="525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[24]      </w:t>
      </w:r>
      <w:r>
        <w:rPr>
          <w:sz w:val="16"/>
          <w:szCs w:val="16"/>
          <w:color w:val="231F20"/>
        </w:rPr>
        <w:t>DAS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CIOMBOR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51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HARALDSDOTTIR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</w:rPr>
        <w:t xml:space="preserve">  et  al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Immune-Related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Adver</w:t>
      </w:r>
      <w:r>
        <w:rPr>
          <w:sz w:val="16"/>
          <w:szCs w:val="16"/>
          <w:color w:val="231F20"/>
          <w:spacing w:val="4"/>
        </w:rPr>
        <w:t>se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Events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Immune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Inhibitor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Efficacy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Patients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Gastr</w:t>
      </w:r>
      <w:r>
        <w:rPr>
          <w:sz w:val="16"/>
          <w:szCs w:val="16"/>
          <w:color w:val="231F20"/>
          <w:spacing w:val="3"/>
        </w:rPr>
        <w:t>ointestinal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Food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Drug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Administration</w:t>
      </w:r>
      <w:r>
        <w:rPr>
          <w:sz w:val="16"/>
          <w:szCs w:val="16"/>
          <w:color w:val="231F20"/>
          <w:spacing w:val="7"/>
        </w:rPr>
        <w:t>-</w:t>
      </w:r>
      <w:r>
        <w:rPr>
          <w:sz w:val="16"/>
          <w:szCs w:val="16"/>
          <w:color w:val="231F20"/>
        </w:rPr>
        <w:t>Approved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Indications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for </w:t>
      </w:r>
      <w:r>
        <w:rPr>
          <w:sz w:val="16"/>
          <w:szCs w:val="16"/>
          <w:color w:val="231F20"/>
        </w:rPr>
        <w:t>Immunotherapy[J]. Oncologist, 2020, 25(8):669-679.</w:t>
      </w:r>
    </w:p>
    <w:p>
      <w:pPr>
        <w:pStyle w:val="BodyText"/>
        <w:ind w:left="525" w:right="1" w:hanging="525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[25]      </w:t>
      </w:r>
      <w:r>
        <w:rPr>
          <w:sz w:val="16"/>
          <w:szCs w:val="16"/>
          <w:color w:val="231F20"/>
        </w:rPr>
        <w:t>MASUDA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,  </w:t>
      </w:r>
      <w:r>
        <w:rPr>
          <w:sz w:val="16"/>
          <w:szCs w:val="16"/>
          <w:color w:val="231F20"/>
        </w:rPr>
        <w:t>SHOJI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NAGASHIMA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Correlation </w:t>
      </w:r>
      <w:r>
        <w:rPr>
          <w:sz w:val="16"/>
          <w:szCs w:val="16"/>
          <w:color w:val="231F20"/>
          <w:spacing w:val="5"/>
        </w:rPr>
        <w:t>between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immune-related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adverse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events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prognos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patients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gastric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cancer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treated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nivolumab[J].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BMC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Cancer, 2019,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19(1):974.</w:t>
      </w:r>
    </w:p>
    <w:p>
      <w:pPr>
        <w:pStyle w:val="BodyText"/>
        <w:ind w:left="522" w:hanging="523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[26]       SHITARAK,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</w:rPr>
        <w:t>AJANI JA, MOEHLER M, et al. Nivolumab plus </w:t>
      </w:r>
      <w:r>
        <w:rPr>
          <w:sz w:val="16"/>
          <w:szCs w:val="16"/>
          <w:color w:val="231F20"/>
        </w:rPr>
        <w:t>chemotherapy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ipilimumab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gastro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oesophageal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4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Nature, 2022, 603(7903):942-948.</w:t>
      </w:r>
    </w:p>
    <w:p>
      <w:pPr>
        <w:pStyle w:val="BodyText"/>
        <w:ind w:left="525" w:hanging="526"/>
        <w:spacing w:before="112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[27]      </w:t>
      </w:r>
      <w:r>
        <w:rPr>
          <w:sz w:val="16"/>
          <w:szCs w:val="16"/>
          <w:color w:val="231F20"/>
        </w:rPr>
        <w:t>LENZ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LONARDI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ZAGONEL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Nivolumab </w:t>
      </w:r>
      <w:r>
        <w:rPr>
          <w:sz w:val="16"/>
          <w:szCs w:val="16"/>
          <w:color w:val="231F20"/>
          <w:spacing w:val="-1"/>
        </w:rPr>
        <w:t>(NIVO)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＋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1"/>
        </w:rPr>
        <w:t>low-dose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ipilimumab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(IPI)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as ﬁrst-line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(1L) 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microsatellite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instability-hig</w:t>
      </w:r>
      <w:r>
        <w:rPr>
          <w:sz w:val="16"/>
          <w:szCs w:val="16"/>
          <w:color w:val="231F20"/>
          <w:spacing w:val="4"/>
        </w:rPr>
        <w:t>h/mismatch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repair-deficient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</w:rPr>
        <w:t>MSI</w:t>
      </w:r>
      <w:r>
        <w:rPr>
          <w:sz w:val="16"/>
          <w:szCs w:val="16"/>
          <w:color w:val="231F20"/>
          <w:spacing w:val="6"/>
        </w:rPr>
        <w:t>-H/</w:t>
      </w:r>
      <w:r>
        <w:rPr>
          <w:sz w:val="16"/>
          <w:szCs w:val="16"/>
          <w:color w:val="231F20"/>
        </w:rPr>
        <w:t>dMMR</w:t>
      </w:r>
      <w:r>
        <w:rPr>
          <w:sz w:val="16"/>
          <w:szCs w:val="16"/>
          <w:color w:val="231F20"/>
          <w:spacing w:val="6"/>
        </w:rPr>
        <w:t>)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metastatic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colorectal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</w:rPr>
        <w:t>mCRC</w:t>
      </w:r>
      <w:r>
        <w:rPr>
          <w:sz w:val="16"/>
          <w:szCs w:val="16"/>
          <w:color w:val="231F20"/>
          <w:spacing w:val="6"/>
        </w:rPr>
        <w:t>):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Two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year clinical update[J]. J Clin Oncol, 2020, 38(15_suppl):4040.</w:t>
      </w:r>
    </w:p>
    <w:p>
      <w:pPr>
        <w:pStyle w:val="BodyText"/>
        <w:ind w:left="522" w:right="2" w:hanging="523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[28]</w:t>
      </w:r>
      <w:r>
        <w:rPr>
          <w:sz w:val="16"/>
          <w:szCs w:val="16"/>
          <w:color w:val="231F20"/>
          <w:spacing w:val="7"/>
        </w:rPr>
        <w:t xml:space="preserve">      </w:t>
      </w:r>
      <w:r>
        <w:rPr>
          <w:sz w:val="16"/>
          <w:szCs w:val="16"/>
          <w:color w:val="231F20"/>
          <w:spacing w:val="-1"/>
        </w:rPr>
        <w:t>HELLMANN M D, PAZ-ARES L, BERNABE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CARO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Nivolumab plus Ipilimumab in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Advanced N</w:t>
      </w:r>
      <w:r>
        <w:rPr>
          <w:sz w:val="16"/>
          <w:szCs w:val="16"/>
          <w:color w:val="231F20"/>
          <w:spacing w:val="-1"/>
        </w:rPr>
        <w:t>on-Small-Cell Lung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Cancer[J]. N Engl J Med, 2019, 381(21):2020-2031.</w:t>
      </w:r>
    </w:p>
    <w:p>
      <w:pPr>
        <w:pStyle w:val="BodyText"/>
        <w:ind w:left="525" w:right="1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[29]      </w:t>
      </w:r>
      <w:r>
        <w:rPr>
          <w:sz w:val="16"/>
          <w:szCs w:val="16"/>
          <w:color w:val="231F20"/>
        </w:rPr>
        <w:t>BAAS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1"/>
        </w:rPr>
        <w:t>,  </w:t>
      </w:r>
      <w:r>
        <w:rPr>
          <w:sz w:val="16"/>
          <w:szCs w:val="16"/>
          <w:color w:val="231F20"/>
        </w:rPr>
        <w:t>SCHERPEREEL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NOWAK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First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line </w:t>
      </w:r>
      <w:r>
        <w:rPr>
          <w:sz w:val="16"/>
          <w:szCs w:val="16"/>
          <w:color w:val="231F20"/>
          <w:spacing w:val="1"/>
        </w:rPr>
        <w:t>nivolumab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plus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ipilimumab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unresectable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mal</w:t>
      </w:r>
      <w:r>
        <w:rPr>
          <w:sz w:val="16"/>
          <w:szCs w:val="16"/>
          <w:color w:val="231F20"/>
        </w:rPr>
        <w:t>ignant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pleural </w:t>
      </w:r>
      <w:r>
        <w:rPr>
          <w:sz w:val="16"/>
          <w:szCs w:val="16"/>
          <w:color w:val="231F20"/>
        </w:rPr>
        <w:t>mesothelioma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14"/>
        </w:rPr>
        <w:t>(</w:t>
      </w:r>
      <w:r>
        <w:rPr>
          <w:sz w:val="16"/>
          <w:szCs w:val="16"/>
          <w:color w:val="231F20"/>
        </w:rPr>
        <w:t>CheckMate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4"/>
        </w:rPr>
        <w:t>743):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multicentre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open-label, phase 3 trial[J]. Lancet, 2021, 397(10272):375-386.</w:t>
      </w:r>
    </w:p>
    <w:p>
      <w:pPr>
        <w:pStyle w:val="BodyText"/>
        <w:ind w:left="530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[30]       LI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ZHAO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ZHENG Y,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Preoperative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pembrolizumab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combined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chemoradiotherapy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oesophageal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squamous </w:t>
      </w:r>
      <w:r>
        <w:rPr>
          <w:sz w:val="16"/>
          <w:szCs w:val="16"/>
          <w:color w:val="231F20"/>
          <w:spacing w:val="-3"/>
        </w:rPr>
        <w:t>cell carcinoma (PALACE-1)[J]. Eur J Cancer, 2021,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3"/>
        </w:rPr>
        <w:t>144:23</w:t>
      </w:r>
      <w:r>
        <w:rPr>
          <w:sz w:val="16"/>
          <w:szCs w:val="16"/>
          <w:color w:val="231F20"/>
          <w:spacing w:val="-4"/>
        </w:rPr>
        <w:t>2-241.</w:t>
      </w:r>
    </w:p>
    <w:p>
      <w:pPr>
        <w:pStyle w:val="BodyText"/>
        <w:ind w:left="525" w:hanging="525"/>
        <w:spacing w:before="114" w:line="29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[3</w:t>
      </w:r>
      <w:r>
        <w:rPr>
          <w:sz w:val="16"/>
          <w:szCs w:val="16"/>
          <w:color w:val="231F20"/>
          <w:spacing w:val="-1"/>
        </w:rPr>
        <w:t>1]</w:t>
      </w:r>
      <w:r>
        <w:rPr>
          <w:sz w:val="16"/>
          <w:szCs w:val="16"/>
          <w:color w:val="231F20"/>
          <w:spacing w:val="7"/>
        </w:rPr>
        <w:t xml:space="preserve">      </w:t>
      </w:r>
      <w:r>
        <w:rPr>
          <w:sz w:val="16"/>
          <w:szCs w:val="16"/>
          <w:color w:val="231F20"/>
          <w:spacing w:val="-1"/>
        </w:rPr>
        <w:t>KELLY R J, ZAIDIA H, CANZONIERO J V, et al. Multicente</w:t>
      </w:r>
      <w:r>
        <w:rPr>
          <w:sz w:val="16"/>
          <w:szCs w:val="16"/>
          <w:color w:val="231F20"/>
          <w:spacing w:val="1"/>
        </w:rPr>
        <w:t>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4"/>
        </w:rPr>
        <w:t>phase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Ⅱ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4"/>
        </w:rPr>
        <w:t>study of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neoadjuvant nivolumab or nivolumab </w:t>
      </w:r>
      <w:r>
        <w:rPr>
          <w:sz w:val="16"/>
          <w:szCs w:val="16"/>
          <w:color w:val="231F20"/>
          <w:spacing w:val="-5"/>
        </w:rPr>
        <w:t>plus relatli-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mab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(anti-LAG3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antibody) plus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chemora</w:t>
      </w:r>
      <w:r>
        <w:rPr>
          <w:sz w:val="16"/>
          <w:szCs w:val="16"/>
          <w:color w:val="231F20"/>
          <w:spacing w:val="-5"/>
        </w:rPr>
        <w:t>diotherapy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stage 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Ⅱ</w:t>
      </w:r>
      <w:r>
        <w:rPr>
          <w:sz w:val="16"/>
          <w:szCs w:val="16"/>
          <w:color w:val="231F20"/>
          <w:spacing w:val="-5"/>
        </w:rPr>
        <w:t>/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Ⅲ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esophageal</w:t>
      </w:r>
      <w:r>
        <w:rPr>
          <w:sz w:val="16"/>
          <w:szCs w:val="16"/>
          <w:color w:val="231F20"/>
          <w:spacing w:val="1"/>
        </w:rPr>
        <w:t>/</w:t>
      </w:r>
      <w:r>
        <w:rPr>
          <w:sz w:val="16"/>
          <w:szCs w:val="16"/>
          <w:color w:val="231F20"/>
        </w:rPr>
        <w:t>gastroesophageal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junction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(E/</w:t>
      </w:r>
      <w:r>
        <w:rPr>
          <w:sz w:val="16"/>
          <w:szCs w:val="16"/>
          <w:color w:val="231F20"/>
        </w:rPr>
        <w:t>GEJ</w:t>
      </w:r>
      <w:r>
        <w:rPr>
          <w:sz w:val="16"/>
          <w:szCs w:val="16"/>
          <w:color w:val="231F20"/>
          <w:spacing w:val="1"/>
        </w:rPr>
        <w:t>)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carcinoma</w:t>
      </w:r>
      <w:r>
        <w:rPr>
          <w:sz w:val="16"/>
          <w:szCs w:val="16"/>
          <w:color w:val="231F20"/>
          <w:spacing w:val="1"/>
        </w:rPr>
        <w:t>[J].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Clin Oncol, 2022, 40(4_suppl):321.</w:t>
      </w:r>
    </w:p>
    <w:p>
      <w:pPr>
        <w:spacing w:line="292" w:lineRule="auto"/>
        <w:sectPr>
          <w:type w:val="continuous"/>
          <w:pgSz w:w="11906" w:h="16158"/>
          <w:pgMar w:top="1233" w:right="1131" w:bottom="400" w:left="407" w:header="772" w:footer="0" w:gutter="0"/>
          <w:cols w:equalWidth="0" w:num="2">
            <w:col w:w="5657" w:space="100"/>
            <w:col w:w="4610" w:space="0"/>
          </w:cols>
        </w:sectPr>
        <w:rPr>
          <w:sz w:val="16"/>
          <w:szCs w:val="16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10"/>
          <w:pgSz w:w="11906" w:h="16158"/>
          <w:pgMar w:top="1233" w:right="1061" w:bottom="400" w:left="407" w:header="772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1264" w:right="365" w:hanging="526"/>
        <w:spacing w:before="27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[32]       YOSHINO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T,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BANDO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H,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TSUKADA Y,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et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3"/>
        </w:rPr>
        <w:t>al.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Voltage: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3"/>
        </w:rPr>
        <w:t>Inves-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tigator-initiated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clinical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trial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nivolumab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monotherapy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subsequent radical surge</w:t>
      </w:r>
      <w:r>
        <w:rPr>
          <w:sz w:val="16"/>
          <w:szCs w:val="16"/>
          <w:color w:val="231F20"/>
          <w:spacing w:val="-2"/>
        </w:rPr>
        <w:t>ry following preoperative chemoradioth-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erapy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microsatellite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stable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locall</w:t>
      </w:r>
      <w:r>
        <w:rPr>
          <w:sz w:val="16"/>
          <w:szCs w:val="16"/>
          <w:color w:val="231F20"/>
          <w:spacing w:val="1"/>
        </w:rPr>
        <w:t>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advanced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rectal cancer[J]. J Clin Oncol, 2</w:t>
      </w:r>
      <w:r>
        <w:rPr>
          <w:sz w:val="16"/>
          <w:szCs w:val="16"/>
          <w:color w:val="231F20"/>
          <w:spacing w:val="-2"/>
        </w:rPr>
        <w:t>019, 37(15_suppl):3606.</w:t>
      </w:r>
    </w:p>
    <w:p>
      <w:pPr>
        <w:pStyle w:val="BodyText"/>
        <w:ind w:left="1265" w:right="365" w:hanging="527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[33]      </w:t>
      </w:r>
      <w:r>
        <w:rPr>
          <w:sz w:val="16"/>
          <w:szCs w:val="16"/>
          <w:color w:val="231F20"/>
        </w:rPr>
        <w:t>BANG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SCHOENFELD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Immunotherapy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radio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metastatic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canc</w:t>
      </w:r>
      <w:r>
        <w:rPr>
          <w:sz w:val="16"/>
          <w:szCs w:val="16"/>
          <w:color w:val="231F20"/>
          <w:spacing w:val="-1"/>
        </w:rPr>
        <w:t>ers[J]. Ann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Palliat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"/>
        </w:rPr>
        <w:t>Med,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2019,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8(3):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312-325.</w:t>
      </w:r>
    </w:p>
    <w:p>
      <w:pPr>
        <w:pStyle w:val="BodyText"/>
        <w:ind w:left="1263" w:right="366" w:hanging="525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[34]      </w:t>
      </w:r>
      <w:r>
        <w:rPr>
          <w:sz w:val="16"/>
          <w:szCs w:val="16"/>
          <w:color w:val="231F20"/>
        </w:rPr>
        <w:t>MOTZER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ALEKSEEV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RHA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Lenvatinib </w:t>
      </w:r>
      <w:r>
        <w:rPr>
          <w:sz w:val="16"/>
          <w:szCs w:val="16"/>
          <w:color w:val="231F20"/>
          <w:spacing w:val="1"/>
        </w:rPr>
        <w:t>plus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Pembrolizumab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Everolimus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for Advanced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Renal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Cell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Carcinoma[J]. N Engl J Med, 2021, 384(14):1289-1300.</w:t>
      </w:r>
    </w:p>
    <w:p>
      <w:pPr>
        <w:pStyle w:val="BodyText"/>
        <w:ind w:left="1266" w:right="365" w:hanging="528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[35]      </w:t>
      </w:r>
      <w:r>
        <w:rPr>
          <w:sz w:val="16"/>
          <w:szCs w:val="16"/>
          <w:color w:val="231F20"/>
        </w:rPr>
        <w:t>FINN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</w:rPr>
        <w:t>QIN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IKEDA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Atezolizumab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plus </w:t>
      </w:r>
      <w:r>
        <w:rPr>
          <w:sz w:val="16"/>
          <w:szCs w:val="16"/>
          <w:color w:val="231F20"/>
        </w:rPr>
        <w:t>Bevacizumab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Unresectable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Hepatocellular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Carcinoma[J].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N </w:t>
      </w:r>
      <w:r>
        <w:rPr>
          <w:sz w:val="16"/>
          <w:szCs w:val="16"/>
          <w:color w:val="231F20"/>
        </w:rPr>
        <w:t>Engl J Med, 2020, 382(20):1894-1905.</w:t>
      </w:r>
    </w:p>
    <w:p>
      <w:pPr>
        <w:pStyle w:val="BodyText"/>
        <w:ind w:left="1265" w:right="366" w:hanging="527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[36]       CHOUEIRI T K, LARKIN J, OYA M, 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al. Preliminary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results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avelumab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plus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axitinib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ﬁrs</w:t>
      </w:r>
      <w:r>
        <w:rPr>
          <w:sz w:val="16"/>
          <w:szCs w:val="16"/>
          <w:color w:val="231F20"/>
          <w:spacing w:val="-1"/>
        </w:rPr>
        <w:t>t-line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therapy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patients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advanced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clear-cell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renal-cell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carcino</w:t>
      </w:r>
      <w:r>
        <w:rPr>
          <w:sz w:val="16"/>
          <w:szCs w:val="16"/>
          <w:color w:val="231F20"/>
          <w:spacing w:val="3"/>
        </w:rPr>
        <w:t>ma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(JAVELIN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100): an open-label, dose-ﬁnding and dose-ex</w:t>
      </w:r>
      <w:r>
        <w:rPr>
          <w:sz w:val="16"/>
          <w:szCs w:val="16"/>
          <w:color w:val="231F20"/>
          <w:spacing w:val="-1"/>
        </w:rPr>
        <w:t>pansion, phase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1b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trial[J]. Lancet Oncol, 2018,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19(4</w:t>
      </w:r>
      <w:r>
        <w:rPr>
          <w:sz w:val="16"/>
          <w:szCs w:val="16"/>
          <w:color w:val="231F20"/>
          <w:spacing w:val="-1"/>
        </w:rPr>
        <w:t>):451-460.</w:t>
      </w:r>
    </w:p>
    <w:p>
      <w:pPr>
        <w:pStyle w:val="BodyText"/>
        <w:ind w:left="1266" w:right="366" w:hanging="528"/>
        <w:spacing w:before="112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[37]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sz w:val="16"/>
          <w:szCs w:val="16"/>
          <w:color w:val="231F20"/>
          <w:spacing w:val="-1"/>
        </w:rPr>
        <w:t>FUKUOKA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HARA H,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TAKAHASHI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"/>
        </w:rPr>
        <w:t>N,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Regorafenib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Plus Nivolumab in Patients With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-2"/>
        </w:rPr>
        <w:t>dvanced Gastric or Colorectal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Cancer: 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Open-Label, Dose-Escalation,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1"/>
        </w:rPr>
        <w:t>nd Dose-Expansion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Phase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Ⅰ</w:t>
      </w:r>
      <w:r>
        <w:rPr>
          <w:sz w:val="16"/>
          <w:szCs w:val="16"/>
          <w:color w:val="231F20"/>
          <w:spacing w:val="-4"/>
        </w:rPr>
        <w:t>b Trial (REGONIVO, EPOC1603)[J]. J C</w:t>
      </w:r>
      <w:r>
        <w:rPr>
          <w:sz w:val="16"/>
          <w:szCs w:val="16"/>
          <w:color w:val="231F20"/>
          <w:spacing w:val="-5"/>
        </w:rPr>
        <w:t>lin Oncol, 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38(18):2053-2061.</w:t>
      </w:r>
    </w:p>
    <w:p>
      <w:pPr>
        <w:pStyle w:val="BodyText"/>
        <w:ind w:left="1269" w:right="364" w:hanging="531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[38]      </w:t>
      </w:r>
      <w:r>
        <w:rPr>
          <w:sz w:val="16"/>
          <w:szCs w:val="16"/>
          <w:color w:val="231F20"/>
        </w:rPr>
        <w:t>XU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JIA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4"/>
        </w:rPr>
        <w:t>-1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Antibody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SHR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1210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Combined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3"/>
        </w:rPr>
        <w:t>Apatini</w:t>
      </w:r>
      <w:r>
        <w:rPr>
          <w:sz w:val="16"/>
          <w:szCs w:val="16"/>
          <w:color w:val="231F20"/>
          <w:spacing w:val="2"/>
        </w:rPr>
        <w:t>b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for Advanced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Hepatocellular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Carcinoma,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Gastric,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Esophagogastric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Junction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Cancer: 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Open-label,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Dose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Escalation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Expansion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Study[J].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 Res, 2019, 25(2):515-523.</w:t>
      </w:r>
    </w:p>
    <w:p>
      <w:pPr>
        <w:pStyle w:val="BodyText"/>
        <w:ind w:left="1264" w:right="364" w:hanging="526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[39]      </w:t>
      </w:r>
      <w:r>
        <w:rPr>
          <w:sz w:val="16"/>
          <w:szCs w:val="16"/>
          <w:color w:val="231F20"/>
        </w:rPr>
        <w:t>YI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JIAO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QIN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  </w:t>
      </w:r>
      <w:r>
        <w:rPr>
          <w:sz w:val="16"/>
          <w:szCs w:val="16"/>
          <w:color w:val="231F20"/>
        </w:rPr>
        <w:t>Synergistic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effect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immune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blockade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anti-angiogenesis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treat-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ment[J]. Mol Cancer, 2019,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18(1):60.</w:t>
      </w:r>
    </w:p>
    <w:p>
      <w:pPr>
        <w:pStyle w:val="BodyText"/>
        <w:ind w:left="1268" w:right="365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[40]       LIU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Q, YU Y,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LIN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Treatment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strat</w:t>
      </w:r>
      <w:r>
        <w:rPr>
          <w:sz w:val="16"/>
          <w:szCs w:val="16"/>
          <w:color w:val="231F20"/>
          <w:spacing w:val="-2"/>
        </w:rPr>
        <w:t>egy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for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2"/>
        </w:rPr>
        <w:t>myocarditis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2"/>
        </w:rPr>
        <w:t>using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immune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ch</w:t>
      </w:r>
      <w:r>
        <w:rPr>
          <w:sz w:val="16"/>
          <w:szCs w:val="16"/>
          <w:color w:val="231F20"/>
          <w:spacing w:val="1"/>
        </w:rPr>
        <w:t>eckpoint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inhibitors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combined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anti-vascular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endothelial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growth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factor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therap</w:t>
      </w:r>
      <w:r>
        <w:rPr>
          <w:sz w:val="16"/>
          <w:szCs w:val="16"/>
          <w:color w:val="231F20"/>
          <w:spacing w:val="3"/>
        </w:rPr>
        <w:t>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severity[J]. Eur J Can</w:t>
      </w:r>
      <w:r>
        <w:rPr>
          <w:sz w:val="16"/>
          <w:szCs w:val="16"/>
          <w:color w:val="231F20"/>
          <w:spacing w:val="-1"/>
        </w:rPr>
        <w:t>cer, 2021,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157:10-20.</w:t>
      </w:r>
    </w:p>
    <w:p>
      <w:pPr>
        <w:pStyle w:val="BodyText"/>
        <w:ind w:left="1266" w:right="366" w:hanging="528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[41]      </w:t>
      </w:r>
      <w:r>
        <w:rPr>
          <w:sz w:val="16"/>
          <w:szCs w:val="16"/>
          <w:color w:val="231F20"/>
        </w:rPr>
        <w:t>JOHNSON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BALKO</w:t>
      </w:r>
      <w:r>
        <w:rPr>
          <w:sz w:val="16"/>
          <w:szCs w:val="16"/>
          <w:color w:val="231F20"/>
          <w:spacing w:val="4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</w:rPr>
        <w:t>COMPTON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Fulminant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Myocarditis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Combi</w:t>
      </w:r>
      <w:r>
        <w:rPr>
          <w:sz w:val="16"/>
          <w:szCs w:val="16"/>
          <w:color w:val="231F20"/>
          <w:spacing w:val="-1"/>
        </w:rPr>
        <w:t>nation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Immune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Blockade[J]. N Engl J Med, 2016, 375(18):1749-1755.</w:t>
      </w:r>
    </w:p>
    <w:p>
      <w:pPr>
        <w:pStyle w:val="BodyText"/>
        <w:ind w:left="1261" w:right="366" w:hanging="523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[42]      </w:t>
      </w:r>
      <w:r>
        <w:rPr>
          <w:sz w:val="16"/>
          <w:szCs w:val="16"/>
          <w:color w:val="231F20"/>
        </w:rPr>
        <w:t>FORCE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KRAUSE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VAN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ETTEN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Molecular </w:t>
      </w:r>
      <w:r>
        <w:rPr>
          <w:sz w:val="16"/>
          <w:szCs w:val="16"/>
          <w:color w:val="231F20"/>
        </w:rPr>
        <w:t>mechanisms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cardiotoxicity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tyrosine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kinase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inhibition</w:t>
      </w:r>
      <w:r>
        <w:rPr>
          <w:sz w:val="16"/>
          <w:szCs w:val="16"/>
          <w:color w:val="231F20"/>
          <w:spacing w:val="10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Nat Rev Cancer, 2007, 7(5):332-344.</w:t>
      </w:r>
    </w:p>
    <w:p>
      <w:pPr>
        <w:pStyle w:val="BodyText"/>
        <w:ind w:left="1266" w:right="365" w:hanging="528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[43]      </w:t>
      </w:r>
      <w:r>
        <w:rPr>
          <w:sz w:val="16"/>
          <w:szCs w:val="16"/>
          <w:color w:val="231F20"/>
        </w:rPr>
        <w:t>BONACA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OLENCHOCK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SALEM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Myocarditis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1"/>
        </w:rPr>
        <w:t>Setting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Cancer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Therapeutics: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Proposed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Case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Deﬁnitions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Emerging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Clinica</w:t>
      </w:r>
      <w:r>
        <w:rPr>
          <w:sz w:val="16"/>
          <w:szCs w:val="16"/>
          <w:color w:val="231F20"/>
          <w:spacing w:val="-1"/>
        </w:rPr>
        <w:t>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Syndromes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Cardio-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Oncology[J]. Circulation, 2019,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14</w:t>
      </w:r>
      <w:r>
        <w:rPr>
          <w:sz w:val="16"/>
          <w:szCs w:val="16"/>
          <w:color w:val="231F20"/>
          <w:spacing w:val="-1"/>
        </w:rPr>
        <w:t>0(2):80-91.</w:t>
      </w:r>
    </w:p>
    <w:p>
      <w:pPr>
        <w:pStyle w:val="BodyText"/>
        <w:ind w:left="1266" w:right="356" w:hanging="528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[44]      WANG  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Y,  SALEM  J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E,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COHEN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V,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Fatal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Toxic </w:t>
      </w:r>
      <w:r>
        <w:rPr>
          <w:sz w:val="16"/>
          <w:szCs w:val="16"/>
          <w:color w:val="231F20"/>
          <w:spacing w:val="4"/>
        </w:rPr>
        <w:t>Effects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Associated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Immune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Checkpoi</w:t>
      </w:r>
      <w:r>
        <w:rPr>
          <w:sz w:val="16"/>
          <w:szCs w:val="16"/>
          <w:color w:val="231F20"/>
          <w:spacing w:val="3"/>
        </w:rPr>
        <w:t>nt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Inhibitors: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Meta-analysis[J].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JA</w:t>
      </w:r>
      <w:r>
        <w:rPr>
          <w:sz w:val="16"/>
          <w:szCs w:val="16"/>
          <w:color w:val="231F20"/>
          <w:spacing w:val="-1"/>
        </w:rPr>
        <w:t>MA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Oncol,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2018,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4(12):1721-1728.</w:t>
      </w:r>
    </w:p>
    <w:p>
      <w:pPr>
        <w:pStyle w:val="BodyText"/>
        <w:ind w:left="1266" w:right="365" w:hanging="528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[45]      </w:t>
      </w:r>
      <w:r>
        <w:rPr>
          <w:sz w:val="16"/>
          <w:szCs w:val="16"/>
          <w:color w:val="231F20"/>
        </w:rPr>
        <w:t>MAHMOOD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FRADLEY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52"/>
          <w:w w:val="101"/>
        </w:rPr>
        <w:t xml:space="preserve"> </w:t>
      </w:r>
      <w:r>
        <w:rPr>
          <w:sz w:val="16"/>
          <w:szCs w:val="16"/>
          <w:color w:val="231F20"/>
        </w:rPr>
        <w:t>COHEN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Myocarditis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4"/>
        </w:rPr>
        <w:t>Patients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Treated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Immune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Checkpoi</w:t>
      </w:r>
      <w:r>
        <w:rPr>
          <w:sz w:val="16"/>
          <w:szCs w:val="16"/>
          <w:color w:val="231F20"/>
          <w:spacing w:val="3"/>
        </w:rPr>
        <w:t>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Inhibitors[J]. J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</w:rPr>
        <w:t>Am Coll Cardiol, 2018, 71(16):1755-1764.</w:t>
      </w:r>
    </w:p>
    <w:p>
      <w:pPr>
        <w:pStyle w:val="BodyText"/>
        <w:ind w:left="738"/>
        <w:spacing w:before="113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[46]      </w:t>
      </w:r>
      <w:r>
        <w:rPr>
          <w:sz w:val="16"/>
          <w:szCs w:val="16"/>
          <w:color w:val="231F20"/>
        </w:rPr>
        <w:t>HERRMANN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Adverse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cardiac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effects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therapies</w:t>
      </w:r>
      <w:r>
        <w:rPr>
          <w:sz w:val="16"/>
          <w:szCs w:val="16"/>
          <w:color w:val="231F20"/>
          <w:spacing w:val="7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3" w:right="18" w:hanging="13"/>
        <w:spacing w:before="28" w:line="3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cardiotoxicity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arrhythmia[J]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Nat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5"/>
        </w:rPr>
        <w:t>Rev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Cardiol,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17(8):474-502.</w:t>
      </w:r>
    </w:p>
    <w:p>
      <w:pPr>
        <w:pStyle w:val="BodyText"/>
        <w:ind w:left="527" w:right="15" w:hanging="528"/>
        <w:spacing w:before="25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[47]</w:t>
      </w:r>
      <w:r>
        <w:rPr>
          <w:sz w:val="16"/>
          <w:szCs w:val="16"/>
          <w:color w:val="231F20"/>
        </w:rPr>
        <w:t xml:space="preserve">       SHAH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MORGANROTH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3"/>
        </w:rPr>
        <w:t>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Update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Cardiovascular </w:t>
      </w:r>
      <w:r>
        <w:rPr>
          <w:sz w:val="16"/>
          <w:szCs w:val="16"/>
          <w:color w:val="231F20"/>
          <w:spacing w:val="-1"/>
        </w:rPr>
        <w:t>Safety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of Tyrosine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Kinase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Inhibitors: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Special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Focus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QT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1"/>
        </w:rPr>
        <w:t>Interval,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Left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Ventricular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Dysfunction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Overall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Risk/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Beneﬁt[J]. Drug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Saf, 2015, 38(8):693-7</w:t>
      </w:r>
      <w:r>
        <w:rPr>
          <w:sz w:val="16"/>
          <w:szCs w:val="16"/>
          <w:color w:val="231F20"/>
          <w:spacing w:val="-1"/>
        </w:rPr>
        <w:t>10.</w:t>
      </w:r>
    </w:p>
    <w:p>
      <w:pPr>
        <w:pStyle w:val="BodyText"/>
        <w:ind w:left="525" w:hanging="526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[48]     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ZLOTOFF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AWADALLA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Major </w:t>
      </w:r>
      <w:r>
        <w:rPr>
          <w:sz w:val="16"/>
          <w:szCs w:val="16"/>
          <w:color w:val="231F20"/>
          <w:spacing w:val="2"/>
        </w:rPr>
        <w:t>Adverse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Cardiovascular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Eve</w:t>
      </w:r>
      <w:r>
        <w:rPr>
          <w:sz w:val="16"/>
          <w:szCs w:val="16"/>
          <w:color w:val="231F20"/>
          <w:spacing w:val="1"/>
        </w:rPr>
        <w:t>nts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Timing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Dose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Corticosteroids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Immune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Check</w:t>
      </w:r>
      <w:r>
        <w:rPr>
          <w:sz w:val="16"/>
          <w:szCs w:val="16"/>
          <w:color w:val="231F20"/>
          <w:spacing w:val="2"/>
        </w:rPr>
        <w:t>point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Inhibitor-Associated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Myocarditis[J]. Circulation, 2020,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141(24):</w:t>
      </w:r>
      <w:r>
        <w:rPr>
          <w:sz w:val="16"/>
          <w:szCs w:val="16"/>
          <w:color w:val="231F20"/>
          <w:spacing w:val="-1"/>
        </w:rPr>
        <w:t>2031-2034.</w:t>
      </w:r>
    </w:p>
    <w:p>
      <w:pPr>
        <w:pStyle w:val="BodyText"/>
        <w:ind w:left="525" w:right="16" w:hanging="525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[49]      </w:t>
      </w:r>
      <w:r>
        <w:rPr>
          <w:sz w:val="16"/>
          <w:szCs w:val="16"/>
          <w:color w:val="231F20"/>
        </w:rPr>
        <w:t>SUZMAN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PELOSOF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ROSENBERG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 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Hepatotoxicity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2"/>
        </w:rPr>
        <w:t>: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evolving </w:t>
      </w:r>
      <w:r>
        <w:rPr>
          <w:sz w:val="16"/>
          <w:szCs w:val="16"/>
          <w:color w:val="231F20"/>
        </w:rPr>
        <w:t>picture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associated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vital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class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immunotherapy </w:t>
      </w:r>
      <w:r>
        <w:rPr>
          <w:sz w:val="16"/>
          <w:szCs w:val="16"/>
          <w:color w:val="231F20"/>
        </w:rPr>
        <w:t>agents[J]. Liver Int, 2018, 38(6):976-987.</w:t>
      </w:r>
    </w:p>
    <w:p>
      <w:pPr>
        <w:pStyle w:val="BodyText"/>
        <w:ind w:left="530" w:right="16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[50]       DE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MARTIN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MICHOT J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M,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2"/>
        </w:rPr>
        <w:t>PAPOUIN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B,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Character-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ization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of liver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injury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induced by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immunotherapy using </w:t>
      </w:r>
      <w:r>
        <w:rPr>
          <w:sz w:val="16"/>
          <w:szCs w:val="16"/>
          <w:color w:val="231F20"/>
          <w:spacing w:val="-1"/>
        </w:rPr>
        <w:t>immune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checkpoint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inhibitors[J].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Hepatol,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2018,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68(6):1181-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1190.</w:t>
      </w:r>
    </w:p>
    <w:p>
      <w:pPr>
        <w:pStyle w:val="BodyText"/>
        <w:ind w:left="525" w:right="15" w:hanging="526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[51]      </w:t>
      </w:r>
      <w:r>
        <w:rPr>
          <w:sz w:val="16"/>
          <w:szCs w:val="16"/>
          <w:color w:val="231F20"/>
        </w:rPr>
        <w:t>PEERAPHATDIT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ODENWALD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Hepatotoxicity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Inhibitors: 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Syst</w:t>
      </w:r>
      <w:r>
        <w:rPr>
          <w:sz w:val="16"/>
          <w:szCs w:val="16"/>
          <w:color w:val="231F20"/>
          <w:spacing w:val="-1"/>
        </w:rPr>
        <w:t>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matic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Review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Management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Recommendation[J]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Hepat-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ology, 2020, 72(1):315-32</w:t>
      </w:r>
      <w:r>
        <w:rPr>
          <w:sz w:val="16"/>
          <w:szCs w:val="16"/>
          <w:color w:val="231F20"/>
          <w:spacing w:val="-1"/>
        </w:rPr>
        <w:t>9.</w:t>
      </w:r>
    </w:p>
    <w:p>
      <w:pPr>
        <w:pStyle w:val="BodyText"/>
        <w:ind w:left="527" w:right="15" w:hanging="528"/>
        <w:spacing w:before="85" w:line="3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[52]      </w:t>
      </w:r>
      <w:r>
        <w:rPr>
          <w:sz w:val="16"/>
          <w:szCs w:val="16"/>
          <w:color w:val="231F20"/>
        </w:rPr>
        <w:t>RIVEIRO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>BARCIELA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BARREIRA</w:t>
      </w:r>
      <w:r>
        <w:rPr>
          <w:sz w:val="16"/>
          <w:szCs w:val="16"/>
          <w:color w:val="231F20"/>
          <w:spacing w:val="3"/>
        </w:rPr>
        <w:t>-DÍ</w:t>
      </w:r>
      <w:r>
        <w:rPr>
          <w:sz w:val="16"/>
          <w:szCs w:val="16"/>
          <w:color w:val="231F20"/>
        </w:rPr>
        <w:t>AZ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CALLEJO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PÉREZ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A,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7"/>
        </w:rPr>
        <w:t>et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7"/>
        </w:rPr>
        <w:t>al.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7"/>
        </w:rPr>
        <w:t>Retreat</w:t>
      </w:r>
      <w:r>
        <w:rPr>
          <w:sz w:val="16"/>
          <w:szCs w:val="16"/>
          <w:color w:val="231F20"/>
          <w:spacing w:val="6"/>
        </w:rPr>
        <w:t>ment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Immune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6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Inhibitors After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a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2"/>
        </w:rPr>
        <w:t>Severe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Immune-Related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Hepatitis: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Results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Prospective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Multicenter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15"/>
        </w:rPr>
        <w:t>[J].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Gastroenterol </w:t>
      </w:r>
      <w:r>
        <w:rPr>
          <w:sz w:val="16"/>
          <w:szCs w:val="16"/>
          <w:color w:val="231F20"/>
        </w:rPr>
        <w:t>Hepatol, 2023, 21(3):732-740.</w:t>
      </w:r>
    </w:p>
    <w:p>
      <w:pPr>
        <w:pStyle w:val="BodyText"/>
        <w:ind w:left="530" w:right="15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[53]      </w:t>
      </w:r>
      <w:r>
        <w:rPr>
          <w:sz w:val="16"/>
          <w:szCs w:val="16"/>
          <w:color w:val="231F20"/>
        </w:rPr>
        <w:t>NIELSEN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JUHL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Immune </w:t>
      </w:r>
      <w:r>
        <w:rPr>
          <w:sz w:val="16"/>
          <w:szCs w:val="16"/>
          <w:color w:val="231F20"/>
          <w:spacing w:val="2"/>
        </w:rPr>
        <w:t>checkpoint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Inhibitor-Induced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di</w:t>
      </w:r>
      <w:r>
        <w:rPr>
          <w:sz w:val="16"/>
          <w:szCs w:val="16"/>
          <w:color w:val="231F20"/>
          <w:spacing w:val="1"/>
        </w:rPr>
        <w:t>arrhea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Colitis: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Incidence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9"/>
        </w:rPr>
        <w:t>.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9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Cancer Treat Rev, 2022,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109:102440.</w:t>
      </w:r>
    </w:p>
    <w:p>
      <w:pPr>
        <w:pStyle w:val="BodyText"/>
        <w:ind w:left="522" w:right="15" w:hanging="523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[54]      </w:t>
      </w:r>
      <w:r>
        <w:rPr>
          <w:sz w:val="16"/>
          <w:szCs w:val="16"/>
          <w:color w:val="231F20"/>
        </w:rPr>
        <w:t>THOMPSON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SCHNEIDER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BRAHMER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NCCN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Guidelines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Insights: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Management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Immunotherapy-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Related Toxicities, Version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1.2020[J]. J Natl </w:t>
      </w:r>
      <w:r>
        <w:rPr>
          <w:sz w:val="16"/>
          <w:szCs w:val="16"/>
          <w:color w:val="231F20"/>
          <w:spacing w:val="-2"/>
        </w:rPr>
        <w:t>Compr Canc Netw,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2020,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18(3):230-241.</w:t>
      </w:r>
    </w:p>
    <w:p>
      <w:pPr>
        <w:pStyle w:val="BodyText"/>
        <w:ind w:left="525" w:right="15" w:hanging="525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[55]       BERGQVIST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V,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HERTERVIG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E,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GEDEON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P,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Vedoli</w:t>
      </w:r>
      <w:r>
        <w:rPr>
          <w:sz w:val="16"/>
          <w:szCs w:val="16"/>
          <w:color w:val="231F20"/>
          <w:spacing w:val="-3"/>
        </w:rPr>
        <w:t>z-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umab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treatment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for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immune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checkpoint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inhibitor-induced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enterocolitis</w:t>
      </w:r>
      <w:r>
        <w:rPr>
          <w:sz w:val="16"/>
          <w:szCs w:val="16"/>
          <w:color w:val="231F20"/>
          <w:spacing w:val="8"/>
        </w:rPr>
        <w:t>[J].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Immunol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Immunother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8"/>
        </w:rPr>
        <w:t>2017,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8"/>
        </w:rPr>
        <w:t>66(5):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581-592.</w:t>
      </w:r>
    </w:p>
    <w:p>
      <w:pPr>
        <w:pStyle w:val="BodyText"/>
        <w:ind w:left="525" w:right="2" w:hanging="526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[56]      </w:t>
      </w:r>
      <w:r>
        <w:rPr>
          <w:sz w:val="16"/>
          <w:szCs w:val="16"/>
          <w:color w:val="231F20"/>
        </w:rPr>
        <w:t>ABU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SBEIH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ALI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ALSAADI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Outcomes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5"/>
        </w:rPr>
        <w:t>vedolizumab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therapy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patients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immune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inhibitor-induced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colitis: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a multi-center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study[J</w:t>
      </w:r>
      <w:r>
        <w:rPr>
          <w:sz w:val="16"/>
          <w:szCs w:val="16"/>
          <w:color w:val="231F20"/>
          <w:spacing w:val="-1"/>
        </w:rPr>
        <w:t>]. J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Immunother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Cancer, 2018, 6(1):142.</w:t>
      </w:r>
    </w:p>
    <w:p>
      <w:pPr>
        <w:pStyle w:val="BodyText"/>
        <w:ind w:left="525" w:right="15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[57]      </w:t>
      </w:r>
      <w:r>
        <w:rPr>
          <w:sz w:val="16"/>
          <w:szCs w:val="16"/>
          <w:color w:val="231F20"/>
        </w:rPr>
        <w:t>GEORGE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BAJAJ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SANKARAMANGALAM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Incidence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pancreatitis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use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immu</w:t>
      </w:r>
      <w:r>
        <w:rPr>
          <w:sz w:val="16"/>
          <w:szCs w:val="16"/>
          <w:color w:val="231F20"/>
          <w:spacing w:val="1"/>
        </w:rPr>
        <w:t>ne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(ICI)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cancers: 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systema</w:t>
      </w:r>
      <w:r>
        <w:rPr>
          <w:sz w:val="16"/>
          <w:szCs w:val="16"/>
          <w:color w:val="231F20"/>
          <w:spacing w:val="-1"/>
        </w:rPr>
        <w:t>tic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review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meta-analysis[J]. Pancreatology</w:t>
      </w:r>
      <w:r>
        <w:rPr>
          <w:sz w:val="16"/>
          <w:szCs w:val="16"/>
          <w:color w:val="231F20"/>
          <w:spacing w:val="-1"/>
        </w:rPr>
        <w:t>, 2019,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19(4):587-594.</w:t>
      </w:r>
    </w:p>
    <w:p>
      <w:pPr>
        <w:pStyle w:val="BodyText"/>
        <w:ind w:left="530" w:right="16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[58]       ZHANG T, WA</w:t>
      </w:r>
      <w:r>
        <w:rPr>
          <w:sz w:val="16"/>
          <w:szCs w:val="16"/>
          <w:color w:val="231F20"/>
          <w:spacing w:val="-2"/>
        </w:rPr>
        <w:t>NG Y,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2"/>
        </w:rPr>
        <w:t>SHI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al. Pancreatic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2"/>
        </w:rPr>
        <w:t>injury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following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inhibitors: 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re</w:t>
      </w:r>
      <w:r>
        <w:rPr>
          <w:sz w:val="16"/>
          <w:szCs w:val="16"/>
          <w:color w:val="231F20"/>
          <w:spacing w:val="-1"/>
        </w:rPr>
        <w:t>view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meta-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analysis[J]. Front Pharmacol, 20</w:t>
      </w:r>
      <w:r>
        <w:rPr>
          <w:sz w:val="16"/>
          <w:szCs w:val="16"/>
          <w:color w:val="231F20"/>
          <w:spacing w:val="-1"/>
        </w:rPr>
        <w:t>22,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13:955701.</w:t>
      </w:r>
    </w:p>
    <w:p>
      <w:pPr>
        <w:pStyle w:val="BodyText"/>
        <w:ind w:left="530" w:right="15" w:hanging="531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[59]</w:t>
      </w:r>
      <w:r>
        <w:rPr>
          <w:sz w:val="16"/>
          <w:szCs w:val="16"/>
          <w:color w:val="231F20"/>
          <w:spacing w:val="7"/>
        </w:rPr>
        <w:t xml:space="preserve">      </w:t>
      </w:r>
      <w:r>
        <w:rPr>
          <w:sz w:val="16"/>
          <w:szCs w:val="16"/>
          <w:color w:val="231F20"/>
          <w:spacing w:val="-2"/>
        </w:rPr>
        <w:t>ABU-SBEIH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TANG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LU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2"/>
        </w:rPr>
        <w:t>Y,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Clinical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characteristics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outcomes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inhibitor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induced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pancr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eatic injury[J]. J Immunother Cancer, 2019, 7(1):3</w:t>
      </w:r>
      <w:r>
        <w:rPr>
          <w:sz w:val="16"/>
          <w:szCs w:val="16"/>
          <w:color w:val="231F20"/>
          <w:spacing w:val="-1"/>
        </w:rPr>
        <w:t>1.</w:t>
      </w:r>
    </w:p>
    <w:p>
      <w:pPr>
        <w:pStyle w:val="BodyText"/>
        <w:spacing w:before="113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[60]      </w:t>
      </w:r>
      <w:r>
        <w:rPr>
          <w:sz w:val="16"/>
          <w:szCs w:val="16"/>
          <w:color w:val="231F20"/>
        </w:rPr>
        <w:t>KANG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RYU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Nivolumab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plus</w:t>
      </w:r>
    </w:p>
    <w:p>
      <w:pPr>
        <w:spacing w:line="189" w:lineRule="auto"/>
        <w:sectPr>
          <w:type w:val="continuous"/>
          <w:pgSz w:w="11906" w:h="16158"/>
          <w:pgMar w:top="1233" w:right="1061" w:bottom="400" w:left="407" w:header="772" w:footer="0" w:gutter="0"/>
          <w:cols w:equalWidth="0" w:num="2">
            <w:col w:w="5713" w:space="100"/>
            <w:col w:w="4624" w:space="0"/>
          </w:cols>
        </w:sectPr>
        <w:rPr>
          <w:sz w:val="16"/>
          <w:szCs w:val="16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11"/>
          <w:pgSz w:w="11906" w:h="16158"/>
          <w:pgMar w:top="1233" w:right="1117" w:bottom="400" w:left="407" w:header="772" w:footer="0" w:gutter="0"/>
          <w:cols w:equalWidth="0" w:num="1">
            <w:col w:w="10380" w:space="0"/>
          </w:cols>
        </w:sectPr>
        <w:rPr/>
      </w:pPr>
    </w:p>
    <w:p>
      <w:pPr>
        <w:pStyle w:val="BodyText"/>
        <w:ind w:left="1208" w:right="364" w:firstLine="5"/>
        <w:spacing w:before="27" w:line="32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chemotherapy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versus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placebo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plus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chemotherapy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with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9"/>
        </w:rPr>
        <w:t>HER2-negative,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untreated,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unresecta</w:t>
      </w:r>
      <w:r>
        <w:rPr>
          <w:sz w:val="16"/>
          <w:szCs w:val="16"/>
          <w:color w:val="231F20"/>
          <w:spacing w:val="8"/>
        </w:rPr>
        <w:t>ble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8"/>
        </w:rPr>
        <w:t>advanced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recurrent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gastric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gastro-oesophageal jun</w:t>
      </w:r>
      <w:r>
        <w:rPr>
          <w:sz w:val="16"/>
          <w:szCs w:val="16"/>
          <w:color w:val="231F20"/>
          <w:spacing w:val="4"/>
        </w:rPr>
        <w:t>ction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(</w:t>
      </w:r>
      <w:r>
        <w:rPr>
          <w:sz w:val="16"/>
          <w:szCs w:val="16"/>
          <w:color w:val="231F20"/>
        </w:rPr>
        <w:t>ATTRACTION</w:t>
      </w:r>
      <w:r>
        <w:rPr>
          <w:sz w:val="16"/>
          <w:szCs w:val="16"/>
          <w:color w:val="231F20"/>
          <w:spacing w:val="5"/>
        </w:rPr>
        <w:t>-4):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multicentre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double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>blind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placebo-controlled, phase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3 trial[J]. Lancet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Oncol, 2022,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23(2): </w:t>
      </w:r>
      <w:r>
        <w:rPr>
          <w:sz w:val="16"/>
          <w:szCs w:val="16"/>
          <w:color w:val="231F20"/>
        </w:rPr>
        <w:t>234-247.</w:t>
      </w:r>
    </w:p>
    <w:p>
      <w:pPr>
        <w:pStyle w:val="BodyText"/>
        <w:ind w:left="1206" w:right="366" w:hanging="523"/>
        <w:spacing w:before="38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[61]      </w:t>
      </w:r>
      <w:r>
        <w:rPr>
          <w:sz w:val="16"/>
          <w:szCs w:val="16"/>
          <w:color w:val="231F20"/>
        </w:rPr>
        <w:t>KELLY</w:t>
      </w:r>
      <w:r>
        <w:rPr>
          <w:sz w:val="16"/>
          <w:szCs w:val="16"/>
          <w:color w:val="231F20"/>
          <w:spacing w:val="45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AJANI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KUZDZAL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Adjuvant </w:t>
      </w:r>
      <w:r>
        <w:rPr>
          <w:sz w:val="16"/>
          <w:szCs w:val="16"/>
          <w:color w:val="231F20"/>
          <w:spacing w:val="6"/>
        </w:rPr>
        <w:t>Nivolumab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6"/>
        </w:rPr>
        <w:t>Resected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Esophageal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Gastroesophageal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Junction Cancer[J]. N Engl J Med, 2021, 384(13):1191-1203.</w:t>
      </w:r>
    </w:p>
    <w:p>
      <w:pPr>
        <w:pStyle w:val="BodyText"/>
        <w:ind w:left="1208" w:right="366" w:hanging="525"/>
        <w:spacing w:before="110" w:line="3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[62]      </w:t>
      </w:r>
      <w:r>
        <w:rPr>
          <w:sz w:val="16"/>
          <w:szCs w:val="16"/>
          <w:color w:val="231F20"/>
        </w:rPr>
        <w:t>MARABELLE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FAKIH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LOPEZ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Association </w:t>
      </w:r>
      <w:r>
        <w:rPr>
          <w:sz w:val="16"/>
          <w:szCs w:val="16"/>
          <w:color w:val="231F20"/>
          <w:spacing w:val="8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tumour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mutational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8"/>
        </w:rPr>
        <w:t>burd</w:t>
      </w:r>
      <w:r>
        <w:rPr>
          <w:sz w:val="16"/>
          <w:szCs w:val="16"/>
          <w:color w:val="231F20"/>
          <w:spacing w:val="7"/>
        </w:rPr>
        <w:t>en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7"/>
        </w:rPr>
        <w:t>with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outcomes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advanced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solid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tumours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treated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pembroliz</w:t>
      </w:r>
      <w:r>
        <w:rPr>
          <w:sz w:val="16"/>
          <w:szCs w:val="16"/>
          <w:color w:val="231F20"/>
          <w:spacing w:val="3"/>
        </w:rPr>
        <w:t>umab: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prospective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biomarker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analysis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6"/>
        </w:rPr>
        <w:t>multicoho</w:t>
      </w:r>
      <w:r>
        <w:rPr>
          <w:sz w:val="16"/>
          <w:szCs w:val="16"/>
          <w:color w:val="231F20"/>
          <w:spacing w:val="5"/>
        </w:rPr>
        <w:t>rt,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open-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label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phase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2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KEYNOTE</w:t>
      </w:r>
      <w:r>
        <w:rPr>
          <w:sz w:val="16"/>
          <w:szCs w:val="16"/>
          <w:color w:val="231F20"/>
          <w:spacing w:val="2"/>
        </w:rPr>
        <w:t>-158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2"/>
        </w:rPr>
        <w:t>[J].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Lancet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Oncol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21(10):1353-1365.</w:t>
      </w:r>
    </w:p>
    <w:p>
      <w:pPr>
        <w:pStyle w:val="BodyText"/>
        <w:ind w:left="1213" w:right="366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[63]      </w:t>
      </w:r>
      <w:r>
        <w:rPr>
          <w:sz w:val="16"/>
          <w:szCs w:val="16"/>
          <w:color w:val="231F20"/>
        </w:rPr>
        <w:t>ZHAO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TELLA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DEL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RIVERO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4"/>
        </w:rPr>
        <w:t>-L1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Treatment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Induced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Central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Diabetes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Insipidus[J].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Clin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Endo-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crinol Metab, 2018,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1</w:t>
      </w:r>
      <w:r>
        <w:rPr>
          <w:sz w:val="16"/>
          <w:szCs w:val="16"/>
          <w:color w:val="231F20"/>
          <w:spacing w:val="-1"/>
        </w:rPr>
        <w:t>03(2):365-369.</w:t>
      </w:r>
    </w:p>
    <w:p>
      <w:pPr>
        <w:pStyle w:val="BodyText"/>
        <w:ind w:left="1210" w:right="364" w:hanging="527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[64]      </w:t>
      </w:r>
      <w:r>
        <w:rPr>
          <w:sz w:val="16"/>
          <w:szCs w:val="16"/>
          <w:color w:val="231F20"/>
        </w:rPr>
        <w:t>PUZANOV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DIAB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ABDALLAH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Managing </w:t>
      </w:r>
      <w:r>
        <w:rPr>
          <w:sz w:val="16"/>
          <w:szCs w:val="16"/>
          <w:color w:val="231F20"/>
          <w:spacing w:val="6"/>
        </w:rPr>
        <w:t>toxicities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associated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immune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checkpoint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inhibitors: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consensus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recommendations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from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3"/>
        </w:rPr>
        <w:t>So</w:t>
      </w:r>
      <w:r>
        <w:rPr>
          <w:sz w:val="16"/>
          <w:szCs w:val="16"/>
          <w:color w:val="231F20"/>
          <w:spacing w:val="2"/>
        </w:rPr>
        <w:t>ciety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Immuno-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therapy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Cancer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(SITC)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Toxicity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Management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Working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Group[J]. J Immunother Cancer, 2017, 5(1):95.</w:t>
      </w:r>
    </w:p>
    <w:p>
      <w:pPr>
        <w:pStyle w:val="BodyText"/>
        <w:ind w:left="1211" w:right="366" w:hanging="528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[65]</w:t>
      </w:r>
      <w:r>
        <w:rPr>
          <w:sz w:val="16"/>
          <w:szCs w:val="16"/>
          <w:color w:val="231F20"/>
        </w:rPr>
        <w:t xml:space="preserve">       SIBAUD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Dermatologic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Reactions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Checkpoint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Skin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Toxicities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Immunotherapy</w:t>
      </w:r>
      <w:r>
        <w:rPr>
          <w:sz w:val="16"/>
          <w:szCs w:val="16"/>
          <w:color w:val="231F20"/>
          <w:spacing w:val="5"/>
        </w:rPr>
        <w:t>[J].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Clin </w:t>
      </w:r>
      <w:r>
        <w:rPr>
          <w:sz w:val="16"/>
          <w:szCs w:val="16"/>
          <w:color w:val="231F20"/>
          <w:spacing w:val="-1"/>
        </w:rPr>
        <w:t>Dermatol, 2018,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19(3):345-361.</w:t>
      </w:r>
    </w:p>
    <w:p>
      <w:pPr>
        <w:pStyle w:val="BodyText"/>
        <w:ind w:left="1214" w:right="366" w:hanging="531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[66]       COLLINS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L K,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CHAP</w:t>
      </w:r>
      <w:r>
        <w:rPr>
          <w:sz w:val="16"/>
          <w:szCs w:val="16"/>
          <w:color w:val="231F20"/>
          <w:spacing w:val="-2"/>
        </w:rPr>
        <w:t>MAN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S,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CARTER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J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B,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Cutan-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eous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adverse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effects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4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Curr Probl Cancer, 2017, 41(2):125-12</w:t>
      </w:r>
      <w:r>
        <w:rPr>
          <w:sz w:val="16"/>
          <w:szCs w:val="16"/>
          <w:color w:val="231F20"/>
          <w:spacing w:val="-1"/>
        </w:rPr>
        <w:t>8.</w:t>
      </w:r>
    </w:p>
    <w:p>
      <w:pPr>
        <w:pStyle w:val="BodyText"/>
        <w:ind w:left="1213" w:right="366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[67]       PENG Y, YU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Q,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ZHANG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X,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Toxic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epid</w:t>
      </w:r>
      <w:r>
        <w:rPr>
          <w:sz w:val="16"/>
          <w:szCs w:val="16"/>
          <w:color w:val="231F20"/>
          <w:spacing w:val="-2"/>
        </w:rPr>
        <w:t>ermal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necrolysis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during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camrelizumab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esophageal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squamous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cell </w:t>
      </w:r>
      <w:r>
        <w:rPr>
          <w:sz w:val="16"/>
          <w:szCs w:val="16"/>
          <w:color w:val="231F20"/>
        </w:rPr>
        <w:t>carcinoma[J]. Contact Dermatitis, 2022, 86(5):417-419.</w:t>
      </w:r>
    </w:p>
    <w:p>
      <w:pPr>
        <w:pStyle w:val="BodyText"/>
        <w:ind w:left="1209" w:right="365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[68]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sz w:val="16"/>
          <w:szCs w:val="16"/>
          <w:color w:val="231F20"/>
          <w:spacing w:val="-1"/>
        </w:rPr>
        <w:t>ARNAUD-COFFIN P, MAILLET D,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GAN 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K,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al. A syste-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matic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of adverse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events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trials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assessing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"/>
        </w:rPr>
        <w:t>[J].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Int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2019,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145(3):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639-648.</w:t>
      </w:r>
    </w:p>
    <w:p>
      <w:pPr>
        <w:pStyle w:val="BodyText"/>
        <w:ind w:left="1206" w:right="364" w:hanging="523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[69]      </w:t>
      </w:r>
      <w:r>
        <w:rPr>
          <w:sz w:val="16"/>
          <w:szCs w:val="16"/>
          <w:color w:val="231F20"/>
        </w:rPr>
        <w:t>FREEMAN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3"/>
        </w:rPr>
        <w:t>-</w:t>
      </w:r>
      <w:r>
        <w:rPr>
          <w:sz w:val="16"/>
          <w:szCs w:val="16"/>
          <w:color w:val="231F20"/>
        </w:rPr>
        <w:t>KELLER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3"/>
        </w:rPr>
        <w:t>,  </w:t>
      </w:r>
      <w:r>
        <w:rPr>
          <w:sz w:val="16"/>
          <w:szCs w:val="16"/>
          <w:color w:val="231F20"/>
        </w:rPr>
        <w:t>KIM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3"/>
        </w:rPr>
        <w:t>,  </w:t>
      </w:r>
      <w:r>
        <w:rPr>
          <w:sz w:val="16"/>
          <w:szCs w:val="16"/>
          <w:color w:val="231F20"/>
        </w:rPr>
        <w:t>CRONIN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2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Nivolumab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Resected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2"/>
        </w:rPr>
        <w:t>Unresectable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Metastatic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Me</w:t>
      </w:r>
      <w:r>
        <w:rPr>
          <w:sz w:val="16"/>
          <w:szCs w:val="16"/>
          <w:color w:val="231F20"/>
          <w:spacing w:val="1"/>
        </w:rPr>
        <w:t>lan-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oma: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Characteristics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2"/>
        </w:rPr>
        <w:t>of </w:t>
      </w:r>
      <w:r>
        <w:rPr>
          <w:sz w:val="16"/>
          <w:szCs w:val="16"/>
          <w:color w:val="231F20"/>
          <w:spacing w:val="1"/>
        </w:rPr>
        <w:t>Immune-Related Adverse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Events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Association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Outcomes</w:t>
      </w:r>
      <w:r>
        <w:rPr>
          <w:sz w:val="16"/>
          <w:szCs w:val="16"/>
          <w:color w:val="231F20"/>
          <w:spacing w:val="1"/>
        </w:rPr>
        <w:t>[J].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Res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2016,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22(4):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886-894.</w:t>
      </w:r>
    </w:p>
    <w:p>
      <w:pPr>
        <w:pStyle w:val="BodyText"/>
        <w:ind w:left="1210" w:right="365" w:hanging="527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[70]      </w:t>
      </w:r>
      <w:r>
        <w:rPr>
          <w:sz w:val="16"/>
          <w:szCs w:val="16"/>
          <w:color w:val="231F20"/>
        </w:rPr>
        <w:t>BELUM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BENHURI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POSTOW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Charac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terisation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management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 dermatol</w:t>
      </w:r>
      <w:r>
        <w:rPr>
          <w:sz w:val="16"/>
          <w:szCs w:val="16"/>
          <w:color w:val="231F20"/>
          <w:spacing w:val="3"/>
        </w:rPr>
        <w:t>ogic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adverse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events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agents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targeting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2"/>
        </w:rPr>
        <w:t>-1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receptor</w:t>
      </w:r>
      <w:r>
        <w:rPr>
          <w:sz w:val="16"/>
          <w:szCs w:val="16"/>
          <w:color w:val="231F20"/>
          <w:spacing w:val="2"/>
        </w:rPr>
        <w:t>[J].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Eur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2016,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60:12-25.</w:t>
      </w:r>
    </w:p>
    <w:p>
      <w:pPr>
        <w:pStyle w:val="BodyText"/>
        <w:ind w:left="1213" w:right="366" w:hanging="530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[70]      </w:t>
      </w:r>
      <w:r>
        <w:rPr>
          <w:sz w:val="16"/>
          <w:szCs w:val="16"/>
          <w:color w:val="231F20"/>
        </w:rPr>
        <w:t>MALVIYA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TATTERSALL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LEVENTHAL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Cutaneous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immune-related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adverse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events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checkpoint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inhibitors[J]. Clin Dermatol, 2020, 38(6):660-678.</w:t>
      </w:r>
    </w:p>
    <w:p>
      <w:pPr>
        <w:pStyle w:val="BodyText"/>
        <w:ind w:left="1209" w:right="364" w:hanging="526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[72]      </w:t>
      </w:r>
      <w:r>
        <w:rPr>
          <w:sz w:val="16"/>
          <w:szCs w:val="16"/>
          <w:color w:val="231F20"/>
        </w:rPr>
        <w:t>SIEGEL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TOTONCHY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DAMSKY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Bullous </w:t>
      </w:r>
      <w:r>
        <w:rPr>
          <w:sz w:val="16"/>
          <w:szCs w:val="16"/>
          <w:color w:val="231F20"/>
        </w:rPr>
        <w:t>disorders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associated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8"/>
        </w:rPr>
        <w:t>-1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8"/>
        </w:rPr>
        <w:t>-L1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8"/>
        </w:rPr>
        <w:t>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A retrospective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analysis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evaluating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clinical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histopa-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thologic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features,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frequency, and impact </w:t>
      </w:r>
      <w:r>
        <w:rPr>
          <w:sz w:val="16"/>
          <w:szCs w:val="16"/>
          <w:color w:val="231F20"/>
          <w:spacing w:val="-1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cancer therapy[J].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Am Acad Dermatol, 2018, 79(6):1081-1088.</w:t>
      </w:r>
    </w:p>
    <w:p>
      <w:pPr>
        <w:pStyle w:val="BodyText"/>
        <w:ind w:left="683"/>
        <w:spacing w:before="113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[73]     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5"/>
        </w:rPr>
        <w:t>, 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43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</w:rPr>
        <w:t xml:space="preserve">  Severe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cutaneous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0" w:right="15" w:firstLine="1"/>
        <w:spacing w:before="28" w:line="32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adverse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reactions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induced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by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ta</w:t>
      </w:r>
      <w:r>
        <w:rPr>
          <w:sz w:val="16"/>
          <w:szCs w:val="16"/>
          <w:color w:val="231F20"/>
          <w:spacing w:val="-1"/>
        </w:rPr>
        <w:t>rgeted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anticancer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therapies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immunotherapies[J]. Cancer Manag Res, 2018,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10:1259-1273.</w:t>
      </w:r>
    </w:p>
    <w:p>
      <w:pPr>
        <w:pStyle w:val="BodyText"/>
        <w:ind w:left="530" w:right="15" w:hanging="530"/>
        <w:spacing w:before="24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[74]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1"/>
        </w:rPr>
        <w:t>DELAUNAY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CADRANEL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LUSQUE A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Immune-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checkpoint inhibitors associated with interstitial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lung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di</w:t>
      </w:r>
      <w:r>
        <w:rPr>
          <w:sz w:val="16"/>
          <w:szCs w:val="16"/>
          <w:color w:val="231F20"/>
          <w:spacing w:val="-1"/>
        </w:rPr>
        <w:t>sease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 patients[J]. Eur Respir J, 2017, 50(2):1700050.</w:t>
      </w:r>
    </w:p>
    <w:p>
      <w:pPr>
        <w:pStyle w:val="BodyText"/>
        <w:ind w:left="527" w:right="16" w:hanging="528"/>
        <w:spacing w:before="116" w:line="299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[75]      FRIEDMAN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F,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PROVERBS-SINGH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POSTOW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A.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>Related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Adverse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3"/>
        </w:rPr>
        <w:t>ﬀ</w:t>
      </w:r>
      <w:r>
        <w:rPr>
          <w:sz w:val="16"/>
          <w:szCs w:val="16"/>
          <w:color w:val="231F20"/>
        </w:rPr>
        <w:t>ects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Immune </w:t>
      </w:r>
      <w:r>
        <w:rPr>
          <w:sz w:val="16"/>
          <w:szCs w:val="16"/>
          <w:color w:val="231F20"/>
          <w:spacing w:val="5"/>
        </w:rPr>
        <w:t>Checkpoint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Inhibitors: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Review[J]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JAMA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Oncol,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2016,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2(10):1346-1353.</w:t>
      </w:r>
    </w:p>
    <w:p>
      <w:pPr>
        <w:pStyle w:val="BodyText"/>
        <w:ind w:left="530" w:right="14" w:hanging="530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[76]       SURESH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K,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"/>
        </w:rPr>
        <w:t>VOONG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SHANKAR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B,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Pneumonitis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2"/>
        </w:rPr>
        <w:t>Non-Small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Cell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Lung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Cancer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Pat</w:t>
      </w:r>
      <w:r>
        <w:rPr>
          <w:sz w:val="16"/>
          <w:szCs w:val="16"/>
          <w:color w:val="231F20"/>
          <w:spacing w:val="1"/>
        </w:rPr>
        <w:t>ients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Receiving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Immune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Immunotherapy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Incidence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Factors</w:t>
      </w:r>
      <w:r>
        <w:rPr>
          <w:sz w:val="16"/>
          <w:szCs w:val="16"/>
          <w:color w:val="231F20"/>
          <w:spacing w:val="5"/>
        </w:rPr>
        <w:t>[J].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Thorac Oncol, 2018,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13(1</w:t>
      </w:r>
      <w:r>
        <w:rPr>
          <w:sz w:val="16"/>
          <w:szCs w:val="16"/>
          <w:color w:val="231F20"/>
          <w:spacing w:val="-1"/>
        </w:rPr>
        <w:t>2):1930-1939.</w:t>
      </w:r>
    </w:p>
    <w:p>
      <w:pPr>
        <w:pStyle w:val="BodyText"/>
        <w:ind w:left="525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[77]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2"/>
        </w:rPr>
        <w:t>VOONG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K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2"/>
        </w:rPr>
        <w:t>R,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HAZEL</w:t>
      </w:r>
      <w:r>
        <w:rPr>
          <w:sz w:val="16"/>
          <w:szCs w:val="16"/>
          <w:color w:val="231F20"/>
          <w:spacing w:val="-1"/>
        </w:rPr>
        <w:t>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HU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MA 09.08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Receipt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</w:t>
      </w:r>
      <w:r>
        <w:rPr>
          <w:sz w:val="16"/>
          <w:szCs w:val="16"/>
          <w:color w:val="231F20"/>
          <w:spacing w:val="16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Chest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Radiation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Related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Pneumonitis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Patients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5"/>
        </w:rPr>
        <w:t>NSCLC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Treated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Anti-PD</w:t>
      </w:r>
      <w:r>
        <w:rPr>
          <w:sz w:val="16"/>
          <w:szCs w:val="16"/>
          <w:color w:val="231F20"/>
          <w:spacing w:val="4"/>
        </w:rPr>
        <w:t>-1/PD-L1[J]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J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Thorac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Oncol, 2017,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12:S1837.</w:t>
      </w:r>
    </w:p>
    <w:p>
      <w:pPr>
        <w:pStyle w:val="BodyText"/>
        <w:ind w:left="525" w:right="15" w:hanging="525"/>
        <w:spacing w:before="112" w:line="2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[78]</w:t>
      </w:r>
      <w:r>
        <w:rPr>
          <w:sz w:val="16"/>
          <w:szCs w:val="16"/>
          <w:color w:val="231F20"/>
          <w:spacing w:val="7"/>
        </w:rPr>
        <w:t xml:space="preserve">      </w:t>
      </w:r>
      <w:r>
        <w:rPr>
          <w:sz w:val="16"/>
          <w:szCs w:val="16"/>
          <w:color w:val="231F20"/>
          <w:spacing w:val="-2"/>
        </w:rPr>
        <w:t>VANSTEENKISTE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J,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2"/>
        </w:rPr>
        <w:t>NAIDOO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J,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FINN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C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F,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PACIFIC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subgroup analysis: pneumonitis in stage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Ⅲ</w:t>
      </w:r>
      <w:r>
        <w:rPr>
          <w:sz w:val="16"/>
          <w:szCs w:val="16"/>
          <w:color w:val="231F20"/>
          <w:spacing w:val="-2"/>
        </w:rPr>
        <w:t>, unresectable NSCLC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treated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durvalumab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vs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placebo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after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CRT</w:t>
      </w:r>
      <w:r>
        <w:rPr>
          <w:sz w:val="16"/>
          <w:szCs w:val="16"/>
          <w:color w:val="231F20"/>
          <w:spacing w:val="10"/>
        </w:rPr>
        <w:t>[J].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Thorac Oncol, 2018,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13(10):S3</w:t>
      </w:r>
      <w:r>
        <w:rPr>
          <w:sz w:val="16"/>
          <w:szCs w:val="16"/>
          <w:color w:val="231F20"/>
          <w:spacing w:val="-1"/>
        </w:rPr>
        <w:t>70-S371.</w:t>
      </w:r>
    </w:p>
    <w:p>
      <w:pPr>
        <w:pStyle w:val="BodyText"/>
        <w:ind w:left="527" w:right="17" w:hanging="528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[79]      </w:t>
      </w:r>
      <w:r>
        <w:rPr>
          <w:sz w:val="16"/>
          <w:szCs w:val="16"/>
          <w:color w:val="231F20"/>
        </w:rPr>
        <w:t>NAIDOO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WANG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WOO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Pneumonitis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in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Treated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Programmed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Death</w:t>
      </w:r>
      <w:r>
        <w:rPr>
          <w:sz w:val="16"/>
          <w:szCs w:val="16"/>
          <w:color w:val="231F20"/>
          <w:spacing w:val="1"/>
        </w:rPr>
        <w:t>-1/</w:t>
      </w:r>
      <w:r>
        <w:rPr>
          <w:sz w:val="16"/>
          <w:szCs w:val="16"/>
          <w:color w:val="231F20"/>
        </w:rPr>
        <w:t>Programmed </w:t>
      </w:r>
      <w:r>
        <w:rPr>
          <w:sz w:val="16"/>
          <w:szCs w:val="16"/>
          <w:color w:val="231F20"/>
        </w:rPr>
        <w:t>Death Ligand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1 Therapy[J]. J Clin Oncol, 2017, </w:t>
      </w:r>
      <w:r>
        <w:rPr>
          <w:sz w:val="16"/>
          <w:szCs w:val="16"/>
          <w:color w:val="231F20"/>
          <w:spacing w:val="-1"/>
        </w:rPr>
        <w:t>35(7):709-717.</w:t>
      </w:r>
    </w:p>
    <w:p>
      <w:pPr>
        <w:pStyle w:val="BodyText"/>
        <w:ind w:left="527" w:right="14" w:hanging="528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[80]</w:t>
      </w:r>
      <w:r>
        <w:rPr>
          <w:sz w:val="16"/>
          <w:szCs w:val="16"/>
          <w:color w:val="231F20"/>
          <w:spacing w:val="1"/>
        </w:rPr>
        <w:t xml:space="preserve">       </w:t>
      </w:r>
      <w:r>
        <w:rPr>
          <w:sz w:val="16"/>
          <w:szCs w:val="16"/>
          <w:color w:val="231F20"/>
        </w:rPr>
        <w:t>SCHNEIDER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NAIDOO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SANTOMASSO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Management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Immune-Related Adverse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2"/>
        </w:rPr>
        <w:t>Events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Treated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Immune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Checkpoint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Inhibitor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</w:t>
      </w:r>
      <w:r>
        <w:rPr>
          <w:sz w:val="16"/>
          <w:szCs w:val="16"/>
          <w:color w:val="231F20"/>
          <w:spacing w:val="1"/>
        </w:rPr>
        <w:t>herapy: ASCO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Guideline Update[J]. J Clin Oncol, 2021, 39(36):4073-4126.</w:t>
      </w:r>
    </w:p>
    <w:p>
      <w:pPr>
        <w:pStyle w:val="BodyText"/>
        <w:ind w:left="530" w:right="16" w:hanging="531"/>
        <w:spacing w:before="88" w:line="26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[81]     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中华医学会呼吸病学分会间质性肺疾病学组，中国医师协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会呼吸医师分会间质性肺疾病工作委员会．中国肺结节病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诊断和治疗专家共识</w:t>
      </w:r>
      <w:r>
        <w:rPr>
          <w:sz w:val="16"/>
          <w:szCs w:val="16"/>
          <w:color w:val="231F20"/>
          <w:spacing w:val="1"/>
        </w:rPr>
        <w:t>[J]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．中华结核和呼吸杂志，</w:t>
      </w:r>
      <w:r>
        <w:rPr>
          <w:sz w:val="16"/>
          <w:szCs w:val="16"/>
          <w:color w:val="231F20"/>
          <w:spacing w:val="1"/>
        </w:rPr>
        <w:t>20</w:t>
      </w:r>
      <w:r>
        <w:rPr>
          <w:sz w:val="16"/>
          <w:szCs w:val="16"/>
          <w:color w:val="231F20"/>
        </w:rPr>
        <w:t>19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42</w:t>
      </w:r>
    </w:p>
    <w:p>
      <w:pPr>
        <w:pStyle w:val="BodyText"/>
        <w:ind w:left="456"/>
        <w:spacing w:before="75" w:line="23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9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>）：</w:t>
      </w:r>
      <w:r>
        <w:rPr>
          <w:sz w:val="16"/>
          <w:szCs w:val="16"/>
          <w:color w:val="231F20"/>
          <w:spacing w:val="-2"/>
        </w:rPr>
        <w:t>685-693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．</w:t>
      </w:r>
    </w:p>
    <w:p>
      <w:pPr>
        <w:pStyle w:val="BodyText"/>
        <w:ind w:left="525" w:right="16" w:hanging="526"/>
        <w:spacing w:before="84" w:line="26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[82]      </w:t>
      </w:r>
      <w:r>
        <w:rPr>
          <w:sz w:val="16"/>
          <w:szCs w:val="16"/>
          <w:color w:val="231F20"/>
        </w:rPr>
        <w:t>KHWAJA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3"/>
        </w:rPr>
        <w:t>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KDIGO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clinical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practice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guidelines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acute </w:t>
      </w:r>
      <w:r>
        <w:rPr>
          <w:sz w:val="16"/>
          <w:szCs w:val="16"/>
          <w:color w:val="231F20"/>
        </w:rPr>
        <w:t>kidney injury[J]. Nephron Clin Pract, 2012,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120(4):</w:t>
      </w:r>
      <w:r>
        <w:rPr>
          <w:sz w:val="16"/>
          <w:szCs w:val="16"/>
          <w:color w:val="231F20"/>
          <w:spacing w:val="-1"/>
        </w:rPr>
        <w:t>c179-c184.</w:t>
      </w:r>
    </w:p>
    <w:p>
      <w:pPr>
        <w:pStyle w:val="BodyText"/>
        <w:ind w:left="530" w:right="5" w:hanging="530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[83]</w:t>
      </w:r>
      <w:r>
        <w:rPr>
          <w:sz w:val="16"/>
          <w:szCs w:val="16"/>
          <w:color w:val="231F20"/>
          <w:spacing w:val="8"/>
        </w:rPr>
        <w:t xml:space="preserve">      </w:t>
      </w:r>
      <w:r>
        <w:rPr>
          <w:sz w:val="16"/>
          <w:szCs w:val="16"/>
          <w:color w:val="231F20"/>
          <w:spacing w:val="-1"/>
        </w:rPr>
        <w:t>FUCHS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DOI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T,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JANG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Safety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Efficacy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of Pembrolizumab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Monotherapy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</w:t>
      </w:r>
      <w:r>
        <w:rPr>
          <w:sz w:val="16"/>
          <w:szCs w:val="16"/>
          <w:color w:val="231F20"/>
          <w:spacing w:val="1"/>
        </w:rPr>
        <w:t>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Previously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Treated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5"/>
        </w:rPr>
        <w:t>Advanced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Gastric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Gastroes</w:t>
      </w:r>
      <w:r>
        <w:rPr>
          <w:sz w:val="16"/>
          <w:szCs w:val="16"/>
          <w:color w:val="231F20"/>
          <w:spacing w:val="4"/>
        </w:rPr>
        <w:t>ophageal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Junction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Cancer: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4"/>
        </w:rPr>
        <w:t>Phase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2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4"/>
        </w:rPr>
        <w:t>Clinical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KEYNOTE-059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Trial[J]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JAMA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Oncol, 2018, 4(5):e180013.</w:t>
      </w:r>
    </w:p>
    <w:p>
      <w:pPr>
        <w:pStyle w:val="BodyText"/>
        <w:ind w:left="529" w:right="14" w:hanging="529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[84]       SHANKAR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B,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NAQASH A R,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Multis</w:t>
      </w:r>
      <w:r>
        <w:rPr>
          <w:sz w:val="16"/>
          <w:szCs w:val="16"/>
          <w:color w:val="231F20"/>
          <w:spacing w:val="-1"/>
        </w:rPr>
        <w:t>ystem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Immune-Related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Adverse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Events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4"/>
        </w:rPr>
        <w:t>Associ</w:t>
      </w:r>
      <w:r>
        <w:rPr>
          <w:sz w:val="16"/>
          <w:szCs w:val="16"/>
          <w:color w:val="231F20"/>
          <w:spacing w:val="3"/>
        </w:rPr>
        <w:t>ated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Immune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Checkpoint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Inhibitors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"/>
        </w:rPr>
        <w:t>Treatment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of Non-Small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Cell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Lung </w:t>
      </w:r>
      <w:r>
        <w:rPr>
          <w:sz w:val="16"/>
          <w:szCs w:val="16"/>
          <w:color w:val="231F20"/>
        </w:rPr>
        <w:t>Cancer[J]. JAMA Oncol, 2020, 6(12):1952-19</w:t>
      </w:r>
      <w:r>
        <w:rPr>
          <w:sz w:val="16"/>
          <w:szCs w:val="16"/>
          <w:color w:val="231F20"/>
          <w:spacing w:val="-1"/>
        </w:rPr>
        <w:t>56.</w:t>
      </w:r>
    </w:p>
    <w:p>
      <w:pPr>
        <w:pStyle w:val="BodyText"/>
        <w:ind w:left="527" w:right="15" w:hanging="527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[85]      </w:t>
      </w:r>
      <w:r>
        <w:rPr>
          <w:sz w:val="16"/>
          <w:szCs w:val="16"/>
          <w:color w:val="231F20"/>
        </w:rPr>
        <w:t>KICHENADASSE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MINERS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MANGONI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Multiorgan Immune-Related Adverse Events During Treatment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Atezolizumab[J]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J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Natl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6"/>
        </w:rPr>
        <w:t>Compr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6"/>
        </w:rPr>
        <w:t>Canc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Netw,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18(9):1191-1199.</w:t>
      </w:r>
    </w:p>
    <w:p>
      <w:pPr>
        <w:pStyle w:val="BodyText"/>
        <w:ind w:left="527" w:right="13" w:hanging="528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[86]      </w:t>
      </w:r>
      <w:r>
        <w:rPr>
          <w:sz w:val="16"/>
          <w:szCs w:val="16"/>
          <w:color w:val="231F20"/>
        </w:rPr>
        <w:t>PATHAK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8"/>
        </w:rPr>
        <w:t>,  </w:t>
      </w:r>
      <w:r>
        <w:rPr>
          <w:sz w:val="16"/>
          <w:szCs w:val="16"/>
          <w:color w:val="231F20"/>
        </w:rPr>
        <w:t>KATEL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MASSARELLI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8"/>
        </w:rPr>
        <w:t>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Immune </w:t>
      </w:r>
      <w:r>
        <w:rPr>
          <w:sz w:val="16"/>
          <w:szCs w:val="16"/>
          <w:color w:val="231F20"/>
          <w:spacing w:val="6"/>
        </w:rPr>
        <w:t>Checkpoint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Inhibitor-Ind</w:t>
      </w:r>
      <w:r>
        <w:rPr>
          <w:sz w:val="16"/>
          <w:szCs w:val="16"/>
          <w:color w:val="231F20"/>
          <w:spacing w:val="5"/>
        </w:rPr>
        <w:t>uced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Myocarditis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Myositis/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Myasthenia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Gravis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Overlap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Syndrome: 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</w:t>
      </w:r>
      <w:r>
        <w:rPr>
          <w:sz w:val="16"/>
          <w:szCs w:val="16"/>
          <w:color w:val="231F20"/>
        </w:rPr>
        <w:t>ystematic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Review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Cases[J]. Oncologist, 2021, 26(12):1052-1061.</w:t>
      </w:r>
    </w:p>
    <w:p>
      <w:pPr>
        <w:pStyle w:val="BodyText"/>
        <w:ind w:left="527" w:right="1" w:hanging="528"/>
        <w:spacing w:before="112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[87]      </w:t>
      </w:r>
      <w:r>
        <w:rPr>
          <w:sz w:val="16"/>
          <w:szCs w:val="16"/>
          <w:color w:val="231F20"/>
        </w:rPr>
        <w:t>ARBOUR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MEZQUITA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LONG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6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Impact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</w:rPr>
        <w:t>Baseline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Steroids on Eﬃcacy 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Programmed Cell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Death-1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and </w:t>
      </w:r>
      <w:r>
        <w:rPr>
          <w:sz w:val="16"/>
          <w:szCs w:val="16"/>
          <w:color w:val="231F20"/>
        </w:rPr>
        <w:t>Programmed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Death-Ligand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1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Blockade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Pati</w:t>
      </w:r>
      <w:r>
        <w:rPr>
          <w:sz w:val="16"/>
          <w:szCs w:val="16"/>
          <w:color w:val="231F20"/>
          <w:spacing w:val="-1"/>
        </w:rPr>
        <w:t>ents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Non-</w:t>
      </w:r>
    </w:p>
    <w:p>
      <w:pPr>
        <w:spacing w:line="288" w:lineRule="auto"/>
        <w:sectPr>
          <w:type w:val="continuous"/>
          <w:pgSz w:w="11906" w:h="16158"/>
          <w:pgMar w:top="1233" w:right="1117" w:bottom="400" w:left="407" w:header="772" w:footer="0" w:gutter="0"/>
          <w:cols w:equalWidth="0" w:num="2">
            <w:col w:w="5657" w:space="100"/>
            <w:col w:w="4623" w:space="0"/>
          </w:cols>
        </w:sectPr>
        <w:rPr>
          <w:sz w:val="16"/>
          <w:szCs w:val="16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12"/>
          <w:pgSz w:w="11906" w:h="16158"/>
          <w:pgMar w:top="1233" w:right="1063" w:bottom="400" w:left="407" w:header="772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1267" w:right="364" w:firstLine="6"/>
        <w:spacing w:before="29" w:line="3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Small-Cell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Lung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Cancer[J].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Oncol,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2018,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3</w:t>
      </w:r>
      <w:r>
        <w:rPr>
          <w:sz w:val="16"/>
          <w:szCs w:val="16"/>
          <w:color w:val="231F20"/>
          <w:spacing w:val="-1"/>
        </w:rPr>
        <w:t>6(28):2872-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2878.</w:t>
      </w:r>
    </w:p>
    <w:p>
      <w:pPr>
        <w:pStyle w:val="BodyText"/>
        <w:ind w:left="738"/>
        <w:spacing w:before="32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[88]       </w:t>
      </w:r>
      <w:r>
        <w:rPr>
          <w:sz w:val="16"/>
          <w:szCs w:val="16"/>
          <w:color w:val="231F20"/>
        </w:rPr>
        <w:t>SCOTT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"/>
        </w:rPr>
        <w:t>, </w:t>
      </w:r>
      <w:r>
        <w:rPr>
          <w:sz w:val="16"/>
          <w:szCs w:val="16"/>
          <w:color w:val="231F20"/>
        </w:rPr>
        <w:t>PENNELL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NA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Early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Use of Systemic Corticost-</w:t>
      </w:r>
    </w:p>
    <w:p>
      <w:pPr>
        <w:pStyle w:val="BodyText"/>
        <w:ind w:left="1265" w:right="366" w:firstLine="4"/>
        <w:spacing w:before="113" w:line="337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eroids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NSCLC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Treated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Nivolu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mab[J]. J Thorac Oncol, 201</w:t>
      </w:r>
      <w:r>
        <w:rPr>
          <w:sz w:val="16"/>
          <w:szCs w:val="16"/>
          <w:color w:val="231F20"/>
          <w:spacing w:val="-1"/>
        </w:rPr>
        <w:t>8,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13(11):1771-1775.</w:t>
      </w:r>
    </w:p>
    <w:p>
      <w:pPr>
        <w:pStyle w:val="BodyText"/>
        <w:ind w:left="1266" w:right="366" w:hanging="528"/>
        <w:spacing w:before="1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[89]      </w:t>
      </w:r>
      <w:r>
        <w:rPr>
          <w:sz w:val="16"/>
          <w:szCs w:val="16"/>
          <w:color w:val="231F20"/>
        </w:rPr>
        <w:t>KARTOLO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DELUCE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HOLSTEAD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9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9"/>
        </w:rPr>
        <w:t>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Impact </w:t>
      </w:r>
      <w:r>
        <w:rPr>
          <w:sz w:val="16"/>
          <w:szCs w:val="16"/>
          <w:color w:val="231F20"/>
          <w:spacing w:val="4"/>
        </w:rPr>
        <w:t>of Baseline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4"/>
        </w:rPr>
        <w:t>Corticosteroids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Immunothera</w:t>
      </w:r>
      <w:r>
        <w:rPr>
          <w:sz w:val="16"/>
          <w:szCs w:val="16"/>
          <w:color w:val="231F20"/>
          <w:spacing w:val="3"/>
        </w:rPr>
        <w:t>py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Efficacy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Melanoma</w:t>
      </w:r>
      <w:r>
        <w:rPr>
          <w:sz w:val="16"/>
          <w:szCs w:val="16"/>
          <w:color w:val="231F20"/>
          <w:spacing w:val="9"/>
        </w:rPr>
        <w:t>[J].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Immunother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9"/>
        </w:rPr>
        <w:t>2021,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44(4):167-174.</w:t>
      </w:r>
    </w:p>
    <w:p>
      <w:pPr>
        <w:pStyle w:val="BodyText"/>
        <w:ind w:left="1266" w:right="366" w:hanging="528"/>
        <w:spacing w:before="83" w:line="3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[90]      </w:t>
      </w:r>
      <w:r>
        <w:rPr>
          <w:sz w:val="16"/>
          <w:szCs w:val="16"/>
          <w:color w:val="231F20"/>
        </w:rPr>
        <w:t>GANDHI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RODR</w:t>
      </w:r>
      <w:r>
        <w:rPr>
          <w:sz w:val="16"/>
          <w:szCs w:val="16"/>
          <w:color w:val="231F20"/>
          <w:spacing w:val="3"/>
        </w:rPr>
        <w:t>Í</w:t>
      </w:r>
      <w:r>
        <w:rPr>
          <w:sz w:val="16"/>
          <w:szCs w:val="16"/>
          <w:color w:val="231F20"/>
        </w:rPr>
        <w:t>GUEZ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>ABREU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GADGEEL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Pembrolizumab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plus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Chemotherapy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Metastatic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Non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Small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Cell Lung Cancer[J]. N Engl J Med, 2018, 378(22):2078-2092.</w:t>
      </w:r>
    </w:p>
    <w:p>
      <w:pPr>
        <w:pStyle w:val="BodyText"/>
        <w:ind w:left="1263" w:right="366" w:hanging="525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[91]      </w:t>
      </w:r>
      <w:r>
        <w:rPr>
          <w:sz w:val="16"/>
          <w:szCs w:val="16"/>
          <w:color w:val="231F20"/>
        </w:rPr>
        <w:t>PAZ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>ARES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LUFT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VICENTE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Pembrolizumab </w:t>
      </w:r>
      <w:r>
        <w:rPr>
          <w:sz w:val="16"/>
          <w:szCs w:val="16"/>
          <w:color w:val="231F20"/>
          <w:spacing w:val="7"/>
        </w:rPr>
        <w:t>plus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7"/>
        </w:rPr>
        <w:t>Chemotherapy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Squamous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Non-Small-Cell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Lung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Cancer[J]. N Engl J Med, 2018, 379(21):2040-2051.</w:t>
      </w:r>
    </w:p>
    <w:p>
      <w:pPr>
        <w:pStyle w:val="BodyText"/>
        <w:ind w:left="1263" w:right="364" w:hanging="525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[92]      </w:t>
      </w:r>
      <w:r>
        <w:rPr>
          <w:sz w:val="16"/>
          <w:szCs w:val="16"/>
          <w:color w:val="231F20"/>
        </w:rPr>
        <w:t>CHALABI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CARDONA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NAGARKAR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1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1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Efficacy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of chemotherapy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atezolizumab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</w:t>
      </w:r>
      <w:r>
        <w:rPr>
          <w:sz w:val="16"/>
          <w:szCs w:val="16"/>
          <w:color w:val="231F20"/>
          <w:spacing w:val="1"/>
        </w:rPr>
        <w:t>ents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non-small-cell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lung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receiving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antibiotics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pr</w:t>
      </w:r>
      <w:r>
        <w:rPr>
          <w:sz w:val="16"/>
          <w:szCs w:val="16"/>
          <w:color w:val="231F20"/>
          <w:spacing w:val="2"/>
        </w:rPr>
        <w:t>oton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pump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inhibitors: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pooled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3"/>
        </w:rPr>
        <w:t>post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hoc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analy</w:t>
      </w:r>
      <w:r>
        <w:rPr>
          <w:sz w:val="16"/>
          <w:szCs w:val="16"/>
          <w:color w:val="231F20"/>
          <w:spacing w:val="2"/>
        </w:rPr>
        <w:t>ses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OAK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POPLAR trials[J].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Ann Oncol, 2020, 31(4):525-531.</w:t>
      </w:r>
    </w:p>
    <w:p>
      <w:pPr>
        <w:pStyle w:val="BodyText"/>
        <w:ind w:left="1265" w:right="365" w:hanging="527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[93]       PINATO D J, HOWLET</w:t>
      </w:r>
      <w:r>
        <w:rPr>
          <w:sz w:val="16"/>
          <w:szCs w:val="16"/>
          <w:color w:val="231F20"/>
          <w:spacing w:val="-2"/>
        </w:rPr>
        <w:t>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S, OTTAVIANI D,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2"/>
        </w:rPr>
        <w:t>al. 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of Prior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Antibiotic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Treatment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Surv</w:t>
      </w:r>
      <w:r>
        <w:rPr>
          <w:sz w:val="16"/>
          <w:szCs w:val="16"/>
          <w:color w:val="231F20"/>
          <w:spacing w:val="3"/>
        </w:rPr>
        <w:t>ival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Response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to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Immune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Inhibitor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3"/>
        </w:rPr>
        <w:t>rapy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Patients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Cancer[J]. JAMA Oncol, 2019, 5(12):1774-1778.</w:t>
      </w:r>
    </w:p>
    <w:p>
      <w:pPr>
        <w:pStyle w:val="BodyText"/>
        <w:ind w:left="1264" w:right="365" w:hanging="526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[94]      </w:t>
      </w:r>
      <w:r>
        <w:rPr>
          <w:sz w:val="16"/>
          <w:szCs w:val="16"/>
          <w:color w:val="231F20"/>
        </w:rPr>
        <w:t>ROUTY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LE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CHATELIER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DEROSA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Gut </w:t>
      </w:r>
      <w:r>
        <w:rPr>
          <w:sz w:val="16"/>
          <w:szCs w:val="16"/>
          <w:color w:val="231F20"/>
        </w:rPr>
        <w:t>microbiome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inﬂuences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eﬃcacy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of PD-1-based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im</w:t>
      </w:r>
      <w:r>
        <w:rPr>
          <w:sz w:val="16"/>
          <w:szCs w:val="16"/>
          <w:color w:val="231F20"/>
          <w:spacing w:val="-1"/>
        </w:rPr>
        <w:t>munotherapy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against epithelial tumors[J].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Science, 2018, 359(6371):91-97.</w:t>
      </w:r>
    </w:p>
    <w:p>
      <w:pPr>
        <w:pStyle w:val="BodyText"/>
        <w:ind w:left="1263" w:right="366" w:hanging="525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[95]       </w:t>
      </w:r>
      <w:r>
        <w:rPr>
          <w:sz w:val="16"/>
          <w:szCs w:val="16"/>
          <w:color w:val="231F20"/>
        </w:rPr>
        <w:t>SHAH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COOK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WU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Opport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unistic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Infections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th</w:t>
      </w:r>
      <w:r>
        <w:rPr>
          <w:sz w:val="16"/>
          <w:szCs w:val="16"/>
          <w:color w:val="231F20"/>
          <w:spacing w:val="2"/>
        </w:rPr>
        <w:t>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Role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Antibiotic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Prophylaxis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Checkpoint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Requ</w:t>
      </w:r>
      <w:r>
        <w:rPr>
          <w:sz w:val="16"/>
          <w:szCs w:val="16"/>
          <w:color w:val="231F20"/>
          <w:spacing w:val="-1"/>
        </w:rPr>
        <w:t>iring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Steroids[J].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J Natl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Compr Canc Netw, 2022, 20(7):800-807.e1.</w:t>
      </w:r>
    </w:p>
    <w:p>
      <w:pPr>
        <w:pStyle w:val="BodyText"/>
        <w:ind w:left="1264" w:right="365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[96]      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ZHOU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Y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Hepatitis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virus </w:t>
      </w:r>
      <w:r>
        <w:rPr>
          <w:sz w:val="16"/>
          <w:szCs w:val="16"/>
          <w:color w:val="231F20"/>
        </w:rPr>
        <w:t>reactivation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positive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Hepatitis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surface </w:t>
      </w:r>
      <w:r>
        <w:rPr>
          <w:sz w:val="16"/>
          <w:szCs w:val="16"/>
          <w:color w:val="231F20"/>
        </w:rPr>
        <w:t>antigen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undergoing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PD</w:t>
      </w:r>
      <w:r>
        <w:rPr>
          <w:sz w:val="16"/>
          <w:szCs w:val="16"/>
          <w:color w:val="231F20"/>
          <w:spacing w:val="2"/>
        </w:rPr>
        <w:t>-1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inhibition</w:t>
      </w:r>
      <w:r>
        <w:rPr>
          <w:sz w:val="16"/>
          <w:szCs w:val="16"/>
          <w:color w:val="231F20"/>
          <w:spacing w:val="2"/>
        </w:rPr>
        <w:t>[J].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Immunother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2019, 7(1):322.</w:t>
      </w:r>
    </w:p>
    <w:p>
      <w:pPr>
        <w:pStyle w:val="BodyText"/>
        <w:ind w:left="1264" w:right="366" w:hanging="526"/>
        <w:spacing w:before="113" w:line="28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[97]</w:t>
      </w:r>
      <w:r>
        <w:rPr>
          <w:sz w:val="16"/>
          <w:szCs w:val="16"/>
          <w:color w:val="231F20"/>
          <w:spacing w:val="7"/>
        </w:rPr>
        <w:t xml:space="preserve">      </w:t>
      </w:r>
      <w:r>
        <w:rPr>
          <w:sz w:val="16"/>
          <w:szCs w:val="16"/>
          <w:color w:val="231F20"/>
          <w:spacing w:val="-1"/>
        </w:rPr>
        <w:t>JOHNSON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SULLIVAN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OTT PA,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Ipilimumab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Therapy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Patients With Advanced Melanoma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and Preexis</w:t>
      </w:r>
      <w:r>
        <w:rPr>
          <w:sz w:val="16"/>
          <w:szCs w:val="16"/>
          <w:color w:val="231F20"/>
          <w:spacing w:val="-1"/>
        </w:rPr>
        <w:t>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Autoimmune Disorders[J]. JAMA Oncol, 2016, 2(2):234-240.</w:t>
      </w:r>
    </w:p>
    <w:p>
      <w:pPr>
        <w:pStyle w:val="BodyText"/>
        <w:ind w:left="738"/>
        <w:spacing w:before="113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[98]      </w:t>
      </w:r>
      <w:r>
        <w:rPr>
          <w:sz w:val="16"/>
          <w:szCs w:val="16"/>
          <w:color w:val="231F20"/>
        </w:rPr>
        <w:t>MENZIES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JOHNSON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RAMANUJAM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4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5" w:right="13" w:firstLine="1"/>
        <w:spacing w:before="28" w:line="32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Anti-PD-1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therapy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2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patients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with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advanced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</w:t>
      </w:r>
      <w:r>
        <w:rPr>
          <w:sz w:val="16"/>
          <w:szCs w:val="16"/>
          <w:color w:val="231F20"/>
          <w:spacing w:val="1"/>
        </w:rPr>
        <w:t>elanoma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preexisting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autoimmune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disorders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majo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5"/>
        </w:rPr>
        <w:t>toxicity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ipilimumab[J].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Ann Oncol, 2017, 28(2):368-376.</w:t>
      </w:r>
    </w:p>
    <w:p>
      <w:pPr>
        <w:pStyle w:val="BodyText"/>
        <w:ind w:left="522" w:hanging="523"/>
        <w:spacing w:before="25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[99]</w:t>
      </w:r>
      <w:r>
        <w:rPr>
          <w:sz w:val="16"/>
          <w:szCs w:val="16"/>
          <w:color w:val="231F20"/>
          <w:spacing w:val="8"/>
        </w:rPr>
        <w:t xml:space="preserve">      </w:t>
      </w:r>
      <w:r>
        <w:rPr>
          <w:sz w:val="16"/>
          <w:szCs w:val="16"/>
          <w:color w:val="231F20"/>
          <w:spacing w:val="-2"/>
        </w:rPr>
        <w:t>LEONARDI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GA</w:t>
      </w:r>
      <w:r>
        <w:rPr>
          <w:sz w:val="16"/>
          <w:szCs w:val="16"/>
          <w:color w:val="231F20"/>
          <w:spacing w:val="-1"/>
        </w:rPr>
        <w:t>INOR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F,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ALTAN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Safety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o</w:t>
      </w:r>
      <w:r>
        <w:rPr>
          <w:sz w:val="16"/>
          <w:szCs w:val="16"/>
          <w:color w:val="231F20"/>
          <w:spacing w:val="16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Programmed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Death</w:t>
      </w:r>
      <w:r>
        <w:rPr>
          <w:sz w:val="16"/>
          <w:szCs w:val="16"/>
          <w:color w:val="231F20"/>
          <w:spacing w:val="1"/>
        </w:rPr>
        <w:t>-1 </w:t>
      </w:r>
      <w:r>
        <w:rPr>
          <w:sz w:val="16"/>
          <w:szCs w:val="16"/>
          <w:color w:val="231F20"/>
        </w:rPr>
        <w:t>Pathway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Inhibitors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Among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 </w:t>
      </w:r>
      <w:r>
        <w:rPr>
          <w:sz w:val="16"/>
          <w:szCs w:val="16"/>
          <w:color w:val="231F20"/>
          <w:spacing w:val="3"/>
        </w:rPr>
        <w:t>Non-Small-Cell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3"/>
        </w:rPr>
        <w:t>Lung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Cancer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Preexisting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Autoimmune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Disorders[J]. J Clin Oncol, 2018, 36(19):1905-1912.</w:t>
      </w:r>
    </w:p>
    <w:p>
      <w:pPr>
        <w:pStyle w:val="BodyText"/>
        <w:ind w:left="525" w:right="13" w:hanging="526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[100]</w:t>
      </w:r>
      <w:r>
        <w:rPr>
          <w:sz w:val="16"/>
          <w:szCs w:val="16"/>
          <w:color w:val="231F20"/>
          <w:spacing w:val="8"/>
        </w:rPr>
        <w:t xml:space="preserve">    </w:t>
      </w:r>
      <w:r>
        <w:rPr>
          <w:sz w:val="16"/>
          <w:szCs w:val="16"/>
          <w:color w:val="231F20"/>
          <w:spacing w:val="-1"/>
        </w:rPr>
        <w:t>FROHNE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LLANO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PERKOVIC A,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Complete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response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of metastat</w:t>
      </w:r>
      <w:r>
        <w:rPr>
          <w:sz w:val="16"/>
          <w:szCs w:val="16"/>
          <w:color w:val="231F20"/>
          <w:spacing w:val="3"/>
        </w:rPr>
        <w:t>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melanoma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patient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with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Crohn's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disease</w:t>
      </w:r>
      <w:r>
        <w:rPr>
          <w:sz w:val="16"/>
          <w:szCs w:val="16"/>
          <w:color w:val="231F20"/>
          <w:spacing w:val="52"/>
        </w:rPr>
        <w:t xml:space="preserve"> </w:t>
      </w:r>
      <w:r>
        <w:rPr>
          <w:sz w:val="16"/>
          <w:szCs w:val="16"/>
          <w:color w:val="231F20"/>
          <w:spacing w:val="5"/>
        </w:rPr>
        <w:t>simultaneously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receiving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anti-α4β7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5"/>
        </w:rPr>
        <w:t>anti-PD1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antibodies[J]. J Immunother Cancer, 2019, 7(1):1.</w:t>
      </w:r>
    </w:p>
    <w:p>
      <w:pPr>
        <w:pStyle w:val="BodyText"/>
        <w:ind w:left="527" w:right="13" w:hanging="528"/>
        <w:spacing w:before="111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[101]    </w:t>
      </w:r>
      <w:r>
        <w:rPr>
          <w:sz w:val="16"/>
          <w:szCs w:val="16"/>
          <w:color w:val="231F20"/>
        </w:rPr>
        <w:t>UEMURA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TRINH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HAYMAKER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Selective </w:t>
      </w:r>
      <w:r>
        <w:rPr>
          <w:sz w:val="16"/>
          <w:szCs w:val="16"/>
          <w:color w:val="231F20"/>
          <w:spacing w:val="3"/>
        </w:rPr>
        <w:t>inhibition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3"/>
        </w:rPr>
        <w:t>of autoimmune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ex</w:t>
      </w:r>
      <w:r>
        <w:rPr>
          <w:sz w:val="16"/>
          <w:szCs w:val="16"/>
          <w:color w:val="231F20"/>
          <w:spacing w:val="2"/>
        </w:rPr>
        <w:t>acerbation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while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preserving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>tumor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clinical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bene</w:t>
      </w:r>
      <w:r>
        <w:rPr>
          <w:sz w:val="16"/>
          <w:szCs w:val="16"/>
          <w:color w:val="231F20"/>
          <w:spacing w:val="1"/>
        </w:rPr>
        <w:t>ﬁ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IL</w:t>
      </w:r>
      <w:r>
        <w:rPr>
          <w:sz w:val="16"/>
          <w:szCs w:val="16"/>
          <w:color w:val="231F20"/>
          <w:spacing w:val="1"/>
        </w:rPr>
        <w:t>-6 </w:t>
      </w:r>
      <w:r>
        <w:rPr>
          <w:sz w:val="16"/>
          <w:szCs w:val="16"/>
          <w:color w:val="231F20"/>
        </w:rPr>
        <w:t>blockade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patient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with </w:t>
      </w:r>
      <w:r>
        <w:rPr>
          <w:sz w:val="16"/>
          <w:szCs w:val="16"/>
          <w:color w:val="231F20"/>
        </w:rPr>
        <w:t>advanced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melanoma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Crohn</w:t>
      </w:r>
      <w:r>
        <w:rPr>
          <w:sz w:val="16"/>
          <w:szCs w:val="16"/>
          <w:color w:val="231F20"/>
          <w:spacing w:val="10"/>
        </w:rPr>
        <w:t>'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disease</w:t>
      </w:r>
      <w:r>
        <w:rPr>
          <w:sz w:val="16"/>
          <w:szCs w:val="16"/>
          <w:color w:val="231F20"/>
          <w:spacing w:val="10"/>
        </w:rPr>
        <w:t>: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case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report</w:t>
      </w:r>
      <w:r>
        <w:rPr>
          <w:sz w:val="16"/>
          <w:szCs w:val="16"/>
          <w:color w:val="231F20"/>
          <w:spacing w:val="10"/>
        </w:rPr>
        <w:t>[J].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0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Hematol Oncol, 2016, 9(1):81.</w:t>
      </w:r>
    </w:p>
    <w:p>
      <w:pPr>
        <w:pStyle w:val="BodyText"/>
        <w:ind w:left="525" w:right="13" w:hanging="526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[102]</w:t>
      </w:r>
      <w:r>
        <w:rPr>
          <w:sz w:val="16"/>
          <w:szCs w:val="16"/>
          <w:color w:val="231F20"/>
          <w:spacing w:val="8"/>
        </w:rPr>
        <w:t xml:space="preserve">    </w:t>
      </w:r>
      <w:r>
        <w:rPr>
          <w:sz w:val="16"/>
          <w:szCs w:val="16"/>
          <w:color w:val="231F20"/>
          <w:spacing w:val="-1"/>
        </w:rPr>
        <w:t>HAANEN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ERNSTOFF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WANG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Y,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-2"/>
        </w:rPr>
        <w:t>l. Autoimmune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diseases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immune-checkpoin</w:t>
      </w:r>
      <w:r>
        <w:rPr>
          <w:sz w:val="16"/>
          <w:szCs w:val="16"/>
          <w:color w:val="231F20"/>
          <w:spacing w:val="-1"/>
        </w:rPr>
        <w:t>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inhibitors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therapy: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of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literature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personalized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risk-based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prev</w:t>
      </w:r>
      <w:r>
        <w:rPr>
          <w:sz w:val="16"/>
          <w:szCs w:val="16"/>
          <w:color w:val="231F20"/>
          <w:spacing w:val="-1"/>
        </w:rPr>
        <w:t>ention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strategy[J]. Ann Oncol, 2020, 31(6):724-744.</w:t>
      </w:r>
    </w:p>
    <w:p>
      <w:pPr>
        <w:pStyle w:val="BodyText"/>
        <w:ind w:left="525" w:right="14" w:hanging="526"/>
        <w:spacing w:before="112" w:line="3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[103]    </w:t>
      </w:r>
      <w:r>
        <w:rPr>
          <w:sz w:val="16"/>
          <w:szCs w:val="16"/>
          <w:color w:val="231F20"/>
        </w:rPr>
        <w:t>ABDEL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</w:rPr>
        <w:t>WAHAB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SAFA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0"/>
        </w:rPr>
        <w:t>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ABUDAYYEH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0"/>
        </w:rPr>
        <w:t>, 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Checkpoint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inhibitor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therapy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solid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organ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transpl-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antation recipients: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an institutional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-1"/>
        </w:rPr>
        <w:t>xperience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systematic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literature[J]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J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Immunother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Cancer,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2019,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7(1):106.</w:t>
      </w:r>
    </w:p>
    <w:p>
      <w:pPr>
        <w:pStyle w:val="BodyText"/>
        <w:ind w:left="530" w:right="13" w:hanging="530"/>
        <w:spacing w:before="113" w:line="30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[104]    FISHER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J,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ZEITOUNI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N,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FAN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W,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al.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Immune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checkpoint </w:t>
      </w:r>
      <w:r>
        <w:rPr>
          <w:sz w:val="16"/>
          <w:szCs w:val="16"/>
          <w:color w:val="231F20"/>
        </w:rPr>
        <w:t>inhibitor therapy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solid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organ transplant recipient</w:t>
      </w:r>
      <w:r>
        <w:rPr>
          <w:sz w:val="16"/>
          <w:szCs w:val="16"/>
          <w:color w:val="231F20"/>
          <w:spacing w:val="-1"/>
        </w:rPr>
        <w:t>s: A patient-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centered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13"/>
        </w:rPr>
        <w:t>[J].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Acad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Dermatol</w:t>
      </w:r>
      <w:r>
        <w:rPr>
          <w:sz w:val="16"/>
          <w:szCs w:val="16"/>
          <w:color w:val="231F20"/>
          <w:spacing w:val="13"/>
        </w:rPr>
        <w:t>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13"/>
        </w:rPr>
        <w:t>2020,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82(6):1490-1500.</w:t>
      </w:r>
    </w:p>
    <w:p>
      <w:pPr>
        <w:pStyle w:val="BodyText"/>
        <w:ind w:left="527" w:right="14" w:hanging="527"/>
        <w:spacing w:before="117" w:line="2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[105]    D'</w:t>
      </w:r>
      <w:r>
        <w:rPr>
          <w:sz w:val="16"/>
          <w:szCs w:val="16"/>
          <w:color w:val="231F20"/>
        </w:rPr>
        <w:t>IZARNY</w:t>
      </w:r>
      <w:r>
        <w:rPr>
          <w:sz w:val="16"/>
          <w:szCs w:val="16"/>
          <w:color w:val="231F20"/>
          <w:spacing w:val="12"/>
        </w:rPr>
        <w:t>-</w:t>
      </w:r>
      <w:r>
        <w:rPr>
          <w:sz w:val="16"/>
          <w:szCs w:val="16"/>
          <w:color w:val="231F20"/>
        </w:rPr>
        <w:t>GARGAS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2"/>
        </w:rPr>
        <w:t>,  </w:t>
      </w:r>
      <w:r>
        <w:rPr>
          <w:sz w:val="16"/>
          <w:szCs w:val="16"/>
          <w:color w:val="231F20"/>
        </w:rPr>
        <w:t>DURRBACH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2"/>
        </w:rPr>
        <w:t>,  </w:t>
      </w:r>
      <w:r>
        <w:rPr>
          <w:sz w:val="16"/>
          <w:szCs w:val="16"/>
          <w:color w:val="231F20"/>
        </w:rPr>
        <w:t>ZAIDAN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Efficacy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tolerance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of immun</w:t>
      </w:r>
      <w:r>
        <w:rPr>
          <w:sz w:val="16"/>
          <w:szCs w:val="16"/>
          <w:color w:val="231F20"/>
          <w:spacing w:val="3"/>
        </w:rPr>
        <w:t>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checkpoint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inhibitors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transplant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6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6"/>
        </w:rPr>
        <w:t>[J]. </w:t>
      </w:r>
      <w:r>
        <w:rPr>
          <w:sz w:val="16"/>
          <w:szCs w:val="16"/>
          <w:color w:val="231F20"/>
        </w:rPr>
        <w:t>Am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J </w:t>
      </w:r>
      <w:r>
        <w:rPr>
          <w:sz w:val="16"/>
          <w:szCs w:val="16"/>
          <w:color w:val="231F20"/>
        </w:rPr>
        <w:t>Transplant, 2020, 20(9):2457-2465.</w:t>
      </w:r>
    </w:p>
    <w:p>
      <w:pPr>
        <w:pStyle w:val="BodyText"/>
        <w:ind w:left="530" w:right="13" w:hanging="530"/>
        <w:spacing w:before="114" w:line="3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[106]</w:t>
      </w:r>
      <w:r>
        <w:rPr>
          <w:sz w:val="16"/>
          <w:szCs w:val="16"/>
          <w:color w:val="231F20"/>
          <w:spacing w:val="8"/>
        </w:rPr>
        <w:t xml:space="preserve">    </w:t>
      </w:r>
      <w:r>
        <w:rPr>
          <w:sz w:val="16"/>
          <w:szCs w:val="16"/>
          <w:color w:val="231F20"/>
          <w:spacing w:val="-1"/>
        </w:rPr>
        <w:t>KITCHLU A,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JHAVE</w:t>
      </w:r>
      <w:r>
        <w:rPr>
          <w:sz w:val="16"/>
          <w:szCs w:val="16"/>
          <w:color w:val="231F20"/>
          <w:spacing w:val="-2"/>
        </w:rPr>
        <w:t>RI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K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SPRANGERS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B,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Immune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checkpoint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inhibitor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use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patients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4"/>
        </w:rPr>
        <w:t>with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end-st</w:t>
      </w:r>
      <w:r>
        <w:rPr>
          <w:sz w:val="16"/>
          <w:szCs w:val="16"/>
          <w:color w:val="231F20"/>
          <w:spacing w:val="3"/>
        </w:rPr>
        <w:t>age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kidney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disease: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analysis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of reported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cases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literature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revie</w:t>
      </w:r>
      <w:r>
        <w:rPr>
          <w:sz w:val="16"/>
          <w:szCs w:val="16"/>
          <w:color w:val="231F20"/>
          <w:spacing w:val="-1"/>
        </w:rPr>
        <w:t>w[J].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Clin Kidney J, 2021,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14</w:t>
      </w:r>
      <w:r>
        <w:rPr>
          <w:sz w:val="16"/>
          <w:szCs w:val="16"/>
          <w:color w:val="231F20"/>
          <w:spacing w:val="-1"/>
        </w:rPr>
        <w:t>(9):2012-2022.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14"/>
        <w:spacing w:before="52" w:line="220" w:lineRule="auto"/>
        <w:jc w:val="righ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收稿日期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：</w:t>
      </w:r>
      <w:r>
        <w:rPr>
          <w:sz w:val="16"/>
          <w:szCs w:val="16"/>
          <w:color w:val="231F20"/>
          <w:spacing w:val="-4"/>
        </w:rPr>
        <w:t>2023-01-17</w:t>
      </w:r>
    </w:p>
    <w:p>
      <w:pPr>
        <w:spacing w:line="220" w:lineRule="auto"/>
        <w:sectPr>
          <w:type w:val="continuous"/>
          <w:pgSz w:w="11906" w:h="16158"/>
          <w:pgMar w:top="1233" w:right="1063" w:bottom="400" w:left="407" w:header="772" w:footer="0" w:gutter="0"/>
          <w:cols w:equalWidth="0" w:num="2">
            <w:col w:w="5713" w:space="100"/>
            <w:col w:w="4622" w:space="0"/>
          </w:cols>
        </w:sectPr>
        <w:rPr>
          <w:sz w:val="16"/>
          <w:szCs w:val="16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38" w:right="14" w:firstLine="8"/>
        <w:spacing w:before="53" w:line="2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引用本文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：消化道肿瘤免疫治疗不良反应专家共识工作组．中国消化道肿瘤免疫治疗不良反应专家共识（</w:t>
      </w:r>
      <w:r>
        <w:rPr>
          <w:sz w:val="16"/>
          <w:szCs w:val="16"/>
          <w:color w:val="231F20"/>
          <w:spacing w:val="1"/>
        </w:rPr>
        <w:t>2023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年版）</w:t>
      </w:r>
      <w:r>
        <w:rPr>
          <w:sz w:val="16"/>
          <w:szCs w:val="16"/>
          <w:color w:val="231F20"/>
          <w:spacing w:val="1"/>
        </w:rPr>
        <w:t>[</w:t>
      </w:r>
      <w:r>
        <w:rPr>
          <w:sz w:val="16"/>
          <w:szCs w:val="16"/>
          <w:color w:val="231F20"/>
        </w:rPr>
        <w:t>J/CD]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．肿瘤综合治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疗电子杂志，</w:t>
      </w:r>
      <w:r>
        <w:rPr>
          <w:sz w:val="16"/>
          <w:szCs w:val="16"/>
          <w:color w:val="231F20"/>
          <w:spacing w:val="-2"/>
        </w:rPr>
        <w:t>2023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9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2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>）：</w:t>
      </w:r>
      <w:r>
        <w:rPr>
          <w:sz w:val="16"/>
          <w:szCs w:val="16"/>
          <w:color w:val="231F20"/>
          <w:spacing w:val="-2"/>
        </w:rPr>
        <w:t>26-60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．</w:t>
      </w:r>
    </w:p>
    <w:sectPr>
      <w:type w:val="continuous"/>
      <w:pgSz w:w="11906" w:h="16158"/>
      <w:pgMar w:top="1233" w:right="1063" w:bottom="400" w:left="407" w:header="772" w:footer="0" w:gutter="0"/>
      <w:cols w:equalWidth="0" w:num="1">
        <w:col w:w="104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1"/>
      <w:spacing w:line="223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color w:val="231F20"/>
        <w:spacing w:val="-4"/>
      </w:rPr>
      <w:t>注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color w:val="231F20"/>
        <w:spacing w:val="-4"/>
      </w:rPr>
      <w:t>：</w:t>
    </w:r>
    <w:r>
      <w:rPr>
        <w:sz w:val="16"/>
        <w:szCs w:val="16"/>
        <w:color w:val="231F20"/>
        <w:spacing w:val="-4"/>
      </w:rPr>
      <w:t>ICI</w:t>
    </w:r>
    <w:r>
      <w:rPr>
        <w:rFonts w:ascii="SimSun" w:hAnsi="SimSun" w:eastAsia="SimSun" w:cs="SimSun"/>
        <w:sz w:val="16"/>
        <w:szCs w:val="16"/>
        <w:color w:val="231F20"/>
        <w:spacing w:val="-4"/>
      </w:rPr>
      <w:t>为免疫检查点抑制剂。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2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0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28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3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29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4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30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31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2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8" style="position:absolute;margin-left:20.4pt;margin-top:780.47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32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38" style="position:absolute;margin-left:20.4pt;margin-top:780.47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33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7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40" style="position:absolute;margin-left:20.4pt;margin-top:780.47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34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72" style="position:absolute;margin-left:20.4pt;margin-top:780.47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35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rPr>
        <w:sz w:val="30"/>
        <w:szCs w:val="30"/>
        <w:color w:val="231F20"/>
        <w:spacing w:val="1"/>
        <w:position w:val="-3"/>
      </w:rPr>
      <w:t>36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98" style="position:absolute;margin-left:20.4pt;margin-top:780.474pt;mso-position-vertical-relative:page;mso-position-horizontal-relative:page;width:475.5pt;height:9.7pt;z-index:25166848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37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50" style="position:absolute;margin-left:20.4pt;margin-top:780.474pt;mso-position-vertical-relative:page;mso-position-horizontal-relative:page;width:475.5pt;height:9.7pt;z-index:251669504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38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164" style="position:absolute;margin-left:20.4pt;margin-top:780.474pt;mso-position-vertical-relative:page;mso-position-horizontal-relative:page;width:475.5pt;height:9.7pt;z-index:25167052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39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84" style="position:absolute;margin-left:20.4pt;margin-top:780.474pt;mso-position-vertical-relative:page;mso-position-horizontal-relative:page;width:475.5pt;height:9.7pt;z-index:251671552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40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210" style="position:absolute;margin-left:20.4pt;margin-top:780.474pt;mso-position-vertical-relative:page;mso-position-horizontal-relative:page;width:475.5pt;height:9.7pt;z-index:25167257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4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41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32" style="position:absolute;margin-left:20.4pt;margin-top:780.474pt;mso-position-vertical-relative:page;mso-position-horizontal-relative:page;width:475.5pt;height:9.7pt;z-index:251673600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42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242" style="position:absolute;margin-left:20.4pt;margin-top:780.474pt;mso-position-vertical-relative:page;mso-position-horizontal-relative:page;width:475.5pt;height:9.7pt;z-index:25167462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4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43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1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52" style="position:absolute;margin-left:20.4pt;margin-top:780.474pt;mso-position-vertical-relative:page;mso-position-horizontal-relative:page;width:475.5pt;height:9.7pt;z-index:251675648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44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314" style="position:absolute;margin-left:20.4pt;margin-top:780.474pt;mso-position-vertical-relative:page;mso-position-horizontal-relative:page;width:475.5pt;height:9.7pt;z-index:2516766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4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45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350" style="position:absolute;margin-left:20.4pt;margin-top:780.474pt;mso-position-vertical-relative:page;mso-position-horizontal-relative:page;width:475.5pt;height:9.7pt;z-index:251677696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46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378" style="position:absolute;margin-left:20.4pt;margin-top:780.474pt;mso-position-vertical-relative:page;mso-position-horizontal-relative:page;width:475.5pt;height:9.7pt;z-index:2516787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4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47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418" style="position:absolute;margin-left:20.4pt;margin-top:780.474pt;mso-position-vertical-relative:page;mso-position-horizontal-relative:page;width:475.5pt;height:9.7pt;z-index:251679744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48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6"/>
      <w:spacing w:before="73" w:line="189" w:lineRule="auto"/>
      <w:jc w:val="right"/>
      <w:rPr>
        <w:sz w:val="30"/>
        <w:szCs w:val="30"/>
      </w:rPr>
    </w:pPr>
    <w:r>
      <w:pict>
        <v:shape id="WordPictureWatermark456" style="position:absolute;margin-left:20.4pt;margin-top:780.474pt;mso-position-vertical-relative:page;mso-position-horizontal-relative:page;width:475.5pt;height:9.7pt;z-index:2516807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4"/>
        <w:position w:val="-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49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04" style="position:absolute;margin-left:20.4pt;margin-top:780.474pt;mso-position-vertical-relative:page;mso-position-horizontal-relative:page;width:475.5pt;height:9.7pt;z-index:251681792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50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530" style="position:absolute;margin-left:20.4pt;margin-top:780.474pt;mso-position-vertical-relative:page;mso-position-horizontal-relative:page;width:475.5pt;height:9.7pt;z-index:-25163366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51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56" style="position:absolute;margin-left:20.4pt;margin-top:780.474pt;mso-position-vertical-relative:page;mso-position-horizontal-relative:page;width:475.5pt;height:9.7pt;z-index:251684864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52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558" style="position:absolute;margin-left:20.4pt;margin-top:780.474pt;mso-position-vertical-relative:page;mso-position-horizontal-relative:page;width:475.5pt;height:9.7pt;z-index:25168588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53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0"/>
      <w:spacing w:before="73" w:line="18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60" style="position:absolute;margin-left:20.4pt;margin-top:780.474pt;mso-position-vertical-relative:page;mso-position-horizontal-relative:page;width:475.5pt;height:9.7pt;z-index:251686912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54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0"/>
      <w:spacing w:before="73" w:line="189" w:lineRule="auto"/>
      <w:rPr>
        <w:sz w:val="30"/>
        <w:szCs w:val="30"/>
      </w:rPr>
    </w:pPr>
    <w:r>
      <w:pict>
        <v:shape id="WordPictureWatermark562" style="position:absolute;margin-left:20.4pt;margin-top:780.474pt;mso-position-vertical-relative:page;mso-position-horizontal-relative:page;width:475.5pt;height:9.7pt;z-index:25168793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55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64" style="position:absolute;margin-left:20.4pt;margin-top:780.474pt;mso-position-vertical-relative:page;mso-position-horizontal-relative:page;width:475.5pt;height:9.7pt;z-index:251688960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56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3" w:line="189" w:lineRule="auto"/>
      <w:jc w:val="right"/>
      <w:rPr>
        <w:sz w:val="30"/>
        <w:szCs w:val="30"/>
      </w:rPr>
    </w:pPr>
    <w:r>
      <w:pict>
        <v:shape id="WordPictureWatermark566" style="position:absolute;margin-left:20.4pt;margin-top:780.474pt;mso-position-vertical-relative:page;mso-position-horizontal-relative:page;width:475.5pt;height:9.7pt;z-index:25168998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57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68" style="position:absolute;margin-left:20.4pt;margin-top:780.474pt;mso-position-vertical-relative:page;mso-position-horizontal-relative:page;width:475.5pt;height:9.7pt;z-index:251691008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58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73" w:line="189" w:lineRule="auto"/>
      <w:jc w:val="right"/>
      <w:rPr>
        <w:sz w:val="30"/>
        <w:szCs w:val="30"/>
      </w:rPr>
    </w:pPr>
    <w:r>
      <w:pict>
        <v:shape id="WordPictureWatermark570" style="position:absolute;margin-left:20.4pt;margin-top:780.474pt;mso-position-vertical-relative:page;mso-position-horizontal-relative:page;width:475.5pt;height:9.7pt;z-index:25169203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w w:val="101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spacing w:val="1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1"/>
        <w:position w:val="3"/>
      </w:rPr>
      <w:t>期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"/>
        <w:position w:val="3"/>
      </w:rPr>
      <w:t xml:space="preserve">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position w:val="3"/>
      </w:rPr>
      <w:t xml:space="preserve">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>●        </w:t>
    </w:r>
    <w:r>
      <w:rPr>
        <w:sz w:val="30"/>
        <w:szCs w:val="30"/>
        <w:color w:val="231F20"/>
        <w:position w:val="-3"/>
      </w:rPr>
      <w:t>59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73" w:line="189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572" style="position:absolute;margin-left:20.4pt;margin-top:780.474pt;mso-position-vertical-relative:page;mso-position-horizontal-relative:page;width:475.5pt;height:9.7pt;z-index:251693056;" o:allowincell="f" filled="false" stroked="false" type="#_x0000_t75">
          <v:imagedata o:title="" r:id="rId1"/>
        </v:shape>
      </w:pict>
    </w:r>
    <w:r>
      <w:rPr>
        <w:sz w:val="30"/>
        <w:szCs w:val="30"/>
        <w:color w:val="231F20"/>
        <w:spacing w:val="1"/>
        <w:position w:val="-3"/>
      </w:rPr>
      <w:t>60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1"/>
        <w:position w:val="-2"/>
      </w:rPr>
      <w:t>中国循证指南共识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1"/>
        <w:position w:val="2"/>
      </w:rPr>
      <w:t>●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position w:val="2"/>
      </w:rPr>
      <w:t xml:space="preserve">                                  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spacing w:val="-49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肿瘤综合治疗电子杂志 </w:t>
    </w:r>
    <w:r>
      <w:rPr>
        <w:sz w:val="20"/>
        <w:szCs w:val="20"/>
        <w:b/>
        <w:bCs/>
        <w:u w:val="single" w:color="auto"/>
        <w:color w:val="231F20"/>
        <w:position w:val="3"/>
      </w:rPr>
      <w:t>2023</w:t>
    </w:r>
    <w:r>
      <w:rPr>
        <w:sz w:val="20"/>
        <w:szCs w:val="20"/>
        <w:b/>
        <w:bCs/>
        <w:u w:val="single" w:color="auto"/>
        <w:color w:val="231F20"/>
        <w:spacing w:val="15"/>
        <w:position w:val="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年第 </w:t>
    </w:r>
    <w:r>
      <w:rPr>
        <w:sz w:val="20"/>
        <w:szCs w:val="20"/>
        <w:b/>
        <w:bCs/>
        <w:u w:val="single" w:color="auto"/>
        <w:color w:val="231F20"/>
        <w:position w:val="3"/>
      </w:rPr>
      <w:t>9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卷第 </w:t>
    </w:r>
    <w:r>
      <w:rPr>
        <w:sz w:val="20"/>
        <w:szCs w:val="20"/>
        <w:b/>
        <w:bCs/>
        <w:u w:val="single" w:color="auto"/>
        <w:color w:val="231F20"/>
        <w:position w:val="3"/>
      </w:rPr>
      <w:t>2 </w:t>
    </w:r>
    <w:r>
      <w:rPr>
        <w:rFonts w:ascii="Microsoft YaHei" w:hAnsi="Microsoft YaHei" w:eastAsia="Microsoft YaHei" w:cs="Microsoft YaHei"/>
        <w:sz w:val="20"/>
        <w:szCs w:val="20"/>
        <w:u w:val="single" w:color="auto"/>
        <w:color w:val="231F20"/>
        <w:position w:val="3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footer" Target="footer3.xml"/><Relationship Id="rId96" Type="http://schemas.openxmlformats.org/officeDocument/2006/relationships/header" Target="header26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header" Target="header25.xml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9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header" Target="header24.xml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header" Target="header23.xml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8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header" Target="header22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header" Target="header21.xml"/><Relationship Id="rId70" Type="http://schemas.openxmlformats.org/officeDocument/2006/relationships/image" Target="media/image67.png"/><Relationship Id="rId7" Type="http://schemas.openxmlformats.org/officeDocument/2006/relationships/image" Target="media/image7.png"/><Relationship Id="rId69" Type="http://schemas.openxmlformats.org/officeDocument/2006/relationships/image" Target="media/image66.png"/><Relationship Id="rId68" Type="http://schemas.openxmlformats.org/officeDocument/2006/relationships/header" Target="header20.xml"/><Relationship Id="rId67" Type="http://schemas.openxmlformats.org/officeDocument/2006/relationships/image" Target="media/image64.png"/><Relationship Id="rId66" Type="http://schemas.openxmlformats.org/officeDocument/2006/relationships/header" Target="header19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header" Target="header18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header" Target="header17.xml"/><Relationship Id="rId6" Type="http://schemas.openxmlformats.org/officeDocument/2006/relationships/image" Target="media/image6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header" Target="header16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5.png"/><Relationship Id="rId49" Type="http://schemas.openxmlformats.org/officeDocument/2006/relationships/image" Target="media/image46.png"/><Relationship Id="rId48" Type="http://schemas.openxmlformats.org/officeDocument/2006/relationships/header" Target="header15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header" Target="header14.xml"/><Relationship Id="rId41" Type="http://schemas.openxmlformats.org/officeDocument/2006/relationships/image" Target="media/image38.png"/><Relationship Id="rId40" Type="http://schemas.openxmlformats.org/officeDocument/2006/relationships/header" Target="header13.xml"/><Relationship Id="rId4" Type="http://schemas.openxmlformats.org/officeDocument/2006/relationships/image" Target="media/image4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footer" Target="footer2.xml"/><Relationship Id="rId36" Type="http://schemas.openxmlformats.org/officeDocument/2006/relationships/header" Target="header12.xml"/><Relationship Id="rId35" Type="http://schemas.openxmlformats.org/officeDocument/2006/relationships/image" Target="media/image33.png"/><Relationship Id="rId34" Type="http://schemas.openxmlformats.org/officeDocument/2006/relationships/footer" Target="footer1.xml"/><Relationship Id="rId33" Type="http://schemas.openxmlformats.org/officeDocument/2006/relationships/header" Target="header11.xml"/><Relationship Id="rId32" Type="http://schemas.openxmlformats.org/officeDocument/2006/relationships/header" Target="header10.xml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header" Target="header9.xml"/><Relationship Id="rId27" Type="http://schemas.openxmlformats.org/officeDocument/2006/relationships/header" Target="header8.xml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header" Target="header7.xml"/><Relationship Id="rId22" Type="http://schemas.openxmlformats.org/officeDocument/2006/relationships/header" Target="header6.xml"/><Relationship Id="rId21" Type="http://schemas.openxmlformats.org/officeDocument/2006/relationships/header" Target="header5.xml"/><Relationship Id="rId20" Type="http://schemas.openxmlformats.org/officeDocument/2006/relationships/header" Target="header4.xml"/><Relationship Id="rId2" Type="http://schemas.openxmlformats.org/officeDocument/2006/relationships/image" Target="media/image2.png"/><Relationship Id="rId19" Type="http://schemas.openxmlformats.org/officeDocument/2006/relationships/header" Target="header3.xml"/><Relationship Id="rId18" Type="http://schemas.openxmlformats.org/officeDocument/2006/relationships/header" Target="header2.xml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5" Type="http://schemas.openxmlformats.org/officeDocument/2006/relationships/fontTable" Target="fontTable.xml"/><Relationship Id="rId114" Type="http://schemas.openxmlformats.org/officeDocument/2006/relationships/styles" Target="styles.xml"/><Relationship Id="rId113" Type="http://schemas.openxmlformats.org/officeDocument/2006/relationships/settings" Target="settings.xml"/><Relationship Id="rId112" Type="http://schemas.openxmlformats.org/officeDocument/2006/relationships/header" Target="header35.xml"/><Relationship Id="rId111" Type="http://schemas.openxmlformats.org/officeDocument/2006/relationships/header" Target="header34.xml"/><Relationship Id="rId110" Type="http://schemas.openxmlformats.org/officeDocument/2006/relationships/header" Target="header33.xml"/><Relationship Id="rId11" Type="http://schemas.openxmlformats.org/officeDocument/2006/relationships/image" Target="media/image11.png"/><Relationship Id="rId109" Type="http://schemas.openxmlformats.org/officeDocument/2006/relationships/hyperlink" Target="https://www.merck" TargetMode="External"/><Relationship Id="rId108" Type="http://schemas.openxmlformats.org/officeDocument/2006/relationships/header" Target="header32.xml"/><Relationship Id="rId107" Type="http://schemas.openxmlformats.org/officeDocument/2006/relationships/header" Target="header31.xml"/><Relationship Id="rId106" Type="http://schemas.openxmlformats.org/officeDocument/2006/relationships/header" Target="header30.xml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header" Target="header29.xml"/><Relationship Id="rId102" Type="http://schemas.openxmlformats.org/officeDocument/2006/relationships/header" Target="header28.xml"/><Relationship Id="rId101" Type="http://schemas.openxmlformats.org/officeDocument/2006/relationships/header" Target="header27.xml"/><Relationship Id="rId100" Type="http://schemas.openxmlformats.org/officeDocument/2006/relationships/image" Target="media/image96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05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2023-05-21T19:04:48Z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2025-10-28T21:35:59</vt:filetime>
  </property>
</Properties>
</file>