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36"/>
        <w:rPr/>
      </w:pPr>
      <w:r/>
    </w:p>
    <w:p>
      <w:pPr>
        <w:sectPr>
          <w:headerReference w:type="default" r:id="rId1"/>
          <w:pgSz w:w="11906" w:h="16158"/>
          <w:pgMar w:top="400" w:right="848" w:bottom="0" w:left="407" w:header="0" w:footer="0" w:gutter="0"/>
          <w:cols w:equalWidth="0" w:num="1">
            <w:col w:w="10649" w:space="0"/>
          </w:cols>
        </w:sectPr>
        <w:rPr/>
      </w:pPr>
    </w:p>
    <w:p>
      <w:pPr>
        <w:pStyle w:val="BodyText"/>
        <w:ind w:left="444"/>
        <w:spacing w:before="115" w:line="172" w:lineRule="auto"/>
        <w:rPr>
          <w:sz w:val="24"/>
          <w:szCs w:val="24"/>
        </w:rPr>
      </w:pPr>
      <w:r>
        <w:rPr>
          <w:color w:val="231F20"/>
          <w:spacing w:val="-6"/>
          <w:position w:val="1"/>
        </w:rPr>
        <w:t>42</w:t>
      </w:r>
      <w:r>
        <w:rPr>
          <w:color w:val="231F20"/>
          <w:spacing w:val="2"/>
          <w:position w:val="1"/>
        </w:rPr>
        <w:t xml:space="preserve">       </w:t>
      </w:r>
      <w:r>
        <w:rPr>
          <w:sz w:val="24"/>
          <w:szCs w:val="24"/>
          <w:color w:val="231F20"/>
          <w:spacing w:val="-6"/>
          <w:position w:val="-1"/>
        </w:rPr>
        <w:t>•</w:t>
      </w:r>
      <w:r>
        <w:rPr>
          <w:sz w:val="24"/>
          <w:szCs w:val="24"/>
          <w:color w:val="231F20"/>
          <w:spacing w:val="13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6"/>
        </w:rPr>
        <w:t>临床研究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62"/>
        </w:rPr>
        <w:t xml:space="preserve"> </w:t>
      </w:r>
      <w:r>
        <w:rPr>
          <w:sz w:val="24"/>
          <w:szCs w:val="24"/>
          <w:color w:val="231F20"/>
          <w:spacing w:val="-6"/>
          <w:position w:val="-1"/>
        </w:rPr>
        <w:t>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4" w:line="292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u w:val="single" w:color="auto"/>
          <w:color w:val="231F20"/>
          <w:spacing w:val="-6"/>
        </w:rPr>
        <w:t>October     2019, Vol.17,</w:t>
      </w:r>
      <w:r>
        <w:rPr>
          <w:rFonts w:ascii="Arial" w:hAnsi="Arial" w:eastAsia="Arial" w:cs="Arial"/>
          <w:sz w:val="21"/>
          <w:szCs w:val="21"/>
          <w:u w:val="single" w:color="auto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  <w:color w:val="231F20"/>
          <w:spacing w:val="-6"/>
        </w:rPr>
        <w:t>No.29    </w:t>
      </w:r>
      <w:r>
        <w:rPr>
          <w:shd w:val="clear" w:fill="231F20"/>
          <w:rFonts w:ascii="Arial" w:hAnsi="Arial" w:eastAsia="Arial" w:cs="Arial"/>
          <w:sz w:val="21"/>
          <w:szCs w:val="21"/>
          <w:color w:val="FFFFFF"/>
          <w:spacing w:val="-6"/>
        </w:rPr>
        <w:t>Guide</w:t>
      </w:r>
      <w:r>
        <w:rPr>
          <w:shd w:val="clear" w:fill="231F20"/>
          <w:rFonts w:ascii="Arial" w:hAnsi="Arial" w:eastAsia="Arial" w:cs="Arial"/>
          <w:sz w:val="21"/>
          <w:szCs w:val="21"/>
          <w:u w:val="single" w:color="231F20"/>
          <w:color w:val="FFFFFF"/>
          <w:spacing w:val="-6"/>
        </w:rPr>
        <w:t xml:space="preserve"> of </w:t>
      </w:r>
      <w:r>
        <w:rPr>
          <w:shd w:val="clear" w:fill="231F20"/>
          <w:rFonts w:ascii="Arial" w:hAnsi="Arial" w:eastAsia="Arial" w:cs="Arial"/>
          <w:sz w:val="21"/>
          <w:szCs w:val="21"/>
          <w:color w:val="FFFFFF"/>
          <w:spacing w:val="-6"/>
        </w:rPr>
        <w:t>China</w:t>
      </w:r>
      <w:r>
        <w:rPr>
          <w:shd w:val="clear" w:fill="231F20"/>
          <w:rFonts w:ascii="Arial" w:hAnsi="Arial" w:eastAsia="Arial" w:cs="Arial"/>
          <w:sz w:val="21"/>
          <w:szCs w:val="21"/>
          <w:u w:val="single" w:color="231F20"/>
          <w:color w:val="FFFFFF"/>
          <w:spacing w:val="11"/>
        </w:rPr>
        <w:t xml:space="preserve"> </w:t>
      </w:r>
      <w:r>
        <w:rPr>
          <w:shd w:val="clear" w:fill="231F20"/>
          <w:rFonts w:ascii="Arial" w:hAnsi="Arial" w:eastAsia="Arial" w:cs="Arial"/>
          <w:sz w:val="21"/>
          <w:szCs w:val="21"/>
          <w:color w:val="FFFFFF"/>
          <w:spacing w:val="-6"/>
        </w:rPr>
        <w:t>Medicine</w:t>
      </w:r>
    </w:p>
    <w:p>
      <w:pPr>
        <w:spacing w:line="292" w:lineRule="auto"/>
        <w:sectPr>
          <w:type w:val="continuous"/>
          <w:pgSz w:w="11906" w:h="16158"/>
          <w:pgMar w:top="400" w:right="848" w:bottom="0" w:left="407" w:header="0" w:footer="0" w:gutter="0"/>
          <w:cols w:equalWidth="0" w:num="2">
            <w:col w:w="5378" w:space="100"/>
            <w:col w:w="5171" w:space="0"/>
          </w:cols>
        </w:sectPr>
        <w:rPr>
          <w:rFonts w:ascii="Arial" w:hAnsi="Arial" w:eastAsia="Arial" w:cs="Arial"/>
          <w:sz w:val="21"/>
          <w:szCs w:val="21"/>
        </w:rPr>
      </w:pP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/>
    </w:p>
    <w:p>
      <w:pPr>
        <w:ind w:left="2551"/>
        <w:spacing w:before="129" w:line="185" w:lineRule="auto"/>
        <w:outlineLvl w:val="0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231F20"/>
          <w:spacing w:val="-1"/>
        </w:rPr>
        <w:t>糖尿病酮症酸中毒合并急性胰腺炎的临床分析</w:t>
      </w:r>
    </w:p>
    <w:p>
      <w:pPr>
        <w:ind w:left="4841"/>
        <w:spacing w:before="22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袁晓艳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 xml:space="preserve">    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黄颖秋</w:t>
      </w:r>
    </w:p>
    <w:p>
      <w:pPr>
        <w:pStyle w:val="BodyText"/>
        <w:ind w:left="2200"/>
        <w:spacing w:before="58" w:line="18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（中国医科大学第五临床学院，辽宁省健康产业集团本钢总医院，辽宁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本溪 </w:t>
      </w:r>
      <w:r>
        <w:rPr>
          <w:sz w:val="18"/>
          <w:szCs w:val="18"/>
          <w:color w:val="231F20"/>
          <w:spacing w:val="-2"/>
        </w:rPr>
        <w:t>117000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）</w:t>
      </w:r>
    </w:p>
    <w:p>
      <w:pPr>
        <w:pStyle w:val="BodyText"/>
        <w:ind w:left="444" w:right="1" w:hanging="70"/>
        <w:spacing w:before="266" w:line="235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6"/>
        </w:rPr>
        <w:t>【</w:t>
      </w:r>
      <w:r>
        <w:rPr>
          <w:rFonts w:ascii="Microsoft YaHei" w:hAnsi="Microsoft YaHei" w:eastAsia="Microsoft YaHei" w:cs="Microsoft YaHei"/>
          <w:color w:val="231F20"/>
          <w:spacing w:val="6"/>
        </w:rPr>
        <w:t>摘要</w:t>
      </w:r>
      <w:r>
        <w:rPr>
          <w:rFonts w:ascii="SimSun" w:hAnsi="SimSun" w:eastAsia="SimSun" w:cs="SimSun"/>
          <w:color w:val="231F20"/>
          <w:spacing w:val="6"/>
        </w:rPr>
        <w:t>】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目的  </w:t>
      </w:r>
      <w:r>
        <w:rPr>
          <w:rFonts w:ascii="SimSun" w:hAnsi="SimSun" w:eastAsia="SimSun" w:cs="SimSun"/>
          <w:color w:val="231F20"/>
          <w:spacing w:val="6"/>
        </w:rPr>
        <w:t>糖尿病酮症酸中毒（</w:t>
      </w:r>
      <w:r>
        <w:rPr>
          <w:color w:val="231F20"/>
        </w:rPr>
        <w:t>DKA</w:t>
      </w:r>
      <w:r>
        <w:rPr>
          <w:rFonts w:ascii="SimSun" w:hAnsi="SimSun" w:eastAsia="SimSun" w:cs="SimSun"/>
          <w:color w:val="231F20"/>
          <w:spacing w:val="6"/>
        </w:rPr>
        <w:t>）和急性胰腺炎（</w:t>
      </w:r>
      <w:r>
        <w:rPr>
          <w:color w:val="231F20"/>
        </w:rPr>
        <w:t>AP</w:t>
      </w:r>
      <w:r>
        <w:rPr>
          <w:rFonts w:ascii="SimSun" w:hAnsi="SimSun" w:eastAsia="SimSun" w:cs="SimSun"/>
          <w:color w:val="231F20"/>
          <w:spacing w:val="6"/>
        </w:rPr>
        <w:t>）均为临床急重症，临床表现上有相互重叠之处，易漏诊或误诊。探讨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2"/>
        </w:rPr>
        <w:t>DKA</w:t>
      </w:r>
      <w:r>
        <w:rPr>
          <w:color w:val="231F20"/>
          <w:spacing w:val="25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患者并发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color w:val="231F20"/>
          <w:spacing w:val="-2"/>
        </w:rPr>
        <w:t>AP</w:t>
      </w:r>
      <w:r>
        <w:rPr>
          <w:color w:val="231F20"/>
          <w:spacing w:val="22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的临床特点。</w:t>
      </w:r>
      <w:r>
        <w:rPr>
          <w:rFonts w:ascii="Microsoft YaHei" w:hAnsi="Microsoft YaHei" w:eastAsia="Microsoft YaHei" w:cs="Microsoft YaHei"/>
          <w:color w:val="231F20"/>
          <w:spacing w:val="-2"/>
        </w:rPr>
        <w:t>方法  </w:t>
      </w:r>
      <w:r>
        <w:rPr>
          <w:rFonts w:ascii="SimSun" w:hAnsi="SimSun" w:eastAsia="SimSun" w:cs="SimSun"/>
          <w:color w:val="231F20"/>
          <w:spacing w:val="-2"/>
        </w:rPr>
        <w:t>回顾性分析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color w:val="231F20"/>
          <w:spacing w:val="-2"/>
        </w:rPr>
        <w:t>2012</w:t>
      </w:r>
      <w:r>
        <w:rPr>
          <w:color w:val="231F20"/>
          <w:spacing w:val="1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年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color w:val="231F20"/>
          <w:spacing w:val="-2"/>
        </w:rPr>
        <w:t>8  </w:t>
      </w:r>
      <w:r>
        <w:rPr>
          <w:rFonts w:ascii="SimSun" w:hAnsi="SimSun" w:eastAsia="SimSun" w:cs="SimSun"/>
          <w:color w:val="231F20"/>
          <w:spacing w:val="-2"/>
        </w:rPr>
        <w:t>月至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color w:val="231F20"/>
          <w:spacing w:val="-2"/>
        </w:rPr>
        <w:t>2018</w:t>
      </w:r>
      <w:r>
        <w:rPr>
          <w:color w:val="231F20"/>
          <w:spacing w:val="10"/>
          <w:w w:val="102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年</w:t>
      </w:r>
      <w:r>
        <w:rPr>
          <w:rFonts w:ascii="SimSun" w:hAnsi="SimSun" w:eastAsia="SimSun" w:cs="SimSun"/>
          <w:color w:val="231F20"/>
          <w:spacing w:val="-21"/>
        </w:rPr>
        <w:t xml:space="preserve"> </w:t>
      </w:r>
      <w:r>
        <w:rPr>
          <w:color w:val="231F20"/>
          <w:spacing w:val="-2"/>
        </w:rPr>
        <w:t>10</w:t>
      </w:r>
      <w:r>
        <w:rPr>
          <w:color w:val="231F20"/>
          <w:spacing w:val="3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月在我院诊治的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color w:val="231F20"/>
          <w:spacing w:val="-2"/>
        </w:rPr>
        <w:t>DKA</w:t>
      </w:r>
      <w:r>
        <w:rPr>
          <w:color w:val="231F20"/>
          <w:spacing w:val="23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患者，将其分为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color w:val="231F20"/>
          <w:spacing w:val="-2"/>
        </w:rPr>
        <w:t>DKA </w:t>
      </w:r>
      <w:r>
        <w:rPr>
          <w:rFonts w:ascii="SimSun" w:hAnsi="SimSun" w:eastAsia="SimSun" w:cs="SimSun"/>
          <w:color w:val="231F20"/>
          <w:spacing w:val="-2"/>
        </w:rPr>
        <w:t>合并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color w:val="231F20"/>
          <w:spacing w:val="-2"/>
        </w:rPr>
        <w:t>AP</w:t>
      </w:r>
      <w:r>
        <w:rPr>
          <w:color w:val="231F20"/>
          <w:spacing w:val="19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组（观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察组）和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</w:rPr>
        <w:t>DKA</w:t>
      </w:r>
      <w:r>
        <w:rPr>
          <w:color w:val="231F20"/>
          <w:spacing w:val="22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未合并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color w:val="231F20"/>
        </w:rPr>
        <w:t>AP</w:t>
      </w:r>
      <w:r>
        <w:rPr>
          <w:color w:val="231F20"/>
          <w:spacing w:val="20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组（对照组）。比较两组之间治</w:t>
      </w:r>
      <w:r>
        <w:rPr>
          <w:rFonts w:ascii="SimSun" w:hAnsi="SimSun" w:eastAsia="SimSun" w:cs="SimSun"/>
          <w:color w:val="231F20"/>
          <w:spacing w:val="1"/>
        </w:rPr>
        <w:t>疗前的生化指标的差异</w:t>
      </w:r>
      <w:r>
        <w:rPr>
          <w:rFonts w:ascii="SimSun" w:hAnsi="SimSun" w:eastAsia="SimSun" w:cs="SimSun"/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；观察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</w:rPr>
        <w:t>DKA</w:t>
      </w:r>
      <w:r>
        <w:rPr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合并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color w:val="231F20"/>
        </w:rPr>
        <w:t>AP</w:t>
      </w:r>
      <w:r>
        <w:rPr>
          <w:color w:val="231F20"/>
          <w:spacing w:val="23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的发生是否与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color w:val="231F20"/>
        </w:rPr>
        <w:t>DKA</w:t>
      </w:r>
      <w:r>
        <w:rPr>
          <w:color w:val="231F20"/>
          <w:spacing w:val="22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酸中毒的严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重程度有关。</w:t>
      </w:r>
      <w:r>
        <w:rPr>
          <w:rFonts w:ascii="Microsoft YaHei" w:hAnsi="Microsoft YaHei" w:eastAsia="Microsoft YaHei" w:cs="Microsoft YaHei"/>
          <w:color w:val="231F20"/>
          <w:spacing w:val="-1"/>
        </w:rPr>
        <w:t>结果</w:t>
      </w:r>
      <w:r>
        <w:rPr>
          <w:rFonts w:ascii="Microsoft YaHei" w:hAnsi="Microsoft YaHei" w:eastAsia="Microsoft YaHei" w:cs="Microsoft YaHei"/>
          <w:color w:val="231F20"/>
          <w:spacing w:val="47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观察组的生化指标均高于对照组（</w:t>
      </w:r>
      <w:r>
        <w:rPr>
          <w:i/>
          <w:iCs/>
          <w:color w:val="231F20"/>
          <w:spacing w:val="-1"/>
        </w:rPr>
        <w:t>P</w:t>
      </w:r>
      <w:r>
        <w:rPr>
          <w:i/>
          <w:iCs/>
          <w:color w:val="231F20"/>
          <w:spacing w:val="12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＜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color w:val="231F20"/>
          <w:spacing w:val="-1"/>
        </w:rPr>
        <w:t>0.05</w:t>
      </w:r>
      <w:r>
        <w:rPr>
          <w:rFonts w:ascii="SimSun" w:hAnsi="SimSun" w:eastAsia="SimSun" w:cs="SimSun"/>
          <w:color w:val="231F20"/>
          <w:spacing w:val="-36"/>
        </w:rPr>
        <w:t>）；</w:t>
      </w:r>
      <w:r>
        <w:rPr>
          <w:color w:val="231F20"/>
          <w:spacing w:val="-1"/>
        </w:rPr>
        <w:t>DKA </w:t>
      </w:r>
      <w:r>
        <w:rPr>
          <w:rFonts w:ascii="SimSun" w:hAnsi="SimSun" w:eastAsia="SimSun" w:cs="SimSun"/>
          <w:color w:val="231F20"/>
          <w:spacing w:val="-1"/>
        </w:rPr>
        <w:t>合并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color w:val="231F20"/>
          <w:spacing w:val="-1"/>
        </w:rPr>
        <w:t>AP</w:t>
      </w:r>
      <w:r>
        <w:rPr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的发生与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color w:val="231F20"/>
          <w:spacing w:val="-1"/>
        </w:rPr>
        <w:t>DKA</w:t>
      </w:r>
      <w:r>
        <w:rPr>
          <w:color w:val="231F20"/>
          <w:spacing w:val="21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酸中毒的严重程度相关（</w:t>
      </w:r>
      <w:r>
        <w:rPr>
          <w:i/>
          <w:iCs/>
          <w:color w:val="231F20"/>
          <w:spacing w:val="-1"/>
        </w:rPr>
        <w:t>P</w:t>
      </w:r>
      <w:r>
        <w:rPr>
          <w:i/>
          <w:iCs/>
          <w:color w:val="231F20"/>
          <w:spacing w:val="12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＜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color w:val="231F20"/>
          <w:spacing w:val="-1"/>
        </w:rPr>
        <w:t>0.05</w:t>
      </w:r>
      <w:r>
        <w:rPr>
          <w:rFonts w:ascii="SimSun" w:hAnsi="SimSun" w:eastAsia="SimSun" w:cs="SimSun"/>
          <w:color w:val="231F20"/>
          <w:spacing w:val="-1"/>
        </w:rPr>
        <w:t>）。</w:t>
      </w:r>
      <w:r>
        <w:rPr>
          <w:rFonts w:ascii="Microsoft YaHei" w:hAnsi="Microsoft YaHei" w:eastAsia="Microsoft YaHei" w:cs="Microsoft YaHei"/>
          <w:color w:val="231F20"/>
          <w:spacing w:val="-1"/>
        </w:rPr>
        <w:t>结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论</w:t>
      </w:r>
      <w:r>
        <w:rPr>
          <w:rFonts w:ascii="Microsoft YaHei" w:hAnsi="Microsoft YaHei" w:eastAsia="Microsoft YaHei" w:cs="Microsoft YaHei"/>
          <w:color w:val="231F20"/>
          <w:spacing w:val="41"/>
        </w:rPr>
        <w:t xml:space="preserve"> </w:t>
      </w:r>
      <w:r>
        <w:rPr>
          <w:color w:val="231F20"/>
          <w:spacing w:val="-1"/>
        </w:rPr>
        <w:t>DKA </w:t>
      </w:r>
      <w:r>
        <w:rPr>
          <w:rFonts w:ascii="SimSun" w:hAnsi="SimSun" w:eastAsia="SimSun" w:cs="SimSun"/>
          <w:color w:val="231F20"/>
          <w:spacing w:val="-1"/>
        </w:rPr>
        <w:t>合并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color w:val="231F20"/>
          <w:spacing w:val="-1"/>
        </w:rPr>
        <w:t>AP</w:t>
      </w:r>
      <w:r>
        <w:rPr>
          <w:color w:val="231F20"/>
          <w:spacing w:val="23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时，其血尿淀粉酶及三酰甘油明显升高，血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color w:val="231F20"/>
          <w:spacing w:val="-1"/>
        </w:rPr>
        <w:t>pH</w:t>
      </w:r>
      <w:r>
        <w:rPr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明显降低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；</w:t>
      </w:r>
      <w:r>
        <w:rPr>
          <w:color w:val="231F20"/>
          <w:spacing w:val="-1"/>
        </w:rPr>
        <w:t>DKA</w:t>
      </w:r>
      <w:r>
        <w:rPr>
          <w:color w:val="231F20"/>
          <w:spacing w:val="21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酸中毒</w:t>
      </w:r>
      <w:r>
        <w:rPr>
          <w:rFonts w:ascii="SimSun" w:hAnsi="SimSun" w:eastAsia="SimSun" w:cs="SimSun"/>
          <w:color w:val="231F20"/>
          <w:spacing w:val="-2"/>
        </w:rPr>
        <w:t>程度越重，</w:t>
      </w:r>
      <w:r>
        <w:rPr>
          <w:color w:val="231F20"/>
          <w:spacing w:val="-2"/>
        </w:rPr>
        <w:t>DKA </w:t>
      </w:r>
      <w:r>
        <w:rPr>
          <w:rFonts w:ascii="SimSun" w:hAnsi="SimSun" w:eastAsia="SimSun" w:cs="SimSun"/>
          <w:color w:val="231F20"/>
          <w:spacing w:val="-2"/>
        </w:rPr>
        <w:t>合并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color w:val="231F20"/>
          <w:spacing w:val="-2"/>
        </w:rPr>
        <w:t>AP</w:t>
      </w:r>
      <w:r>
        <w:rPr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发生率越高。</w:t>
      </w:r>
    </w:p>
    <w:p>
      <w:pPr>
        <w:ind w:left="374"/>
        <w:spacing w:before="2" w:line="18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9"/>
        </w:rPr>
        <w:t>【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关键词</w:t>
      </w:r>
      <w:r>
        <w:rPr>
          <w:rFonts w:ascii="SimSun" w:hAnsi="SimSun" w:eastAsia="SimSun" w:cs="SimSun"/>
          <w:sz w:val="17"/>
          <w:szCs w:val="17"/>
          <w:color w:val="231F20"/>
          <w:spacing w:val="-9"/>
        </w:rPr>
        <w:t>】糖尿病 ；酮症酸中毒</w:t>
      </w:r>
      <w:r>
        <w:rPr>
          <w:rFonts w:ascii="SimSun" w:hAnsi="SimSun" w:eastAsia="SimSun" w:cs="SimSun"/>
          <w:sz w:val="17"/>
          <w:szCs w:val="17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9"/>
        </w:rPr>
        <w:t>；急性胰腺炎</w:t>
      </w:r>
      <w:r>
        <w:rPr>
          <w:rFonts w:ascii="SimSun" w:hAnsi="SimSun" w:eastAsia="SimSun" w:cs="SimSun"/>
          <w:sz w:val="17"/>
          <w:szCs w:val="17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9"/>
        </w:rPr>
        <w:t>；三酰甘油</w:t>
      </w:r>
    </w:p>
    <w:p>
      <w:pPr>
        <w:ind w:left="463"/>
        <w:spacing w:before="44"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中图分类号：R587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.2；R576        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 xml:space="preserve">       文献标识码：B                         文章编号：1671-8194（2019）29-0042-02</w:t>
      </w:r>
    </w:p>
    <w:p>
      <w:pPr>
        <w:pStyle w:val="BodyText"/>
        <w:ind w:left="360"/>
        <w:spacing w:before="57" w:line="190" w:lineRule="auto"/>
        <w:rPr>
          <w:sz w:val="18"/>
          <w:szCs w:val="18"/>
        </w:rPr>
      </w:pPr>
      <w:r>
        <w:rPr>
          <w:sz w:val="18"/>
          <w:szCs w:val="18"/>
        </w:rPr>
        <w:t>DOI:10.15912/j.cnki.gocm.2019.29</w:t>
      </w:r>
      <w:r>
        <w:rPr>
          <w:sz w:val="18"/>
          <w:szCs w:val="18"/>
          <w:spacing w:val="-1"/>
        </w:rPr>
        <w:t>.035</w:t>
      </w:r>
    </w:p>
    <w:p>
      <w:pPr>
        <w:spacing w:line="140" w:lineRule="exact"/>
        <w:rPr/>
      </w:pPr>
      <w:r/>
    </w:p>
    <w:p>
      <w:pPr>
        <w:spacing w:line="140" w:lineRule="exact"/>
        <w:sectPr>
          <w:type w:val="continuous"/>
          <w:pgSz w:w="11906" w:h="16158"/>
          <w:pgMar w:top="400" w:right="848" w:bottom="0" w:left="407" w:header="0" w:footer="0" w:gutter="0"/>
          <w:cols w:equalWidth="0" w:num="1">
            <w:col w:w="10649" w:space="0"/>
          </w:cols>
        </w:sectPr>
        <w:rPr/>
      </w:pPr>
    </w:p>
    <w:p>
      <w:pPr>
        <w:pStyle w:val="BodyText"/>
        <w:ind w:left="445" w:right="298" w:firstLine="312"/>
        <w:spacing w:before="37" w:line="22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7"/>
        </w:rPr>
        <w:t>糖尿病酮症酸中毒（</w:t>
      </w:r>
      <w:r>
        <w:rPr>
          <w:color w:val="231F20"/>
          <w:spacing w:val="-7"/>
        </w:rPr>
        <w:t>DKA</w:t>
      </w:r>
      <w:r>
        <w:rPr>
          <w:rFonts w:ascii="Microsoft YaHei" w:hAnsi="Microsoft YaHei" w:eastAsia="Microsoft YaHei" w:cs="Microsoft YaHei"/>
          <w:color w:val="231F20"/>
          <w:spacing w:val="-7"/>
        </w:rPr>
        <w:t>）是糖尿病患者最常见的急性并发症，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具有起病急，变化快，病情危重的特点。急性胰腺炎（</w:t>
      </w:r>
      <w:r>
        <w:rPr>
          <w:color w:val="231F20"/>
          <w:spacing w:val="-3"/>
        </w:rPr>
        <w:t>AP</w:t>
      </w:r>
      <w:r>
        <w:rPr>
          <w:rFonts w:ascii="Microsoft YaHei" w:hAnsi="Microsoft YaHei" w:eastAsia="Microsoft YaHei" w:cs="Microsoft YaHei"/>
          <w:color w:val="231F20"/>
          <w:spacing w:val="-3"/>
        </w:rPr>
        <w:t>）是临床</w:t>
      </w:r>
      <w:r>
        <w:rPr>
          <w:rFonts w:ascii="Microsoft YaHei" w:hAnsi="Microsoft YaHei" w:eastAsia="Microsoft YaHei" w:cs="Microsoft YaHei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常见的急腹症之一</w:t>
      </w:r>
      <w:r>
        <w:rPr>
          <w:sz w:val="9"/>
          <w:szCs w:val="9"/>
          <w:color w:val="231F20"/>
          <w:spacing w:val="-7"/>
          <w:position w:val="7"/>
        </w:rPr>
        <w:t>[1] </w:t>
      </w:r>
      <w:r>
        <w:rPr>
          <w:rFonts w:ascii="Microsoft YaHei" w:hAnsi="Microsoft YaHei" w:eastAsia="Microsoft YaHei" w:cs="Microsoft YaHei"/>
          <w:color w:val="231F20"/>
          <w:spacing w:val="-7"/>
        </w:rPr>
        <w:t>。</w:t>
      </w:r>
      <w:r>
        <w:rPr>
          <w:color w:val="231F20"/>
          <w:spacing w:val="-7"/>
        </w:rPr>
        <w:t>DKA</w:t>
      </w:r>
      <w:r>
        <w:rPr>
          <w:rFonts w:ascii="Microsoft YaHei" w:hAnsi="Microsoft YaHei" w:eastAsia="Microsoft YaHei" w:cs="Microsoft YaHei"/>
          <w:color w:val="231F20"/>
          <w:spacing w:val="-7"/>
        </w:rPr>
        <w:t>和</w:t>
      </w:r>
      <w:r>
        <w:rPr>
          <w:color w:val="231F20"/>
          <w:spacing w:val="-7"/>
        </w:rPr>
        <w:t>AP</w:t>
      </w:r>
      <w:r>
        <w:rPr>
          <w:rFonts w:ascii="Microsoft YaHei" w:hAnsi="Microsoft YaHei" w:eastAsia="Microsoft YaHei" w:cs="Microsoft YaHei"/>
          <w:color w:val="231F20"/>
          <w:spacing w:val="-7"/>
        </w:rPr>
        <w:t>在临床表现上有相互重叠之处，易漏</w:t>
      </w:r>
      <w:r>
        <w:rPr>
          <w:rFonts w:ascii="Microsoft YaHei" w:hAnsi="Microsoft YaHei" w:eastAsia="Microsoft YaHei" w:cs="Microsoft YaHei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诊或误诊。现收集我院</w:t>
      </w:r>
      <w:r>
        <w:rPr>
          <w:color w:val="231F20"/>
          <w:spacing w:val="-5"/>
        </w:rPr>
        <w:t>2012</w:t>
      </w:r>
      <w:r>
        <w:rPr>
          <w:rFonts w:ascii="Microsoft YaHei" w:hAnsi="Microsoft YaHei" w:eastAsia="Microsoft YaHei" w:cs="Microsoft YaHei"/>
          <w:color w:val="231F20"/>
          <w:spacing w:val="-5"/>
        </w:rPr>
        <w:t>年</w:t>
      </w:r>
      <w:r>
        <w:rPr>
          <w:color w:val="231F20"/>
          <w:spacing w:val="-5"/>
        </w:rPr>
        <w:t>8</w:t>
      </w:r>
      <w:r>
        <w:rPr>
          <w:rFonts w:ascii="Microsoft YaHei" w:hAnsi="Microsoft YaHei" w:eastAsia="Microsoft YaHei" w:cs="Microsoft YaHei"/>
          <w:color w:val="231F20"/>
          <w:spacing w:val="-5"/>
        </w:rPr>
        <w:t>月至</w:t>
      </w:r>
      <w:r>
        <w:rPr>
          <w:color w:val="231F20"/>
          <w:spacing w:val="-5"/>
        </w:rPr>
        <w:t>2018</w:t>
      </w:r>
      <w:r>
        <w:rPr>
          <w:rFonts w:ascii="Microsoft YaHei" w:hAnsi="Microsoft YaHei" w:eastAsia="Microsoft YaHei" w:cs="Microsoft YaHei"/>
          <w:color w:val="231F20"/>
          <w:spacing w:val="-5"/>
        </w:rPr>
        <w:t>年</w:t>
      </w:r>
      <w:r>
        <w:rPr>
          <w:color w:val="231F20"/>
          <w:spacing w:val="-5"/>
        </w:rPr>
        <w:t>10</w:t>
      </w:r>
      <w:r>
        <w:rPr>
          <w:rFonts w:ascii="Microsoft YaHei" w:hAnsi="Microsoft YaHei" w:eastAsia="Microsoft YaHei" w:cs="Microsoft YaHei"/>
          <w:color w:val="231F20"/>
          <w:spacing w:val="-5"/>
        </w:rPr>
        <w:t>月诊治的</w:t>
      </w:r>
      <w:r>
        <w:rPr>
          <w:color w:val="231F20"/>
          <w:spacing w:val="-5"/>
        </w:rPr>
        <w:t>DKA</w:t>
      </w:r>
      <w:r>
        <w:rPr>
          <w:rFonts w:ascii="Microsoft YaHei" w:hAnsi="Microsoft YaHei" w:eastAsia="Microsoft YaHei" w:cs="Microsoft YaHei"/>
          <w:color w:val="231F20"/>
          <w:spacing w:val="-6"/>
        </w:rPr>
        <w:t>合并</w:t>
      </w:r>
      <w:r>
        <w:rPr>
          <w:color w:val="231F20"/>
          <w:spacing w:val="-6"/>
        </w:rPr>
        <w:t>AP</w:t>
      </w:r>
      <w:r>
        <w:rPr>
          <w:rFonts w:ascii="Microsoft YaHei" w:hAnsi="Microsoft YaHei" w:eastAsia="Microsoft YaHei" w:cs="Microsoft YaHei"/>
          <w:color w:val="231F20"/>
          <w:spacing w:val="-6"/>
        </w:rPr>
        <w:t>病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例，分析其相关临床特点，以期为临床提供一些参考。</w:t>
      </w:r>
    </w:p>
    <w:p>
      <w:pPr>
        <w:ind w:left="456"/>
        <w:spacing w:before="1" w:line="184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资料与方法</w:t>
      </w:r>
    </w:p>
    <w:p>
      <w:pPr>
        <w:pStyle w:val="BodyText"/>
        <w:ind w:left="446" w:right="297" w:firstLine="14"/>
        <w:spacing w:before="48" w:line="224" w:lineRule="auto"/>
        <w:jc w:val="both"/>
        <w:rPr>
          <w:rFonts w:ascii="Microsoft YaHei" w:hAnsi="Microsoft YaHei" w:eastAsia="Microsoft YaHei" w:cs="Microsoft YaHei"/>
        </w:rPr>
      </w:pPr>
      <w:r>
        <w:pict>
          <v:shape id="_x0000_s4" style="position:absolute;margin-left:22.3697pt;margin-top:50.0414pt;mso-position-vertical-relative:text;mso-position-horizontal-relative:text;width:510.25pt;height:0.5pt;z-index:251658240;" filled="false" strokecolor="#231F20" strokeweight="0.50pt" coordsize="10205,10" coordorigin="0,0" path="m0,5l10204,5e">
            <v:stroke dashstyle="dash" joinstyle="miter" miterlimit="4"/>
          </v:shape>
        </w:pict>
      </w:r>
      <w:r>
        <w:rPr>
          <w:color w:val="231F20"/>
          <w:spacing w:val="-7"/>
        </w:rPr>
        <w:t>1.1  </w:t>
      </w:r>
      <w:r>
        <w:rPr>
          <w:rFonts w:ascii="Microsoft YaHei" w:hAnsi="Microsoft YaHei" w:eastAsia="Microsoft YaHei" w:cs="Microsoft YaHei"/>
          <w:color w:val="231F20"/>
          <w:spacing w:val="-7"/>
        </w:rPr>
        <w:t>一般资料：收集</w:t>
      </w:r>
      <w:r>
        <w:rPr>
          <w:color w:val="231F20"/>
          <w:spacing w:val="-7"/>
        </w:rPr>
        <w:t>2012</w:t>
      </w:r>
      <w:r>
        <w:rPr>
          <w:rFonts w:ascii="Microsoft YaHei" w:hAnsi="Microsoft YaHei" w:eastAsia="Microsoft YaHei" w:cs="Microsoft YaHei"/>
          <w:color w:val="231F20"/>
          <w:spacing w:val="-7"/>
        </w:rPr>
        <w:t>年</w:t>
      </w:r>
      <w:r>
        <w:rPr>
          <w:color w:val="231F20"/>
          <w:spacing w:val="-7"/>
        </w:rPr>
        <w:t>8</w:t>
      </w:r>
      <w:r>
        <w:rPr>
          <w:rFonts w:ascii="Microsoft YaHei" w:hAnsi="Microsoft YaHei" w:eastAsia="Microsoft YaHei" w:cs="Microsoft YaHei"/>
          <w:color w:val="231F20"/>
          <w:spacing w:val="-7"/>
        </w:rPr>
        <w:t>月至</w:t>
      </w:r>
      <w:r>
        <w:rPr>
          <w:color w:val="231F20"/>
          <w:spacing w:val="-7"/>
        </w:rPr>
        <w:t>2018</w:t>
      </w:r>
      <w:r>
        <w:rPr>
          <w:rFonts w:ascii="Microsoft YaHei" w:hAnsi="Microsoft YaHei" w:eastAsia="Microsoft YaHei" w:cs="Microsoft YaHei"/>
          <w:color w:val="231F20"/>
          <w:spacing w:val="-7"/>
        </w:rPr>
        <w:t>年</w:t>
      </w:r>
      <w:r>
        <w:rPr>
          <w:color w:val="231F20"/>
          <w:spacing w:val="-7"/>
        </w:rPr>
        <w:t>10</w:t>
      </w:r>
      <w:r>
        <w:rPr>
          <w:rFonts w:ascii="Microsoft YaHei" w:hAnsi="Microsoft YaHei" w:eastAsia="Microsoft YaHei" w:cs="Microsoft YaHei"/>
          <w:color w:val="231F20"/>
          <w:spacing w:val="-7"/>
        </w:rPr>
        <w:t>月在辽宁省健康产业集团本</w:t>
      </w:r>
      <w:r>
        <w:rPr>
          <w:rFonts w:ascii="Microsoft YaHei" w:hAnsi="Microsoft YaHei" w:eastAsia="Microsoft YaHei" w:cs="Microsoft YaHei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钢总医院（中国医科大学第五临床医院）消化内科、内分泌科及普外</w:t>
      </w:r>
      <w:r>
        <w:rPr>
          <w:rFonts w:ascii="Microsoft YaHei" w:hAnsi="Microsoft YaHei" w:eastAsia="Microsoft YaHei" w:cs="Microsoft YaHei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科收治的</w:t>
      </w:r>
      <w:r>
        <w:rPr>
          <w:color w:val="231F20"/>
          <w:spacing w:val="-6"/>
        </w:rPr>
        <w:t>225</w:t>
      </w:r>
      <w:r>
        <w:rPr>
          <w:rFonts w:ascii="Microsoft YaHei" w:hAnsi="Microsoft YaHei" w:eastAsia="Microsoft YaHei" w:cs="Microsoft YaHei"/>
          <w:color w:val="231F20"/>
          <w:spacing w:val="-6"/>
        </w:rPr>
        <w:t>例</w:t>
      </w:r>
      <w:r>
        <w:rPr>
          <w:color w:val="231F20"/>
          <w:spacing w:val="-6"/>
        </w:rPr>
        <w:t>DKA</w:t>
      </w:r>
      <w:r>
        <w:rPr>
          <w:rFonts w:ascii="Microsoft YaHei" w:hAnsi="Microsoft YaHei" w:eastAsia="Microsoft YaHei" w:cs="Microsoft YaHei"/>
          <w:color w:val="231F20"/>
          <w:spacing w:val="-6"/>
        </w:rPr>
        <w:t>患者，其中男</w:t>
      </w:r>
      <w:r>
        <w:rPr>
          <w:color w:val="231F20"/>
          <w:spacing w:val="-6"/>
        </w:rPr>
        <w:t>121</w:t>
      </w:r>
      <w:r>
        <w:rPr>
          <w:rFonts w:ascii="Microsoft YaHei" w:hAnsi="Microsoft YaHei" w:eastAsia="Microsoft YaHei" w:cs="Microsoft YaHei"/>
          <w:color w:val="231F20"/>
          <w:spacing w:val="-6"/>
        </w:rPr>
        <w:t>例，女</w:t>
      </w:r>
      <w:r>
        <w:rPr>
          <w:color w:val="231F20"/>
          <w:spacing w:val="-6"/>
        </w:rPr>
        <w:t>104</w:t>
      </w:r>
      <w:r>
        <w:rPr>
          <w:rFonts w:ascii="Microsoft YaHei" w:hAnsi="Microsoft YaHei" w:eastAsia="Microsoft YaHei" w:cs="Microsoft YaHei"/>
          <w:color w:val="231F20"/>
          <w:spacing w:val="-6"/>
        </w:rPr>
        <w:t>例，</w:t>
      </w:r>
      <w:r>
        <w:rPr>
          <w:rFonts w:ascii="Microsoft YaHei" w:hAnsi="Microsoft YaHei" w:eastAsia="Microsoft YaHei" w:cs="Microsoft YaHei"/>
          <w:color w:val="231F20"/>
          <w:spacing w:val="-7"/>
        </w:rPr>
        <w:t>年龄</w:t>
      </w:r>
      <w:r>
        <w:rPr>
          <w:color w:val="231F20"/>
          <w:spacing w:val="-7"/>
        </w:rPr>
        <w:t>20~80</w:t>
      </w:r>
      <w:r>
        <w:rPr>
          <w:rFonts w:ascii="Microsoft YaHei" w:hAnsi="Microsoft YaHei" w:eastAsia="Microsoft YaHei" w:cs="Microsoft YaHei"/>
          <w:color w:val="231F20"/>
          <w:spacing w:val="-7"/>
        </w:rPr>
        <w:t>岁，中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32" w:line="22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4"/>
        </w:rPr>
        <w:t>位年龄（</w:t>
      </w:r>
      <w:r>
        <w:rPr>
          <w:color w:val="231F20"/>
          <w:spacing w:val="-4"/>
        </w:rPr>
        <w:t>38.2</w:t>
      </w:r>
      <w:r>
        <w:rPr>
          <w:rFonts w:ascii="Microsoft YaHei" w:hAnsi="Microsoft YaHei" w:eastAsia="Microsoft YaHei" w:cs="Microsoft YaHei"/>
          <w:color w:val="231F20"/>
          <w:spacing w:val="-4"/>
        </w:rPr>
        <w:t>±</w:t>
      </w:r>
      <w:r>
        <w:rPr>
          <w:color w:val="231F20"/>
          <w:spacing w:val="-4"/>
        </w:rPr>
        <w:t>10.8</w:t>
      </w:r>
      <w:r>
        <w:rPr>
          <w:rFonts w:ascii="Microsoft YaHei" w:hAnsi="Microsoft YaHei" w:eastAsia="Microsoft YaHei" w:cs="Microsoft YaHei"/>
          <w:color w:val="231F20"/>
          <w:spacing w:val="-4"/>
        </w:rPr>
        <w:t>）岁。根据诊断将患者分为</w:t>
      </w:r>
      <w:r>
        <w:rPr>
          <w:rFonts w:ascii="Microsoft YaHei" w:hAnsi="Microsoft YaHei" w:eastAsia="Microsoft YaHei" w:cs="Microsoft YaHei"/>
          <w:color w:val="231F20"/>
          <w:spacing w:val="-5"/>
        </w:rPr>
        <w:t>：</w:t>
      </w:r>
      <w:r>
        <w:rPr>
          <w:color w:val="231F20"/>
          <w:spacing w:val="-5"/>
        </w:rPr>
        <w:t>DKA</w:t>
      </w:r>
      <w:r>
        <w:rPr>
          <w:rFonts w:ascii="Microsoft YaHei" w:hAnsi="Microsoft YaHei" w:eastAsia="Microsoft YaHei" w:cs="Microsoft YaHei"/>
          <w:color w:val="231F20"/>
          <w:spacing w:val="-5"/>
        </w:rPr>
        <w:t>合并</w:t>
      </w:r>
      <w:r>
        <w:rPr>
          <w:color w:val="231F20"/>
          <w:spacing w:val="-5"/>
        </w:rPr>
        <w:t>AP</w:t>
      </w:r>
      <w:r>
        <w:rPr>
          <w:rFonts w:ascii="Microsoft YaHei" w:hAnsi="Microsoft YaHei" w:eastAsia="Microsoft YaHei" w:cs="Microsoft YaHei"/>
          <w:color w:val="231F20"/>
          <w:spacing w:val="-5"/>
        </w:rPr>
        <w:t>（观察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组）和</w:t>
      </w:r>
      <w:r>
        <w:rPr>
          <w:color w:val="231F20"/>
          <w:spacing w:val="-6"/>
        </w:rPr>
        <w:t>DKA</w:t>
      </w:r>
      <w:r>
        <w:rPr>
          <w:rFonts w:ascii="Microsoft YaHei" w:hAnsi="Microsoft YaHei" w:eastAsia="Microsoft YaHei" w:cs="Microsoft YaHei"/>
          <w:color w:val="231F20"/>
          <w:spacing w:val="-6"/>
        </w:rPr>
        <w:t>未合并</w:t>
      </w:r>
      <w:r>
        <w:rPr>
          <w:color w:val="231F20"/>
          <w:spacing w:val="-6"/>
        </w:rPr>
        <w:t>AP</w:t>
      </w:r>
      <w:r>
        <w:rPr>
          <w:rFonts w:ascii="Microsoft YaHei" w:hAnsi="Microsoft YaHei" w:eastAsia="Microsoft YaHei" w:cs="Microsoft YaHei"/>
          <w:color w:val="231F20"/>
          <w:spacing w:val="-6"/>
        </w:rPr>
        <w:t>（对照组）。观察组</w:t>
      </w:r>
      <w:r>
        <w:rPr>
          <w:color w:val="231F20"/>
          <w:spacing w:val="-6"/>
        </w:rPr>
        <w:t>35</w:t>
      </w:r>
      <w:r>
        <w:rPr>
          <w:rFonts w:ascii="Microsoft YaHei" w:hAnsi="Microsoft YaHei" w:eastAsia="Microsoft YaHei" w:cs="Microsoft YaHei"/>
          <w:color w:val="231F20"/>
          <w:spacing w:val="-6"/>
        </w:rPr>
        <w:t>例，对照组</w:t>
      </w:r>
      <w:r>
        <w:rPr>
          <w:color w:val="231F20"/>
          <w:spacing w:val="-6"/>
        </w:rPr>
        <w:t>190</w:t>
      </w:r>
      <w:r>
        <w:rPr>
          <w:rFonts w:ascii="Microsoft YaHei" w:hAnsi="Microsoft YaHei" w:eastAsia="Microsoft YaHei" w:cs="Microsoft YaHei"/>
          <w:color w:val="231F20"/>
          <w:spacing w:val="-6"/>
        </w:rPr>
        <w:t>例，两</w:t>
      </w:r>
      <w:r>
        <w:rPr>
          <w:rFonts w:ascii="Microsoft YaHei" w:hAnsi="Microsoft YaHei" w:eastAsia="Microsoft YaHei" w:cs="Microsoft YaHei"/>
          <w:color w:val="231F20"/>
          <w:spacing w:val="-3"/>
        </w:rPr>
        <w:t>组</w:t>
      </w:r>
      <w:r>
        <w:rPr>
          <w:rFonts w:ascii="Microsoft YaHei" w:hAnsi="Microsoft YaHei" w:eastAsia="Microsoft YaHei" w:cs="Microsoft YaHei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患者资料无明显差异，具有可比性（</w:t>
      </w:r>
      <w:r>
        <w:rPr>
          <w:i/>
          <w:iCs/>
          <w:color w:val="231F20"/>
          <w:spacing w:val="-8"/>
        </w:rPr>
        <w:t>P</w:t>
      </w:r>
      <w:r>
        <w:rPr>
          <w:color w:val="231F20"/>
          <w:spacing w:val="-8"/>
        </w:rPr>
        <w:t>&gt;0.</w:t>
      </w:r>
      <w:r>
        <w:rPr>
          <w:color w:val="231F20"/>
          <w:spacing w:val="-9"/>
        </w:rPr>
        <w:t>05</w:t>
      </w:r>
      <w:r>
        <w:rPr>
          <w:rFonts w:ascii="Microsoft YaHei" w:hAnsi="Microsoft YaHei" w:eastAsia="Microsoft YaHei" w:cs="Microsoft YaHei"/>
          <w:color w:val="231F20"/>
          <w:spacing w:val="-9"/>
        </w:rPr>
        <w:t>）。</w:t>
      </w:r>
    </w:p>
    <w:p>
      <w:pPr>
        <w:pStyle w:val="BodyText"/>
        <w:ind w:firstLine="16"/>
        <w:spacing w:before="6" w:line="223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</w:rPr>
        <w:t>1.2  </w:t>
      </w:r>
      <w:r>
        <w:rPr>
          <w:rFonts w:ascii="Microsoft YaHei" w:hAnsi="Microsoft YaHei" w:eastAsia="Microsoft YaHei" w:cs="Microsoft YaHei"/>
          <w:color w:val="231F20"/>
        </w:rPr>
        <w:t>治疗方法：对照组患者予常规内科治疗：补液、持续</w:t>
      </w:r>
      <w:r>
        <w:rPr>
          <w:rFonts w:ascii="Microsoft YaHei" w:hAnsi="Microsoft YaHei" w:eastAsia="Microsoft YaHei" w:cs="Microsoft YaHei"/>
          <w:color w:val="231F20"/>
          <w:spacing w:val="-1"/>
        </w:rPr>
        <w:t>静滴小剂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量胰岛素、纠正酸碱失衡及离子紊乱、监测血糖。观察组患者予综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合治疗：在对照组治疗基础上，予禁食水、持续胃肠减压、去除诱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因、抑酸，抑制胰液分泌及胰酶活性、解痉、镇痛、营养支持治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疗，病情严重或合并感染者使用抗生素治疗，必要时予连续性血液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净化治疗。</w:t>
      </w:r>
    </w:p>
    <w:p>
      <w:pPr>
        <w:spacing w:line="223" w:lineRule="auto"/>
        <w:sectPr>
          <w:type w:val="continuous"/>
          <w:pgSz w:w="11906" w:h="16158"/>
          <w:pgMar w:top="400" w:right="848" w:bottom="0" w:left="407" w:header="0" w:footer="0" w:gutter="0"/>
          <w:cols w:equalWidth="0" w:num="2">
            <w:col w:w="5646" w:space="100"/>
            <w:col w:w="4904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before="71"/>
        <w:rPr/>
      </w:pPr>
      <w:r/>
    </w:p>
    <w:p>
      <w:pPr>
        <w:sectPr>
          <w:type w:val="continuous"/>
          <w:pgSz w:w="11906" w:h="16158"/>
          <w:pgMar w:top="400" w:right="848" w:bottom="0" w:left="407" w:header="0" w:footer="0" w:gutter="0"/>
          <w:cols w:equalWidth="0" w:num="1">
            <w:col w:w="10649" w:space="0"/>
          </w:cols>
        </w:sectPr>
        <w:rPr/>
      </w:pPr>
    </w:p>
    <w:p>
      <w:pPr>
        <w:pStyle w:val="BodyText"/>
        <w:ind w:left="450" w:right="301" w:hanging="3"/>
        <w:spacing w:before="33" w:line="22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5"/>
        </w:rPr>
        <w:t>个月促黄体生成素（</w:t>
      </w:r>
      <w:r>
        <w:rPr>
          <w:color w:val="231F20"/>
          <w:spacing w:val="5"/>
        </w:rPr>
        <w:t>4.42</w:t>
      </w:r>
      <w:r>
        <w:rPr>
          <w:rFonts w:ascii="Microsoft YaHei" w:hAnsi="Microsoft YaHei" w:eastAsia="Microsoft YaHei" w:cs="Microsoft YaHei"/>
          <w:color w:val="231F20"/>
          <w:spacing w:val="5"/>
        </w:rPr>
        <w:t>±</w:t>
      </w:r>
      <w:r>
        <w:rPr>
          <w:color w:val="231F20"/>
          <w:spacing w:val="5"/>
        </w:rPr>
        <w:t>1.38</w:t>
      </w:r>
      <w:r>
        <w:rPr>
          <w:rFonts w:ascii="Microsoft YaHei" w:hAnsi="Microsoft YaHei" w:eastAsia="Microsoft YaHei" w:cs="Microsoft YaHei"/>
          <w:color w:val="231F20"/>
          <w:spacing w:val="5"/>
        </w:rPr>
        <w:t>）</w:t>
      </w:r>
      <w:r>
        <w:rPr>
          <w:color w:val="231F20"/>
        </w:rPr>
        <w:t>mU</w:t>
      </w:r>
      <w:r>
        <w:rPr>
          <w:color w:val="231F20"/>
          <w:spacing w:val="5"/>
        </w:rPr>
        <w:t>/</w:t>
      </w:r>
      <w:r>
        <w:rPr>
          <w:color w:val="231F20"/>
        </w:rPr>
        <w:t>mL</w:t>
      </w:r>
      <w:r>
        <w:rPr>
          <w:rFonts w:ascii="Microsoft YaHei" w:hAnsi="Microsoft YaHei" w:eastAsia="Microsoft YaHei" w:cs="Microsoft YaHei"/>
          <w:color w:val="231F20"/>
          <w:spacing w:val="5"/>
        </w:rPr>
        <w:t>、促</w:t>
      </w:r>
      <w:r>
        <w:rPr>
          <w:rFonts w:ascii="Microsoft YaHei" w:hAnsi="Microsoft YaHei" w:eastAsia="Microsoft YaHei" w:cs="Microsoft YaHei"/>
          <w:color w:val="231F20"/>
          <w:spacing w:val="4"/>
        </w:rPr>
        <w:t>卵泡刺激素（</w:t>
      </w:r>
      <w:r>
        <w:rPr>
          <w:color w:val="231F20"/>
          <w:spacing w:val="4"/>
        </w:rPr>
        <w:t>3.34</w:t>
      </w:r>
      <w:r>
        <w:rPr>
          <w:rFonts w:ascii="Microsoft YaHei" w:hAnsi="Microsoft YaHei" w:eastAsia="Microsoft YaHei" w:cs="Microsoft YaHei"/>
          <w:color w:val="231F20"/>
          <w:spacing w:val="4"/>
        </w:rPr>
        <w:t>±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2"/>
        </w:rPr>
        <w:t>1.08</w:t>
      </w:r>
      <w:r>
        <w:rPr>
          <w:rFonts w:ascii="Microsoft YaHei" w:hAnsi="Microsoft YaHei" w:eastAsia="Microsoft YaHei" w:cs="Microsoft YaHei"/>
          <w:color w:val="231F20"/>
          <w:spacing w:val="2"/>
        </w:rPr>
        <w:t>）</w:t>
      </w:r>
      <w:r>
        <w:rPr>
          <w:color w:val="231F20"/>
          <w:spacing w:val="2"/>
        </w:rPr>
        <w:t>U/L</w:t>
      </w:r>
      <w:r>
        <w:rPr>
          <w:rFonts w:ascii="Microsoft YaHei" w:hAnsi="Microsoft YaHei" w:eastAsia="Microsoft YaHei" w:cs="Microsoft YaHei"/>
          <w:color w:val="231F20"/>
          <w:spacing w:val="2"/>
        </w:rPr>
        <w:t>，治疗后</w:t>
      </w:r>
      <w:r>
        <w:rPr>
          <w:color w:val="231F20"/>
          <w:spacing w:val="2"/>
        </w:rPr>
        <w:t>3</w:t>
      </w:r>
      <w:r>
        <w:rPr>
          <w:rFonts w:ascii="Microsoft YaHei" w:hAnsi="Microsoft YaHei" w:eastAsia="Microsoft YaHei" w:cs="Microsoft YaHei"/>
          <w:color w:val="231F20"/>
          <w:spacing w:val="2"/>
        </w:rPr>
        <w:t>个月促黄体生成素（</w:t>
      </w:r>
      <w:r>
        <w:rPr>
          <w:color w:val="231F20"/>
          <w:spacing w:val="2"/>
        </w:rPr>
        <w:t>4.52</w:t>
      </w:r>
      <w:r>
        <w:rPr>
          <w:rFonts w:ascii="Microsoft YaHei" w:hAnsi="Microsoft YaHei" w:eastAsia="Microsoft YaHei" w:cs="Microsoft YaHei"/>
          <w:color w:val="231F20"/>
          <w:spacing w:val="2"/>
        </w:rPr>
        <w:t>±</w:t>
      </w:r>
      <w:r>
        <w:rPr>
          <w:color w:val="231F20"/>
          <w:spacing w:val="2"/>
        </w:rPr>
        <w:t>1.55</w:t>
      </w:r>
      <w:r>
        <w:rPr>
          <w:rFonts w:ascii="Microsoft YaHei" w:hAnsi="Microsoft YaHei" w:eastAsia="Microsoft YaHei" w:cs="Microsoft YaHei"/>
          <w:color w:val="231F20"/>
          <w:spacing w:val="2"/>
        </w:rPr>
        <w:t>）</w:t>
      </w:r>
      <w:r>
        <w:rPr>
          <w:color w:val="231F20"/>
        </w:rPr>
        <w:t>mU</w:t>
      </w:r>
      <w:r>
        <w:rPr>
          <w:color w:val="231F20"/>
          <w:spacing w:val="2"/>
        </w:rPr>
        <w:t>/</w:t>
      </w:r>
      <w:r>
        <w:rPr>
          <w:color w:val="231F20"/>
        </w:rPr>
        <w:t>mL</w:t>
      </w:r>
      <w:r>
        <w:rPr>
          <w:rFonts w:ascii="Microsoft YaHei" w:hAnsi="Microsoft YaHei" w:eastAsia="Microsoft YaHei" w:cs="Microsoft YaHei"/>
          <w:color w:val="231F20"/>
          <w:spacing w:val="2"/>
        </w:rPr>
        <w:t>、促</w:t>
      </w:r>
      <w:r>
        <w:rPr>
          <w:rFonts w:ascii="Microsoft YaHei" w:hAnsi="Microsoft YaHei" w:eastAsia="Microsoft YaHei" w:cs="Microsoft YaHei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卵泡刺激素（</w:t>
      </w:r>
      <w:r>
        <w:rPr>
          <w:color w:val="231F20"/>
        </w:rPr>
        <w:t>3.40</w:t>
      </w:r>
      <w:r>
        <w:rPr>
          <w:rFonts w:ascii="Microsoft YaHei" w:hAnsi="Microsoft YaHei" w:eastAsia="Microsoft YaHei" w:cs="Microsoft YaHei"/>
          <w:color w:val="231F20"/>
        </w:rPr>
        <w:t>±</w:t>
      </w:r>
      <w:r>
        <w:rPr>
          <w:color w:val="231F20"/>
        </w:rPr>
        <w:t>1.40</w:t>
      </w:r>
      <w:r>
        <w:rPr>
          <w:rFonts w:ascii="Microsoft YaHei" w:hAnsi="Microsoft YaHei" w:eastAsia="Microsoft YaHei" w:cs="Microsoft YaHei"/>
          <w:color w:val="231F20"/>
        </w:rPr>
        <w:t>）</w:t>
      </w:r>
      <w:r>
        <w:rPr>
          <w:color w:val="231F20"/>
        </w:rPr>
        <w:t>U/L</w:t>
      </w:r>
      <w:r>
        <w:rPr>
          <w:rFonts w:ascii="Microsoft YaHei" w:hAnsi="Microsoft YaHei" w:eastAsia="Microsoft YaHei" w:cs="Microsoft YaHei"/>
          <w:color w:val="231F20"/>
        </w:rPr>
        <w:t>，治疗后</w:t>
      </w:r>
      <w:r>
        <w:rPr>
          <w:color w:val="231F20"/>
        </w:rPr>
        <w:t>6</w:t>
      </w:r>
      <w:r>
        <w:rPr>
          <w:rFonts w:ascii="Microsoft YaHei" w:hAnsi="Microsoft YaHei" w:eastAsia="Microsoft YaHei" w:cs="Microsoft YaHei"/>
          <w:color w:val="231F20"/>
        </w:rPr>
        <w:t>个月促黄体</w:t>
      </w:r>
      <w:r>
        <w:rPr>
          <w:rFonts w:ascii="Microsoft YaHei" w:hAnsi="Microsoft YaHei" w:eastAsia="Microsoft YaHei" w:cs="Microsoft YaHei"/>
          <w:color w:val="231F20"/>
          <w:spacing w:val="-1"/>
        </w:rPr>
        <w:t>生成素（</w:t>
      </w:r>
      <w:r>
        <w:rPr>
          <w:color w:val="231F20"/>
          <w:spacing w:val="-1"/>
        </w:rPr>
        <w:t>4.54</w:t>
      </w:r>
      <w:r>
        <w:rPr>
          <w:rFonts w:ascii="Microsoft YaHei" w:hAnsi="Microsoft YaHei" w:eastAsia="Microsoft YaHei" w:cs="Microsoft YaHei"/>
          <w:color w:val="231F20"/>
          <w:spacing w:val="-1"/>
        </w:rPr>
        <w:t>±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</w:rPr>
        <w:t>1.37</w:t>
      </w:r>
      <w:r>
        <w:rPr>
          <w:rFonts w:ascii="Microsoft YaHei" w:hAnsi="Microsoft YaHei" w:eastAsia="Microsoft YaHei" w:cs="Microsoft YaHei"/>
          <w:color w:val="231F20"/>
        </w:rPr>
        <w:t>）</w:t>
      </w:r>
      <w:r>
        <w:rPr>
          <w:color w:val="231F20"/>
        </w:rPr>
        <w:t>mU/mL</w:t>
      </w:r>
      <w:r>
        <w:rPr>
          <w:rFonts w:ascii="Microsoft YaHei" w:hAnsi="Microsoft YaHei" w:eastAsia="Microsoft YaHei" w:cs="Microsoft YaHei"/>
          <w:color w:val="231F20"/>
        </w:rPr>
        <w:t>、促卵泡刺激素（</w:t>
      </w:r>
      <w:r>
        <w:rPr>
          <w:color w:val="231F20"/>
        </w:rPr>
        <w:t>3.46</w:t>
      </w:r>
      <w:r>
        <w:rPr>
          <w:rFonts w:ascii="Microsoft YaHei" w:hAnsi="Microsoft YaHei" w:eastAsia="Microsoft YaHei" w:cs="Microsoft YaHei"/>
          <w:color w:val="231F20"/>
        </w:rPr>
        <w:t>±</w:t>
      </w:r>
      <w:r>
        <w:rPr>
          <w:color w:val="231F20"/>
        </w:rPr>
        <w:t>1.36</w:t>
      </w:r>
      <w:r>
        <w:rPr>
          <w:rFonts w:ascii="Microsoft YaHei" w:hAnsi="Microsoft YaHei" w:eastAsia="Microsoft YaHei" w:cs="Microsoft YaHei"/>
          <w:color w:val="231F20"/>
        </w:rPr>
        <w:t>）</w:t>
      </w:r>
      <w:r>
        <w:rPr>
          <w:color w:val="231F20"/>
        </w:rPr>
        <w:t>U/L</w:t>
      </w:r>
      <w:r>
        <w:rPr>
          <w:rFonts w:ascii="Microsoft YaHei" w:hAnsi="Microsoft YaHei" w:eastAsia="Microsoft YaHei" w:cs="Microsoft YaHei"/>
          <w:color w:val="231F20"/>
        </w:rPr>
        <w:t>，两组患者治疗后</w:t>
      </w:r>
    </w:p>
    <w:p>
      <w:pPr>
        <w:pStyle w:val="BodyText"/>
        <w:ind w:left="446" w:right="300" w:firstLine="14"/>
        <w:spacing w:before="2" w:line="223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6"/>
        </w:rPr>
        <w:t>1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、</w:t>
      </w:r>
      <w:r>
        <w:rPr>
          <w:color w:val="231F20"/>
          <w:spacing w:val="-6"/>
        </w:rPr>
        <w:t>3</w:t>
      </w:r>
      <w:r>
        <w:rPr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、</w:t>
      </w:r>
      <w:r>
        <w:rPr>
          <w:color w:val="231F20"/>
          <w:spacing w:val="-6"/>
        </w:rPr>
        <w:t>6</w:t>
      </w:r>
      <w:r>
        <w:rPr>
          <w:rFonts w:ascii="Microsoft YaHei" w:hAnsi="Microsoft YaHei" w:eastAsia="Microsoft YaHei" w:cs="Microsoft YaHei"/>
          <w:color w:val="231F20"/>
          <w:spacing w:val="-6"/>
        </w:rPr>
        <w:t>个月的促黄体生成素、促卵泡刺激素水平比较，差异均无统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计学意义（</w:t>
      </w:r>
      <w:r>
        <w:rPr>
          <w:i/>
          <w:iCs/>
          <w:color w:val="231F20"/>
          <w:spacing w:val="-8"/>
        </w:rPr>
        <w:t>P</w:t>
      </w:r>
      <w:r>
        <w:rPr>
          <w:rFonts w:ascii="Microsoft YaHei" w:hAnsi="Microsoft YaHei" w:eastAsia="Microsoft YaHei" w:cs="Microsoft YaHei"/>
          <w:color w:val="231F20"/>
          <w:spacing w:val="-8"/>
        </w:rPr>
        <w:t>＞</w:t>
      </w:r>
      <w:r>
        <w:rPr>
          <w:color w:val="231F20"/>
          <w:spacing w:val="-8"/>
        </w:rPr>
        <w:t>0.05</w:t>
      </w:r>
      <w:r>
        <w:rPr>
          <w:rFonts w:ascii="Microsoft YaHei" w:hAnsi="Microsoft YaHei" w:eastAsia="Microsoft YaHei" w:cs="Microsoft YaHei"/>
          <w:color w:val="231F20"/>
          <w:spacing w:val="-8"/>
        </w:rPr>
        <w:t>）。</w:t>
      </w:r>
    </w:p>
    <w:p>
      <w:pPr>
        <w:pStyle w:val="BodyText"/>
        <w:ind w:left="446" w:right="301" w:hanging="1"/>
        <w:spacing w:before="1" w:line="223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7"/>
        </w:rPr>
        <w:t>2.3  </w:t>
      </w:r>
      <w:r>
        <w:rPr>
          <w:rFonts w:ascii="Microsoft YaHei" w:hAnsi="Microsoft YaHei" w:eastAsia="Microsoft YaHei" w:cs="Microsoft YaHei"/>
          <w:color w:val="231F20"/>
          <w:spacing w:val="-7"/>
        </w:rPr>
        <w:t>两组异位妊娠再发率：观察组术后随访</w:t>
      </w:r>
      <w:r>
        <w:rPr>
          <w:color w:val="231F20"/>
          <w:spacing w:val="-7"/>
        </w:rPr>
        <w:t>1</w:t>
      </w:r>
      <w:r>
        <w:rPr>
          <w:rFonts w:ascii="Microsoft YaHei" w:hAnsi="Microsoft YaHei" w:eastAsia="Microsoft YaHei" w:cs="Microsoft YaHei"/>
          <w:color w:val="231F20"/>
          <w:spacing w:val="-7"/>
        </w:rPr>
        <w:t>年，未再发</w:t>
      </w:r>
      <w:r>
        <w:rPr>
          <w:rFonts w:ascii="Microsoft YaHei" w:hAnsi="Microsoft YaHei" w:eastAsia="Microsoft YaHei" w:cs="Microsoft YaHei"/>
          <w:color w:val="231F20"/>
          <w:spacing w:val="-8"/>
        </w:rPr>
        <w:t>生异位妊娠，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异位妊娠再发率</w:t>
      </w:r>
      <w:r>
        <w:rPr>
          <w:color w:val="231F20"/>
          <w:spacing w:val="-2"/>
        </w:rPr>
        <w:t>0.00%</w:t>
      </w:r>
      <w:r>
        <w:rPr>
          <w:rFonts w:ascii="Microsoft YaHei" w:hAnsi="Microsoft YaHei" w:eastAsia="Microsoft YaHei" w:cs="Microsoft YaHei"/>
          <w:color w:val="231F20"/>
          <w:spacing w:val="-2"/>
        </w:rPr>
        <w:t>，对照组异位妊娠再发</w:t>
      </w:r>
      <w:r>
        <w:rPr>
          <w:color w:val="231F20"/>
          <w:spacing w:val="-2"/>
        </w:rPr>
        <w:t>5</w:t>
      </w:r>
      <w:r>
        <w:rPr>
          <w:rFonts w:ascii="Microsoft YaHei" w:hAnsi="Microsoft YaHei" w:eastAsia="Microsoft YaHei" w:cs="Microsoft YaHei"/>
          <w:color w:val="231F20"/>
          <w:spacing w:val="-2"/>
        </w:rPr>
        <w:t>例，异位妊娠再发率</w:t>
      </w:r>
      <w:r>
        <w:rPr>
          <w:rFonts w:ascii="Microsoft YaHei" w:hAnsi="Microsoft YaHei" w:eastAsia="Microsoft YaHei" w:cs="Microsoft YaHei"/>
          <w:color w:val="231F20"/>
          <w:spacing w:val="17"/>
        </w:rPr>
        <w:t xml:space="preserve"> </w:t>
      </w:r>
      <w:r>
        <w:rPr>
          <w:color w:val="231F20"/>
          <w:spacing w:val="-7"/>
        </w:rPr>
        <w:t>13.51%</w:t>
      </w:r>
      <w:r>
        <w:rPr>
          <w:rFonts w:ascii="Microsoft YaHei" w:hAnsi="Microsoft YaHei" w:eastAsia="Microsoft YaHei" w:cs="Microsoft YaHei"/>
          <w:color w:val="231F20"/>
          <w:spacing w:val="-7"/>
        </w:rPr>
        <w:t>，观察组患者术后异位妊娠再发率低于对照组，差异有统计学</w:t>
      </w:r>
      <w:r>
        <w:rPr>
          <w:rFonts w:ascii="Microsoft YaHei" w:hAnsi="Microsoft YaHei" w:eastAsia="Microsoft YaHei" w:cs="Microsoft YaHei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意义（</w:t>
      </w:r>
      <w:r>
        <w:rPr>
          <w:i/>
          <w:iCs/>
          <w:color w:val="231F20"/>
          <w:spacing w:val="-8"/>
        </w:rPr>
        <w:t>P</w:t>
      </w:r>
      <w:r>
        <w:rPr>
          <w:rFonts w:ascii="Microsoft YaHei" w:hAnsi="Microsoft YaHei" w:eastAsia="Microsoft YaHei" w:cs="Microsoft YaHei"/>
          <w:color w:val="231F20"/>
          <w:spacing w:val="-8"/>
        </w:rPr>
        <w:t>＜</w:t>
      </w:r>
      <w:r>
        <w:rPr>
          <w:color w:val="231F20"/>
          <w:spacing w:val="-8"/>
        </w:rPr>
        <w:t>0.05</w:t>
      </w:r>
      <w:r>
        <w:rPr>
          <w:rFonts w:ascii="Microsoft YaHei" w:hAnsi="Microsoft YaHei" w:eastAsia="Microsoft YaHei" w:cs="Microsoft YaHei"/>
          <w:color w:val="231F20"/>
          <w:spacing w:val="-8"/>
        </w:rPr>
        <w:t>）。</w:t>
      </w:r>
    </w:p>
    <w:p>
      <w:pPr>
        <w:ind w:left="450"/>
        <w:spacing w:before="1" w:line="187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论</w:t>
      </w:r>
    </w:p>
    <w:p>
      <w:pPr>
        <w:pStyle w:val="BodyText"/>
        <w:ind w:left="445" w:right="299" w:firstLine="314"/>
        <w:spacing w:before="45" w:line="22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6"/>
        </w:rPr>
        <w:t>孕卵在宫腔外着床发育的过程被称为输卵管妊</w:t>
      </w:r>
      <w:r>
        <w:rPr>
          <w:rFonts w:ascii="Microsoft YaHei" w:hAnsi="Microsoft YaHei" w:eastAsia="Microsoft YaHei" w:cs="Microsoft YaHei"/>
          <w:color w:val="231F20"/>
          <w:spacing w:val="-7"/>
        </w:rPr>
        <w:t>娠，可能引发严重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症状，还可导致产妇死亡。外科手术是治疗该病的主要手段，但手术</w:t>
      </w:r>
      <w:r>
        <w:rPr>
          <w:rFonts w:ascii="Microsoft YaHei" w:hAnsi="Microsoft YaHei" w:eastAsia="Microsoft YaHei" w:cs="Microsoft YaHei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后出现的输卵管粘连可能导致异位妊娠的在此发生，或致不孕症，在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不影响患者卵巢功能的基础上，研究更为适宜的治疗方式可能对产妇</w:t>
      </w:r>
      <w:r>
        <w:rPr>
          <w:rFonts w:ascii="Microsoft YaHei" w:hAnsi="Microsoft YaHei" w:eastAsia="Microsoft YaHei" w:cs="Microsoft YaHei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  <w:position w:val="-4"/>
        </w:rPr>
        <w:t>有利</w:t>
      </w:r>
      <w:r>
        <w:rPr>
          <w:sz w:val="9"/>
          <w:szCs w:val="9"/>
          <w:color w:val="231F20"/>
          <w:spacing w:val="-2"/>
          <w:position w:val="3"/>
        </w:rPr>
        <w:t>[4-5]</w:t>
      </w:r>
      <w:r>
        <w:rPr>
          <w:rFonts w:ascii="Microsoft YaHei" w:hAnsi="Microsoft YaHei" w:eastAsia="Microsoft YaHei" w:cs="Microsoft YaHei"/>
          <w:color w:val="231F20"/>
          <w:spacing w:val="-2"/>
          <w:position w:val="-4"/>
        </w:rPr>
        <w:t>。</w:t>
      </w:r>
    </w:p>
    <w:p>
      <w:pPr>
        <w:pStyle w:val="BodyText"/>
        <w:ind w:left="447" w:right="299" w:firstLine="312"/>
        <w:spacing w:before="11" w:line="21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6"/>
        </w:rPr>
        <w:t>手术配合药物是提高手术效果的重要途径，在</w:t>
      </w:r>
      <w:r>
        <w:rPr>
          <w:rFonts w:ascii="Microsoft YaHei" w:hAnsi="Microsoft YaHei" w:eastAsia="Microsoft YaHei" w:cs="Microsoft YaHei"/>
          <w:color w:val="231F20"/>
          <w:spacing w:val="-7"/>
        </w:rPr>
        <w:t>输卵管妊娠的治疗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中，也可通过药物提高输卵管通畅，降低异位妊娠发生率</w:t>
      </w:r>
      <w:r>
        <w:rPr>
          <w:sz w:val="9"/>
          <w:szCs w:val="9"/>
          <w:color w:val="231F20"/>
          <w:spacing w:val="-5"/>
          <w:position w:val="7"/>
        </w:rPr>
        <w:t>[6]</w:t>
      </w:r>
      <w:r>
        <w:rPr>
          <w:rFonts w:ascii="Microsoft YaHei" w:hAnsi="Microsoft YaHei" w:eastAsia="Microsoft YaHei" w:cs="Microsoft YaHei"/>
          <w:color w:val="231F20"/>
          <w:spacing w:val="-5"/>
        </w:rPr>
        <w:t>。甲氨蝶</w:t>
      </w:r>
      <w:r>
        <w:rPr>
          <w:rFonts w:ascii="Microsoft YaHei" w:hAnsi="Microsoft YaHei" w:eastAsia="Microsoft YaHei" w:cs="Microsoft YaHei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呤可抑制二氢叶酸还原酶，阻碍细胞合成，是一种抗肿瘤药物，但在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终止妊娠中也应用广泛，通过局部注射甲氨蝶呤是否可配合腹腔镜下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输卵管开窗取胚术，对输卵管妊娠患者起效值得研究。本研究结果中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显示，局部注射甲氨蝶呤的观察组输卵管的畅通情况明显优</w:t>
      </w:r>
      <w:r>
        <w:rPr>
          <w:rFonts w:ascii="Microsoft YaHei" w:hAnsi="Microsoft YaHei" w:eastAsia="Microsoft YaHei" w:cs="Microsoft YaHei"/>
          <w:color w:val="231F20"/>
          <w:spacing w:val="-2"/>
        </w:rPr>
        <w:t>于对照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组，说明甲氨蝶呤可发挥通畅输卵管的作用，降低术后异位妊娠发生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风险。本研究还对甲氨蝶呤对患者卵巢功能的影响进行了研究，通过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观察两组患者促黄体生成素、促卵泡刺激素水平，发现两组患者卵巢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功能并无统计学差异，可认为手术联合甲氨蝶呤对患者不良</w:t>
      </w:r>
      <w:r>
        <w:rPr>
          <w:rFonts w:ascii="Microsoft YaHei" w:hAnsi="Microsoft YaHei" w:eastAsia="Microsoft YaHei" w:cs="Microsoft YaHei"/>
          <w:color w:val="231F20"/>
          <w:spacing w:val="-2"/>
        </w:rPr>
        <w:t>影响较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1" w:line="22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7"/>
        </w:rPr>
        <w:t>少，在规定剂量范围内使用甲氨蝶呤较为安全，而本研究进行的为期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一年的跟踪随访中发现，观察组术后随访</w:t>
      </w:r>
      <w:r>
        <w:rPr>
          <w:color w:val="231F20"/>
          <w:spacing w:val="-4"/>
        </w:rPr>
        <w:t>1</w:t>
      </w:r>
      <w:r>
        <w:rPr>
          <w:rFonts w:ascii="Microsoft YaHei" w:hAnsi="Microsoft YaHei" w:eastAsia="Microsoft YaHei" w:cs="Microsoft YaHei"/>
          <w:color w:val="231F20"/>
          <w:spacing w:val="-4"/>
        </w:rPr>
        <w:t>年，未再发生异位妊娠，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异位妊娠再发率</w:t>
      </w:r>
      <w:r>
        <w:rPr>
          <w:color w:val="231F20"/>
          <w:spacing w:val="-2"/>
        </w:rPr>
        <w:t>0.00%</w:t>
      </w:r>
      <w:r>
        <w:rPr>
          <w:rFonts w:ascii="Microsoft YaHei" w:hAnsi="Microsoft YaHei" w:eastAsia="Microsoft YaHei" w:cs="Microsoft YaHei"/>
          <w:color w:val="231F20"/>
          <w:spacing w:val="-2"/>
        </w:rPr>
        <w:t>，对照组异位妊娠再发</w:t>
      </w:r>
      <w:r>
        <w:rPr>
          <w:color w:val="231F20"/>
          <w:spacing w:val="-2"/>
        </w:rPr>
        <w:t>5</w:t>
      </w:r>
      <w:r>
        <w:rPr>
          <w:rFonts w:ascii="Microsoft YaHei" w:hAnsi="Microsoft YaHei" w:eastAsia="Microsoft YaHei" w:cs="Microsoft YaHei"/>
          <w:color w:val="231F20"/>
          <w:spacing w:val="-2"/>
        </w:rPr>
        <w:t>例，异位妊娠再发率</w:t>
      </w:r>
      <w:r>
        <w:rPr>
          <w:rFonts w:ascii="Microsoft YaHei" w:hAnsi="Microsoft YaHei" w:eastAsia="Microsoft YaHei" w:cs="Microsoft YaHei"/>
          <w:color w:val="231F20"/>
          <w:spacing w:val="17"/>
        </w:rPr>
        <w:t xml:space="preserve"> </w:t>
      </w:r>
      <w:r>
        <w:rPr>
          <w:color w:val="231F20"/>
          <w:spacing w:val="-7"/>
        </w:rPr>
        <w:t>13.51%</w:t>
      </w:r>
      <w:r>
        <w:rPr>
          <w:rFonts w:ascii="Microsoft YaHei" w:hAnsi="Microsoft YaHei" w:eastAsia="Microsoft YaHei" w:cs="Microsoft YaHei"/>
          <w:color w:val="231F20"/>
          <w:spacing w:val="-7"/>
        </w:rPr>
        <w:t>，观察组患者术后异位妊娠再发率低于对照组，进一步肯定了</w:t>
      </w:r>
      <w:r>
        <w:rPr>
          <w:rFonts w:ascii="Microsoft YaHei" w:hAnsi="Microsoft YaHei" w:eastAsia="Microsoft YaHei" w:cs="Microsoft YaHei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甲氨蝶呤的临床价值。</w:t>
      </w:r>
    </w:p>
    <w:p>
      <w:pPr>
        <w:ind w:left="3" w:right="1" w:firstLine="310"/>
        <w:spacing w:before="1" w:line="223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综上所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述，甲氨蝶呤是一种安全性较高的药物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，配合腹腔镜下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输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卵管开窗取胚术应用可提高术后输卵管通畅，降低异位妊娠发生率，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  <w:w w:val="99"/>
        </w:rPr>
        <w:t>并且对产妇卵巢功能影响较小，具有较高的临床价值。</w:t>
      </w:r>
    </w:p>
    <w:p>
      <w:pPr>
        <w:spacing w:before="1" w:line="18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参考文献</w:t>
      </w:r>
    </w:p>
    <w:p>
      <w:pPr>
        <w:pStyle w:val="BodyText"/>
        <w:ind w:left="384" w:right="1" w:hanging="375"/>
        <w:spacing w:before="48" w:line="207" w:lineRule="auto"/>
        <w:rPr/>
      </w:pPr>
      <w:r>
        <w:rPr>
          <w:color w:val="231F20"/>
          <w:spacing w:val="-2"/>
        </w:rPr>
        <w:t>[1]    </w:t>
      </w:r>
      <w:r>
        <w:rPr>
          <w:rFonts w:ascii="Microsoft YaHei" w:hAnsi="Microsoft YaHei" w:eastAsia="Microsoft YaHei" w:cs="Microsoft YaHei"/>
          <w:color w:val="231F20"/>
          <w:spacing w:val="-2"/>
        </w:rPr>
        <w:t>崔芳</w:t>
      </w:r>
      <w:r>
        <w:rPr>
          <w:color w:val="231F20"/>
          <w:spacing w:val="-2"/>
        </w:rPr>
        <w:t>,</w:t>
      </w:r>
      <w:r>
        <w:rPr>
          <w:rFonts w:ascii="Microsoft YaHei" w:hAnsi="Microsoft YaHei" w:eastAsia="Microsoft YaHei" w:cs="Microsoft YaHei"/>
          <w:color w:val="231F20"/>
          <w:spacing w:val="-2"/>
        </w:rPr>
        <w:t>徐珊</w:t>
      </w:r>
      <w:r>
        <w:rPr>
          <w:color w:val="231F20"/>
          <w:spacing w:val="-2"/>
        </w:rPr>
        <w:t>,</w:t>
      </w:r>
      <w:r>
        <w:rPr>
          <w:rFonts w:ascii="Microsoft YaHei" w:hAnsi="Microsoft YaHei" w:eastAsia="Microsoft YaHei" w:cs="Microsoft YaHei"/>
          <w:color w:val="231F20"/>
          <w:spacing w:val="-2"/>
        </w:rPr>
        <w:t>史红</w:t>
      </w:r>
      <w:r>
        <w:rPr>
          <w:color w:val="231F20"/>
          <w:spacing w:val="-2"/>
        </w:rPr>
        <w:t>,</w:t>
      </w:r>
      <w:r>
        <w:rPr>
          <w:rFonts w:ascii="Microsoft YaHei" w:hAnsi="Microsoft YaHei" w:eastAsia="Microsoft YaHei" w:cs="Microsoft YaHei"/>
          <w:color w:val="231F20"/>
          <w:spacing w:val="-2"/>
        </w:rPr>
        <w:t>等</w:t>
      </w:r>
      <w:r>
        <w:rPr>
          <w:color w:val="231F20"/>
          <w:spacing w:val="-2"/>
        </w:rPr>
        <w:t>.</w:t>
      </w:r>
      <w:r>
        <w:rPr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甲氨蝶呤不</w:t>
      </w:r>
      <w:r>
        <w:rPr>
          <w:rFonts w:ascii="Microsoft YaHei" w:hAnsi="Microsoft YaHei" w:eastAsia="Microsoft YaHei" w:cs="Microsoft YaHei"/>
          <w:color w:val="231F20"/>
          <w:spacing w:val="-3"/>
        </w:rPr>
        <w:t>同给药方法联合腹腔镜手术治疗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输卵管妊娠</w:t>
      </w:r>
      <w:r>
        <w:rPr>
          <w:color w:val="231F20"/>
          <w:spacing w:val="-2"/>
        </w:rPr>
        <w:t>[J].</w:t>
      </w:r>
      <w:r>
        <w:rPr>
          <w:rFonts w:ascii="Microsoft YaHei" w:hAnsi="Microsoft YaHei" w:eastAsia="Microsoft YaHei" w:cs="Microsoft YaHei"/>
          <w:color w:val="231F20"/>
          <w:spacing w:val="-2"/>
        </w:rPr>
        <w:t>中华医学杂志</w:t>
      </w:r>
      <w:r>
        <w:rPr>
          <w:color w:val="231F20"/>
          <w:spacing w:val="-2"/>
        </w:rPr>
        <w:t>,2015,95(45</w:t>
      </w:r>
      <w:r>
        <w:rPr>
          <w:color w:val="231F20"/>
          <w:spacing w:val="-3"/>
        </w:rPr>
        <w:t>):3663-3666.</w:t>
      </w:r>
    </w:p>
    <w:p>
      <w:pPr>
        <w:pStyle w:val="BodyText"/>
        <w:ind w:left="377" w:right="1" w:hanging="368"/>
        <w:spacing w:before="41" w:line="207" w:lineRule="auto"/>
        <w:rPr/>
      </w:pPr>
      <w:r>
        <w:rPr>
          <w:color w:val="231F20"/>
        </w:rPr>
        <w:t>[2]    </w:t>
      </w:r>
      <w:r>
        <w:rPr>
          <w:rFonts w:ascii="Microsoft YaHei" w:hAnsi="Microsoft YaHei" w:eastAsia="Microsoft YaHei" w:cs="Microsoft YaHei"/>
          <w:color w:val="231F20"/>
        </w:rPr>
        <w:t>杨娟</w:t>
      </w:r>
      <w:r>
        <w:rPr>
          <w:color w:val="231F20"/>
        </w:rPr>
        <w:t>,</w:t>
      </w:r>
      <w:r>
        <w:rPr>
          <w:rFonts w:ascii="Microsoft YaHei" w:hAnsi="Microsoft YaHei" w:eastAsia="Microsoft YaHei" w:cs="Microsoft YaHei"/>
          <w:color w:val="231F20"/>
        </w:rPr>
        <w:t>张庆华</w:t>
      </w:r>
      <w:r>
        <w:rPr>
          <w:color w:val="231F20"/>
        </w:rPr>
        <w:t>.</w:t>
      </w:r>
      <w:r>
        <w:rPr>
          <w:rFonts w:ascii="Microsoft YaHei" w:hAnsi="Microsoft YaHei" w:eastAsia="Microsoft YaHei" w:cs="Microsoft YaHei"/>
          <w:color w:val="231F20"/>
        </w:rPr>
        <w:t>垂体后叶素联合甲氨蝶呤用于腹腔镜下输卵管妊</w:t>
      </w:r>
      <w:r>
        <w:rPr>
          <w:rFonts w:ascii="Microsoft YaHei" w:hAnsi="Microsoft YaHei" w:eastAsia="Microsoft YaHei" w:cs="Microsoft YaHei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娠切开术</w:t>
      </w:r>
      <w:r>
        <w:rPr>
          <w:color w:val="231F20"/>
          <w:spacing w:val="-2"/>
        </w:rPr>
        <w:t>60</w:t>
      </w:r>
      <w:r>
        <w:rPr>
          <w:rFonts w:ascii="Microsoft YaHei" w:hAnsi="Microsoft YaHei" w:eastAsia="Microsoft YaHei" w:cs="Microsoft YaHei"/>
          <w:color w:val="231F20"/>
          <w:spacing w:val="-2"/>
        </w:rPr>
        <w:t>例分析</w:t>
      </w:r>
      <w:r>
        <w:rPr>
          <w:color w:val="231F20"/>
          <w:spacing w:val="-2"/>
        </w:rPr>
        <w:t>[J].</w:t>
      </w:r>
      <w:r>
        <w:rPr>
          <w:rFonts w:ascii="Microsoft YaHei" w:hAnsi="Microsoft YaHei" w:eastAsia="Microsoft YaHei" w:cs="Microsoft YaHei"/>
          <w:color w:val="231F20"/>
          <w:spacing w:val="-2"/>
        </w:rPr>
        <w:t>实用妇产科杂志</w:t>
      </w:r>
      <w:r>
        <w:rPr>
          <w:color w:val="231F20"/>
          <w:spacing w:val="-2"/>
        </w:rPr>
        <w:t>,2014,30(3):232-234.</w:t>
      </w:r>
    </w:p>
    <w:p>
      <w:pPr>
        <w:pStyle w:val="BodyText"/>
        <w:ind w:left="380" w:right="1" w:hanging="371"/>
        <w:spacing w:before="41" w:line="226" w:lineRule="auto"/>
        <w:rPr/>
      </w:pPr>
      <w:r>
        <w:rPr>
          <w:color w:val="231F20"/>
          <w:spacing w:val="2"/>
        </w:rPr>
        <w:t>[3]    </w:t>
      </w:r>
      <w:r>
        <w:rPr>
          <w:rFonts w:ascii="Microsoft YaHei" w:hAnsi="Microsoft YaHei" w:eastAsia="Microsoft YaHei" w:cs="Microsoft YaHei"/>
          <w:color w:val="231F20"/>
          <w:spacing w:val="2"/>
        </w:rPr>
        <w:t>郭刚</w:t>
      </w:r>
      <w:r>
        <w:rPr>
          <w:color w:val="231F20"/>
          <w:spacing w:val="2"/>
        </w:rPr>
        <w:t>.</w:t>
      </w:r>
      <w:r>
        <w:rPr>
          <w:rFonts w:ascii="Microsoft YaHei" w:hAnsi="Microsoft YaHei" w:eastAsia="Microsoft YaHei" w:cs="Microsoft YaHei"/>
          <w:color w:val="231F20"/>
          <w:spacing w:val="2"/>
        </w:rPr>
        <w:t>腹腔镜手术后米非司酮联合甲氨</w:t>
      </w:r>
      <w:r>
        <w:rPr>
          <w:rFonts w:ascii="Microsoft YaHei" w:hAnsi="Microsoft YaHei" w:eastAsia="Microsoft YaHei" w:cs="Microsoft YaHei"/>
          <w:color w:val="231F20"/>
          <w:spacing w:val="1"/>
        </w:rPr>
        <w:t>蝶呤预防输卵管妊娠后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持续性异位妊娠临床疗效分析</w:t>
      </w:r>
      <w:r>
        <w:rPr>
          <w:color w:val="231F20"/>
          <w:spacing w:val="-1"/>
        </w:rPr>
        <w:t>[J].</w:t>
      </w:r>
      <w:r>
        <w:rPr>
          <w:rFonts w:ascii="Microsoft YaHei" w:hAnsi="Microsoft YaHei" w:eastAsia="Microsoft YaHei" w:cs="Microsoft YaHei"/>
          <w:color w:val="231F20"/>
          <w:spacing w:val="-1"/>
        </w:rPr>
        <w:t>中国计划生育学杂志</w:t>
      </w:r>
      <w:r>
        <w:rPr>
          <w:color w:val="231F20"/>
          <w:spacing w:val="-1"/>
        </w:rPr>
        <w:t>,2</w:t>
      </w:r>
      <w:r>
        <w:rPr>
          <w:color w:val="231F20"/>
          <w:spacing w:val="-2"/>
        </w:rPr>
        <w:t>015,23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(11):766-768.</w:t>
      </w:r>
    </w:p>
    <w:p>
      <w:pPr>
        <w:pStyle w:val="BodyText"/>
        <w:ind w:left="388" w:right="1" w:hanging="379"/>
        <w:spacing w:before="85" w:line="212" w:lineRule="auto"/>
        <w:rPr/>
      </w:pPr>
      <w:r>
        <w:rPr>
          <w:color w:val="231F20"/>
          <w:spacing w:val="-2"/>
        </w:rPr>
        <w:t>[4]    </w:t>
      </w:r>
      <w:r>
        <w:rPr>
          <w:rFonts w:ascii="Microsoft YaHei" w:hAnsi="Microsoft YaHei" w:eastAsia="Microsoft YaHei" w:cs="Microsoft YaHei"/>
          <w:color w:val="231F20"/>
          <w:spacing w:val="-2"/>
        </w:rPr>
        <w:t>唐海英</w:t>
      </w:r>
      <w:r>
        <w:rPr>
          <w:color w:val="231F20"/>
          <w:spacing w:val="-2"/>
        </w:rPr>
        <w:t>,</w:t>
      </w:r>
      <w:r>
        <w:rPr>
          <w:rFonts w:ascii="Microsoft YaHei" w:hAnsi="Microsoft YaHei" w:eastAsia="Microsoft YaHei" w:cs="Microsoft YaHei"/>
          <w:color w:val="231F20"/>
          <w:spacing w:val="-2"/>
        </w:rPr>
        <w:t>郑东明</w:t>
      </w:r>
      <w:r>
        <w:rPr>
          <w:color w:val="231F20"/>
          <w:spacing w:val="-2"/>
        </w:rPr>
        <w:t>,</w:t>
      </w:r>
      <w:r>
        <w:rPr>
          <w:rFonts w:ascii="Microsoft YaHei" w:hAnsi="Microsoft YaHei" w:eastAsia="Microsoft YaHei" w:cs="Microsoft YaHei"/>
          <w:color w:val="231F20"/>
          <w:spacing w:val="-2"/>
        </w:rPr>
        <w:t>张姗姗</w:t>
      </w:r>
      <w:r>
        <w:rPr>
          <w:color w:val="231F20"/>
          <w:spacing w:val="-2"/>
        </w:rPr>
        <w:t>,</w:t>
      </w:r>
      <w:r>
        <w:rPr>
          <w:rFonts w:ascii="Microsoft YaHei" w:hAnsi="Microsoft YaHei" w:eastAsia="Microsoft YaHei" w:cs="Microsoft YaHei"/>
          <w:color w:val="231F20"/>
          <w:spacing w:val="-2"/>
        </w:rPr>
        <w:t>等</w:t>
      </w:r>
      <w:r>
        <w:rPr>
          <w:color w:val="231F20"/>
          <w:spacing w:val="-2"/>
        </w:rPr>
        <w:t>.</w:t>
      </w:r>
      <w:r>
        <w:rPr>
          <w:rFonts w:ascii="Microsoft YaHei" w:hAnsi="Microsoft YaHei" w:eastAsia="Microsoft YaHei" w:cs="Microsoft YaHei"/>
          <w:color w:val="231F20"/>
          <w:spacing w:val="-2"/>
        </w:rPr>
        <w:t>宫外孕治疗方剂、米非司酮与甲氨蝶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呤对难治性输卵管妊娠包块大小及对患者血清β</w:t>
      </w:r>
      <w:r>
        <w:rPr>
          <w:color w:val="231F20"/>
          <w:spacing w:val="3"/>
        </w:rPr>
        <w:t>-</w:t>
      </w:r>
      <w:r>
        <w:rPr>
          <w:color w:val="231F20"/>
        </w:rPr>
        <w:t>HCG</w:t>
      </w:r>
      <w:r>
        <w:rPr>
          <w:rFonts w:ascii="Microsoft YaHei" w:hAnsi="Microsoft YaHei" w:eastAsia="Microsoft YaHei" w:cs="Microsoft YaHei"/>
          <w:color w:val="231F20"/>
          <w:spacing w:val="3"/>
        </w:rPr>
        <w:t>值的影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响</w:t>
      </w:r>
      <w:r>
        <w:rPr>
          <w:color w:val="231F20"/>
          <w:spacing w:val="-3"/>
        </w:rPr>
        <w:t>[J].</w:t>
      </w:r>
      <w:r>
        <w:rPr>
          <w:rFonts w:ascii="Microsoft YaHei" w:hAnsi="Microsoft YaHei" w:eastAsia="Microsoft YaHei" w:cs="Microsoft YaHei"/>
          <w:color w:val="231F20"/>
          <w:spacing w:val="-3"/>
        </w:rPr>
        <w:t>中国生化药物杂志</w:t>
      </w:r>
      <w:r>
        <w:rPr>
          <w:color w:val="231F20"/>
          <w:spacing w:val="-3"/>
        </w:rPr>
        <w:t>,2017(4):66-68.</w:t>
      </w:r>
    </w:p>
    <w:p>
      <w:pPr>
        <w:pStyle w:val="BodyText"/>
        <w:ind w:left="376" w:right="1" w:hanging="367"/>
        <w:spacing w:before="7" w:line="322" w:lineRule="auto"/>
        <w:rPr/>
      </w:pPr>
      <w:r>
        <w:rPr>
          <w:color w:val="231F20"/>
          <w:spacing w:val="7"/>
        </w:rPr>
        <w:t>[5]    </w:t>
      </w:r>
      <w:r>
        <w:rPr>
          <w:color w:val="231F20"/>
        </w:rPr>
        <w:t>Smolen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JS</w:t>
      </w:r>
      <w:r>
        <w:rPr>
          <w:color w:val="231F20"/>
          <w:spacing w:val="7"/>
        </w:rPr>
        <w:t>,</w:t>
      </w:r>
      <w:r>
        <w:rPr>
          <w:color w:val="231F20"/>
        </w:rPr>
        <w:t>Emery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P</w:t>
      </w:r>
      <w:r>
        <w:rPr>
          <w:color w:val="231F20"/>
          <w:spacing w:val="7"/>
        </w:rPr>
        <w:t>,</w:t>
      </w:r>
      <w:r>
        <w:rPr>
          <w:color w:val="231F20"/>
        </w:rPr>
        <w:t>Fleischmann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7"/>
        </w:rPr>
        <w:t>,</w:t>
      </w:r>
      <w:r>
        <w:rPr>
          <w:color w:val="231F20"/>
        </w:rPr>
        <w:t>et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7"/>
        </w:rPr>
        <w:t>.</w:t>
      </w:r>
      <w:r>
        <w:rPr>
          <w:color w:val="231F20"/>
        </w:rPr>
        <w:t>Adjustment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therapy </w:t>
      </w:r>
      <w:r>
        <w:rPr>
          <w:color w:val="231F20"/>
          <w:spacing w:val="5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rheumatoid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5"/>
        </w:rPr>
        <w:t>arthritis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5"/>
        </w:rPr>
        <w:t>on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5"/>
        </w:rPr>
        <w:t>basis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5"/>
        </w:rPr>
        <w:t>of achievement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5"/>
        </w:rPr>
        <w:t>of sta</w:t>
      </w:r>
      <w:r>
        <w:rPr>
          <w:color w:val="231F20"/>
          <w:spacing w:val="4"/>
        </w:rPr>
        <w:t>ble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low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6"/>
        </w:rPr>
        <w:t>disease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6"/>
        </w:rPr>
        <w:t>activity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with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6"/>
        </w:rPr>
        <w:t>adalimumab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plus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6"/>
        </w:rPr>
        <w:t>methotrexate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6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methotrexate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alone: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3"/>
        </w:rPr>
        <w:t>randomised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controlled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OPTIMA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trial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[J].Lancet,2014,383(9914):321-332.</w:t>
      </w:r>
    </w:p>
    <w:p>
      <w:pPr>
        <w:pStyle w:val="BodyText"/>
        <w:ind w:left="394" w:right="1" w:hanging="385"/>
        <w:spacing w:before="84" w:line="189" w:lineRule="auto"/>
        <w:rPr/>
      </w:pPr>
      <w:r>
        <w:rPr>
          <w:color w:val="231F20"/>
        </w:rPr>
        <w:t>[6]    </w:t>
      </w:r>
      <w:r>
        <w:rPr>
          <w:rFonts w:ascii="Microsoft YaHei" w:hAnsi="Microsoft YaHei" w:eastAsia="Microsoft YaHei" w:cs="Microsoft YaHei"/>
          <w:color w:val="231F20"/>
        </w:rPr>
        <w:t>尹淑萍</w:t>
      </w:r>
      <w:r>
        <w:rPr>
          <w:color w:val="231F20"/>
        </w:rPr>
        <w:t>.</w:t>
      </w:r>
      <w:r>
        <w:rPr>
          <w:rFonts w:ascii="Microsoft YaHei" w:hAnsi="Microsoft YaHei" w:eastAsia="Microsoft YaHei" w:cs="Microsoft YaHei"/>
          <w:color w:val="231F20"/>
        </w:rPr>
        <w:t>腹腔镜输卵管妊娠保守性手术联合药物临床探讨</w:t>
      </w:r>
      <w:r>
        <w:rPr>
          <w:color w:val="231F20"/>
        </w:rPr>
        <w:t>[J].</w:t>
      </w:r>
      <w:r>
        <w:rPr>
          <w:rFonts w:ascii="Microsoft YaHei" w:hAnsi="Microsoft YaHei" w:eastAsia="Microsoft YaHei" w:cs="Microsoft YaHei"/>
          <w:color w:val="231F20"/>
        </w:rPr>
        <w:t>中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国医刊</w:t>
      </w:r>
      <w:r>
        <w:rPr>
          <w:color w:val="231F20"/>
          <w:spacing w:val="-2"/>
        </w:rPr>
        <w:t>,2013,48(12):84-8</w:t>
      </w:r>
      <w:r>
        <w:rPr>
          <w:color w:val="231F20"/>
          <w:spacing w:val="-3"/>
        </w:rPr>
        <w:t>6.</w:t>
      </w:r>
    </w:p>
    <w:p>
      <w:pPr>
        <w:spacing w:line="189" w:lineRule="auto"/>
        <w:sectPr>
          <w:type w:val="continuous"/>
          <w:pgSz w:w="11906" w:h="16158"/>
          <w:pgMar w:top="400" w:right="848" w:bottom="0" w:left="407" w:header="0" w:footer="0" w:gutter="0"/>
          <w:cols w:equalWidth="0" w:num="2">
            <w:col w:w="5648" w:space="100"/>
            <w:col w:w="4901" w:space="0"/>
          </w:cols>
        </w:sectPr>
        <w:rPr/>
      </w:pPr>
    </w:p>
    <w:p>
      <w:pPr>
        <w:spacing w:before="52"/>
        <w:rPr/>
      </w:pPr>
      <w:r/>
    </w:p>
    <w:p>
      <w:pPr>
        <w:sectPr>
          <w:headerReference w:type="default" r:id="rId2"/>
          <w:pgSz w:w="11906" w:h="16158"/>
          <w:pgMar w:top="400" w:right="848" w:bottom="0" w:left="407" w:header="0" w:footer="0" w:gutter="0"/>
          <w:cols w:equalWidth="0" w:num="1">
            <w:col w:w="10649" w:space="0"/>
          </w:cols>
        </w:sectPr>
        <w:rPr/>
      </w:pPr>
    </w:p>
    <w:p>
      <w:pPr>
        <w:ind w:left="440"/>
        <w:spacing w:before="53" w:line="219" w:lineRule="auto"/>
        <w:tabs>
          <w:tab w:val="left" w:pos="612"/>
        </w:tabs>
        <w:rPr>
          <w:rFonts w:ascii="Microsoft YaHei" w:hAnsi="Microsoft YaHei" w:eastAsia="Microsoft YaHei" w:cs="Microsoft YaHei"/>
          <w:sz w:val="21"/>
          <w:szCs w:val="21"/>
        </w:rPr>
      </w:pPr>
      <w:r>
        <w:rPr>
          <w:shd w:val="clear" w:fill="231F20"/>
          <w:rFonts w:ascii="Microsoft YaHei" w:hAnsi="Microsoft YaHei" w:eastAsia="Microsoft YaHei" w:cs="Microsoft YaHei"/>
          <w:sz w:val="21"/>
          <w:szCs w:val="21"/>
          <w:u w:val="single" w:color="231F20"/>
          <w:color w:val="FFFFFF"/>
        </w:rPr>
        <w:tab/>
      </w:r>
      <w:r>
        <w:rPr>
          <w:shd w:val="clear" w:fill="231F20"/>
          <w:rFonts w:ascii="Microsoft YaHei" w:hAnsi="Microsoft YaHei" w:eastAsia="Microsoft YaHei" w:cs="Microsoft YaHei"/>
          <w:sz w:val="21"/>
          <w:szCs w:val="21"/>
          <w:u w:val="single" w:color="231F20"/>
          <w:color w:val="FFFFFF"/>
          <w:spacing w:val="-14"/>
        </w:rPr>
        <w:t>中  国  医  药  指  南   </w:t>
      </w:r>
      <w:r>
        <w:rPr>
          <w:rFonts w:ascii="Microsoft YaHei" w:hAnsi="Microsoft YaHei" w:eastAsia="Microsoft YaHei" w:cs="Microsoft YaHei"/>
          <w:sz w:val="21"/>
          <w:szCs w:val="21"/>
          <w:u w:val="single" w:color="231F20"/>
          <w:color w:val="FFFFFF"/>
          <w:spacing w:val="-14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4"/>
        </w:rPr>
        <w:t>2019 年 10 月第 17 卷  第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5"/>
        </w:rPr>
        <w:t xml:space="preserve"> 29 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98" w:line="170" w:lineRule="auto"/>
        <w:jc w:val="right"/>
        <w:rPr/>
      </w:pPr>
      <w:r>
        <w:rPr>
          <w:sz w:val="24"/>
          <w:szCs w:val="24"/>
          <w:color w:val="231F20"/>
          <w:spacing w:val="-5"/>
          <w:position w:val="-1"/>
        </w:rPr>
        <w:t>•</w:t>
      </w:r>
      <w:r>
        <w:rPr>
          <w:sz w:val="24"/>
          <w:szCs w:val="24"/>
          <w:color w:val="231F20"/>
          <w:spacing w:val="12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5"/>
        </w:rPr>
        <w:t>临床研究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62"/>
        </w:rPr>
        <w:t xml:space="preserve"> </w:t>
      </w:r>
      <w:r>
        <w:rPr>
          <w:sz w:val="24"/>
          <w:szCs w:val="24"/>
          <w:color w:val="231F20"/>
          <w:spacing w:val="-5"/>
          <w:position w:val="-1"/>
        </w:rPr>
        <w:t>•     </w:t>
      </w:r>
      <w:r>
        <w:rPr>
          <w:color w:val="231F20"/>
          <w:spacing w:val="-5"/>
          <w:position w:val="1"/>
        </w:rPr>
        <w:t>43</w:t>
      </w:r>
    </w:p>
    <w:p>
      <w:pPr>
        <w:spacing w:line="170" w:lineRule="auto"/>
        <w:sectPr>
          <w:type w:val="continuous"/>
          <w:pgSz w:w="11906" w:h="16158"/>
          <w:pgMar w:top="400" w:right="848" w:bottom="0" w:left="407" w:header="0" w:footer="0" w:gutter="0"/>
          <w:cols w:equalWidth="0" w:num="2">
            <w:col w:w="8736" w:space="100"/>
            <w:col w:w="1814" w:space="0"/>
          </w:cols>
        </w:sectPr>
        <w:rPr/>
      </w:pPr>
    </w:p>
    <w:p>
      <w:pPr>
        <w:spacing w:line="329" w:lineRule="auto"/>
        <w:rPr>
          <w:rFonts w:ascii="Arial"/>
          <w:sz w:val="21"/>
        </w:rPr>
      </w:pPr>
      <w:r/>
    </w:p>
    <w:p>
      <w:pPr>
        <w:spacing w:line="329" w:lineRule="auto"/>
        <w:rPr>
          <w:rFonts w:ascii="Arial"/>
          <w:sz w:val="21"/>
        </w:rPr>
      </w:pPr>
      <w:r/>
    </w:p>
    <w:p>
      <w:pPr>
        <w:ind w:right="49"/>
        <w:spacing w:before="129" w:line="184" w:lineRule="auto"/>
        <w:outlineLvl w:val="1"/>
        <w:jc w:val="right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231F20"/>
          <w:spacing w:val="-1"/>
        </w:rPr>
        <w:t>阿昔洛韦滴眼液+糖皮质激素对重度病毒性角膜炎的治疗效果及不良</w:t>
      </w:r>
      <w:r>
        <w:rPr>
          <w:rFonts w:ascii="Microsoft YaHei" w:hAnsi="Microsoft YaHei" w:eastAsia="Microsoft YaHei" w:cs="Microsoft YaHei"/>
          <w:sz w:val="30"/>
          <w:szCs w:val="30"/>
          <w:color w:val="231F20"/>
          <w:spacing w:val="-2"/>
        </w:rPr>
        <w:t>反应分析</w:t>
      </w:r>
    </w:p>
    <w:p>
      <w:pPr>
        <w:ind w:left="5277"/>
        <w:spacing w:before="227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崔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颖</w:t>
      </w:r>
    </w:p>
    <w:p>
      <w:pPr>
        <w:pStyle w:val="BodyText"/>
        <w:ind w:left="3726"/>
        <w:spacing w:before="58" w:line="18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（葫芦岛爱尔眼科医院，辽宁 葫芦岛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3"/>
        </w:rPr>
        <w:t>125001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）</w:t>
      </w:r>
    </w:p>
    <w:p>
      <w:pPr>
        <w:pStyle w:val="BodyText"/>
        <w:ind w:left="444" w:right="1" w:hanging="70"/>
        <w:spacing w:before="266" w:line="235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</w:rPr>
        <w:t>【</w:t>
      </w:r>
      <w:r>
        <w:rPr>
          <w:rFonts w:ascii="Microsoft YaHei" w:hAnsi="Microsoft YaHei" w:eastAsia="Microsoft YaHei" w:cs="Microsoft YaHei"/>
          <w:color w:val="231F20"/>
        </w:rPr>
        <w:t>摘要</w:t>
      </w:r>
      <w:r>
        <w:rPr>
          <w:rFonts w:ascii="SimSun" w:hAnsi="SimSun" w:eastAsia="SimSun" w:cs="SimSun"/>
          <w:color w:val="231F20"/>
        </w:rPr>
        <w:t>】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目的  </w:t>
      </w:r>
      <w:r>
        <w:rPr>
          <w:rFonts w:ascii="SimSun" w:hAnsi="SimSun" w:eastAsia="SimSun" w:cs="SimSun"/>
          <w:color w:val="231F20"/>
        </w:rPr>
        <w:t>分析阿昔洛韦（</w:t>
      </w:r>
      <w:r>
        <w:rPr>
          <w:color w:val="231F20"/>
        </w:rPr>
        <w:t>ACV</w:t>
      </w:r>
      <w:r>
        <w:rPr>
          <w:rFonts w:ascii="SimSun" w:hAnsi="SimSun" w:eastAsia="SimSun" w:cs="SimSun"/>
          <w:color w:val="231F20"/>
        </w:rPr>
        <w:t>）滴眼液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color w:val="231F20"/>
        </w:rPr>
        <w:t>+</w:t>
      </w:r>
      <w:r>
        <w:rPr>
          <w:color w:val="231F20"/>
          <w:spacing w:val="13"/>
          <w:w w:val="101"/>
        </w:rPr>
        <w:t xml:space="preserve"> </w:t>
      </w:r>
      <w:r>
        <w:rPr>
          <w:rFonts w:ascii="SimSun" w:hAnsi="SimSun" w:eastAsia="SimSun" w:cs="SimSun"/>
          <w:color w:val="231F20"/>
        </w:rPr>
        <w:t>糖皮质激素（</w:t>
      </w:r>
      <w:r>
        <w:rPr>
          <w:color w:val="231F20"/>
        </w:rPr>
        <w:t>ICS</w:t>
      </w:r>
      <w:r>
        <w:rPr>
          <w:rFonts w:ascii="SimSun" w:hAnsi="SimSun" w:eastAsia="SimSun" w:cs="SimSun"/>
          <w:color w:val="231F20"/>
        </w:rPr>
        <w:t>）对重度病毒性角膜炎（</w:t>
      </w:r>
      <w:r>
        <w:rPr>
          <w:color w:val="231F20"/>
        </w:rPr>
        <w:t>AVK</w:t>
      </w:r>
      <w:r>
        <w:rPr>
          <w:rFonts w:ascii="SimSun" w:hAnsi="SimSun" w:eastAsia="SimSun" w:cs="SimSun"/>
          <w:color w:val="231F20"/>
        </w:rPr>
        <w:t>）的治疗效果及不良</w:t>
      </w:r>
      <w:r>
        <w:rPr>
          <w:rFonts w:ascii="SimSun" w:hAnsi="SimSun" w:eastAsia="SimSun" w:cs="SimSun"/>
          <w:color w:val="231F20"/>
          <w:spacing w:val="-1"/>
        </w:rPr>
        <w:t>反应。</w:t>
      </w:r>
      <w:r>
        <w:rPr>
          <w:rFonts w:ascii="Microsoft YaHei" w:hAnsi="Microsoft YaHei" w:eastAsia="Microsoft YaHei" w:cs="Microsoft YaHei"/>
          <w:color w:val="231F20"/>
          <w:spacing w:val="-1"/>
        </w:rPr>
        <w:t>方法  </w:t>
      </w:r>
      <w:r>
        <w:rPr>
          <w:rFonts w:ascii="SimSun" w:hAnsi="SimSun" w:eastAsia="SimSun" w:cs="SimSun"/>
          <w:color w:val="231F20"/>
          <w:spacing w:val="-1"/>
        </w:rPr>
        <w:t>本研究主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体为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color w:val="231F20"/>
          <w:spacing w:val="-4"/>
        </w:rPr>
        <w:t>2015 </w:t>
      </w:r>
      <w:r>
        <w:rPr>
          <w:rFonts w:ascii="SimSun" w:hAnsi="SimSun" w:eastAsia="SimSun" w:cs="SimSun"/>
          <w:color w:val="231F20"/>
          <w:spacing w:val="-4"/>
        </w:rPr>
        <w:t>年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color w:val="231F20"/>
          <w:spacing w:val="-4"/>
        </w:rPr>
        <w:t>2</w:t>
      </w:r>
      <w:r>
        <w:rPr>
          <w:color w:val="231F20"/>
          <w:spacing w:val="29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月至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color w:val="231F20"/>
          <w:spacing w:val="-4"/>
        </w:rPr>
        <w:t>2017 </w:t>
      </w:r>
      <w:r>
        <w:rPr>
          <w:rFonts w:ascii="SimSun" w:hAnsi="SimSun" w:eastAsia="SimSun" w:cs="SimSun"/>
          <w:color w:val="231F20"/>
          <w:spacing w:val="-4"/>
        </w:rPr>
        <w:t>年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color w:val="231F20"/>
          <w:spacing w:val="-4"/>
        </w:rPr>
        <w:t>4  </w:t>
      </w:r>
      <w:r>
        <w:rPr>
          <w:rFonts w:ascii="SimSun" w:hAnsi="SimSun" w:eastAsia="SimSun" w:cs="SimSun"/>
          <w:color w:val="231F20"/>
          <w:spacing w:val="-4"/>
        </w:rPr>
        <w:t>月间来院治疗的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color w:val="231F20"/>
          <w:spacing w:val="-4"/>
        </w:rPr>
        <w:t>50</w:t>
      </w:r>
      <w:r>
        <w:rPr>
          <w:color w:val="231F20"/>
          <w:spacing w:val="11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例（</w:t>
      </w:r>
      <w:r>
        <w:rPr>
          <w:color w:val="231F20"/>
          <w:spacing w:val="-5"/>
        </w:rPr>
        <w:t>56</w:t>
      </w:r>
      <w:r>
        <w:rPr>
          <w:color w:val="231F20"/>
          <w:spacing w:val="19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眼）</w:t>
      </w:r>
      <w:r>
        <w:rPr>
          <w:color w:val="231F20"/>
          <w:spacing w:val="-5"/>
        </w:rPr>
        <w:t>AVK</w:t>
      </w:r>
      <w:r>
        <w:rPr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患者。分为 </w:t>
      </w:r>
      <w:r>
        <w:rPr>
          <w:color w:val="231F20"/>
          <w:spacing w:val="-5"/>
        </w:rPr>
        <w:t>A</w:t>
      </w:r>
      <w:r>
        <w:rPr>
          <w:color w:val="231F20"/>
          <w:spacing w:val="17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组和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color w:val="231F20"/>
          <w:spacing w:val="-5"/>
        </w:rPr>
        <w:t>B</w:t>
      </w:r>
      <w:r>
        <w:rPr>
          <w:color w:val="231F20"/>
          <w:spacing w:val="17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组，均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color w:val="231F20"/>
          <w:spacing w:val="-5"/>
        </w:rPr>
        <w:t>25</w:t>
      </w:r>
      <w:r>
        <w:rPr>
          <w:color w:val="231F20"/>
          <w:spacing w:val="11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例（</w:t>
      </w:r>
      <w:r>
        <w:rPr>
          <w:color w:val="231F20"/>
          <w:spacing w:val="-5"/>
        </w:rPr>
        <w:t>27</w:t>
      </w:r>
      <w:r>
        <w:rPr>
          <w:color w:val="231F20"/>
          <w:spacing w:val="19"/>
          <w:w w:val="102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眼和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color w:val="231F20"/>
          <w:spacing w:val="-5"/>
        </w:rPr>
        <w:t>29</w:t>
      </w:r>
      <w:r>
        <w:rPr>
          <w:color w:val="231F20"/>
          <w:spacing w:val="20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眼</w:t>
      </w:r>
      <w:r>
        <w:rPr>
          <w:rFonts w:ascii="SimSun" w:hAnsi="SimSun" w:eastAsia="SimSun" w:cs="SimSun"/>
          <w:color w:val="231F20"/>
          <w:spacing w:val="-29"/>
        </w:rPr>
        <w:t>），</w:t>
      </w:r>
      <w:r>
        <w:rPr>
          <w:rFonts w:ascii="SimSun" w:hAnsi="SimSun" w:eastAsia="SimSun" w:cs="SimSun"/>
          <w:color w:val="231F20"/>
          <w:spacing w:val="-5"/>
        </w:rPr>
        <w:t>分别行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color w:val="231F20"/>
          <w:spacing w:val="-5"/>
        </w:rPr>
        <w:t>ACV</w:t>
      </w:r>
      <w:r>
        <w:rPr>
          <w:color w:val="231F20"/>
          <w:spacing w:val="17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滴眼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液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color w:val="231F20"/>
          <w:spacing w:val="-2"/>
        </w:rPr>
        <w:t>+ICS</w:t>
      </w:r>
      <w:r>
        <w:rPr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与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color w:val="231F20"/>
          <w:spacing w:val="-2"/>
        </w:rPr>
        <w:t>ACV</w:t>
      </w:r>
      <w:r>
        <w:rPr>
          <w:color w:val="231F20"/>
          <w:spacing w:val="18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滴眼液单纯治疗。对比两组临床疗效。</w:t>
      </w:r>
      <w:r>
        <w:rPr>
          <w:rFonts w:ascii="Microsoft YaHei" w:hAnsi="Microsoft YaHei" w:eastAsia="Microsoft YaHei" w:cs="Microsoft YaHei"/>
          <w:color w:val="231F20"/>
          <w:spacing w:val="-2"/>
        </w:rPr>
        <w:t>结果</w:t>
      </w:r>
      <w:r>
        <w:rPr>
          <w:rFonts w:ascii="Microsoft YaHei" w:hAnsi="Microsoft YaHei" w:eastAsia="Microsoft YaHei" w:cs="Microsoft YaHei"/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17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组的疗效为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-2"/>
        </w:rPr>
        <w:t>92.59%</w:t>
      </w:r>
      <w:r>
        <w:rPr>
          <w:rFonts w:ascii="SimSun" w:hAnsi="SimSun" w:eastAsia="SimSun" w:cs="SimSun"/>
          <w:color w:val="231F20"/>
          <w:spacing w:val="-2"/>
        </w:rPr>
        <w:t>，</w:t>
      </w:r>
      <w:r>
        <w:rPr>
          <w:color w:val="231F20"/>
          <w:spacing w:val="-2"/>
        </w:rPr>
        <w:t>B</w:t>
      </w:r>
      <w:r>
        <w:rPr>
          <w:color w:val="231F20"/>
          <w:spacing w:val="18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组为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-2"/>
        </w:rPr>
        <w:t>72.41%</w:t>
      </w:r>
      <w:r>
        <w:rPr>
          <w:rFonts w:ascii="SimSun" w:hAnsi="SimSun" w:eastAsia="SimSun" w:cs="SimSun"/>
          <w:color w:val="231F20"/>
          <w:spacing w:val="-2"/>
        </w:rPr>
        <w:t>（</w:t>
      </w:r>
      <w:r>
        <w:rPr>
          <w:i/>
          <w:iCs/>
          <w:color w:val="231F20"/>
          <w:spacing w:val="-2"/>
        </w:rPr>
        <w:t>P</w:t>
      </w:r>
      <w:r>
        <w:rPr>
          <w:i/>
          <w:iCs/>
          <w:color w:val="231F20"/>
          <w:spacing w:val="11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＜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color w:val="231F20"/>
          <w:spacing w:val="-2"/>
        </w:rPr>
        <w:t>0.05</w:t>
      </w:r>
      <w:r>
        <w:rPr>
          <w:rFonts w:ascii="SimSun" w:hAnsi="SimSun" w:eastAsia="SimSun" w:cs="SimSun"/>
          <w:color w:val="231F20"/>
          <w:spacing w:val="-2"/>
        </w:rPr>
        <w:t>）。</w:t>
      </w:r>
      <w:r>
        <w:rPr>
          <w:rFonts w:ascii="SimSun" w:hAnsi="SimSun" w:eastAsia="SimSun" w:cs="SimSun"/>
          <w:color w:val="231F20"/>
          <w:spacing w:val="-3"/>
        </w:rPr>
        <w:t>两组的不良反应发生率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无明显差异（</w:t>
      </w:r>
      <w:r>
        <w:rPr>
          <w:i/>
          <w:iCs/>
          <w:color w:val="231F20"/>
          <w:spacing w:val="-4"/>
        </w:rPr>
        <w:t>P </w:t>
      </w:r>
      <w:r>
        <w:rPr>
          <w:rFonts w:ascii="SimSun" w:hAnsi="SimSun" w:eastAsia="SimSun" w:cs="SimSun"/>
          <w:color w:val="231F20"/>
          <w:spacing w:val="-4"/>
        </w:rPr>
        <w:t>＞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color w:val="231F20"/>
          <w:spacing w:val="-4"/>
        </w:rPr>
        <w:t>0.05</w:t>
      </w:r>
      <w:r>
        <w:rPr>
          <w:rFonts w:ascii="SimSun" w:hAnsi="SimSun" w:eastAsia="SimSun" w:cs="SimSun"/>
          <w:color w:val="231F20"/>
          <w:spacing w:val="-4"/>
        </w:rPr>
        <w:t>）。</w:t>
      </w:r>
      <w:r>
        <w:rPr>
          <w:color w:val="231F20"/>
          <w:spacing w:val="-4"/>
        </w:rPr>
        <w:t>A</w:t>
      </w:r>
      <w:r>
        <w:rPr>
          <w:color w:val="231F20"/>
          <w:spacing w:val="18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组的症状改善效果均优于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color w:val="231F20"/>
          <w:spacing w:val="-4"/>
        </w:rPr>
        <w:t>B</w:t>
      </w:r>
      <w:r>
        <w:rPr>
          <w:color w:val="231F20"/>
          <w:spacing w:val="18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组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；治疗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color w:val="231F20"/>
          <w:spacing w:val="-4"/>
        </w:rPr>
        <w:t>6</w:t>
      </w:r>
      <w:r>
        <w:rPr>
          <w:color w:val="231F20"/>
          <w:spacing w:val="11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个月和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color w:val="231F20"/>
          <w:spacing w:val="-4"/>
        </w:rPr>
        <w:t>1</w:t>
      </w:r>
      <w:r>
        <w:rPr>
          <w:color w:val="231F20"/>
          <w:spacing w:val="1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年的视力水平高于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color w:val="231F20"/>
          <w:spacing w:val="-4"/>
        </w:rPr>
        <w:t>B</w:t>
      </w:r>
      <w:r>
        <w:rPr>
          <w:color w:val="231F20"/>
          <w:spacing w:val="18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组，复发率低于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color w:val="231F20"/>
          <w:spacing w:val="-5"/>
        </w:rPr>
        <w:t>B</w:t>
      </w:r>
      <w:r>
        <w:rPr>
          <w:color w:val="231F20"/>
          <w:spacing w:val="18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组（</w:t>
      </w:r>
      <w:r>
        <w:rPr>
          <w:i/>
          <w:iCs/>
          <w:color w:val="231F20"/>
          <w:spacing w:val="-5"/>
        </w:rPr>
        <w:t>P</w:t>
      </w:r>
      <w:r>
        <w:rPr>
          <w:i/>
          <w:iCs/>
          <w:color w:val="231F20"/>
          <w:spacing w:val="11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＜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color w:val="231F20"/>
          <w:spacing w:val="-5"/>
        </w:rPr>
        <w:t>0.05</w:t>
      </w:r>
      <w:r>
        <w:rPr>
          <w:rFonts w:ascii="SimSun" w:hAnsi="SimSun" w:eastAsia="SimSun" w:cs="SimSun"/>
          <w:color w:val="231F20"/>
          <w:spacing w:val="-5"/>
        </w:rPr>
        <w:t>）。</w:t>
      </w:r>
      <w:r>
        <w:rPr>
          <w:rFonts w:ascii="Microsoft YaHei" w:hAnsi="Microsoft YaHei" w:eastAsia="Microsoft YaHei" w:cs="Microsoft YaHei"/>
          <w:color w:val="231F20"/>
          <w:spacing w:val="-5"/>
        </w:rPr>
        <w:t>结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论  </w:t>
      </w:r>
      <w:r>
        <w:rPr>
          <w:rFonts w:ascii="SimSun" w:hAnsi="SimSun" w:eastAsia="SimSun" w:cs="SimSun"/>
          <w:color w:val="231F20"/>
          <w:spacing w:val="-3"/>
        </w:rPr>
        <w:t>为</w:t>
      </w:r>
      <w:r>
        <w:rPr>
          <w:rFonts w:ascii="SimSun" w:hAnsi="SimSun" w:eastAsia="SimSun" w:cs="SimSun"/>
          <w:color w:val="231F20"/>
          <w:spacing w:val="-23"/>
        </w:rPr>
        <w:t xml:space="preserve"> </w:t>
      </w:r>
      <w:r>
        <w:rPr>
          <w:color w:val="231F20"/>
          <w:spacing w:val="-3"/>
        </w:rPr>
        <w:t>AVK</w:t>
      </w:r>
      <w:r>
        <w:rPr>
          <w:color w:val="231F20"/>
          <w:spacing w:val="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患者行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color w:val="231F20"/>
          <w:spacing w:val="-3"/>
        </w:rPr>
        <w:t>ACV</w:t>
      </w:r>
      <w:r>
        <w:rPr>
          <w:color w:val="231F20"/>
          <w:spacing w:val="16"/>
          <w:w w:val="102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滴眼液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color w:val="231F20"/>
          <w:spacing w:val="-3"/>
        </w:rPr>
        <w:t>+ICS</w:t>
      </w:r>
      <w:r>
        <w:rPr>
          <w:color w:val="231F20"/>
          <w:spacing w:val="19"/>
          <w:w w:val="102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治疗的效果较佳，可改善临床症状，确保治疗安全，且不易复发。</w:t>
      </w:r>
    </w:p>
    <w:p>
      <w:pPr>
        <w:ind w:left="374"/>
        <w:spacing w:before="1" w:line="18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6"/>
        </w:rPr>
        <w:t>【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关键词</w:t>
      </w:r>
      <w:r>
        <w:rPr>
          <w:rFonts w:ascii="SimSun" w:hAnsi="SimSun" w:eastAsia="SimSun" w:cs="SimSun"/>
          <w:sz w:val="17"/>
          <w:szCs w:val="17"/>
          <w:color w:val="231F20"/>
          <w:spacing w:val="-6"/>
        </w:rPr>
        <w:t>】阿昔洛韦滴眼液</w:t>
      </w:r>
      <w:r>
        <w:rPr>
          <w:rFonts w:ascii="SimSun" w:hAnsi="SimSun" w:eastAsia="SimSun" w:cs="SimSun"/>
          <w:sz w:val="17"/>
          <w:szCs w:val="17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6"/>
        </w:rPr>
        <w:t>；糖皮质激素</w:t>
      </w:r>
      <w:r>
        <w:rPr>
          <w:rFonts w:ascii="SimSun" w:hAnsi="SimSun" w:eastAsia="SimSun" w:cs="SimSun"/>
          <w:sz w:val="17"/>
          <w:szCs w:val="17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6"/>
        </w:rPr>
        <w:t>；重度病</w:t>
      </w:r>
      <w:r>
        <w:rPr>
          <w:rFonts w:ascii="SimSun" w:hAnsi="SimSun" w:eastAsia="SimSun" w:cs="SimSun"/>
          <w:sz w:val="17"/>
          <w:szCs w:val="17"/>
          <w:color w:val="231F20"/>
          <w:spacing w:val="-7"/>
        </w:rPr>
        <w:t>毒性角膜炎</w:t>
      </w:r>
      <w:r>
        <w:rPr>
          <w:rFonts w:ascii="SimSun" w:hAnsi="SimSun" w:eastAsia="SimSun" w:cs="SimSun"/>
          <w:sz w:val="17"/>
          <w:szCs w:val="17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7"/>
        </w:rPr>
        <w:t>；治疗效果</w:t>
      </w:r>
      <w:r>
        <w:rPr>
          <w:rFonts w:ascii="SimSun" w:hAnsi="SimSun" w:eastAsia="SimSun" w:cs="SimSun"/>
          <w:sz w:val="17"/>
          <w:szCs w:val="17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7"/>
        </w:rPr>
        <w:t>；不良反应</w:t>
      </w:r>
    </w:p>
    <w:p>
      <w:pPr>
        <w:ind w:left="463"/>
        <w:spacing w:before="44"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中图分类号：R772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.21                 文献标识码：B                         文章编号：1671-8194（2019）29-0043-02</w:t>
      </w:r>
    </w:p>
    <w:p>
      <w:pPr>
        <w:pStyle w:val="BodyText"/>
        <w:ind w:left="360"/>
        <w:spacing w:before="58" w:line="190" w:lineRule="auto"/>
        <w:rPr>
          <w:sz w:val="18"/>
          <w:szCs w:val="18"/>
        </w:rPr>
      </w:pPr>
      <w:r>
        <w:rPr>
          <w:sz w:val="18"/>
          <w:szCs w:val="18"/>
        </w:rPr>
        <w:t>DOI:10.15912/j.cnki.gocm.2019.29</w:t>
      </w:r>
      <w:r>
        <w:rPr>
          <w:sz w:val="18"/>
          <w:szCs w:val="18"/>
          <w:spacing w:val="-1"/>
        </w:rPr>
        <w:t>.036</w:t>
      </w:r>
    </w:p>
    <w:p>
      <w:pPr>
        <w:spacing w:line="158" w:lineRule="exact"/>
        <w:rPr/>
      </w:pPr>
      <w:r/>
    </w:p>
    <w:p>
      <w:pPr>
        <w:spacing w:line="158" w:lineRule="exact"/>
        <w:sectPr>
          <w:type w:val="continuous"/>
          <w:pgSz w:w="11906" w:h="16158"/>
          <w:pgMar w:top="400" w:right="848" w:bottom="0" w:left="407" w:header="0" w:footer="0" w:gutter="0"/>
          <w:cols w:equalWidth="0" w:num="1">
            <w:col w:w="10649" w:space="0"/>
          </w:cols>
        </w:sectPr>
        <w:rPr/>
      </w:pPr>
    </w:p>
    <w:p>
      <w:pPr>
        <w:pStyle w:val="BodyText"/>
        <w:ind w:left="445" w:right="299" w:firstLine="310"/>
        <w:spacing w:before="34" w:line="224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7"/>
        </w:rPr>
        <w:t>AVK</w:t>
      </w:r>
      <w:r>
        <w:rPr>
          <w:rFonts w:ascii="Microsoft YaHei" w:hAnsi="Microsoft YaHei" w:eastAsia="Microsoft YaHei" w:cs="Microsoft YaHei"/>
          <w:color w:val="231F20"/>
          <w:spacing w:val="-7"/>
        </w:rPr>
        <w:t>是临床常见的眼科疾病，其致病因素为滥用抗生素，具有高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复发率，且治疗难度大，可导致视力障碍</w:t>
      </w:r>
      <w:r>
        <w:rPr>
          <w:sz w:val="9"/>
          <w:szCs w:val="9"/>
          <w:color w:val="231F20"/>
          <w:spacing w:val="-4"/>
          <w:position w:val="7"/>
        </w:rPr>
        <w:t>[1]</w:t>
      </w:r>
      <w:r>
        <w:rPr>
          <w:rFonts w:ascii="Microsoft YaHei" w:hAnsi="Microsoft YaHei" w:eastAsia="Microsoft YaHei" w:cs="Microsoft YaHei"/>
          <w:color w:val="231F20"/>
          <w:spacing w:val="-5"/>
        </w:rPr>
        <w:t>。其作为感染性疾病，进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展快且病情危重，症状为畏光、流泪和眼镜酸痛等，潜伏期较长，发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作时间无规律性。临床多通过药物口服或滴眼液等方式治疗该病，但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其使用局限性明显，需要长期用药。本研究主</w:t>
      </w:r>
      <w:r>
        <w:rPr>
          <w:rFonts w:ascii="Microsoft YaHei" w:hAnsi="Microsoft YaHei" w:eastAsia="Microsoft YaHei" w:cs="Microsoft YaHei"/>
          <w:color w:val="231F20"/>
          <w:spacing w:val="-4"/>
        </w:rPr>
        <w:t>体为</w:t>
      </w:r>
      <w:r>
        <w:rPr>
          <w:color w:val="231F20"/>
          <w:spacing w:val="-4"/>
        </w:rPr>
        <w:t>2015</w:t>
      </w:r>
      <w:r>
        <w:rPr>
          <w:rFonts w:ascii="Microsoft YaHei" w:hAnsi="Microsoft YaHei" w:eastAsia="Microsoft YaHei" w:cs="Microsoft YaHei"/>
          <w:color w:val="231F20"/>
          <w:spacing w:val="-4"/>
        </w:rPr>
        <w:t>年</w:t>
      </w:r>
      <w:r>
        <w:rPr>
          <w:color w:val="231F20"/>
          <w:spacing w:val="-4"/>
        </w:rPr>
        <w:t>2</w:t>
      </w:r>
      <w:r>
        <w:rPr>
          <w:rFonts w:ascii="Microsoft YaHei" w:hAnsi="Microsoft YaHei" w:eastAsia="Microsoft YaHei" w:cs="Microsoft YaHei"/>
          <w:color w:val="231F20"/>
          <w:spacing w:val="-4"/>
        </w:rPr>
        <w:t>月至</w:t>
      </w:r>
      <w:r>
        <w:rPr>
          <w:color w:val="231F20"/>
          <w:spacing w:val="-4"/>
        </w:rPr>
        <w:t>2017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年</w:t>
      </w:r>
      <w:r>
        <w:rPr>
          <w:color w:val="231F20"/>
        </w:rPr>
        <w:t>4</w:t>
      </w:r>
      <w:r>
        <w:rPr>
          <w:rFonts w:ascii="Microsoft YaHei" w:hAnsi="Microsoft YaHei" w:eastAsia="Microsoft YaHei" w:cs="Microsoft YaHei"/>
          <w:color w:val="231F20"/>
        </w:rPr>
        <w:t>月间来院治疗的</w:t>
      </w:r>
      <w:r>
        <w:rPr>
          <w:color w:val="231F20"/>
        </w:rPr>
        <w:t>50</w:t>
      </w:r>
      <w:r>
        <w:rPr>
          <w:rFonts w:ascii="Microsoft YaHei" w:hAnsi="Microsoft YaHei" w:eastAsia="Microsoft YaHei" w:cs="Microsoft YaHei"/>
          <w:color w:val="231F20"/>
        </w:rPr>
        <w:t>例（</w:t>
      </w:r>
      <w:r>
        <w:rPr>
          <w:color w:val="231F20"/>
        </w:rPr>
        <w:t>56</w:t>
      </w:r>
      <w:r>
        <w:rPr>
          <w:rFonts w:ascii="Microsoft YaHei" w:hAnsi="Microsoft YaHei" w:eastAsia="Microsoft YaHei" w:cs="Microsoft YaHei"/>
          <w:color w:val="231F20"/>
        </w:rPr>
        <w:t>眼）</w:t>
      </w:r>
      <w:r>
        <w:rPr>
          <w:color w:val="231F20"/>
        </w:rPr>
        <w:t>AVK</w:t>
      </w:r>
      <w:r>
        <w:rPr>
          <w:rFonts w:ascii="Microsoft YaHei" w:hAnsi="Microsoft YaHei" w:eastAsia="Microsoft YaHei" w:cs="Microsoft YaHei"/>
          <w:color w:val="231F20"/>
        </w:rPr>
        <w:t>患者，旨在探究</w:t>
      </w:r>
      <w:r>
        <w:rPr>
          <w:color w:val="231F20"/>
        </w:rPr>
        <w:t>ACV</w:t>
      </w:r>
      <w:r>
        <w:rPr>
          <w:rFonts w:ascii="Microsoft YaHei" w:hAnsi="Microsoft YaHei" w:eastAsia="Microsoft YaHei" w:cs="Microsoft YaHei"/>
          <w:color w:val="231F20"/>
        </w:rPr>
        <w:t>滴眼液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color w:val="231F20"/>
          <w:spacing w:val="-8"/>
        </w:rPr>
        <w:t>+ICS</w:t>
      </w:r>
      <w:r>
        <w:rPr>
          <w:rFonts w:ascii="Microsoft YaHei" w:hAnsi="Microsoft YaHei" w:eastAsia="Microsoft YaHei" w:cs="Microsoft YaHei"/>
          <w:color w:val="231F20"/>
          <w:spacing w:val="-8"/>
        </w:rPr>
        <w:t>的疗效。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"/>
        <w:spacing w:before="32" w:line="185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资料与方法</w:t>
      </w:r>
    </w:p>
    <w:p>
      <w:pPr>
        <w:pStyle w:val="BodyText"/>
        <w:ind w:right="1" w:firstLine="15"/>
        <w:spacing w:before="48" w:line="224" w:lineRule="auto"/>
        <w:jc w:val="both"/>
        <w:rPr/>
      </w:pPr>
      <w:r>
        <w:rPr>
          <w:color w:val="231F20"/>
          <w:spacing w:val="-7"/>
        </w:rPr>
        <w:t>1.1  </w:t>
      </w:r>
      <w:r>
        <w:rPr>
          <w:rFonts w:ascii="Microsoft YaHei" w:hAnsi="Microsoft YaHei" w:eastAsia="Microsoft YaHei" w:cs="Microsoft YaHei"/>
          <w:color w:val="231F20"/>
          <w:spacing w:val="-7"/>
        </w:rPr>
        <w:t>一般资料：选取来院治疗的</w:t>
      </w:r>
      <w:r>
        <w:rPr>
          <w:color w:val="231F20"/>
          <w:spacing w:val="-7"/>
        </w:rPr>
        <w:t>50</w:t>
      </w:r>
      <w:r>
        <w:rPr>
          <w:rFonts w:ascii="Microsoft YaHei" w:hAnsi="Microsoft YaHei" w:eastAsia="Microsoft YaHei" w:cs="Microsoft YaHei"/>
          <w:color w:val="231F20"/>
          <w:spacing w:val="-7"/>
        </w:rPr>
        <w:t>例（</w:t>
      </w:r>
      <w:r>
        <w:rPr>
          <w:color w:val="231F20"/>
          <w:spacing w:val="-7"/>
        </w:rPr>
        <w:t>56</w:t>
      </w:r>
      <w:r>
        <w:rPr>
          <w:rFonts w:ascii="Microsoft YaHei" w:hAnsi="Microsoft YaHei" w:eastAsia="Microsoft YaHei" w:cs="Microsoft YaHei"/>
          <w:color w:val="231F20"/>
          <w:spacing w:val="-7"/>
        </w:rPr>
        <w:t>眼）</w:t>
      </w:r>
      <w:r>
        <w:rPr>
          <w:color w:val="231F20"/>
          <w:spacing w:val="-7"/>
        </w:rPr>
        <w:t>AV</w:t>
      </w:r>
      <w:r>
        <w:rPr>
          <w:color w:val="231F20"/>
          <w:spacing w:val="-8"/>
        </w:rPr>
        <w:t>K</w:t>
      </w:r>
      <w:r>
        <w:rPr>
          <w:rFonts w:ascii="Microsoft YaHei" w:hAnsi="Microsoft YaHei" w:eastAsia="Microsoft YaHei" w:cs="Microsoft YaHei"/>
          <w:color w:val="231F20"/>
          <w:spacing w:val="-8"/>
        </w:rPr>
        <w:t>患者。分为</w:t>
      </w:r>
      <w:r>
        <w:rPr>
          <w:color w:val="231F20"/>
          <w:spacing w:val="-8"/>
        </w:rPr>
        <w:t>A</w:t>
      </w:r>
      <w:r>
        <w:rPr>
          <w:rFonts w:ascii="Microsoft YaHei" w:hAnsi="Microsoft YaHei" w:eastAsia="Microsoft YaHei" w:cs="Microsoft YaHei"/>
          <w:color w:val="231F20"/>
          <w:spacing w:val="-8"/>
        </w:rPr>
        <w:t>组和</w:t>
      </w:r>
      <w:r>
        <w:rPr>
          <w:color w:val="231F20"/>
          <w:spacing w:val="-8"/>
        </w:rPr>
        <w:t>B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组，均</w:t>
      </w:r>
      <w:r>
        <w:rPr>
          <w:color w:val="231F20"/>
          <w:spacing w:val="-4"/>
        </w:rPr>
        <w:t>25</w:t>
      </w:r>
      <w:r>
        <w:rPr>
          <w:rFonts w:ascii="Microsoft YaHei" w:hAnsi="Microsoft YaHei" w:eastAsia="Microsoft YaHei" w:cs="Microsoft YaHei"/>
          <w:color w:val="231F20"/>
          <w:spacing w:val="-4"/>
        </w:rPr>
        <w:t>例（</w:t>
      </w:r>
      <w:r>
        <w:rPr>
          <w:color w:val="231F20"/>
          <w:spacing w:val="-4"/>
        </w:rPr>
        <w:t>27</w:t>
      </w:r>
      <w:r>
        <w:rPr>
          <w:rFonts w:ascii="Microsoft YaHei" w:hAnsi="Microsoft YaHei" w:eastAsia="Microsoft YaHei" w:cs="Microsoft YaHei"/>
          <w:color w:val="231F20"/>
          <w:spacing w:val="-4"/>
        </w:rPr>
        <w:t>眼和</w:t>
      </w:r>
      <w:r>
        <w:rPr>
          <w:color w:val="231F20"/>
          <w:spacing w:val="-4"/>
        </w:rPr>
        <w:t>29</w:t>
      </w:r>
      <w:r>
        <w:rPr>
          <w:rFonts w:ascii="Microsoft YaHei" w:hAnsi="Microsoft YaHei" w:eastAsia="Microsoft YaHei" w:cs="Microsoft YaHei"/>
          <w:color w:val="231F20"/>
          <w:spacing w:val="-4"/>
        </w:rPr>
        <w:t>眼）。其中，</w:t>
      </w:r>
      <w:r>
        <w:rPr>
          <w:color w:val="231F20"/>
          <w:spacing w:val="-4"/>
        </w:rPr>
        <w:t>A</w:t>
      </w:r>
      <w:r>
        <w:rPr>
          <w:rFonts w:ascii="Microsoft YaHei" w:hAnsi="Microsoft YaHei" w:eastAsia="Microsoft YaHei" w:cs="Microsoft YaHei"/>
          <w:color w:val="231F20"/>
          <w:spacing w:val="-4"/>
        </w:rPr>
        <w:t>组中男</w:t>
      </w:r>
      <w:r>
        <w:rPr>
          <w:color w:val="231F20"/>
          <w:spacing w:val="-4"/>
        </w:rPr>
        <w:t>14</w:t>
      </w:r>
      <w:r>
        <w:rPr>
          <w:rFonts w:ascii="Microsoft YaHei" w:hAnsi="Microsoft YaHei" w:eastAsia="Microsoft YaHei" w:cs="Microsoft YaHei"/>
          <w:color w:val="231F20"/>
          <w:spacing w:val="-4"/>
        </w:rPr>
        <w:t>例（</w:t>
      </w:r>
      <w:r>
        <w:rPr>
          <w:color w:val="231F20"/>
          <w:spacing w:val="-5"/>
        </w:rPr>
        <w:t>16</w:t>
      </w:r>
      <w:r>
        <w:rPr>
          <w:rFonts w:ascii="Microsoft YaHei" w:hAnsi="Microsoft YaHei" w:eastAsia="Microsoft YaHei" w:cs="Microsoft YaHei"/>
          <w:color w:val="231F20"/>
          <w:spacing w:val="-5"/>
        </w:rPr>
        <w:t>眼</w:t>
      </w:r>
      <w:r>
        <w:rPr>
          <w:rFonts w:ascii="Microsoft YaHei" w:hAnsi="Microsoft YaHei" w:eastAsia="Microsoft YaHei" w:cs="Microsoft YaHei"/>
          <w:color w:val="231F20"/>
          <w:spacing w:val="-6"/>
        </w:rPr>
        <w:t>），</w:t>
      </w:r>
      <w:r>
        <w:rPr>
          <w:rFonts w:ascii="Microsoft YaHei" w:hAnsi="Microsoft YaHei" w:eastAsia="Microsoft YaHei" w:cs="Microsoft YaHei"/>
          <w:color w:val="231F20"/>
          <w:spacing w:val="-5"/>
        </w:rPr>
        <w:t>女</w:t>
      </w:r>
      <w:r>
        <w:rPr>
          <w:color w:val="231F20"/>
          <w:spacing w:val="-5"/>
        </w:rPr>
        <w:t>11</w:t>
      </w:r>
      <w:r>
        <w:rPr>
          <w:rFonts w:ascii="Microsoft YaHei" w:hAnsi="Microsoft YaHei" w:eastAsia="Microsoft YaHei" w:cs="Microsoft YaHei"/>
          <w:color w:val="231F20"/>
          <w:spacing w:val="-5"/>
        </w:rPr>
        <w:t>例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（</w:t>
      </w:r>
      <w:r>
        <w:rPr>
          <w:color w:val="231F20"/>
          <w:spacing w:val="-4"/>
        </w:rPr>
        <w:t>11</w:t>
      </w:r>
      <w:r>
        <w:rPr>
          <w:rFonts w:ascii="Microsoft YaHei" w:hAnsi="Microsoft YaHei" w:eastAsia="Microsoft YaHei" w:cs="Microsoft YaHei"/>
          <w:color w:val="231F20"/>
          <w:spacing w:val="-4"/>
        </w:rPr>
        <w:t>眼</w:t>
      </w:r>
      <w:r>
        <w:rPr>
          <w:rFonts w:ascii="Microsoft YaHei" w:hAnsi="Microsoft YaHei" w:eastAsia="Microsoft YaHei" w:cs="Microsoft YaHei"/>
          <w:color w:val="231F20"/>
          <w:spacing w:val="-3"/>
        </w:rPr>
        <w:t>）；</w:t>
      </w:r>
      <w:r>
        <w:rPr>
          <w:rFonts w:ascii="Microsoft YaHei" w:hAnsi="Microsoft YaHei" w:eastAsia="Microsoft YaHei" w:cs="Microsoft YaHei"/>
          <w:color w:val="231F20"/>
          <w:spacing w:val="-4"/>
        </w:rPr>
        <w:t>年龄</w:t>
      </w:r>
      <w:r>
        <w:rPr>
          <w:color w:val="231F20"/>
          <w:spacing w:val="-4"/>
        </w:rPr>
        <w:t>20~65</w:t>
      </w:r>
      <w:r>
        <w:rPr>
          <w:rFonts w:ascii="Microsoft YaHei" w:hAnsi="Microsoft YaHei" w:eastAsia="Microsoft YaHei" w:cs="Microsoft YaHei"/>
          <w:color w:val="231F20"/>
          <w:spacing w:val="-4"/>
        </w:rPr>
        <w:t>岁，平均年龄（</w:t>
      </w:r>
      <w:r>
        <w:rPr>
          <w:color w:val="231F20"/>
          <w:spacing w:val="-4"/>
        </w:rPr>
        <w:t>32.48</w:t>
      </w:r>
      <w:r>
        <w:rPr>
          <w:rFonts w:ascii="Microsoft YaHei" w:hAnsi="Microsoft YaHei" w:eastAsia="Microsoft YaHei" w:cs="Microsoft YaHei"/>
          <w:color w:val="231F20"/>
          <w:spacing w:val="-4"/>
        </w:rPr>
        <w:t>±</w:t>
      </w:r>
      <w:r>
        <w:rPr>
          <w:color w:val="231F20"/>
          <w:spacing w:val="-4"/>
        </w:rPr>
        <w:t>4.1</w:t>
      </w:r>
      <w:r>
        <w:rPr>
          <w:color w:val="231F20"/>
          <w:spacing w:val="-5"/>
        </w:rPr>
        <w:t>6</w:t>
      </w:r>
      <w:r>
        <w:rPr>
          <w:rFonts w:ascii="Microsoft YaHei" w:hAnsi="Microsoft YaHei" w:eastAsia="Microsoft YaHei" w:cs="Microsoft YaHei"/>
          <w:color w:val="231F20"/>
          <w:spacing w:val="-5"/>
        </w:rPr>
        <w:t>）岁；病程范围是</w:t>
      </w:r>
      <w:r>
        <w:rPr>
          <w:color w:val="231F20"/>
          <w:spacing w:val="-5"/>
        </w:rPr>
        <w:t>4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个月</w:t>
      </w:r>
      <w:r>
        <w:rPr>
          <w:color w:val="231F20"/>
          <w:spacing w:val="-2"/>
        </w:rPr>
        <w:t>~7</w:t>
      </w:r>
      <w:r>
        <w:rPr>
          <w:rFonts w:ascii="Microsoft YaHei" w:hAnsi="Microsoft YaHei" w:eastAsia="Microsoft YaHei" w:cs="Microsoft YaHei"/>
          <w:color w:val="231F20"/>
          <w:spacing w:val="-2"/>
        </w:rPr>
        <w:t>年，平均病程（</w:t>
      </w:r>
      <w:r>
        <w:rPr>
          <w:color w:val="231F20"/>
          <w:spacing w:val="-2"/>
        </w:rPr>
        <w:t>2.95</w:t>
      </w:r>
      <w:r>
        <w:rPr>
          <w:rFonts w:ascii="Microsoft YaHei" w:hAnsi="Microsoft YaHei" w:eastAsia="Microsoft YaHei" w:cs="Microsoft YaHei"/>
          <w:color w:val="231F20"/>
          <w:spacing w:val="-2"/>
        </w:rPr>
        <w:t>±</w:t>
      </w:r>
      <w:r>
        <w:rPr>
          <w:color w:val="231F20"/>
          <w:spacing w:val="-2"/>
        </w:rPr>
        <w:t>0.45</w:t>
      </w:r>
      <w:r>
        <w:rPr>
          <w:rFonts w:ascii="Microsoft YaHei" w:hAnsi="Microsoft YaHei" w:eastAsia="Microsoft YaHei" w:cs="Microsoft YaHei"/>
          <w:color w:val="231F20"/>
          <w:spacing w:val="-2"/>
        </w:rPr>
        <w:t>）年；初发</w:t>
      </w:r>
      <w:r>
        <w:rPr>
          <w:color w:val="231F20"/>
          <w:spacing w:val="-2"/>
        </w:rPr>
        <w:t>10</w:t>
      </w:r>
      <w:r>
        <w:rPr>
          <w:rFonts w:ascii="Microsoft YaHei" w:hAnsi="Microsoft YaHei" w:eastAsia="Microsoft YaHei" w:cs="Microsoft YaHei"/>
          <w:color w:val="231F20"/>
          <w:spacing w:val="-2"/>
        </w:rPr>
        <w:t>例（</w:t>
      </w:r>
      <w:r>
        <w:rPr>
          <w:color w:val="231F20"/>
          <w:spacing w:val="-2"/>
        </w:rPr>
        <w:t>11</w:t>
      </w:r>
      <w:r>
        <w:rPr>
          <w:rFonts w:ascii="Microsoft YaHei" w:hAnsi="Microsoft YaHei" w:eastAsia="Microsoft YaHei" w:cs="Microsoft YaHei"/>
          <w:color w:val="231F20"/>
          <w:spacing w:val="-2"/>
        </w:rPr>
        <w:t>眼</w:t>
      </w:r>
      <w:r>
        <w:rPr>
          <w:rFonts w:ascii="Microsoft YaHei" w:hAnsi="Microsoft YaHei" w:eastAsia="Microsoft YaHei" w:cs="Microsoft YaHei"/>
          <w:color w:val="231F20"/>
          <w:spacing w:val="-4"/>
        </w:rPr>
        <w:t>），</w:t>
      </w:r>
      <w:r>
        <w:rPr>
          <w:rFonts w:ascii="Microsoft YaHei" w:hAnsi="Microsoft YaHei" w:eastAsia="Microsoft YaHei" w:cs="Microsoft YaHei"/>
          <w:color w:val="231F20"/>
          <w:spacing w:val="-2"/>
        </w:rPr>
        <w:t>复发</w:t>
      </w:r>
      <w:r>
        <w:rPr>
          <w:color w:val="231F20"/>
          <w:spacing w:val="-2"/>
        </w:rPr>
        <w:t>15</w:t>
      </w:r>
      <w:r>
        <w:rPr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例（</w:t>
      </w:r>
      <w:r>
        <w:rPr>
          <w:color w:val="231F20"/>
          <w:spacing w:val="-6"/>
        </w:rPr>
        <w:t>16</w:t>
      </w:r>
      <w:r>
        <w:rPr>
          <w:rFonts w:ascii="Microsoft YaHei" w:hAnsi="Microsoft YaHei" w:eastAsia="Microsoft YaHei" w:cs="Microsoft YaHei"/>
          <w:color w:val="231F20"/>
          <w:spacing w:val="-6"/>
        </w:rPr>
        <w:t>眼）。</w:t>
      </w:r>
      <w:r>
        <w:rPr>
          <w:color w:val="231F20"/>
          <w:spacing w:val="-6"/>
        </w:rPr>
        <w:t>B</w:t>
      </w:r>
      <w:r>
        <w:rPr>
          <w:rFonts w:ascii="Microsoft YaHei" w:hAnsi="Microsoft YaHei" w:eastAsia="Microsoft YaHei" w:cs="Microsoft YaHei"/>
          <w:color w:val="231F20"/>
          <w:spacing w:val="-6"/>
        </w:rPr>
        <w:t>组男</w:t>
      </w:r>
      <w:r>
        <w:rPr>
          <w:color w:val="231F20"/>
          <w:spacing w:val="-6"/>
        </w:rPr>
        <w:t>13</w:t>
      </w:r>
      <w:r>
        <w:rPr>
          <w:rFonts w:ascii="Microsoft YaHei" w:hAnsi="Microsoft YaHei" w:eastAsia="Microsoft YaHei" w:cs="Microsoft YaHei"/>
          <w:color w:val="231F20"/>
          <w:spacing w:val="-6"/>
        </w:rPr>
        <w:t>例（</w:t>
      </w:r>
      <w:r>
        <w:rPr>
          <w:color w:val="231F20"/>
          <w:spacing w:val="-6"/>
        </w:rPr>
        <w:t>15</w:t>
      </w:r>
      <w:r>
        <w:rPr>
          <w:rFonts w:ascii="Microsoft YaHei" w:hAnsi="Microsoft YaHei" w:eastAsia="Microsoft YaHei" w:cs="Microsoft YaHei"/>
          <w:color w:val="231F20"/>
          <w:spacing w:val="-6"/>
        </w:rPr>
        <w:t>眼</w:t>
      </w:r>
      <w:r>
        <w:rPr>
          <w:rFonts w:ascii="Microsoft YaHei" w:hAnsi="Microsoft YaHei" w:eastAsia="Microsoft YaHei" w:cs="Microsoft YaHei"/>
          <w:color w:val="231F20"/>
          <w:spacing w:val="-8"/>
        </w:rPr>
        <w:t>），</w:t>
      </w:r>
      <w:r>
        <w:rPr>
          <w:rFonts w:ascii="Microsoft YaHei" w:hAnsi="Microsoft YaHei" w:eastAsia="Microsoft YaHei" w:cs="Microsoft YaHei"/>
          <w:color w:val="231F20"/>
          <w:spacing w:val="-6"/>
        </w:rPr>
        <w:t>女</w:t>
      </w:r>
      <w:r>
        <w:rPr>
          <w:color w:val="231F20"/>
          <w:spacing w:val="-6"/>
        </w:rPr>
        <w:t>12</w:t>
      </w:r>
      <w:r>
        <w:rPr>
          <w:rFonts w:ascii="Microsoft YaHei" w:hAnsi="Microsoft YaHei" w:eastAsia="Microsoft YaHei" w:cs="Microsoft YaHei"/>
          <w:color w:val="231F20"/>
          <w:spacing w:val="-6"/>
        </w:rPr>
        <w:t>例（</w:t>
      </w:r>
      <w:r>
        <w:rPr>
          <w:color w:val="231F20"/>
          <w:spacing w:val="-6"/>
        </w:rPr>
        <w:t>14</w:t>
      </w:r>
      <w:r>
        <w:rPr>
          <w:rFonts w:ascii="Microsoft YaHei" w:hAnsi="Microsoft YaHei" w:eastAsia="Microsoft YaHei" w:cs="Microsoft YaHei"/>
          <w:color w:val="231F20"/>
          <w:spacing w:val="-6"/>
        </w:rPr>
        <w:t>眼</w:t>
      </w:r>
      <w:r>
        <w:rPr>
          <w:rFonts w:ascii="Microsoft YaHei" w:hAnsi="Microsoft YaHei" w:eastAsia="Microsoft YaHei" w:cs="Microsoft YaHei"/>
          <w:color w:val="231F20"/>
          <w:spacing w:val="-8"/>
        </w:rPr>
        <w:t>）；</w:t>
      </w:r>
      <w:r>
        <w:rPr>
          <w:rFonts w:ascii="Microsoft YaHei" w:hAnsi="Microsoft YaHei" w:eastAsia="Microsoft YaHei" w:cs="Microsoft YaHei"/>
          <w:color w:val="231F20"/>
          <w:spacing w:val="-6"/>
        </w:rPr>
        <w:t>年龄</w:t>
      </w:r>
      <w:r>
        <w:rPr>
          <w:color w:val="231F20"/>
          <w:spacing w:val="-6"/>
        </w:rPr>
        <w:t>21~66</w:t>
      </w:r>
      <w:r>
        <w:rPr>
          <w:rFonts w:ascii="Microsoft YaHei" w:hAnsi="Microsoft YaHei" w:eastAsia="Microsoft YaHei" w:cs="Microsoft YaHei"/>
          <w:color w:val="231F20"/>
          <w:spacing w:val="-6"/>
        </w:rPr>
        <w:t>岁，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平均年龄（</w:t>
      </w:r>
      <w:r>
        <w:rPr>
          <w:color w:val="231F20"/>
          <w:spacing w:val="-5"/>
        </w:rPr>
        <w:t>31.85</w:t>
      </w:r>
      <w:r>
        <w:rPr>
          <w:rFonts w:ascii="Microsoft YaHei" w:hAnsi="Microsoft YaHei" w:eastAsia="Microsoft YaHei" w:cs="Microsoft YaHei"/>
          <w:color w:val="231F20"/>
          <w:spacing w:val="-5"/>
        </w:rPr>
        <w:t>±</w:t>
      </w:r>
      <w:r>
        <w:rPr>
          <w:color w:val="231F20"/>
          <w:spacing w:val="-5"/>
        </w:rPr>
        <w:t>4.08</w:t>
      </w:r>
      <w:r>
        <w:rPr>
          <w:rFonts w:ascii="Microsoft YaHei" w:hAnsi="Microsoft YaHei" w:eastAsia="Microsoft YaHei" w:cs="Microsoft YaHei"/>
          <w:color w:val="231F20"/>
          <w:spacing w:val="-5"/>
        </w:rPr>
        <w:t>）岁；病程范围是</w:t>
      </w:r>
      <w:r>
        <w:rPr>
          <w:color w:val="231F20"/>
          <w:spacing w:val="-5"/>
        </w:rPr>
        <w:t>5</w:t>
      </w:r>
      <w:r>
        <w:rPr>
          <w:rFonts w:ascii="Microsoft YaHei" w:hAnsi="Microsoft YaHei" w:eastAsia="Microsoft YaHei" w:cs="Microsoft YaHei"/>
          <w:color w:val="231F20"/>
          <w:spacing w:val="-5"/>
        </w:rPr>
        <w:t>个月</w:t>
      </w:r>
      <w:r>
        <w:rPr>
          <w:color w:val="231F20"/>
          <w:spacing w:val="-5"/>
        </w:rPr>
        <w:t>~</w:t>
      </w:r>
      <w:r>
        <w:rPr>
          <w:color w:val="231F20"/>
          <w:spacing w:val="-6"/>
        </w:rPr>
        <w:t>8</w:t>
      </w:r>
      <w:r>
        <w:rPr>
          <w:rFonts w:ascii="Microsoft YaHei" w:hAnsi="Microsoft YaHei" w:eastAsia="Microsoft YaHei" w:cs="Microsoft YaHei"/>
          <w:color w:val="231F20"/>
          <w:spacing w:val="-6"/>
        </w:rPr>
        <w:t>年，平均病程（</w:t>
      </w:r>
      <w:r>
        <w:rPr>
          <w:color w:val="231F20"/>
          <w:spacing w:val="-6"/>
        </w:rPr>
        <w:t>2.99</w:t>
      </w:r>
    </w:p>
    <w:p>
      <w:pPr>
        <w:spacing w:line="224" w:lineRule="auto"/>
        <w:sectPr>
          <w:type w:val="continuous"/>
          <w:pgSz w:w="11906" w:h="16158"/>
          <w:pgMar w:top="400" w:right="848" w:bottom="0" w:left="407" w:header="0" w:footer="0" w:gutter="0"/>
          <w:cols w:equalWidth="0" w:num="2">
            <w:col w:w="5647" w:space="100"/>
            <w:col w:w="4903" w:space="0"/>
          </w:cols>
        </w:sectPr>
        <w:rPr/>
      </w:pPr>
    </w:p>
    <w:p>
      <w:pPr>
        <w:spacing w:line="123" w:lineRule="exact"/>
        <w:rPr/>
      </w:pPr>
      <w:r/>
    </w:p>
    <w:tbl>
      <w:tblPr>
        <w:tblStyle w:val="TableNormal"/>
        <w:tblW w:w="10204" w:type="dxa"/>
        <w:tblInd w:w="44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49"/>
        <w:gridCol w:w="786"/>
        <w:gridCol w:w="1447"/>
        <w:gridCol w:w="1271"/>
        <w:gridCol w:w="1290"/>
        <w:gridCol w:w="1557"/>
        <w:gridCol w:w="1562"/>
        <w:gridCol w:w="1242"/>
      </w:tblGrid>
      <w:tr>
        <w:trPr>
          <w:trHeight w:val="401" w:hRule="atLeast"/>
        </w:trPr>
        <w:tc>
          <w:tcPr>
            <w:tcW w:w="10204" w:type="dxa"/>
            <w:vAlign w:val="top"/>
            <w:gridSpan w:val="8"/>
            <w:tcBorders>
              <w:bottom w:val="single" w:color="231F20" w:sz="4" w:space="0"/>
              <w:top w:val="dashed" w:color="231F20" w:sz="4" w:space="0"/>
            </w:tcBorders>
          </w:tcPr>
          <w:p>
            <w:pPr>
              <w:pStyle w:val="TableText"/>
              <w:ind w:left="3679"/>
              <w:spacing w:before="170" w:line="211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7"/>
              </w:rPr>
              <w:t>表</w:t>
            </w:r>
            <w:r>
              <w:rPr>
                <w:sz w:val="17"/>
                <w:szCs w:val="17"/>
                <w:color w:val="231F20"/>
                <w:spacing w:val="-7"/>
              </w:rPr>
              <w:t>1</w:t>
            </w:r>
            <w:r>
              <w:rPr>
                <w:sz w:val="17"/>
                <w:szCs w:val="17"/>
                <w:color w:val="231F20"/>
                <w:spacing w:val="13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7"/>
              </w:rPr>
              <w:t>两组患者的生化指标比较（</w:t>
            </w:r>
            <w:r>
              <w:rPr>
                <w:sz w:val="17"/>
                <w:szCs w:val="17"/>
                <w:color w:val="231F20"/>
                <w:spacing w:val="-7"/>
              </w:rPr>
              <w:t>x</w:t>
            </w:r>
            <w:r>
              <w:rPr>
                <w:sz w:val="14"/>
                <w:szCs w:val="14"/>
                <w:color w:val="231F20"/>
                <w:spacing w:val="-7"/>
                <w:position w:val="5"/>
              </w:rPr>
              <w:t>-</w:t>
            </w:r>
            <w:r>
              <w:rPr>
                <w:sz w:val="14"/>
                <w:szCs w:val="14"/>
                <w:color w:val="231F20"/>
                <w:spacing w:val="-10"/>
                <w:position w:val="5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7"/>
              </w:rPr>
              <w:t>±</w:t>
            </w:r>
            <w:r>
              <w:rPr>
                <w:rFonts w:ascii="LiSu" w:hAnsi="LiSu" w:eastAsia="LiSu" w:cs="LiSu"/>
                <w:sz w:val="17"/>
                <w:szCs w:val="17"/>
                <w:i/>
                <w:iCs/>
                <w:color w:val="231F20"/>
                <w:spacing w:val="-7"/>
              </w:rPr>
              <w:t>s</w:t>
            </w: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7"/>
              </w:rPr>
              <w:t>）</w:t>
            </w:r>
          </w:p>
        </w:tc>
      </w:tr>
      <w:tr>
        <w:trPr>
          <w:trHeight w:val="205" w:hRule="atLeast"/>
        </w:trPr>
        <w:tc>
          <w:tcPr>
            <w:tcW w:w="1049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ind w:left="402"/>
              <w:spacing w:before="22" w:line="172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2"/>
              </w:rPr>
              <w:t>组别</w:t>
            </w:r>
          </w:p>
        </w:tc>
        <w:tc>
          <w:tcPr>
            <w:tcW w:w="786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ind w:left="259"/>
              <w:spacing w:before="22" w:line="172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</w:rPr>
              <w:t>例数</w:t>
            </w:r>
          </w:p>
        </w:tc>
        <w:tc>
          <w:tcPr>
            <w:tcW w:w="1447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214"/>
              <w:spacing w:before="22" w:line="172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血糖</w:t>
            </w:r>
            <w:r>
              <w:rPr>
                <w:color w:val="231F20"/>
                <w:spacing w:val="-1"/>
              </w:rPr>
              <w:t>(mmol/L)</w:t>
            </w:r>
          </w:p>
        </w:tc>
        <w:tc>
          <w:tcPr>
            <w:tcW w:w="1271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301"/>
              <w:spacing w:line="234" w:lineRule="auto"/>
              <w:rPr/>
            </w:pPr>
            <w:r>
              <w:rPr>
                <w:color w:val="231F20"/>
                <w:spacing w:val="-1"/>
              </w:rPr>
              <w:t>HbA</w:t>
            </w:r>
            <w:r>
              <w:rPr>
                <w:sz w:val="9"/>
                <w:szCs w:val="9"/>
                <w:color w:val="231F20"/>
                <w:spacing w:val="-1"/>
                <w:position w:val="-3"/>
              </w:rPr>
              <w:t>1</w:t>
            </w:r>
            <w:r>
              <w:rPr>
                <w:color w:val="231F20"/>
                <w:spacing w:val="-1"/>
              </w:rPr>
              <w:t>c(%)</w:t>
            </w:r>
          </w:p>
        </w:tc>
        <w:tc>
          <w:tcPr>
            <w:tcW w:w="1290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487"/>
              <w:spacing w:before="22" w:line="17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position w:val="1"/>
              </w:rPr>
              <w:t>pH</w:t>
            </w:r>
            <w:r>
              <w:rPr>
                <w:rFonts w:ascii="Microsoft YaHei" w:hAnsi="Microsoft YaHei" w:eastAsia="Microsoft YaHei" w:cs="Microsoft YaHei"/>
                <w:color w:val="231F20"/>
                <w:position w:val="1"/>
              </w:rPr>
              <w:t>值</w:t>
            </w:r>
          </w:p>
        </w:tc>
        <w:tc>
          <w:tcPr>
            <w:tcW w:w="1557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270"/>
              <w:spacing w:before="22" w:line="172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血淀粉酶</w:t>
            </w:r>
            <w:r>
              <w:rPr>
                <w:color w:val="231F20"/>
                <w:spacing w:val="-1"/>
              </w:rPr>
              <w:t>(U/L)</w:t>
            </w:r>
          </w:p>
        </w:tc>
        <w:tc>
          <w:tcPr>
            <w:tcW w:w="1562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293"/>
              <w:spacing w:before="22" w:line="172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尿淀粉酶</w:t>
            </w:r>
            <w:r>
              <w:rPr>
                <w:color w:val="231F20"/>
                <w:spacing w:val="-1"/>
              </w:rPr>
              <w:t>(U/L)</w:t>
            </w:r>
          </w:p>
        </w:tc>
        <w:tc>
          <w:tcPr>
            <w:tcW w:w="1242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278"/>
              <w:spacing w:before="37" w:line="192" w:lineRule="auto"/>
              <w:rPr/>
            </w:pPr>
            <w:r>
              <w:rPr>
                <w:color w:val="231F20"/>
                <w:spacing w:val="-1"/>
              </w:rPr>
              <w:t>TG(mol/L)</w:t>
            </w:r>
          </w:p>
        </w:tc>
      </w:tr>
      <w:tr>
        <w:trPr>
          <w:trHeight w:val="209" w:hRule="atLeast"/>
        </w:trPr>
        <w:tc>
          <w:tcPr>
            <w:tcW w:w="1049" w:type="dxa"/>
            <w:vAlign w:val="top"/>
            <w:tcBorders>
              <w:top w:val="single" w:color="231F20" w:sz="2" w:space="0"/>
            </w:tcBorders>
          </w:tcPr>
          <w:p>
            <w:pPr>
              <w:ind w:left="321"/>
              <w:spacing w:before="29" w:line="170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2"/>
                <w:position w:val="-1"/>
              </w:rPr>
              <w:t>观察组</w:t>
            </w:r>
          </w:p>
        </w:tc>
        <w:tc>
          <w:tcPr>
            <w:tcW w:w="78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2"/>
              <w:spacing w:before="49" w:line="186" w:lineRule="auto"/>
              <w:rPr/>
            </w:pPr>
            <w:r>
              <w:rPr>
                <w:color w:val="231F20"/>
                <w:spacing w:val="-2"/>
              </w:rPr>
              <w:t>35</w:t>
            </w:r>
          </w:p>
        </w:tc>
        <w:tc>
          <w:tcPr>
            <w:tcW w:w="14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5"/>
              <w:spacing w:before="29" w:line="170" w:lineRule="exact"/>
              <w:rPr/>
            </w:pPr>
            <w:r>
              <w:rPr>
                <w:color w:val="231F20"/>
                <w:spacing w:val="4"/>
              </w:rPr>
              <w:t>28.7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±</w:t>
            </w:r>
            <w:r>
              <w:rPr>
                <w:color w:val="231F20"/>
                <w:spacing w:val="4"/>
              </w:rPr>
              <w:t>9.5</w:t>
            </w:r>
          </w:p>
        </w:tc>
        <w:tc>
          <w:tcPr>
            <w:tcW w:w="127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4"/>
              <w:spacing w:before="29" w:line="170" w:lineRule="exact"/>
              <w:rPr/>
            </w:pPr>
            <w:r>
              <w:rPr>
                <w:color w:val="231F20"/>
                <w:spacing w:val="2"/>
              </w:rPr>
              <w:t>11.0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±</w:t>
            </w:r>
            <w:r>
              <w:rPr>
                <w:color w:val="231F20"/>
                <w:spacing w:val="2"/>
              </w:rPr>
              <w:t>3.5</w:t>
            </w:r>
          </w:p>
        </w:tc>
        <w:tc>
          <w:tcPr>
            <w:tcW w:w="129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1"/>
              <w:spacing w:before="29" w:line="170" w:lineRule="exact"/>
              <w:rPr/>
            </w:pPr>
            <w:r>
              <w:rPr>
                <w:color w:val="231F20"/>
                <w:spacing w:val="3"/>
              </w:rPr>
              <w:t>7.10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±</w:t>
            </w:r>
            <w:r>
              <w:rPr>
                <w:color w:val="231F20"/>
                <w:spacing w:val="3"/>
              </w:rPr>
              <w:t>0.05</w:t>
            </w:r>
          </w:p>
        </w:tc>
        <w:tc>
          <w:tcPr>
            <w:tcW w:w="155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1"/>
              <w:spacing w:before="29" w:line="170" w:lineRule="exact"/>
              <w:rPr/>
            </w:pPr>
            <w:r>
              <w:rPr>
                <w:color w:val="231F20"/>
                <w:spacing w:val="-1"/>
              </w:rPr>
              <w:t>474.1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109.2</w:t>
            </w:r>
          </w:p>
        </w:tc>
        <w:tc>
          <w:tcPr>
            <w:tcW w:w="156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7"/>
              <w:spacing w:before="29" w:line="170" w:lineRule="exact"/>
              <w:rPr/>
            </w:pPr>
            <w:r>
              <w:rPr>
                <w:color w:val="231F20"/>
                <w:spacing w:val="1"/>
              </w:rPr>
              <w:t>1210.2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±</w:t>
            </w:r>
            <w:r>
              <w:rPr>
                <w:color w:val="231F20"/>
                <w:spacing w:val="1"/>
              </w:rPr>
              <w:t>263.5</w:t>
            </w:r>
          </w:p>
        </w:tc>
        <w:tc>
          <w:tcPr>
            <w:tcW w:w="124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5"/>
              <w:spacing w:before="29" w:line="170" w:lineRule="exact"/>
              <w:rPr/>
            </w:pPr>
            <w:r>
              <w:rPr>
                <w:color w:val="231F20"/>
              </w:rPr>
              <w:t>9.1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±</w:t>
            </w:r>
            <w:r>
              <w:rPr>
                <w:color w:val="231F20"/>
              </w:rPr>
              <w:t>3.1</w:t>
            </w:r>
          </w:p>
        </w:tc>
      </w:tr>
      <w:tr>
        <w:trPr>
          <w:trHeight w:val="224" w:hRule="atLeast"/>
        </w:trPr>
        <w:tc>
          <w:tcPr>
            <w:tcW w:w="1049" w:type="dxa"/>
            <w:vAlign w:val="top"/>
          </w:tcPr>
          <w:p>
            <w:pPr>
              <w:ind w:left="319"/>
              <w:spacing w:before="37" w:line="177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</w:rPr>
              <w:t>对照组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315"/>
              <w:spacing w:before="56" w:line="186" w:lineRule="auto"/>
              <w:rPr/>
            </w:pPr>
            <w:r>
              <w:rPr>
                <w:color w:val="231F20"/>
                <w:spacing w:val="-5"/>
              </w:rPr>
              <w:t>190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365"/>
              <w:spacing w:before="37" w:line="177" w:lineRule="exact"/>
              <w:rPr/>
            </w:pPr>
            <w:r>
              <w:rPr>
                <w:color w:val="231F20"/>
                <w:spacing w:val="4"/>
              </w:rPr>
              <w:t>27.9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±</w:t>
            </w:r>
            <w:r>
              <w:rPr>
                <w:color w:val="231F20"/>
                <w:spacing w:val="4"/>
              </w:rPr>
              <w:t>9.7</w:t>
            </w:r>
          </w:p>
        </w:tc>
        <w:tc>
          <w:tcPr>
            <w:tcW w:w="1271" w:type="dxa"/>
            <w:vAlign w:val="top"/>
          </w:tcPr>
          <w:p>
            <w:pPr>
              <w:pStyle w:val="TableText"/>
              <w:ind w:left="331"/>
              <w:spacing w:before="37" w:line="177" w:lineRule="exact"/>
              <w:rPr/>
            </w:pPr>
            <w:r>
              <w:rPr>
                <w:color w:val="231F20"/>
                <w:spacing w:val="2"/>
              </w:rPr>
              <w:t>10.5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±</w:t>
            </w:r>
            <w:r>
              <w:rPr>
                <w:color w:val="231F20"/>
                <w:spacing w:val="2"/>
              </w:rPr>
              <w:t>3.4</w:t>
            </w:r>
          </w:p>
        </w:tc>
        <w:tc>
          <w:tcPr>
            <w:tcW w:w="1290" w:type="dxa"/>
            <w:vAlign w:val="top"/>
          </w:tcPr>
          <w:p>
            <w:pPr>
              <w:pStyle w:val="TableText"/>
              <w:ind w:left="311"/>
              <w:spacing w:before="37" w:line="177" w:lineRule="exact"/>
              <w:rPr/>
            </w:pPr>
            <w:r>
              <w:rPr>
                <w:color w:val="231F20"/>
              </w:rPr>
              <w:t>7.21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±</w:t>
            </w:r>
            <w:r>
              <w:rPr>
                <w:color w:val="231F20"/>
              </w:rPr>
              <w:t>0.04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375"/>
              <w:spacing w:before="37" w:line="177" w:lineRule="exact"/>
              <w:rPr/>
            </w:pPr>
            <w:r>
              <w:rPr>
                <w:color w:val="231F20"/>
                <w:spacing w:val="3"/>
              </w:rPr>
              <w:t>363.5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±</w:t>
            </w:r>
            <w:r>
              <w:rPr>
                <w:color w:val="231F20"/>
                <w:spacing w:val="3"/>
              </w:rPr>
              <w:t>50.3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358"/>
              <w:spacing w:before="37" w:line="177" w:lineRule="exact"/>
              <w:rPr/>
            </w:pPr>
            <w:r>
              <w:rPr>
                <w:color w:val="231F20"/>
                <w:spacing w:val="-2"/>
              </w:rPr>
              <w:t>890.1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±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176.7</w:t>
            </w:r>
          </w:p>
        </w:tc>
        <w:tc>
          <w:tcPr>
            <w:tcW w:w="1242" w:type="dxa"/>
            <w:vAlign w:val="top"/>
          </w:tcPr>
          <w:p>
            <w:pPr>
              <w:pStyle w:val="TableText"/>
              <w:ind w:left="351"/>
              <w:spacing w:before="37" w:line="177" w:lineRule="exact"/>
              <w:rPr/>
            </w:pPr>
            <w:r>
              <w:rPr>
                <w:color w:val="231F20"/>
                <w:spacing w:val="-1"/>
              </w:rPr>
              <w:t>4.2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1.7</w:t>
            </w:r>
          </w:p>
        </w:tc>
      </w:tr>
      <w:tr>
        <w:trPr>
          <w:trHeight w:val="204" w:hRule="atLeast"/>
        </w:trPr>
        <w:tc>
          <w:tcPr>
            <w:tcW w:w="1049" w:type="dxa"/>
            <w:vAlign w:val="top"/>
          </w:tcPr>
          <w:p>
            <w:pPr>
              <w:pStyle w:val="TableText"/>
              <w:ind w:left="535"/>
              <w:spacing w:before="62" w:line="168" w:lineRule="auto"/>
              <w:rPr/>
            </w:pPr>
            <w:r>
              <w:rPr>
                <w:i/>
                <w:iCs/>
                <w:color w:val="231F20"/>
              </w:rPr>
              <w:t>t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396"/>
              <w:spacing w:before="115" w:line="77" w:lineRule="exact"/>
              <w:rPr/>
            </w:pPr>
            <w:r>
              <w:rPr>
                <w:color w:val="231F20"/>
                <w:position w:val="-1"/>
              </w:rPr>
              <w:t>-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507"/>
              <w:spacing w:before="49" w:line="186" w:lineRule="auto"/>
              <w:rPr/>
            </w:pPr>
            <w:r>
              <w:rPr>
                <w:color w:val="231F20"/>
                <w:spacing w:val="-1"/>
              </w:rPr>
              <w:t>0.603</w:t>
            </w:r>
          </w:p>
        </w:tc>
        <w:tc>
          <w:tcPr>
            <w:tcW w:w="1271" w:type="dxa"/>
            <w:vAlign w:val="top"/>
          </w:tcPr>
          <w:p>
            <w:pPr>
              <w:pStyle w:val="TableText"/>
              <w:ind w:left="458"/>
              <w:spacing w:before="49" w:line="186" w:lineRule="auto"/>
              <w:rPr/>
            </w:pPr>
            <w:r>
              <w:rPr>
                <w:color w:val="231F20"/>
                <w:spacing w:val="-1"/>
              </w:rPr>
              <w:t>0.796</w:t>
            </w:r>
          </w:p>
        </w:tc>
        <w:tc>
          <w:tcPr>
            <w:tcW w:w="1290" w:type="dxa"/>
            <w:vAlign w:val="top"/>
          </w:tcPr>
          <w:p>
            <w:pPr>
              <w:pStyle w:val="TableText"/>
              <w:ind w:left="504"/>
              <w:spacing w:before="49" w:line="186" w:lineRule="auto"/>
              <w:rPr/>
            </w:pPr>
            <w:r>
              <w:rPr>
                <w:color w:val="231F20"/>
                <w:spacing w:val="-3"/>
              </w:rPr>
              <w:t>14.34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695"/>
              <w:spacing w:before="49" w:line="186" w:lineRule="auto"/>
              <w:rPr/>
            </w:pPr>
            <w:r>
              <w:rPr>
                <w:color w:val="231F20"/>
                <w:spacing w:val="-1"/>
              </w:rPr>
              <w:t>9.551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615"/>
              <w:spacing w:before="49" w:line="186" w:lineRule="auto"/>
              <w:rPr/>
            </w:pPr>
            <w:r>
              <w:rPr>
                <w:color w:val="231F20"/>
                <w:spacing w:val="-1"/>
              </w:rPr>
              <w:t>9.041</w:t>
            </w:r>
          </w:p>
        </w:tc>
        <w:tc>
          <w:tcPr>
            <w:tcW w:w="1242" w:type="dxa"/>
            <w:vAlign w:val="top"/>
          </w:tcPr>
          <w:p>
            <w:pPr>
              <w:pStyle w:val="TableText"/>
              <w:ind w:left="427"/>
              <w:spacing w:before="49" w:line="186" w:lineRule="auto"/>
              <w:rPr/>
            </w:pPr>
            <w:r>
              <w:rPr>
                <w:color w:val="231F20"/>
                <w:spacing w:val="-3"/>
              </w:rPr>
              <w:t>13.369</w:t>
            </w:r>
          </w:p>
        </w:tc>
      </w:tr>
      <w:tr>
        <w:trPr>
          <w:trHeight w:val="226" w:hRule="atLeast"/>
        </w:trPr>
        <w:tc>
          <w:tcPr>
            <w:tcW w:w="104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20"/>
              <w:spacing w:before="64" w:line="183" w:lineRule="auto"/>
              <w:rPr/>
            </w:pPr>
            <w:r>
              <w:rPr>
                <w:i/>
                <w:iCs/>
                <w:color w:val="231F20"/>
              </w:rPr>
              <w:t>P</w:t>
            </w:r>
          </w:p>
        </w:tc>
        <w:tc>
          <w:tcPr>
            <w:tcW w:w="78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96"/>
              <w:spacing w:before="128" w:line="76" w:lineRule="exact"/>
              <w:rPr/>
            </w:pPr>
            <w:r>
              <w:rPr>
                <w:color w:val="231F20"/>
                <w:position w:val="-1"/>
              </w:rPr>
              <w:t>-</w:t>
            </w:r>
          </w:p>
        </w:tc>
        <w:tc>
          <w:tcPr>
            <w:tcW w:w="144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99"/>
              <w:spacing w:before="62" w:line="186" w:lineRule="auto"/>
              <w:rPr/>
            </w:pPr>
            <w:r>
              <w:rPr>
                <w:color w:val="231F20"/>
                <w:spacing w:val="-1"/>
              </w:rPr>
              <w:t>&gt;0.05</w:t>
            </w:r>
          </w:p>
        </w:tc>
        <w:tc>
          <w:tcPr>
            <w:tcW w:w="127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50"/>
              <w:spacing w:before="62" w:line="186" w:lineRule="auto"/>
              <w:rPr/>
            </w:pPr>
            <w:r>
              <w:rPr>
                <w:color w:val="231F20"/>
                <w:spacing w:val="-1"/>
              </w:rPr>
              <w:t>&gt;0.05</w:t>
            </w:r>
          </w:p>
        </w:tc>
        <w:tc>
          <w:tcPr>
            <w:tcW w:w="129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83"/>
              <w:spacing w:before="62" w:line="186" w:lineRule="auto"/>
              <w:rPr/>
            </w:pPr>
            <w:r>
              <w:rPr>
                <w:color w:val="231F20"/>
                <w:spacing w:val="-1"/>
              </w:rPr>
              <w:t>&lt;0.05</w:t>
            </w:r>
          </w:p>
        </w:tc>
        <w:tc>
          <w:tcPr>
            <w:tcW w:w="155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86"/>
              <w:spacing w:before="62" w:line="186" w:lineRule="auto"/>
              <w:rPr/>
            </w:pPr>
            <w:r>
              <w:rPr>
                <w:color w:val="231F20"/>
                <w:spacing w:val="-1"/>
              </w:rPr>
              <w:t>&lt;0.05</w:t>
            </w:r>
          </w:p>
        </w:tc>
        <w:tc>
          <w:tcPr>
            <w:tcW w:w="156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06"/>
              <w:spacing w:before="62" w:line="186" w:lineRule="auto"/>
              <w:rPr/>
            </w:pPr>
            <w:r>
              <w:rPr>
                <w:color w:val="231F20"/>
                <w:spacing w:val="-1"/>
              </w:rPr>
              <w:t>&lt;0.05</w:t>
            </w:r>
          </w:p>
        </w:tc>
        <w:tc>
          <w:tcPr>
            <w:tcW w:w="124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46"/>
              <w:spacing w:before="62" w:line="186" w:lineRule="auto"/>
              <w:rPr/>
            </w:pPr>
            <w:r>
              <w:rPr>
                <w:color w:val="231F20"/>
                <w:spacing w:val="-1"/>
              </w:rPr>
              <w:t>&lt;0.05</w:t>
            </w:r>
          </w:p>
        </w:tc>
      </w:tr>
    </w:tbl>
    <w:p>
      <w:pPr>
        <w:spacing w:line="24" w:lineRule="exact"/>
        <w:rPr>
          <w:rFonts w:ascii="Arial"/>
          <w:sz w:val="2"/>
        </w:rPr>
      </w:pPr>
      <w:r/>
    </w:p>
    <w:p>
      <w:pPr>
        <w:spacing w:line="24" w:lineRule="exact"/>
        <w:sectPr>
          <w:type w:val="continuous"/>
          <w:pgSz w:w="11906" w:h="16158"/>
          <w:pgMar w:top="400" w:right="848" w:bottom="0" w:left="407" w:header="0" w:footer="0" w:gutter="0"/>
          <w:cols w:equalWidth="0" w:num="1">
            <w:col w:w="1064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446" w:right="298" w:firstLine="15"/>
        <w:spacing w:before="33" w:line="211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5"/>
        </w:rPr>
        <w:t>1.3  </w:t>
      </w:r>
      <w:r>
        <w:rPr>
          <w:rFonts w:ascii="Microsoft YaHei" w:hAnsi="Microsoft YaHei" w:eastAsia="Microsoft YaHei" w:cs="Microsoft YaHei"/>
          <w:color w:val="231F20"/>
          <w:spacing w:val="-5"/>
        </w:rPr>
        <w:t>观察指标：比较观察组与对照组患者治疗前的</w:t>
      </w:r>
      <w:r>
        <w:rPr>
          <w:rFonts w:ascii="Microsoft YaHei" w:hAnsi="Microsoft YaHei" w:eastAsia="Microsoft YaHei" w:cs="Microsoft YaHei"/>
          <w:color w:val="231F20"/>
          <w:spacing w:val="-6"/>
        </w:rPr>
        <w:t>生化指标：血糖、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糖化血红蛋白（</w:t>
      </w:r>
      <w:r>
        <w:rPr>
          <w:color w:val="231F20"/>
        </w:rPr>
        <w:t>HbA</w:t>
      </w:r>
      <w:r>
        <w:rPr>
          <w:sz w:val="9"/>
          <w:szCs w:val="9"/>
          <w:color w:val="231F20"/>
          <w:position w:val="-3"/>
        </w:rPr>
        <w:t>1</w:t>
      </w:r>
      <w:r>
        <w:rPr>
          <w:color w:val="231F20"/>
        </w:rPr>
        <w:t>c</w:t>
      </w:r>
      <w:r>
        <w:rPr>
          <w:rFonts w:ascii="Microsoft YaHei" w:hAnsi="Microsoft YaHei" w:eastAsia="Microsoft YaHei" w:cs="Microsoft YaHei"/>
          <w:color w:val="231F20"/>
        </w:rPr>
        <w:t>）、</w:t>
      </w:r>
      <w:r>
        <w:rPr>
          <w:color w:val="231F20"/>
        </w:rPr>
        <w:t>pH</w:t>
      </w:r>
      <w:r>
        <w:rPr>
          <w:rFonts w:ascii="Microsoft YaHei" w:hAnsi="Microsoft YaHei" w:eastAsia="Microsoft YaHei" w:cs="Microsoft YaHei"/>
          <w:color w:val="231F20"/>
        </w:rPr>
        <w:t>值、血淀粉酶</w:t>
      </w:r>
      <w:r>
        <w:rPr>
          <w:rFonts w:ascii="Microsoft YaHei" w:hAnsi="Microsoft YaHei" w:eastAsia="Microsoft YaHei" w:cs="Microsoft YaHei"/>
          <w:color w:val="231F20"/>
          <w:spacing w:val="-1"/>
        </w:rPr>
        <w:t>、尿淀粉酶、血三酰甘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  <w:w w:val="99"/>
        </w:rPr>
        <w:t>油；观察</w:t>
      </w:r>
      <w:r>
        <w:rPr>
          <w:color w:val="231F20"/>
          <w:spacing w:val="-7"/>
          <w:w w:val="99"/>
        </w:rPr>
        <w:t>DKA</w:t>
      </w:r>
      <w:r>
        <w:rPr>
          <w:rFonts w:ascii="Microsoft YaHei" w:hAnsi="Microsoft YaHei" w:eastAsia="Microsoft YaHei" w:cs="Microsoft YaHei"/>
          <w:color w:val="231F20"/>
          <w:spacing w:val="-7"/>
          <w:w w:val="99"/>
        </w:rPr>
        <w:t>并发</w:t>
      </w:r>
      <w:r>
        <w:rPr>
          <w:color w:val="231F20"/>
          <w:spacing w:val="-7"/>
          <w:w w:val="99"/>
        </w:rPr>
        <w:t>AP</w:t>
      </w:r>
      <w:r>
        <w:rPr>
          <w:rFonts w:ascii="Microsoft YaHei" w:hAnsi="Microsoft YaHei" w:eastAsia="Microsoft YaHei" w:cs="Microsoft YaHei"/>
          <w:color w:val="231F20"/>
          <w:spacing w:val="-7"/>
          <w:w w:val="99"/>
        </w:rPr>
        <w:t>是否与</w:t>
      </w:r>
      <w:r>
        <w:rPr>
          <w:color w:val="231F20"/>
          <w:spacing w:val="-7"/>
          <w:w w:val="99"/>
        </w:rPr>
        <w:t>DKA</w:t>
      </w:r>
      <w:r>
        <w:rPr>
          <w:rFonts w:ascii="Microsoft YaHei" w:hAnsi="Microsoft YaHei" w:eastAsia="Microsoft YaHei" w:cs="Microsoft YaHei"/>
          <w:color w:val="231F20"/>
          <w:spacing w:val="-7"/>
          <w:w w:val="99"/>
        </w:rPr>
        <w:t>酸中毒严重程度有关。</w:t>
      </w:r>
    </w:p>
    <w:p>
      <w:pPr>
        <w:pStyle w:val="BodyText"/>
        <w:ind w:left="427" w:right="299" w:firstLine="33"/>
        <w:spacing w:before="48" w:line="208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5"/>
        </w:rPr>
        <w:t>1.4  </w:t>
      </w:r>
      <w:r>
        <w:rPr>
          <w:rFonts w:ascii="Microsoft YaHei" w:hAnsi="Microsoft YaHei" w:eastAsia="Microsoft YaHei" w:cs="Microsoft YaHei"/>
          <w:color w:val="231F20"/>
          <w:spacing w:val="-5"/>
        </w:rPr>
        <w:t>统计学方法：采用</w:t>
      </w:r>
      <w:r>
        <w:rPr>
          <w:color w:val="231F20"/>
          <w:spacing w:val="-5"/>
        </w:rPr>
        <w:t>SPSS16.0</w:t>
      </w:r>
      <w:r>
        <w:rPr>
          <w:rFonts w:ascii="Microsoft YaHei" w:hAnsi="Microsoft YaHei" w:eastAsia="Microsoft YaHei" w:cs="Microsoft YaHei"/>
          <w:color w:val="231F20"/>
          <w:spacing w:val="-5"/>
        </w:rPr>
        <w:t>统计软件进行数据分析，计量资料以</w:t>
      </w:r>
      <w:r>
        <w:rPr>
          <w:rFonts w:ascii="Microsoft YaHei" w:hAnsi="Microsoft YaHei" w:eastAsia="Microsoft YaHei" w:cs="Microsoft YaHei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均数±标准差（</w:t>
      </w:r>
      <w:r>
        <w:rPr>
          <w:color w:val="231F20"/>
          <w:spacing w:val="-8"/>
        </w:rPr>
        <w:t>x</w:t>
      </w:r>
      <w:r>
        <w:rPr>
          <w:sz w:val="14"/>
          <w:szCs w:val="14"/>
          <w:color w:val="231F20"/>
          <w:spacing w:val="-8"/>
          <w:position w:val="5"/>
        </w:rPr>
        <w:t>-</w:t>
      </w:r>
      <w:r>
        <w:rPr>
          <w:sz w:val="14"/>
          <w:szCs w:val="14"/>
          <w:color w:val="231F20"/>
          <w:spacing w:val="-4"/>
          <w:position w:val="5"/>
        </w:rPr>
        <w:t xml:space="preserve"> </w:t>
      </w:r>
      <w:r>
        <w:rPr>
          <w:rFonts w:ascii="SimSun" w:hAnsi="SimSun" w:eastAsia="SimSun" w:cs="SimSun"/>
          <w:color w:val="231F20"/>
          <w:spacing w:val="-8"/>
        </w:rPr>
        <w:t>±</w:t>
      </w:r>
      <w:r>
        <w:rPr>
          <w:rFonts w:ascii="LiSu" w:hAnsi="LiSu" w:eastAsia="LiSu" w:cs="LiSu"/>
          <w:i/>
          <w:iCs/>
          <w:color w:val="231F20"/>
          <w:spacing w:val="-8"/>
        </w:rPr>
        <w:t>s</w:t>
      </w:r>
      <w:r>
        <w:rPr>
          <w:rFonts w:ascii="Microsoft YaHei" w:hAnsi="Microsoft YaHei" w:eastAsia="Microsoft YaHei" w:cs="Microsoft YaHei"/>
          <w:color w:val="231F20"/>
          <w:spacing w:val="-8"/>
        </w:rPr>
        <w:t>）表示，组间比较采用</w:t>
      </w:r>
      <w:r>
        <w:rPr>
          <w:i/>
          <w:iCs/>
          <w:color w:val="231F20"/>
          <w:spacing w:val="-8"/>
        </w:rPr>
        <w:t>t</w:t>
      </w:r>
      <w:r>
        <w:rPr>
          <w:rFonts w:ascii="Microsoft YaHei" w:hAnsi="Microsoft YaHei" w:eastAsia="Microsoft YaHei" w:cs="Microsoft YaHei"/>
          <w:color w:val="231F20"/>
          <w:spacing w:val="-8"/>
        </w:rPr>
        <w:t>检验，计数资料比较采用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sz w:val="16"/>
          <w:szCs w:val="16"/>
          <w:i/>
          <w:iCs/>
          <w:color w:val="231F20"/>
          <w:spacing w:val="-2"/>
          <w:w w:val="98"/>
        </w:rPr>
        <w:t>χ</w:t>
      </w:r>
      <w:r>
        <w:rPr>
          <w:sz w:val="9"/>
          <w:szCs w:val="9"/>
          <w:color w:val="231F20"/>
          <w:spacing w:val="-2"/>
          <w:w w:val="98"/>
          <w:position w:val="7"/>
        </w:rPr>
        <w:t>2</w:t>
      </w:r>
      <w:r>
        <w:rPr>
          <w:rFonts w:ascii="Microsoft YaHei" w:hAnsi="Microsoft YaHei" w:eastAsia="Microsoft YaHei" w:cs="Microsoft YaHei"/>
          <w:color w:val="231F20"/>
          <w:spacing w:val="-2"/>
          <w:w w:val="98"/>
        </w:rPr>
        <w:t>检验，以</w:t>
      </w:r>
      <w:r>
        <w:rPr>
          <w:i/>
          <w:iCs/>
          <w:color w:val="231F20"/>
          <w:spacing w:val="-2"/>
          <w:w w:val="98"/>
        </w:rPr>
        <w:t>P</w:t>
      </w:r>
      <w:r>
        <w:rPr>
          <w:rFonts w:ascii="Microsoft YaHei" w:hAnsi="Microsoft YaHei" w:eastAsia="Microsoft YaHei" w:cs="Microsoft YaHei"/>
          <w:color w:val="231F20"/>
          <w:spacing w:val="-8"/>
        </w:rPr>
        <w:t>＜</w:t>
      </w:r>
      <w:r>
        <w:rPr>
          <w:color w:val="231F20"/>
          <w:spacing w:val="-8"/>
        </w:rPr>
        <w:t>0.05</w:t>
      </w:r>
      <w:r>
        <w:rPr>
          <w:rFonts w:ascii="Microsoft YaHei" w:hAnsi="Microsoft YaHei" w:eastAsia="Microsoft YaHei" w:cs="Microsoft YaHei"/>
          <w:color w:val="231F20"/>
          <w:spacing w:val="-8"/>
        </w:rPr>
        <w:t>为差异具有统计学意义。</w:t>
      </w:r>
    </w:p>
    <w:p>
      <w:pPr>
        <w:ind w:left="449"/>
        <w:spacing w:before="55" w:line="186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  <w:w w:val="98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  <w:w w:val="98"/>
        </w:rPr>
        <w:t>结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  <w:w w:val="98"/>
        </w:rPr>
        <w:t>果</w:t>
      </w:r>
    </w:p>
    <w:p>
      <w:pPr>
        <w:pStyle w:val="BodyText"/>
        <w:ind w:left="448" w:right="298" w:hanging="3"/>
        <w:spacing w:before="47" w:line="224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5"/>
        </w:rPr>
        <w:t>2.1  </w:t>
      </w:r>
      <w:r>
        <w:rPr>
          <w:rFonts w:ascii="Microsoft YaHei" w:hAnsi="Microsoft YaHei" w:eastAsia="Microsoft YaHei" w:cs="Microsoft YaHei"/>
          <w:color w:val="231F20"/>
          <w:spacing w:val="-5"/>
        </w:rPr>
        <w:t>两组患者治疗前的生化指标比较：观察组的生化指标均高于对照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组，差异均有统计学意义（</w:t>
      </w:r>
      <w:r>
        <w:rPr>
          <w:i/>
          <w:iCs/>
          <w:color w:val="231F20"/>
          <w:spacing w:val="-8"/>
        </w:rPr>
        <w:t>P</w:t>
      </w:r>
      <w:r>
        <w:rPr>
          <w:color w:val="231F20"/>
          <w:spacing w:val="-8"/>
        </w:rPr>
        <w:t>&lt;0.05</w:t>
      </w:r>
      <w:r>
        <w:rPr>
          <w:rFonts w:ascii="Microsoft YaHei" w:hAnsi="Microsoft YaHei" w:eastAsia="Microsoft YaHei" w:cs="Microsoft YaHei"/>
          <w:color w:val="231F20"/>
          <w:spacing w:val="-3"/>
        </w:rPr>
        <w:t>），</w:t>
      </w:r>
      <w:r>
        <w:rPr>
          <w:rFonts w:ascii="Microsoft YaHei" w:hAnsi="Microsoft YaHei" w:eastAsia="Microsoft YaHei" w:cs="Microsoft YaHei"/>
          <w:color w:val="231F20"/>
          <w:spacing w:val="-8"/>
        </w:rPr>
        <w:t>见表</w:t>
      </w:r>
      <w:r>
        <w:rPr>
          <w:color w:val="231F20"/>
          <w:spacing w:val="-8"/>
        </w:rPr>
        <w:t>1</w:t>
      </w:r>
      <w:r>
        <w:rPr>
          <w:rFonts w:ascii="Microsoft YaHei" w:hAnsi="Microsoft YaHei" w:eastAsia="Microsoft YaHei" w:cs="Microsoft YaHei"/>
          <w:color w:val="231F20"/>
          <w:spacing w:val="-8"/>
        </w:rPr>
        <w:t>。</w:t>
      </w:r>
    </w:p>
    <w:p>
      <w:pPr>
        <w:pStyle w:val="BodyText"/>
        <w:ind w:left="446" w:right="299" w:hanging="1"/>
        <w:spacing w:before="1" w:line="207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9"/>
        </w:rPr>
        <w:t>2.2  DKA</w:t>
      </w:r>
      <w:r>
        <w:rPr>
          <w:rFonts w:ascii="Microsoft YaHei" w:hAnsi="Microsoft YaHei" w:eastAsia="Microsoft YaHei" w:cs="Microsoft YaHei"/>
          <w:color w:val="231F20"/>
          <w:spacing w:val="-9"/>
        </w:rPr>
        <w:t>合并</w:t>
      </w:r>
      <w:r>
        <w:rPr>
          <w:color w:val="231F20"/>
          <w:spacing w:val="-9"/>
        </w:rPr>
        <w:t>AP</w:t>
      </w:r>
      <w:r>
        <w:rPr>
          <w:rFonts w:ascii="Microsoft YaHei" w:hAnsi="Microsoft YaHei" w:eastAsia="Microsoft YaHei" w:cs="Microsoft YaHei"/>
          <w:color w:val="231F20"/>
          <w:spacing w:val="-9"/>
        </w:rPr>
        <w:t>是否与</w:t>
      </w:r>
      <w:r>
        <w:rPr>
          <w:color w:val="231F20"/>
          <w:spacing w:val="-9"/>
        </w:rPr>
        <w:t>DKA</w:t>
      </w:r>
      <w:r>
        <w:rPr>
          <w:rFonts w:ascii="Microsoft YaHei" w:hAnsi="Microsoft YaHei" w:eastAsia="Microsoft YaHei" w:cs="Microsoft YaHei"/>
          <w:color w:val="231F20"/>
          <w:spacing w:val="-9"/>
        </w:rPr>
        <w:t>酸中毒的严重程度有关：</w:t>
      </w:r>
      <w:r>
        <w:rPr>
          <w:color w:val="231F20"/>
          <w:spacing w:val="-9"/>
        </w:rPr>
        <w:t>DKA</w:t>
      </w:r>
      <w:r>
        <w:rPr>
          <w:rFonts w:ascii="Microsoft YaHei" w:hAnsi="Microsoft YaHei" w:eastAsia="Microsoft YaHei" w:cs="Microsoft YaHei"/>
          <w:color w:val="231F20"/>
          <w:spacing w:val="-9"/>
        </w:rPr>
        <w:t>合并</w:t>
      </w:r>
      <w:r>
        <w:rPr>
          <w:color w:val="231F20"/>
          <w:spacing w:val="-9"/>
        </w:rPr>
        <w:t>AP</w:t>
      </w:r>
      <w:r>
        <w:rPr>
          <w:rFonts w:ascii="Microsoft YaHei" w:hAnsi="Microsoft YaHei" w:eastAsia="Microsoft YaHei" w:cs="Microsoft YaHei"/>
          <w:color w:val="231F20"/>
          <w:spacing w:val="-9"/>
        </w:rPr>
        <w:t>的发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生率与</w:t>
      </w:r>
      <w:r>
        <w:rPr>
          <w:color w:val="231F20"/>
          <w:spacing w:val="-6"/>
        </w:rPr>
        <w:t>DKA</w:t>
      </w:r>
      <w:r>
        <w:rPr>
          <w:rFonts w:ascii="Microsoft YaHei" w:hAnsi="Microsoft YaHei" w:eastAsia="Microsoft YaHei" w:cs="Microsoft YaHei"/>
          <w:color w:val="231F20"/>
          <w:spacing w:val="-6"/>
        </w:rPr>
        <w:t>酸中毒严重程度相关，差异均有</w:t>
      </w:r>
      <w:r>
        <w:rPr>
          <w:rFonts w:ascii="Microsoft YaHei" w:hAnsi="Microsoft YaHei" w:eastAsia="Microsoft YaHei" w:cs="Microsoft YaHei"/>
          <w:color w:val="231F20"/>
          <w:spacing w:val="-7"/>
        </w:rPr>
        <w:t>统计学意义（</w:t>
      </w:r>
      <w:r>
        <w:rPr>
          <w:i/>
          <w:iCs/>
          <w:color w:val="231F20"/>
          <w:spacing w:val="-7"/>
        </w:rPr>
        <w:t>P</w:t>
      </w:r>
      <w:r>
        <w:rPr>
          <w:color w:val="231F20"/>
          <w:spacing w:val="-7"/>
        </w:rPr>
        <w:t>&lt;0.05</w:t>
      </w:r>
      <w:r>
        <w:rPr>
          <w:rFonts w:ascii="Microsoft YaHei" w:hAnsi="Microsoft YaHei" w:eastAsia="Microsoft YaHei" w:cs="Microsoft YaHei"/>
          <w:color w:val="231F20"/>
          <w:spacing w:val="-7"/>
        </w:rPr>
        <w:t>），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见表</w:t>
      </w:r>
      <w:r>
        <w:rPr>
          <w:color w:val="231F20"/>
          <w:spacing w:val="-9"/>
        </w:rPr>
        <w:t>2</w:t>
      </w:r>
      <w:r>
        <w:rPr>
          <w:rFonts w:ascii="Microsoft YaHei" w:hAnsi="Microsoft YaHei" w:eastAsia="Microsoft YaHei" w:cs="Microsoft YaHei"/>
          <w:color w:val="231F20"/>
          <w:spacing w:val="-9"/>
        </w:rPr>
        <w:t>。</w:t>
      </w:r>
    </w:p>
    <w:p>
      <w:pPr>
        <w:pStyle w:val="BodyText"/>
        <w:ind w:left="645"/>
        <w:spacing w:before="1" w:line="201" w:lineRule="auto"/>
        <w:outlineLvl w:val="2"/>
        <w:rPr/>
      </w:pPr>
      <w:r>
        <w:rPr>
          <w:rFonts w:ascii="SimSun" w:hAnsi="SimSun" w:eastAsia="SimSun" w:cs="SimSun"/>
          <w:color w:val="231F20"/>
        </w:rPr>
        <w:t>表</w:t>
      </w:r>
      <w:r>
        <w:rPr>
          <w:color w:val="231F20"/>
        </w:rPr>
        <w:t>2  DKA</w:t>
      </w:r>
      <w:r>
        <w:rPr>
          <w:rFonts w:ascii="SimSun" w:hAnsi="SimSun" w:eastAsia="SimSun" w:cs="SimSun"/>
          <w:color w:val="231F20"/>
        </w:rPr>
        <w:t>合并</w:t>
      </w:r>
      <w:r>
        <w:rPr>
          <w:color w:val="231F20"/>
        </w:rPr>
        <w:t>AP</w:t>
      </w:r>
      <w:r>
        <w:rPr>
          <w:rFonts w:ascii="SimSun" w:hAnsi="SimSun" w:eastAsia="SimSun" w:cs="SimSun"/>
          <w:color w:val="231F20"/>
        </w:rPr>
        <w:t>发生与</w:t>
      </w:r>
      <w:r>
        <w:rPr>
          <w:color w:val="231F20"/>
        </w:rPr>
        <w:t>DKA</w:t>
      </w:r>
      <w:r>
        <w:rPr>
          <w:rFonts w:ascii="SimSun" w:hAnsi="SimSun" w:eastAsia="SimSun" w:cs="SimSun"/>
          <w:color w:val="231F20"/>
        </w:rPr>
        <w:t>酸中毒严重程度</w:t>
      </w:r>
      <w:r>
        <w:rPr>
          <w:rFonts w:ascii="SimSun" w:hAnsi="SimSun" w:eastAsia="SimSun" w:cs="SimSun"/>
          <w:color w:val="231F20"/>
          <w:spacing w:val="-1"/>
        </w:rPr>
        <w:t>的关系</w:t>
      </w:r>
      <w:r>
        <w:rPr>
          <w:color w:val="231F20"/>
          <w:spacing w:val="-1"/>
        </w:rPr>
        <w:t>[n</w:t>
      </w:r>
      <w:r>
        <w:rPr>
          <w:rFonts w:ascii="SimSun" w:hAnsi="SimSun" w:eastAsia="SimSun" w:cs="SimSun"/>
          <w:color w:val="231F20"/>
          <w:spacing w:val="-1"/>
        </w:rPr>
        <w:t>（</w:t>
      </w:r>
      <w:r>
        <w:rPr>
          <w:color w:val="231F20"/>
          <w:spacing w:val="-1"/>
        </w:rPr>
        <w:t>%</w:t>
      </w:r>
      <w:r>
        <w:rPr>
          <w:rFonts w:ascii="SimSun" w:hAnsi="SimSun" w:eastAsia="SimSun" w:cs="SimSun"/>
          <w:color w:val="231F20"/>
          <w:spacing w:val="-1"/>
        </w:rPr>
        <w:t>）</w:t>
      </w:r>
      <w:r>
        <w:rPr>
          <w:color w:val="231F20"/>
          <w:spacing w:val="-1"/>
        </w:rPr>
        <w:t>]</w:t>
      </w:r>
    </w:p>
    <w:p>
      <w:pPr>
        <w:spacing w:line="40" w:lineRule="exact"/>
        <w:rPr/>
      </w:pPr>
      <w:r/>
    </w:p>
    <w:tbl>
      <w:tblPr>
        <w:tblStyle w:val="TableNormal"/>
        <w:tblW w:w="4903" w:type="dxa"/>
        <w:tblInd w:w="44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64"/>
        <w:gridCol w:w="1035"/>
        <w:gridCol w:w="901"/>
        <w:gridCol w:w="1044"/>
        <w:gridCol w:w="959"/>
      </w:tblGrid>
      <w:tr>
        <w:trPr>
          <w:trHeight w:val="211" w:hRule="atLeast"/>
        </w:trPr>
        <w:tc>
          <w:tcPr>
            <w:tcW w:w="96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336"/>
              <w:spacing w:before="26" w:line="17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2"/>
              </w:rPr>
              <w:t>组别</w:t>
            </w:r>
          </w:p>
        </w:tc>
        <w:tc>
          <w:tcPr>
            <w:tcW w:w="103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350"/>
              <w:spacing w:before="26" w:line="17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</w:rPr>
              <w:t>例数</w:t>
            </w:r>
          </w:p>
        </w:tc>
        <w:tc>
          <w:tcPr>
            <w:tcW w:w="90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98"/>
              <w:spacing w:before="26" w:line="17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2"/>
              </w:rPr>
              <w:t>轻度</w:t>
            </w:r>
          </w:p>
        </w:tc>
        <w:tc>
          <w:tcPr>
            <w:tcW w:w="104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395"/>
              <w:spacing w:before="26" w:line="17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6"/>
              </w:rPr>
              <w:t>中度</w:t>
            </w:r>
          </w:p>
        </w:tc>
        <w:tc>
          <w:tcPr>
            <w:tcW w:w="95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315"/>
              <w:spacing w:before="26" w:line="17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2"/>
              </w:rPr>
              <w:t>重度</w:t>
            </w:r>
          </w:p>
        </w:tc>
      </w:tr>
      <w:tr>
        <w:trPr>
          <w:trHeight w:val="212" w:hRule="atLeast"/>
        </w:trPr>
        <w:tc>
          <w:tcPr>
            <w:tcW w:w="964" w:type="dxa"/>
            <w:vAlign w:val="top"/>
            <w:tcBorders>
              <w:top w:val="single" w:color="231F20" w:sz="2" w:space="0"/>
            </w:tcBorders>
          </w:tcPr>
          <w:p>
            <w:pPr>
              <w:ind w:left="255"/>
              <w:spacing w:before="27" w:line="17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2"/>
              </w:rPr>
              <w:t>观察组</w:t>
            </w:r>
          </w:p>
        </w:tc>
        <w:tc>
          <w:tcPr>
            <w:tcW w:w="103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0"/>
              <w:spacing w:line="202" w:lineRule="exact"/>
              <w:rPr/>
            </w:pPr>
            <w:r>
              <w:rPr>
                <w:color w:val="231F20"/>
                <w:spacing w:val="-1"/>
                <w:position w:val="2"/>
              </w:rPr>
              <w:t>35(15.6)</w:t>
            </w:r>
          </w:p>
        </w:tc>
        <w:tc>
          <w:tcPr>
            <w:tcW w:w="9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2"/>
              <w:spacing w:line="202" w:lineRule="exact"/>
              <w:rPr/>
            </w:pPr>
            <w:r>
              <w:rPr>
                <w:color w:val="231F20"/>
                <w:spacing w:val="-1"/>
                <w:position w:val="2"/>
              </w:rPr>
              <w:t>4(2.6)</w:t>
            </w:r>
          </w:p>
        </w:tc>
        <w:tc>
          <w:tcPr>
            <w:tcW w:w="10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2"/>
              <w:spacing w:line="202" w:lineRule="exact"/>
              <w:rPr/>
            </w:pPr>
            <w:r>
              <w:rPr>
                <w:color w:val="231F20"/>
                <w:spacing w:val="-1"/>
                <w:position w:val="2"/>
              </w:rPr>
              <w:t>23(36.5)</w:t>
            </w:r>
          </w:p>
        </w:tc>
        <w:tc>
          <w:tcPr>
            <w:tcW w:w="95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6"/>
              <w:spacing w:line="202" w:lineRule="exact"/>
              <w:rPr/>
            </w:pPr>
            <w:r>
              <w:rPr>
                <w:color w:val="231F20"/>
                <w:spacing w:val="-2"/>
                <w:position w:val="2"/>
              </w:rPr>
              <w:t>8(66.6)</w:t>
            </w:r>
          </w:p>
        </w:tc>
      </w:tr>
      <w:tr>
        <w:trPr>
          <w:trHeight w:val="210" w:hRule="atLeast"/>
        </w:trPr>
        <w:tc>
          <w:tcPr>
            <w:tcW w:w="964" w:type="dxa"/>
            <w:vAlign w:val="top"/>
          </w:tcPr>
          <w:p>
            <w:pPr>
              <w:ind w:left="253"/>
              <w:spacing w:before="31" w:line="168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  <w:position w:val="-1"/>
              </w:rPr>
              <w:t>对照组</w:t>
            </w:r>
          </w:p>
        </w:tc>
        <w:tc>
          <w:tcPr>
            <w:tcW w:w="1035" w:type="dxa"/>
            <w:vAlign w:val="top"/>
          </w:tcPr>
          <w:p>
            <w:pPr>
              <w:pStyle w:val="TableText"/>
              <w:ind w:left="405"/>
              <w:spacing w:before="51" w:line="186" w:lineRule="auto"/>
              <w:rPr/>
            </w:pPr>
            <w:r>
              <w:rPr>
                <w:color w:val="231F20"/>
                <w:spacing w:val="-5"/>
              </w:rPr>
              <w:t>190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351"/>
              <w:spacing w:before="51" w:line="186" w:lineRule="auto"/>
              <w:rPr/>
            </w:pPr>
            <w:r>
              <w:rPr>
                <w:color w:val="231F20"/>
                <w:spacing w:val="-5"/>
              </w:rPr>
              <w:t>146</w:t>
            </w:r>
          </w:p>
        </w:tc>
        <w:tc>
          <w:tcPr>
            <w:tcW w:w="1044" w:type="dxa"/>
            <w:vAlign w:val="top"/>
          </w:tcPr>
          <w:p>
            <w:pPr>
              <w:pStyle w:val="TableText"/>
              <w:ind w:left="455"/>
              <w:spacing w:before="51" w:line="186" w:lineRule="auto"/>
              <w:rPr/>
            </w:pPr>
            <w:r>
              <w:rPr>
                <w:color w:val="231F20"/>
                <w:spacing w:val="-1"/>
              </w:rPr>
              <w:t>40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ind w:left="432"/>
              <w:spacing w:before="52" w:line="186" w:lineRule="auto"/>
              <w:rPr/>
            </w:pPr>
            <w:r>
              <w:rPr>
                <w:color w:val="231F20"/>
              </w:rPr>
              <w:t>4</w:t>
            </w:r>
          </w:p>
        </w:tc>
      </w:tr>
      <w:tr>
        <w:trPr>
          <w:trHeight w:val="222" w:hRule="atLeast"/>
        </w:trPr>
        <w:tc>
          <w:tcPr>
            <w:tcW w:w="964" w:type="dxa"/>
            <w:vAlign w:val="top"/>
            <w:tcBorders>
              <w:bottom w:val="single" w:color="231F20" w:sz="4" w:space="0"/>
            </w:tcBorders>
          </w:tcPr>
          <w:p>
            <w:pPr>
              <w:ind w:left="335"/>
              <w:spacing w:before="38" w:line="174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2"/>
              </w:rPr>
              <w:t>合计</w:t>
            </w:r>
          </w:p>
        </w:tc>
        <w:tc>
          <w:tcPr>
            <w:tcW w:w="103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90"/>
              <w:spacing w:before="58" w:line="186" w:lineRule="auto"/>
              <w:rPr/>
            </w:pPr>
            <w:r>
              <w:rPr>
                <w:color w:val="231F20"/>
                <w:spacing w:val="-1"/>
              </w:rPr>
              <w:t>225</w:t>
            </w:r>
          </w:p>
        </w:tc>
        <w:tc>
          <w:tcPr>
            <w:tcW w:w="90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51"/>
              <w:spacing w:before="58" w:line="186" w:lineRule="auto"/>
              <w:rPr/>
            </w:pPr>
            <w:r>
              <w:rPr>
                <w:color w:val="231F20"/>
                <w:spacing w:val="-5"/>
              </w:rPr>
              <w:t>150</w:t>
            </w:r>
          </w:p>
        </w:tc>
        <w:tc>
          <w:tcPr>
            <w:tcW w:w="104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59"/>
              <w:spacing w:before="58" w:line="186" w:lineRule="auto"/>
              <w:rPr/>
            </w:pPr>
            <w:r>
              <w:rPr>
                <w:color w:val="231F20"/>
                <w:spacing w:val="-2"/>
              </w:rPr>
              <w:t>63</w:t>
            </w:r>
          </w:p>
        </w:tc>
        <w:tc>
          <w:tcPr>
            <w:tcW w:w="95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08"/>
              <w:spacing w:before="58" w:line="186" w:lineRule="auto"/>
              <w:rPr/>
            </w:pPr>
            <w:r>
              <w:rPr>
                <w:color w:val="231F20"/>
                <w:spacing w:val="-5"/>
              </w:rPr>
              <w:t>12</w:t>
            </w:r>
          </w:p>
        </w:tc>
      </w:tr>
    </w:tbl>
    <w:p>
      <w:pPr>
        <w:ind w:left="450"/>
        <w:spacing w:before="40" w:line="187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论</w:t>
      </w:r>
    </w:p>
    <w:p>
      <w:pPr>
        <w:pStyle w:val="BodyText"/>
        <w:ind w:left="449" w:right="297" w:firstLine="307"/>
        <w:spacing w:before="45" w:line="210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2"/>
        </w:rPr>
        <w:t>DKA</w:t>
      </w:r>
      <w:r>
        <w:rPr>
          <w:rFonts w:ascii="Microsoft YaHei" w:hAnsi="Microsoft YaHei" w:eastAsia="Microsoft YaHei" w:cs="Microsoft YaHei"/>
          <w:color w:val="231F20"/>
          <w:spacing w:val="-2"/>
        </w:rPr>
        <w:t>时血清三酰甘油显著升高，这是由于</w:t>
      </w:r>
      <w:r>
        <w:rPr>
          <w:color w:val="231F20"/>
          <w:spacing w:val="-2"/>
        </w:rPr>
        <w:t>DKA</w:t>
      </w:r>
      <w:r>
        <w:rPr>
          <w:rFonts w:ascii="Microsoft YaHei" w:hAnsi="Microsoft YaHei" w:eastAsia="Microsoft YaHei" w:cs="Microsoft YaHei"/>
          <w:color w:val="231F20"/>
          <w:spacing w:val="-2"/>
        </w:rPr>
        <w:t>时胰岛素极</w:t>
      </w:r>
      <w:r>
        <w:rPr>
          <w:rFonts w:ascii="Microsoft YaHei" w:hAnsi="Microsoft YaHei" w:eastAsia="Microsoft YaHei" w:cs="Microsoft YaHei"/>
          <w:color w:val="231F20"/>
          <w:spacing w:val="-3"/>
        </w:rPr>
        <w:t>度缺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乏，周围脂肪组织的分解加强，导致肝脏极低密度脂蛋白合成增加；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  <w:w w:val="98"/>
        </w:rPr>
        <w:t>同时周围组织的脂蛋白酶活性下降导致极低密度脂蛋白分解减少</w:t>
      </w:r>
      <w:r>
        <w:rPr>
          <w:sz w:val="9"/>
          <w:szCs w:val="9"/>
          <w:color w:val="231F20"/>
          <w:position w:val="7"/>
        </w:rPr>
        <w:t>[2]</w:t>
      </w:r>
      <w:r>
        <w:rPr>
          <w:rFonts w:ascii="Microsoft YaHei" w:hAnsi="Microsoft YaHei" w:eastAsia="Microsoft YaHei" w:cs="Microsoft YaHei"/>
          <w:color w:val="231F20"/>
          <w:spacing w:val="-24"/>
        </w:rPr>
        <w:t>。目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9"/>
        </w:rPr>
        <w:t>前公认</w:t>
      </w:r>
      <w:r>
        <w:rPr>
          <w:color w:val="231F20"/>
          <w:spacing w:val="-9"/>
        </w:rPr>
        <w:t>HTG</w:t>
      </w:r>
      <w:r>
        <w:rPr>
          <w:rFonts w:ascii="Microsoft YaHei" w:hAnsi="Microsoft YaHei" w:eastAsia="Microsoft YaHei" w:cs="Microsoft YaHei"/>
          <w:color w:val="231F20"/>
          <w:spacing w:val="-9"/>
        </w:rPr>
        <w:t>是</w:t>
      </w:r>
      <w:r>
        <w:rPr>
          <w:color w:val="231F20"/>
          <w:spacing w:val="-9"/>
        </w:rPr>
        <w:t>AP</w:t>
      </w:r>
      <w:r>
        <w:rPr>
          <w:rFonts w:ascii="Microsoft YaHei" w:hAnsi="Microsoft YaHei" w:eastAsia="Microsoft YaHei" w:cs="Microsoft YaHei"/>
          <w:color w:val="231F20"/>
          <w:spacing w:val="-9"/>
        </w:rPr>
        <w:t>的独立危险因素，</w:t>
      </w:r>
      <w:r>
        <w:rPr>
          <w:color w:val="231F20"/>
          <w:spacing w:val="-9"/>
        </w:rPr>
        <w:t>HTG</w:t>
      </w:r>
      <w:r>
        <w:rPr>
          <w:rFonts w:ascii="Microsoft YaHei" w:hAnsi="Microsoft YaHei" w:eastAsia="Microsoft YaHei" w:cs="Microsoft YaHei"/>
          <w:color w:val="231F20"/>
          <w:spacing w:val="-9"/>
        </w:rPr>
        <w:t>引起</w:t>
      </w:r>
      <w:r>
        <w:rPr>
          <w:color w:val="231F20"/>
          <w:spacing w:val="-9"/>
        </w:rPr>
        <w:t>A</w:t>
      </w:r>
      <w:r>
        <w:rPr>
          <w:color w:val="231F20"/>
          <w:spacing w:val="-10"/>
        </w:rPr>
        <w:t>P</w:t>
      </w:r>
      <w:r>
        <w:rPr>
          <w:rFonts w:ascii="Microsoft YaHei" w:hAnsi="Microsoft YaHei" w:eastAsia="Microsoft YaHei" w:cs="Microsoft YaHei"/>
          <w:color w:val="231F20"/>
          <w:spacing w:val="-10"/>
        </w:rPr>
        <w:t>的机制：①</w:t>
      </w:r>
      <w:r>
        <w:rPr>
          <w:color w:val="231F20"/>
          <w:spacing w:val="-10"/>
        </w:rPr>
        <w:t>HTG</w:t>
      </w:r>
      <w:r>
        <w:rPr>
          <w:rFonts w:ascii="Microsoft YaHei" w:hAnsi="Microsoft YaHei" w:eastAsia="Microsoft YaHei" w:cs="Microsoft YaHei"/>
          <w:color w:val="231F20"/>
          <w:spacing w:val="-10"/>
        </w:rPr>
        <w:t>导致血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液黏稠度增加，胰腺血循环受阻；②</w:t>
      </w:r>
      <w:r>
        <w:rPr>
          <w:color w:val="231F20"/>
          <w:spacing w:val="-7"/>
        </w:rPr>
        <w:t>HTG</w:t>
      </w:r>
      <w:r>
        <w:rPr>
          <w:rFonts w:ascii="Microsoft YaHei" w:hAnsi="Microsoft YaHei" w:eastAsia="Microsoft YaHei" w:cs="Microsoft YaHei"/>
          <w:color w:val="231F20"/>
          <w:spacing w:val="-7"/>
        </w:rPr>
        <w:t>使胆石症发生率增加；③高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浓度的三酰甘油被胰腺脂肪酶分解，产生的游离对胰腺的毛细血管内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firstLine="4"/>
        <w:spacing w:before="31" w:line="22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6"/>
          <w:w w:val="99"/>
        </w:rPr>
        <w:t>皮细胞</w:t>
      </w:r>
      <w:r>
        <w:rPr>
          <w:rFonts w:ascii="Microsoft YaHei" w:hAnsi="Microsoft YaHei" w:eastAsia="Microsoft YaHei" w:cs="Microsoft YaHei"/>
          <w:color w:val="231F20"/>
          <w:spacing w:val="-5"/>
          <w:w w:val="99"/>
        </w:rPr>
        <w:t>及胰腺腺泡细胞产生毒性作用。国外报道酒精中毒与胆</w:t>
      </w:r>
      <w:r>
        <w:rPr>
          <w:rFonts w:ascii="Microsoft YaHei" w:hAnsi="Microsoft YaHei" w:eastAsia="Microsoft YaHei" w:cs="Microsoft YaHei"/>
          <w:color w:val="231F20"/>
          <w:spacing w:val="-6"/>
          <w:w w:val="99"/>
        </w:rPr>
        <w:t>道疾</w:t>
      </w:r>
      <w:r>
        <w:rPr>
          <w:rFonts w:ascii="Microsoft YaHei" w:hAnsi="Microsoft YaHei" w:eastAsia="Microsoft YaHei" w:cs="Microsoft YaHei"/>
          <w:color w:val="231F20"/>
          <w:spacing w:val="-3"/>
          <w:w w:val="99"/>
        </w:rPr>
        <w:t>病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是</w:t>
      </w:r>
      <w:r>
        <w:rPr>
          <w:color w:val="231F20"/>
          <w:spacing w:val="-8"/>
        </w:rPr>
        <w:t>AP</w:t>
      </w:r>
      <w:r>
        <w:rPr>
          <w:rFonts w:ascii="Microsoft YaHei" w:hAnsi="Microsoft YaHei" w:eastAsia="Microsoft YaHei" w:cs="Microsoft YaHei"/>
          <w:color w:val="231F20"/>
          <w:spacing w:val="-8"/>
        </w:rPr>
        <w:t>最常见的两种病因，其他病因相对少见；我国指南认为胆石症、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乙醇、高脂血症为</w:t>
      </w:r>
      <w:r>
        <w:rPr>
          <w:color w:val="231F20"/>
          <w:spacing w:val="-8"/>
        </w:rPr>
        <w:t>AP</w:t>
      </w:r>
      <w:r>
        <w:rPr>
          <w:rFonts w:ascii="Microsoft YaHei" w:hAnsi="Microsoft YaHei" w:eastAsia="Microsoft YaHei" w:cs="Microsoft YaHei"/>
          <w:color w:val="231F20"/>
          <w:spacing w:val="-8"/>
        </w:rPr>
        <w:t>的常见病因；不论何种病因引起的</w:t>
      </w:r>
      <w:r>
        <w:rPr>
          <w:color w:val="231F20"/>
          <w:spacing w:val="-8"/>
        </w:rPr>
        <w:t>AP</w:t>
      </w:r>
      <w:r>
        <w:rPr>
          <w:rFonts w:ascii="Microsoft YaHei" w:hAnsi="Microsoft YaHei" w:eastAsia="Microsoft YaHei" w:cs="Microsoft YaHei"/>
          <w:color w:val="231F20"/>
          <w:spacing w:val="-8"/>
        </w:rPr>
        <w:t>，高</w:t>
      </w:r>
      <w:r>
        <w:rPr>
          <w:rFonts w:ascii="Microsoft YaHei" w:hAnsi="Microsoft YaHei" w:eastAsia="Microsoft YaHei" w:cs="Microsoft YaHei"/>
          <w:color w:val="231F20"/>
          <w:spacing w:val="-9"/>
        </w:rPr>
        <w:t>达</w:t>
      </w:r>
      <w:r>
        <w:rPr>
          <w:color w:val="231F20"/>
          <w:spacing w:val="-9"/>
        </w:rPr>
        <w:t>50%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的患者可出现一过性三酰甘油升高，故轻</w:t>
      </w:r>
      <w:r>
        <w:rPr>
          <w:color w:val="231F20"/>
          <w:spacing w:val="-6"/>
        </w:rPr>
        <w:t>-</w:t>
      </w:r>
      <w:r>
        <w:rPr>
          <w:rFonts w:ascii="Microsoft YaHei" w:hAnsi="Microsoft YaHei" w:eastAsia="Microsoft YaHei" w:cs="Microsoft YaHei"/>
          <w:color w:val="231F20"/>
          <w:spacing w:val="-6"/>
        </w:rPr>
        <w:t>中度</w:t>
      </w:r>
      <w:r>
        <w:rPr>
          <w:color w:val="231F20"/>
          <w:spacing w:val="-6"/>
        </w:rPr>
        <w:t>HTG</w:t>
      </w:r>
      <w:r>
        <w:rPr>
          <w:rFonts w:ascii="Microsoft YaHei" w:hAnsi="Microsoft YaHei" w:eastAsia="Microsoft YaHei" w:cs="Microsoft YaHei"/>
          <w:color w:val="231F20"/>
          <w:spacing w:val="-6"/>
        </w:rPr>
        <w:t>（</w:t>
      </w:r>
      <w:r>
        <w:rPr>
          <w:color w:val="231F20"/>
          <w:spacing w:val="-6"/>
        </w:rPr>
        <w:t>2~10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6"/>
        </w:rPr>
        <w:t>mmol/L</w:t>
      </w:r>
      <w:r>
        <w:rPr>
          <w:rFonts w:ascii="Microsoft YaHei" w:hAnsi="Microsoft YaHei" w:eastAsia="Microsoft YaHei" w:cs="Microsoft YaHei"/>
          <w:color w:val="231F20"/>
          <w:spacing w:val="-6"/>
        </w:rPr>
        <w:t>）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为</w:t>
      </w:r>
      <w:r>
        <w:rPr>
          <w:color w:val="231F20"/>
          <w:spacing w:val="-5"/>
        </w:rPr>
        <w:t>AP</w:t>
      </w:r>
      <w:r>
        <w:rPr>
          <w:rFonts w:ascii="Microsoft YaHei" w:hAnsi="Microsoft YaHei" w:eastAsia="Microsoft YaHei" w:cs="Microsoft YaHei"/>
          <w:color w:val="231F20"/>
          <w:spacing w:val="-5"/>
        </w:rPr>
        <w:t>的继发性改变，重度</w:t>
      </w:r>
      <w:r>
        <w:rPr>
          <w:color w:val="231F20"/>
          <w:spacing w:val="-5"/>
        </w:rPr>
        <w:t>HTG</w:t>
      </w:r>
      <w:r>
        <w:rPr>
          <w:rFonts w:ascii="Microsoft YaHei" w:hAnsi="Microsoft YaHei" w:eastAsia="Microsoft YaHei" w:cs="Microsoft YaHei"/>
          <w:color w:val="231F20"/>
          <w:spacing w:val="-5"/>
        </w:rPr>
        <w:t>（</w:t>
      </w:r>
      <w:r>
        <w:rPr>
          <w:color w:val="231F20"/>
          <w:spacing w:val="-5"/>
        </w:rPr>
        <w:t>TG</w:t>
      </w:r>
      <w:r>
        <w:rPr>
          <w:rFonts w:ascii="Microsoft YaHei" w:hAnsi="Microsoft YaHei" w:eastAsia="Microsoft YaHei" w:cs="Microsoft YaHei"/>
          <w:color w:val="231F20"/>
          <w:spacing w:val="-5"/>
        </w:rPr>
        <w:t>≥</w:t>
      </w:r>
      <w:r>
        <w:rPr>
          <w:color w:val="231F20"/>
          <w:spacing w:val="-5"/>
        </w:rPr>
        <w:t>11.3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mmol/L</w:t>
      </w:r>
      <w:r>
        <w:rPr>
          <w:rFonts w:ascii="Microsoft YaHei" w:hAnsi="Microsoft YaHei" w:eastAsia="Microsoft YaHei" w:cs="Microsoft YaHei"/>
          <w:color w:val="231F20"/>
          <w:spacing w:val="-6"/>
        </w:rPr>
        <w:t>）才可认为是</w:t>
      </w:r>
      <w:r>
        <w:rPr>
          <w:color w:val="231F20"/>
          <w:spacing w:val="-6"/>
        </w:rPr>
        <w:t>AP</w:t>
      </w:r>
      <w:r>
        <w:rPr>
          <w:rFonts w:ascii="Microsoft YaHei" w:hAnsi="Microsoft YaHei" w:eastAsia="Microsoft YaHei" w:cs="Microsoft YaHei"/>
          <w:color w:val="231F20"/>
          <w:spacing w:val="-6"/>
        </w:rPr>
        <w:t>的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  <w:position w:val="-2"/>
        </w:rPr>
        <w:t>病因</w:t>
      </w:r>
      <w:r>
        <w:rPr>
          <w:sz w:val="9"/>
          <w:szCs w:val="9"/>
          <w:color w:val="231F20"/>
          <w:spacing w:val="-3"/>
          <w:position w:val="5"/>
        </w:rPr>
        <w:t>[3]</w:t>
      </w:r>
      <w:r>
        <w:rPr>
          <w:rFonts w:ascii="Microsoft YaHei" w:hAnsi="Microsoft YaHei" w:eastAsia="Microsoft YaHei" w:cs="Microsoft YaHei"/>
          <w:color w:val="231F20"/>
          <w:spacing w:val="-3"/>
          <w:position w:val="-2"/>
        </w:rPr>
        <w:t>。</w:t>
      </w:r>
    </w:p>
    <w:p>
      <w:pPr>
        <w:pStyle w:val="BodyText"/>
        <w:ind w:right="2" w:firstLine="311"/>
        <w:spacing w:before="4" w:line="223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3"/>
        </w:rPr>
        <w:t>DKA</w:t>
      </w:r>
      <w:r>
        <w:rPr>
          <w:rFonts w:ascii="Microsoft YaHei" w:hAnsi="Microsoft YaHei" w:eastAsia="Microsoft YaHei" w:cs="Microsoft YaHei"/>
          <w:color w:val="231F20"/>
          <w:spacing w:val="-3"/>
        </w:rPr>
        <w:t>和</w:t>
      </w:r>
      <w:r>
        <w:rPr>
          <w:color w:val="231F20"/>
          <w:spacing w:val="-3"/>
        </w:rPr>
        <w:t>AP</w:t>
      </w:r>
      <w:r>
        <w:rPr>
          <w:rFonts w:ascii="Microsoft YaHei" w:hAnsi="Microsoft YaHei" w:eastAsia="Microsoft YaHei" w:cs="Microsoft YaHei"/>
          <w:color w:val="231F20"/>
          <w:spacing w:val="-3"/>
        </w:rPr>
        <w:t>均可引起机体内环境紊乱，出现酸中毒，本研究发现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color w:val="231F20"/>
          <w:spacing w:val="-5"/>
        </w:rPr>
        <w:t>DKA</w:t>
      </w:r>
      <w:r>
        <w:rPr>
          <w:rFonts w:ascii="Microsoft YaHei" w:hAnsi="Microsoft YaHei" w:eastAsia="Microsoft YaHei" w:cs="Microsoft YaHei"/>
          <w:color w:val="231F20"/>
          <w:spacing w:val="-5"/>
        </w:rPr>
        <w:t>合并</w:t>
      </w:r>
      <w:r>
        <w:rPr>
          <w:color w:val="231F20"/>
          <w:spacing w:val="-5"/>
        </w:rPr>
        <w:t>AP</w:t>
      </w:r>
      <w:r>
        <w:rPr>
          <w:rFonts w:ascii="Microsoft YaHei" w:hAnsi="Microsoft YaHei" w:eastAsia="Microsoft YaHei" w:cs="Microsoft YaHei"/>
          <w:color w:val="231F20"/>
          <w:spacing w:val="-5"/>
        </w:rPr>
        <w:t>的发生率与</w:t>
      </w:r>
      <w:r>
        <w:rPr>
          <w:color w:val="231F20"/>
          <w:spacing w:val="-5"/>
        </w:rPr>
        <w:t>DKA</w:t>
      </w:r>
      <w:r>
        <w:rPr>
          <w:rFonts w:ascii="Microsoft YaHei" w:hAnsi="Microsoft YaHei" w:eastAsia="Microsoft YaHei" w:cs="Microsoft YaHei"/>
          <w:color w:val="231F20"/>
          <w:spacing w:val="-5"/>
        </w:rPr>
        <w:t>酸中毒严重程度相关，这是由于</w:t>
      </w:r>
      <w:r>
        <w:rPr>
          <w:color w:val="231F20"/>
          <w:spacing w:val="-5"/>
        </w:rPr>
        <w:t>DKA</w:t>
      </w:r>
      <w:r>
        <w:rPr>
          <w:rFonts w:ascii="Microsoft YaHei" w:hAnsi="Microsoft YaHei" w:eastAsia="Microsoft YaHei" w:cs="Microsoft YaHei"/>
          <w:color w:val="231F20"/>
          <w:spacing w:val="-5"/>
        </w:rPr>
        <w:t>重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度酸中毒使患者更易发生</w:t>
      </w:r>
      <w:r>
        <w:rPr>
          <w:color w:val="231F20"/>
          <w:spacing w:val="-6"/>
        </w:rPr>
        <w:t>AP</w:t>
      </w:r>
      <w:r>
        <w:rPr>
          <w:rFonts w:ascii="Microsoft YaHei" w:hAnsi="Microsoft YaHei" w:eastAsia="Microsoft YaHei" w:cs="Microsoft YaHei"/>
          <w:color w:val="231F20"/>
          <w:spacing w:val="-6"/>
        </w:rPr>
        <w:t>，还是由于</w:t>
      </w:r>
      <w:r>
        <w:rPr>
          <w:color w:val="231F20"/>
          <w:spacing w:val="-6"/>
        </w:rPr>
        <w:t>DKA</w:t>
      </w:r>
      <w:r>
        <w:rPr>
          <w:rFonts w:ascii="Microsoft YaHei" w:hAnsi="Microsoft YaHei" w:eastAsia="Microsoft YaHei" w:cs="Microsoft YaHei"/>
          <w:color w:val="231F20"/>
          <w:spacing w:val="-6"/>
        </w:rPr>
        <w:t>合并</w:t>
      </w:r>
      <w:r>
        <w:rPr>
          <w:color w:val="231F20"/>
          <w:spacing w:val="-6"/>
        </w:rPr>
        <w:t>AP</w:t>
      </w:r>
      <w:r>
        <w:rPr>
          <w:rFonts w:ascii="Microsoft YaHei" w:hAnsi="Microsoft YaHei" w:eastAsia="Microsoft YaHei" w:cs="Microsoft YaHei"/>
          <w:color w:val="231F20"/>
          <w:spacing w:val="-6"/>
        </w:rPr>
        <w:t>后使</w:t>
      </w:r>
      <w:r>
        <w:rPr>
          <w:color w:val="231F20"/>
          <w:spacing w:val="-6"/>
        </w:rPr>
        <w:t>pH</w:t>
      </w:r>
      <w:r>
        <w:rPr>
          <w:rFonts w:ascii="Microsoft YaHei" w:hAnsi="Microsoft YaHei" w:eastAsia="Microsoft YaHei" w:cs="Microsoft YaHei"/>
          <w:color w:val="231F20"/>
          <w:spacing w:val="-6"/>
        </w:rPr>
        <w:t>下降更明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显，不得而知，尚需要进一步研究证实。</w:t>
      </w:r>
    </w:p>
    <w:p>
      <w:pPr>
        <w:pStyle w:val="BodyText"/>
        <w:ind w:firstLine="322"/>
        <w:spacing w:before="3" w:line="22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9"/>
        </w:rPr>
        <w:t>临床中</w:t>
      </w:r>
      <w:r>
        <w:rPr>
          <w:color w:val="231F20"/>
          <w:spacing w:val="-9"/>
        </w:rPr>
        <w:t>DKA</w:t>
      </w:r>
      <w:r>
        <w:rPr>
          <w:rFonts w:ascii="Microsoft YaHei" w:hAnsi="Microsoft YaHei" w:eastAsia="Microsoft YaHei" w:cs="Microsoft YaHei"/>
          <w:color w:val="231F20"/>
          <w:spacing w:val="-9"/>
        </w:rPr>
        <w:t>患者出现以下情况要考虑并发</w:t>
      </w:r>
      <w:r>
        <w:rPr>
          <w:color w:val="231F20"/>
          <w:spacing w:val="-9"/>
        </w:rPr>
        <w:t>AP</w:t>
      </w:r>
      <w:r>
        <w:rPr>
          <w:rFonts w:ascii="Microsoft YaHei" w:hAnsi="Microsoft YaHei" w:eastAsia="Microsoft YaHei" w:cs="Microsoft YaHei"/>
          <w:color w:val="231F20"/>
          <w:spacing w:val="-9"/>
        </w:rPr>
        <w:t>可能：①重度</w:t>
      </w:r>
      <w:r>
        <w:rPr>
          <w:color w:val="231F20"/>
          <w:spacing w:val="-9"/>
        </w:rPr>
        <w:t>HTG</w:t>
      </w:r>
      <w:r>
        <w:rPr>
          <w:rFonts w:ascii="Microsoft YaHei" w:hAnsi="Microsoft YaHei" w:eastAsia="Microsoft YaHei" w:cs="Microsoft YaHei"/>
          <w:color w:val="231F20"/>
          <w:spacing w:val="-9"/>
        </w:rPr>
        <w:t>；</w:t>
      </w:r>
      <w:r>
        <w:rPr>
          <w:rFonts w:ascii="Microsoft YaHei" w:hAnsi="Microsoft YaHei" w:eastAsia="Microsoft YaHei" w:cs="Microsoft YaHei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②腹痛难忍</w:t>
      </w:r>
      <w:r>
        <w:rPr>
          <w:rFonts w:ascii="Microsoft YaHei" w:hAnsi="Microsoft YaHei" w:eastAsia="Microsoft YaHei" w:cs="Microsoft YaHei"/>
          <w:color w:val="231F20"/>
          <w:spacing w:val="-7"/>
        </w:rPr>
        <w:t>，查体上腹部有明显压痛，甚至反跳痛，肌紧张；③经</w:t>
      </w:r>
      <w:r>
        <w:rPr>
          <w:rFonts w:ascii="Microsoft YaHei" w:hAnsi="Microsoft YaHei" w:eastAsia="Microsoft YaHei" w:cs="Microsoft YaHei"/>
          <w:color w:val="231F20"/>
          <w:spacing w:val="-2"/>
        </w:rPr>
        <w:t>治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  <w:w w:val="99"/>
        </w:rPr>
        <w:t>疗酮体消失后腹痛仍不缓解；④血淀粉酶进</w:t>
      </w:r>
      <w:r>
        <w:rPr>
          <w:rFonts w:ascii="Microsoft YaHei" w:hAnsi="Microsoft YaHei" w:eastAsia="Microsoft YaHei" w:cs="Microsoft YaHei"/>
          <w:color w:val="231F20"/>
          <w:spacing w:val="-8"/>
          <w:w w:val="99"/>
        </w:rPr>
        <w:t>一步升高。</w:t>
      </w:r>
    </w:p>
    <w:p>
      <w:pPr>
        <w:pStyle w:val="BodyText"/>
        <w:ind w:left="1" w:firstLine="314"/>
        <w:spacing w:before="3" w:line="22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3"/>
        </w:rPr>
        <w:t>综上所述，</w:t>
      </w:r>
      <w:r>
        <w:rPr>
          <w:color w:val="231F20"/>
          <w:spacing w:val="-3"/>
        </w:rPr>
        <w:t>DKA</w:t>
      </w:r>
      <w:r>
        <w:rPr>
          <w:rFonts w:ascii="Microsoft YaHei" w:hAnsi="Microsoft YaHei" w:eastAsia="Microsoft YaHei" w:cs="Microsoft YaHei"/>
          <w:color w:val="231F20"/>
          <w:spacing w:val="-3"/>
        </w:rPr>
        <w:t>是临床危重疾病，若同时合并</w:t>
      </w:r>
      <w:r>
        <w:rPr>
          <w:color w:val="231F20"/>
          <w:spacing w:val="-3"/>
        </w:rPr>
        <w:t>AP</w:t>
      </w:r>
      <w:r>
        <w:rPr>
          <w:rFonts w:ascii="Microsoft YaHei" w:hAnsi="Microsoft YaHei" w:eastAsia="Microsoft YaHei" w:cs="Microsoft YaHei"/>
          <w:color w:val="231F20"/>
          <w:spacing w:val="-3"/>
        </w:rPr>
        <w:t>，其血尿淀粉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酶及血三</w:t>
      </w:r>
      <w:r>
        <w:rPr>
          <w:rFonts w:ascii="Microsoft YaHei" w:hAnsi="Microsoft YaHei" w:eastAsia="Microsoft YaHei" w:cs="Microsoft YaHei"/>
          <w:color w:val="231F20"/>
          <w:spacing w:val="-8"/>
        </w:rPr>
        <w:t>酰甘油升高更加明显，血</w:t>
      </w:r>
      <w:r>
        <w:rPr>
          <w:color w:val="231F20"/>
          <w:spacing w:val="-8"/>
        </w:rPr>
        <w:t>pH</w:t>
      </w:r>
      <w:r>
        <w:rPr>
          <w:rFonts w:ascii="Microsoft YaHei" w:hAnsi="Microsoft YaHei" w:eastAsia="Microsoft YaHei" w:cs="Microsoft YaHei"/>
          <w:color w:val="231F20"/>
          <w:spacing w:val="-8"/>
        </w:rPr>
        <w:t>值更低；且患者预后不良，必</w:t>
      </w:r>
      <w:r>
        <w:rPr>
          <w:rFonts w:ascii="Microsoft YaHei" w:hAnsi="Microsoft YaHei" w:eastAsia="Microsoft YaHei" w:cs="Microsoft YaHei"/>
          <w:color w:val="231F20"/>
          <w:spacing w:val="-4"/>
        </w:rPr>
        <w:t>须</w:t>
      </w:r>
      <w:r>
        <w:rPr>
          <w:rFonts w:ascii="Microsoft YaHei" w:hAnsi="Microsoft YaHei" w:eastAsia="Microsoft YaHei" w:cs="Microsoft YaHei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得到临床医师的足够重视。患者一旦确诊</w:t>
      </w:r>
      <w:r>
        <w:rPr>
          <w:color w:val="231F20"/>
          <w:spacing w:val="-4"/>
        </w:rPr>
        <w:t>DKA</w:t>
      </w:r>
      <w:r>
        <w:rPr>
          <w:rFonts w:ascii="Microsoft YaHei" w:hAnsi="Microsoft YaHei" w:eastAsia="Microsoft YaHei" w:cs="Microsoft YaHei"/>
          <w:color w:val="231F20"/>
          <w:spacing w:val="-4"/>
        </w:rPr>
        <w:t>合并</w:t>
      </w:r>
      <w:r>
        <w:rPr>
          <w:color w:val="231F20"/>
          <w:spacing w:val="-5"/>
        </w:rPr>
        <w:t>AP</w:t>
      </w:r>
      <w:r>
        <w:rPr>
          <w:rFonts w:ascii="Microsoft YaHei" w:hAnsi="Microsoft YaHei" w:eastAsia="Microsoft YaHei" w:cs="Microsoft YaHei"/>
          <w:color w:val="231F20"/>
          <w:spacing w:val="-5"/>
        </w:rPr>
        <w:t>除按</w:t>
      </w:r>
      <w:r>
        <w:rPr>
          <w:color w:val="231F20"/>
          <w:spacing w:val="-5"/>
        </w:rPr>
        <w:t>DKA</w:t>
      </w:r>
      <w:r>
        <w:rPr>
          <w:rFonts w:ascii="Microsoft YaHei" w:hAnsi="Microsoft YaHei" w:eastAsia="Microsoft YaHei" w:cs="Microsoft YaHei"/>
          <w:color w:val="231F20"/>
          <w:spacing w:val="-5"/>
        </w:rPr>
        <w:t>诊治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  <w:w w:val="99"/>
        </w:rPr>
        <w:t>原则处</w:t>
      </w:r>
      <w:r>
        <w:rPr>
          <w:rFonts w:ascii="Microsoft YaHei" w:hAnsi="Microsoft YaHei" w:eastAsia="Microsoft YaHei" w:cs="Microsoft YaHei"/>
          <w:color w:val="231F20"/>
          <w:spacing w:val="-6"/>
          <w:w w:val="99"/>
        </w:rPr>
        <w:t>理外，还应根据</w:t>
      </w:r>
      <w:r>
        <w:rPr>
          <w:color w:val="231F20"/>
          <w:spacing w:val="-6"/>
          <w:w w:val="99"/>
        </w:rPr>
        <w:t>AP</w:t>
      </w:r>
      <w:r>
        <w:rPr>
          <w:rFonts w:ascii="Microsoft YaHei" w:hAnsi="Microsoft YaHei" w:eastAsia="Microsoft YaHei" w:cs="Microsoft YaHei"/>
          <w:color w:val="231F20"/>
          <w:spacing w:val="-6"/>
          <w:w w:val="99"/>
        </w:rPr>
        <w:t>的轻重程度给予相应</w:t>
      </w:r>
      <w:r>
        <w:rPr>
          <w:rFonts w:ascii="Microsoft YaHei" w:hAnsi="Microsoft YaHei" w:eastAsia="Microsoft YaHei" w:cs="Microsoft YaHei"/>
          <w:color w:val="231F20"/>
          <w:spacing w:val="-7"/>
          <w:w w:val="99"/>
        </w:rPr>
        <w:t>治疗，以期达到临床</w:t>
      </w:r>
      <w:r>
        <w:rPr>
          <w:rFonts w:ascii="Microsoft YaHei" w:hAnsi="Microsoft YaHei" w:eastAsia="Microsoft YaHei" w:cs="Microsoft YaHei"/>
          <w:color w:val="231F20"/>
          <w:spacing w:val="-4"/>
          <w:w w:val="99"/>
        </w:rPr>
        <w:t>最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  <w:w w:val="96"/>
        </w:rPr>
        <w:t>佳治疗效果。</w:t>
      </w:r>
    </w:p>
    <w:p>
      <w:pPr>
        <w:ind w:left="2"/>
        <w:spacing w:line="18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参考文献</w:t>
      </w:r>
    </w:p>
    <w:p>
      <w:pPr>
        <w:pStyle w:val="BodyText"/>
        <w:ind w:left="11"/>
        <w:spacing w:before="50" w:line="176" w:lineRule="auto"/>
        <w:rPr/>
      </w:pPr>
      <w:r>
        <w:rPr>
          <w:color w:val="231F20"/>
          <w:spacing w:val="-3"/>
        </w:rPr>
        <w:t>[1]    </w:t>
      </w:r>
      <w:r>
        <w:rPr>
          <w:rFonts w:ascii="Microsoft YaHei" w:hAnsi="Microsoft YaHei" w:eastAsia="Microsoft YaHei" w:cs="Microsoft YaHei"/>
          <w:color w:val="231F20"/>
          <w:spacing w:val="-3"/>
        </w:rPr>
        <w:t>葛均波</w:t>
      </w:r>
      <w:r>
        <w:rPr>
          <w:color w:val="231F20"/>
          <w:spacing w:val="-3"/>
        </w:rPr>
        <w:t>.</w:t>
      </w:r>
      <w:r>
        <w:rPr>
          <w:rFonts w:ascii="Microsoft YaHei" w:hAnsi="Microsoft YaHei" w:eastAsia="Microsoft YaHei" w:cs="Microsoft YaHei"/>
          <w:color w:val="231F20"/>
          <w:spacing w:val="-3"/>
        </w:rPr>
        <w:t>内科学</w:t>
      </w:r>
      <w:r>
        <w:rPr>
          <w:color w:val="231F20"/>
          <w:spacing w:val="-3"/>
        </w:rPr>
        <w:t>[M].</w:t>
      </w:r>
      <w:r>
        <w:rPr>
          <w:rFonts w:ascii="Microsoft YaHei" w:hAnsi="Microsoft YaHei" w:eastAsia="Microsoft YaHei" w:cs="Microsoft YaHei"/>
          <w:color w:val="231F20"/>
          <w:spacing w:val="-3"/>
        </w:rPr>
        <w:t>北京</w:t>
      </w:r>
      <w:r>
        <w:rPr>
          <w:color w:val="231F20"/>
          <w:spacing w:val="-3"/>
        </w:rPr>
        <w:t>:</w:t>
      </w:r>
      <w:r>
        <w:rPr>
          <w:rFonts w:ascii="Microsoft YaHei" w:hAnsi="Microsoft YaHei" w:eastAsia="Microsoft YaHei" w:cs="Microsoft YaHei"/>
          <w:color w:val="231F20"/>
          <w:spacing w:val="-3"/>
        </w:rPr>
        <w:t>人民卫生</w:t>
      </w:r>
      <w:r>
        <w:rPr>
          <w:rFonts w:ascii="Microsoft YaHei" w:hAnsi="Microsoft YaHei" w:eastAsia="Microsoft YaHei" w:cs="Microsoft YaHei"/>
          <w:color w:val="231F20"/>
          <w:spacing w:val="-4"/>
        </w:rPr>
        <w:t>出版社</w:t>
      </w:r>
      <w:r>
        <w:rPr>
          <w:color w:val="231F20"/>
          <w:spacing w:val="-4"/>
        </w:rPr>
        <w:t>,2013:752.</w:t>
      </w:r>
    </w:p>
    <w:p>
      <w:pPr>
        <w:pStyle w:val="BodyText"/>
        <w:ind w:left="401" w:right="1" w:hanging="390"/>
        <w:spacing w:before="57" w:line="207" w:lineRule="auto"/>
        <w:rPr/>
      </w:pPr>
      <w:r>
        <w:rPr>
          <w:color w:val="231F20"/>
          <w:spacing w:val="-2"/>
        </w:rPr>
        <w:t>[2]    </w:t>
      </w:r>
      <w:r>
        <w:rPr>
          <w:rFonts w:ascii="Microsoft YaHei" w:hAnsi="Microsoft YaHei" w:eastAsia="Microsoft YaHei" w:cs="Microsoft YaHei"/>
          <w:color w:val="231F20"/>
          <w:spacing w:val="-2"/>
        </w:rPr>
        <w:t>刘志贤</w:t>
      </w:r>
      <w:r>
        <w:rPr>
          <w:color w:val="231F20"/>
          <w:spacing w:val="-2"/>
        </w:rPr>
        <w:t>,</w:t>
      </w:r>
      <w:r>
        <w:rPr>
          <w:rFonts w:ascii="Microsoft YaHei" w:hAnsi="Microsoft YaHei" w:eastAsia="Microsoft YaHei" w:cs="Microsoft YaHei"/>
          <w:color w:val="231F20"/>
          <w:spacing w:val="-2"/>
        </w:rPr>
        <w:t>刘会东</w:t>
      </w:r>
      <w:r>
        <w:rPr>
          <w:color w:val="231F20"/>
          <w:spacing w:val="-2"/>
        </w:rPr>
        <w:t>,</w:t>
      </w:r>
      <w:r>
        <w:rPr>
          <w:rFonts w:ascii="Microsoft YaHei" w:hAnsi="Microsoft YaHei" w:eastAsia="Microsoft YaHei" w:cs="Microsoft YaHei"/>
          <w:color w:val="231F20"/>
          <w:spacing w:val="-2"/>
        </w:rPr>
        <w:t>厉胜</w:t>
      </w:r>
      <w:r>
        <w:rPr>
          <w:color w:val="231F20"/>
          <w:spacing w:val="-2"/>
        </w:rPr>
        <w:t>.</w:t>
      </w:r>
      <w:r>
        <w:rPr>
          <w:rFonts w:ascii="Microsoft YaHei" w:hAnsi="Microsoft YaHei" w:eastAsia="Microsoft YaHei" w:cs="Microsoft YaHei"/>
          <w:color w:val="231F20"/>
          <w:spacing w:val="-2"/>
        </w:rPr>
        <w:t>急性腹痛伴糖尿病酮症酸中毒诊治分析</w:t>
      </w:r>
      <w:r>
        <w:rPr>
          <w:color w:val="231F20"/>
          <w:spacing w:val="-2"/>
        </w:rPr>
        <w:t>[J].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中国全科医学</w:t>
      </w:r>
      <w:r>
        <w:rPr>
          <w:color w:val="231F20"/>
          <w:spacing w:val="-5"/>
        </w:rPr>
        <w:t>,2013,16(26):3113-3115.</w:t>
      </w:r>
    </w:p>
    <w:p>
      <w:pPr>
        <w:pStyle w:val="BodyText"/>
        <w:ind w:left="11"/>
        <w:spacing w:before="42" w:line="170" w:lineRule="exact"/>
        <w:rPr/>
      </w:pPr>
      <w:r>
        <w:rPr>
          <w:color w:val="231F20"/>
          <w:spacing w:val="-3"/>
          <w:position w:val="-1"/>
        </w:rPr>
        <w:t>[3]    </w:t>
      </w:r>
      <w:r>
        <w:rPr>
          <w:rFonts w:ascii="Microsoft YaHei" w:hAnsi="Microsoft YaHei" w:eastAsia="Microsoft YaHei" w:cs="Microsoft YaHei"/>
          <w:color w:val="231F20"/>
          <w:spacing w:val="-3"/>
          <w:position w:val="-1"/>
        </w:rPr>
        <w:t>叶任高</w:t>
      </w:r>
      <w:r>
        <w:rPr>
          <w:color w:val="231F20"/>
          <w:spacing w:val="-3"/>
          <w:position w:val="-1"/>
        </w:rPr>
        <w:t>,</w:t>
      </w:r>
      <w:r>
        <w:rPr>
          <w:rFonts w:ascii="Microsoft YaHei" w:hAnsi="Microsoft YaHei" w:eastAsia="Microsoft YaHei" w:cs="Microsoft YaHei"/>
          <w:color w:val="231F20"/>
          <w:spacing w:val="-3"/>
          <w:position w:val="-1"/>
        </w:rPr>
        <w:t>陆再英</w:t>
      </w:r>
      <w:r>
        <w:rPr>
          <w:color w:val="231F20"/>
          <w:spacing w:val="-3"/>
          <w:position w:val="-1"/>
        </w:rPr>
        <w:t>.</w:t>
      </w:r>
      <w:r>
        <w:rPr>
          <w:rFonts w:ascii="Microsoft YaHei" w:hAnsi="Microsoft YaHei" w:eastAsia="Microsoft YaHei" w:cs="Microsoft YaHei"/>
          <w:color w:val="231F20"/>
          <w:spacing w:val="-3"/>
          <w:position w:val="-1"/>
        </w:rPr>
        <w:t>内科学</w:t>
      </w:r>
      <w:r>
        <w:rPr>
          <w:color w:val="231F20"/>
          <w:spacing w:val="-3"/>
          <w:position w:val="-1"/>
        </w:rPr>
        <w:t>[M].</w:t>
      </w:r>
      <w:r>
        <w:rPr>
          <w:rFonts w:ascii="Microsoft YaHei" w:hAnsi="Microsoft YaHei" w:eastAsia="Microsoft YaHei" w:cs="Microsoft YaHei"/>
          <w:color w:val="231F20"/>
          <w:spacing w:val="-3"/>
          <w:position w:val="-1"/>
        </w:rPr>
        <w:t>北京</w:t>
      </w:r>
      <w:r>
        <w:rPr>
          <w:color w:val="231F20"/>
          <w:spacing w:val="-3"/>
          <w:position w:val="-1"/>
        </w:rPr>
        <w:t>:</w:t>
      </w:r>
      <w:r>
        <w:rPr>
          <w:rFonts w:ascii="Microsoft YaHei" w:hAnsi="Microsoft YaHei" w:eastAsia="Microsoft YaHei" w:cs="Microsoft YaHei"/>
          <w:color w:val="231F20"/>
          <w:spacing w:val="-3"/>
          <w:position w:val="-1"/>
        </w:rPr>
        <w:t>人民卫生出版社</w:t>
      </w:r>
      <w:r>
        <w:rPr>
          <w:color w:val="231F20"/>
          <w:spacing w:val="-3"/>
          <w:position w:val="-1"/>
        </w:rPr>
        <w:t>,2005:810.</w:t>
      </w:r>
    </w:p>
    <w:sectPr>
      <w:type w:val="continuous"/>
      <w:pgSz w:w="11906" w:h="16158"/>
      <w:pgMar w:top="400" w:right="848" w:bottom="0" w:left="407" w:header="0" w:footer="0" w:gutter="0"/>
      <w:cols w:equalWidth="0" w:num="2">
        <w:col w:w="5646" w:space="100"/>
        <w:col w:w="490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780.47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20.4pt;margin-top:780.47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2023-08-06T19:10:51Z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2025-10-28T21:35:00</vt:filetime>
  </property>
</Properties>
</file>