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424"/>
        <w:spacing w:before="94" w:line="15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E6E6E6"/>
          <w:spacing w:val="16"/>
          <w:position w:val="-1"/>
        </w:rPr>
        <w:t>中国</w:t>
      </w:r>
      <w:r>
        <w:rPr>
          <w:sz w:val="22"/>
          <w:szCs w:val="22"/>
          <w:position w:val="-5"/>
        </w:rPr>
        <w:drawing>
          <wp:inline distT="0" distB="0" distL="0" distR="0">
            <wp:extent cx="147022" cy="146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022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E6E6E6"/>
          <w:spacing w:val="16"/>
          <w:position w:val="-1"/>
        </w:rPr>
        <w:t>网</w:t>
      </w:r>
      <w:r>
        <w:rPr>
          <w:rFonts w:ascii="Microsoft YaHei" w:hAnsi="Microsoft YaHei" w:eastAsia="Microsoft YaHei" w:cs="Microsoft YaHei"/>
          <w:sz w:val="22"/>
          <w:szCs w:val="22"/>
          <w:color w:val="E6E6E6"/>
          <w:position w:val="-1"/>
        </w:rPr>
        <w:t xml:space="preserve">     </w:t>
      </w:r>
      <w:r>
        <w:rPr>
          <w:sz w:val="22"/>
          <w:szCs w:val="22"/>
          <w:color w:val="E6E6E6"/>
        </w:rPr>
        <w:t>htt</w:t>
      </w:r>
      <w:r>
        <w:rPr>
          <w:sz w:val="22"/>
          <w:szCs w:val="22"/>
          <w:position w:val="-7"/>
        </w:rPr>
        <w:drawing>
          <wp:inline distT="0" distB="0" distL="0" distR="0">
            <wp:extent cx="163510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51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E6E6E6"/>
          <w:spacing w:val="-27"/>
        </w:rPr>
        <w:t xml:space="preserve"> </w:t>
      </w:r>
      <w:r>
        <w:rPr>
          <w:sz w:val="22"/>
          <w:szCs w:val="22"/>
          <w:color w:val="E6E6E6"/>
          <w:spacing w:val="16"/>
        </w:rPr>
        <w:t>:</w:t>
      </w:r>
      <w:r>
        <w:rPr>
          <w:sz w:val="22"/>
          <w:szCs w:val="22"/>
          <w:position w:val="-3"/>
        </w:rPr>
        <w:drawing>
          <wp:inline distT="0" distB="0" distL="0" distR="0">
            <wp:extent cx="48091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9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3"/>
        </w:rPr>
        <w:drawing>
          <wp:inline distT="0" distB="0" distL="0" distR="0">
            <wp:extent cx="48091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9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E6E6E6"/>
        </w:rPr>
        <w:t>Www</w:t>
      </w:r>
      <w:r>
        <w:rPr>
          <w:sz w:val="22"/>
          <w:szCs w:val="22"/>
          <w:color w:val="E6E6E6"/>
          <w:spacing w:val="-34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7862" cy="1524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6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E6E6E6"/>
          <w:spacing w:val="-41"/>
        </w:rPr>
        <w:t xml:space="preserve"> </w:t>
      </w:r>
      <w:r>
        <w:rPr>
          <w:sz w:val="22"/>
          <w:szCs w:val="22"/>
          <w:color w:val="E6E6E6"/>
        </w:rPr>
        <w:t>cnk</w:t>
      </w:r>
      <w:r>
        <w:rPr>
          <w:sz w:val="22"/>
          <w:szCs w:val="22"/>
          <w:position w:val="-2"/>
        </w:rPr>
        <w:drawing>
          <wp:inline distT="0" distB="0" distL="0" distR="0">
            <wp:extent cx="61831" cy="10667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31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E6E6E6"/>
          <w:position w:val="1"/>
        </w:rPr>
        <w:t>net</w:t>
      </w:r>
    </w:p>
    <w:p>
      <w:pPr>
        <w:spacing w:line="159" w:lineRule="auto"/>
        <w:sectPr>
          <w:headerReference w:type="default" r:id="rId1"/>
          <w:pgSz w:w="11903" w:h="16838"/>
          <w:pgMar w:top="400" w:right="0" w:bottom="0" w:left="0" w:header="0" w:footer="0" w:gutter="0"/>
        </w:sectPr>
        <w:rPr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17"/>
        <w:spacing w:before="120" w:line="191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position w:val="8"/>
        </w:rPr>
        <w:t>中图分类号</w:t>
      </w:r>
      <w:r>
        <w:rPr>
          <w:rFonts w:ascii="SimSun" w:hAnsi="SimSun" w:eastAsia="SimSun" w:cs="SimSun"/>
          <w:sz w:val="28"/>
          <w:szCs w:val="28"/>
          <w:u w:val="single" w:color="auto"/>
          <w:spacing w:val="155"/>
          <w:position w:val="8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position w:val="8"/>
        </w:rPr>
        <w:t>R459</w:t>
      </w:r>
      <w:r>
        <w:rPr>
          <w:rFonts w:ascii="SimSun" w:hAnsi="SimSun" w:eastAsia="SimSun" w:cs="SimSun"/>
          <w:sz w:val="28"/>
          <w:szCs w:val="28"/>
          <w:u w:val="single" w:color="auto"/>
        </w:rPr>
        <w:t>.</w:t>
      </w:r>
      <w:r>
        <w:rPr>
          <w:rFonts w:ascii="SimSun" w:hAnsi="SimSun" w:eastAsia="SimSun" w:cs="SimSun"/>
          <w:sz w:val="28"/>
          <w:szCs w:val="28"/>
          <w:u w:val="single" w:color="auto"/>
          <w:position w:val="8"/>
        </w:rPr>
        <w:t>7</w:t>
      </w:r>
      <w:r>
        <w:rPr>
          <w:rFonts w:ascii="SimSun" w:hAnsi="SimSun" w:eastAsia="SimSun" w:cs="SimSun"/>
          <w:sz w:val="28"/>
          <w:szCs w:val="28"/>
          <w:u w:val="single" w:color="auto"/>
          <w:spacing w:val="132"/>
          <w:position w:val="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  <w:position w:val="8"/>
        </w:rPr>
        <w:t xml:space="preserve">                    </w:t>
      </w:r>
      <w:r>
        <w:rPr>
          <w:rFonts w:ascii="Microsoft YaHei" w:hAnsi="Microsoft YaHei" w:eastAsia="Microsoft YaHei" w:cs="Microsoft YaHei"/>
          <w:sz w:val="28"/>
          <w:szCs w:val="28"/>
          <w:position w:val="8"/>
        </w:rPr>
        <w:t>学校代码</w:t>
      </w:r>
      <w:r>
        <w:rPr>
          <w:rFonts w:ascii="Microsoft YaHei" w:hAnsi="Microsoft YaHei" w:eastAsia="Microsoft YaHei" w:cs="Microsoft YaHei"/>
          <w:sz w:val="28"/>
          <w:szCs w:val="28"/>
          <w:spacing w:val="3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position w:val="7"/>
        </w:rPr>
        <w:t xml:space="preserve">        10161            </w:t>
      </w:r>
    </w:p>
    <w:p>
      <w:pPr>
        <w:pStyle w:val="BodyText"/>
        <w:spacing w:line="379" w:lineRule="auto"/>
        <w:rPr/>
      </w:pPr>
      <w:r/>
    </w:p>
    <w:p>
      <w:pPr>
        <w:ind w:left="967"/>
        <w:spacing w:before="120" w:line="210" w:lineRule="auto"/>
        <w:rPr>
          <w:rFonts w:ascii="SimSun" w:hAnsi="SimSun" w:eastAsia="SimSun" w:cs="SimSun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6"/>
        </w:rPr>
        <w:t>密</w:t>
      </w:r>
      <w:r>
        <w:rPr>
          <w:rFonts w:ascii="Microsoft YaHei" w:hAnsi="Microsoft YaHei" w:eastAsia="Microsoft YaHei" w:cs="Microsoft YaHei"/>
          <w:sz w:val="28"/>
          <w:szCs w:val="28"/>
          <w:spacing w:val="8"/>
        </w:rPr>
        <w:t xml:space="preserve">       </w:t>
      </w:r>
      <w:r>
        <w:rPr>
          <w:rFonts w:ascii="Microsoft YaHei" w:hAnsi="Microsoft YaHei" w:eastAsia="Microsoft YaHei" w:cs="Microsoft YaHei"/>
          <w:sz w:val="28"/>
          <w:szCs w:val="28"/>
          <w:spacing w:val="6"/>
        </w:rPr>
        <w:t>级</w:t>
      </w:r>
      <w:r>
        <w:rPr>
          <w:rFonts w:ascii="Microsoft YaHei" w:hAnsi="Microsoft YaHei" w:eastAsia="Microsoft YaHei" w:cs="Microsoft YaHei"/>
          <w:sz w:val="28"/>
          <w:szCs w:val="28"/>
          <w:spacing w:val="39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spacing w:val="6"/>
        </w:rPr>
        <w:t xml:space="preserve">  公开</w:t>
      </w:r>
      <w:r>
        <w:rPr>
          <w:rFonts w:ascii="SimSun" w:hAnsi="SimSun" w:eastAsia="SimSun" w:cs="SimSun"/>
          <w:sz w:val="28"/>
          <w:szCs w:val="28"/>
          <w:u w:val="single" w:color="auto"/>
          <w:spacing w:val="45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                   </w:t>
      </w:r>
      <w:r>
        <w:rPr>
          <w:rFonts w:ascii="Microsoft YaHei" w:hAnsi="Microsoft YaHei" w:eastAsia="Microsoft YaHei" w:cs="Microsoft YaHei"/>
          <w:sz w:val="28"/>
          <w:szCs w:val="28"/>
          <w:color w:val="0F0F0F"/>
          <w:spacing w:val="6"/>
        </w:rPr>
        <w:t>学</w:t>
      </w:r>
      <w:r>
        <w:rPr>
          <w:rFonts w:ascii="Microsoft YaHei" w:hAnsi="Microsoft YaHei" w:eastAsia="Microsoft YaHei" w:cs="Microsoft YaHei"/>
          <w:sz w:val="28"/>
          <w:szCs w:val="28"/>
          <w:color w:val="0F0F0F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sz w:val="28"/>
          <w:szCs w:val="28"/>
          <w:spacing w:val="6"/>
        </w:rPr>
        <w:t>号</w:t>
      </w:r>
      <w:r>
        <w:rPr>
          <w:rFonts w:ascii="SimSun" w:hAnsi="SimSun" w:eastAsia="SimSun" w:cs="SimSun"/>
          <w:sz w:val="28"/>
          <w:szCs w:val="28"/>
          <w:u w:val="single" w:color="auto"/>
          <w:spacing w:val="139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spacing w:val="6"/>
        </w:rPr>
        <w:t>222010511700</w:t>
      </w:r>
      <w:r>
        <w:rPr>
          <w:rFonts w:ascii="SimSun" w:hAnsi="SimSun" w:eastAsia="SimSun" w:cs="SimSun"/>
          <w:sz w:val="28"/>
          <w:szCs w:val="28"/>
          <w:u w:val="single" w:color="auto"/>
          <w:spacing w:val="5"/>
        </w:rPr>
        <w:t>2 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2338"/>
        <w:spacing w:before="100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color w:val="231F20"/>
          <w:spacing w:val="9"/>
        </w:rPr>
        <w:t>糖尿病酮症酸中毒合并急性胰腺炎的临床特征</w:t>
      </w:r>
    </w:p>
    <w:p>
      <w:pPr>
        <w:ind w:right="29"/>
        <w:spacing w:before="291" w:line="197" w:lineRule="auto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4"/>
        </w:rPr>
        <w:t>Clinical characteristics of</w:t>
      </w: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4"/>
        </w:rPr>
        <w:t>diabetes ketoacidosis with acute pancreat</w:t>
      </w: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3"/>
        </w:rPr>
        <w:t>itis</w:t>
      </w:r>
    </w:p>
    <w:p>
      <w:pPr>
        <w:ind w:left="4953"/>
        <w:spacing w:before="28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陈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洁</w:t>
      </w:r>
    </w:p>
    <w:p>
      <w:pPr>
        <w:spacing w:before="72"/>
        <w:rPr/>
      </w:pPr>
      <w:r/>
    </w:p>
    <w:p>
      <w:pPr>
        <w:spacing w:before="72"/>
        <w:rPr/>
      </w:pPr>
      <w:r/>
    </w:p>
    <w:p>
      <w:pPr>
        <w:spacing w:before="71"/>
        <w:rPr/>
      </w:pPr>
      <w:r/>
    </w:p>
    <w:p>
      <w:pPr>
        <w:sectPr>
          <w:headerReference w:type="default" r:id="rId8"/>
          <w:footerReference w:type="default" r:id="rId9"/>
          <w:pgSz w:w="11906" w:h="16839"/>
          <w:pgMar w:top="400" w:right="1417" w:bottom="604" w:left="424" w:header="0" w:footer="354" w:gutter="0"/>
          <w:cols w:equalWidth="0" w:num="1">
            <w:col w:w="10065" w:space="0"/>
          </w:cols>
        </w:sectPr>
        <w:rPr/>
      </w:pPr>
    </w:p>
    <w:p>
      <w:pPr>
        <w:ind w:left="1005"/>
        <w:spacing w:before="57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5"/>
        </w:rPr>
        <w:t>计：学位论文：</w:t>
      </w:r>
      <w:r>
        <w:rPr>
          <w:rFonts w:ascii="SimSun" w:hAnsi="SimSun" w:eastAsia="SimSun" w:cs="SimSun"/>
          <w:sz w:val="28"/>
          <w:szCs w:val="28"/>
          <w:u w:val="single" w:color="auto"/>
          <w:spacing w:val="-15"/>
        </w:rPr>
        <w:t xml:space="preserve">  35</w:t>
      </w:r>
      <w:r>
        <w:rPr>
          <w:rFonts w:ascii="SimSun" w:hAnsi="SimSun" w:eastAsia="SimSun" w:cs="SimSun"/>
          <w:sz w:val="28"/>
          <w:szCs w:val="28"/>
          <w:u w:val="single" w:color="auto"/>
          <w:spacing w:val="9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页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561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5"/>
        </w:rPr>
        <w:t>表</w:t>
      </w:r>
      <w:r>
        <w:rPr>
          <w:rFonts w:ascii="SimSun" w:hAnsi="SimSun" w:eastAsia="SimSun" w:cs="SimSun"/>
          <w:sz w:val="28"/>
          <w:szCs w:val="28"/>
          <w:spacing w:val="47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5"/>
        </w:rPr>
        <w:t>格</w:t>
      </w:r>
      <w:r>
        <w:rPr>
          <w:rFonts w:ascii="SimSun" w:hAnsi="SimSun" w:eastAsia="SimSun" w:cs="SimSun"/>
          <w:sz w:val="28"/>
          <w:szCs w:val="28"/>
          <w:spacing w:val="-7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：</w:t>
      </w:r>
      <w:r>
        <w:rPr>
          <w:rFonts w:ascii="SimSun" w:hAnsi="SimSun" w:eastAsia="SimSun" w:cs="SimSun"/>
          <w:sz w:val="28"/>
          <w:szCs w:val="28"/>
          <w:u w:val="single" w:color="auto"/>
          <w:spacing w:val="83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spacing w:val="-15"/>
        </w:rPr>
        <w:t>7</w:t>
      </w:r>
      <w:r>
        <w:rPr>
          <w:rFonts w:ascii="SimSun" w:hAnsi="SimSun" w:eastAsia="SimSun" w:cs="SimSun"/>
          <w:sz w:val="28"/>
          <w:szCs w:val="28"/>
          <w:u w:val="single" w:color="auto"/>
          <w:spacing w:val="5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个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61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0"/>
        </w:rPr>
        <w:t>插</w:t>
      </w:r>
      <w:r>
        <w:rPr>
          <w:rFonts w:ascii="SimSun" w:hAnsi="SimSun" w:eastAsia="SimSun" w:cs="SimSun"/>
          <w:sz w:val="28"/>
          <w:szCs w:val="28"/>
          <w:spacing w:val="65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20"/>
        </w:rPr>
        <w:t>图</w:t>
      </w:r>
      <w:r>
        <w:rPr>
          <w:rFonts w:ascii="SimSun" w:hAnsi="SimSun" w:eastAsia="SimSun" w:cs="SimSun"/>
          <w:sz w:val="28"/>
          <w:szCs w:val="28"/>
          <w:spacing w:val="-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：</w:t>
      </w:r>
      <w:r>
        <w:rPr>
          <w:rFonts w:ascii="SimSun" w:hAnsi="SimSun" w:eastAsia="SimSun" w:cs="SimSun"/>
          <w:sz w:val="28"/>
          <w:szCs w:val="28"/>
          <w:u w:val="single" w:color="auto"/>
          <w:spacing w:val="-20"/>
        </w:rPr>
        <w:t xml:space="preserve"> 1</w:t>
      </w:r>
      <w:r>
        <w:rPr>
          <w:rFonts w:ascii="SimSun" w:hAnsi="SimSun" w:eastAsia="SimSun" w:cs="SimSun"/>
          <w:sz w:val="28"/>
          <w:szCs w:val="28"/>
          <w:u w:val="single" w:color="auto"/>
          <w:spacing w:val="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幅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08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1"/>
        </w:rPr>
        <w:t>指</w:t>
      </w:r>
      <w:r>
        <w:rPr>
          <w:rFonts w:ascii="SimSun" w:hAnsi="SimSun" w:eastAsia="SimSun" w:cs="SimSun"/>
          <w:sz w:val="28"/>
          <w:szCs w:val="28"/>
          <w:spacing w:val="-4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1"/>
        </w:rPr>
        <w:t>导</w:t>
      </w:r>
      <w:r>
        <w:rPr>
          <w:rFonts w:ascii="SimSun" w:hAnsi="SimSun" w:eastAsia="SimSun" w:cs="SimSun"/>
          <w:sz w:val="28"/>
          <w:szCs w:val="28"/>
          <w:spacing w:val="-4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1"/>
        </w:rPr>
        <w:t>教</w:t>
      </w:r>
      <w:r>
        <w:rPr>
          <w:rFonts w:ascii="SimSun" w:hAnsi="SimSun" w:eastAsia="SimSun" w:cs="SimSun"/>
          <w:sz w:val="28"/>
          <w:szCs w:val="28"/>
          <w:spacing w:val="-4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1"/>
        </w:rPr>
        <w:t>师：陈意飞教授</w:t>
      </w:r>
    </w:p>
    <w:p>
      <w:pPr>
        <w:pStyle w:val="BodyText"/>
        <w:spacing w:line="282" w:lineRule="auto"/>
        <w:rPr/>
      </w:pPr>
      <w:r/>
    </w:p>
    <w:p>
      <w:pPr>
        <w:ind w:left="1039"/>
        <w:spacing w:before="92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1"/>
        </w:rPr>
        <w:t>申请学位级别：硕士学位</w:t>
      </w:r>
    </w:p>
    <w:p>
      <w:pPr>
        <w:ind w:left="1004"/>
        <w:spacing w:before="29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8"/>
          <w:w w:val="99"/>
        </w:rPr>
        <w:t>培</w:t>
      </w:r>
      <w:r>
        <w:rPr>
          <w:rFonts w:ascii="SimSun" w:hAnsi="SimSun" w:eastAsia="SimSun" w:cs="SimSun"/>
          <w:sz w:val="28"/>
          <w:szCs w:val="28"/>
          <w:spacing w:val="-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8"/>
          <w:w w:val="99"/>
        </w:rPr>
        <w:t>养</w:t>
      </w:r>
      <w:r>
        <w:rPr>
          <w:rFonts w:ascii="SimSun" w:hAnsi="SimSun" w:eastAsia="SimSun" w:cs="SimSun"/>
          <w:sz w:val="28"/>
          <w:szCs w:val="28"/>
          <w:spacing w:val="-7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8"/>
          <w:w w:val="99"/>
        </w:rPr>
        <w:t>单</w:t>
      </w:r>
      <w:r>
        <w:rPr>
          <w:rFonts w:ascii="SimSun" w:hAnsi="SimSun" w:eastAsia="SimSun" w:cs="SimSun"/>
          <w:sz w:val="28"/>
          <w:szCs w:val="28"/>
          <w:spacing w:val="-7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8"/>
          <w:w w:val="99"/>
        </w:rPr>
        <w:t>位：扬州大学附属医院</w:t>
      </w:r>
    </w:p>
    <w:p>
      <w:pPr>
        <w:spacing w:line="4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0"/>
        </w:rPr>
        <w:t>学科 (专业)</w:t>
      </w:r>
      <w:r>
        <w:rPr>
          <w:rFonts w:ascii="SimSun" w:hAnsi="SimSun" w:eastAsia="SimSun" w:cs="SimSun"/>
          <w:sz w:val="28"/>
          <w:szCs w:val="28"/>
          <w:spacing w:val="1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：急诊医学</w:t>
      </w:r>
    </w:p>
    <w:p>
      <w:pPr>
        <w:spacing w:before="286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完成时间：二○二三年二月</w:t>
      </w:r>
    </w:p>
    <w:p>
      <w:pPr>
        <w:spacing w:line="220" w:lineRule="auto"/>
        <w:sectPr>
          <w:type w:val="continuous"/>
          <w:pgSz w:w="11906" w:h="16839"/>
          <w:pgMar w:top="400" w:right="1417" w:bottom="604" w:left="424" w:header="0" w:footer="354" w:gutter="0"/>
          <w:cols w:equalWidth="0" w:num="2">
            <w:col w:w="6183" w:space="100"/>
            <w:col w:w="3782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781"/>
        <w:spacing w:before="91" w:line="18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"/>
        </w:rPr>
        <w:t>答辩委员会主席：</w:t>
      </w:r>
    </w:p>
    <w:p>
      <w:pPr>
        <w:spacing w:line="185" w:lineRule="auto"/>
        <w:sectPr>
          <w:type w:val="continuous"/>
          <w:pgSz w:w="11906" w:h="16839"/>
          <w:pgMar w:top="400" w:right="1417" w:bottom="604" w:left="424" w:header="0" w:footer="354" w:gutter="0"/>
          <w:cols w:equalWidth="0" w:num="1">
            <w:col w:w="10065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sdt>
      <w:sdtPr>
        <w:rPr>
          <w:rFonts w:ascii="SimHei" w:hAnsi="SimHei" w:eastAsia="SimHei" w:cs="SimHei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>
          <w:pPr>
            <w:ind w:left="5102"/>
            <w:spacing w:before="104" w:line="219" w:lineRule="auto"/>
            <w:rPr>
              <w:rFonts w:ascii="SimHei" w:hAnsi="SimHei" w:eastAsia="SimHei" w:cs="SimHei"/>
              <w:sz w:val="32"/>
              <w:szCs w:val="32"/>
            </w:rPr>
          </w:pPr>
          <w:r>
            <w:rPr>
              <w:rFonts w:ascii="SimHei" w:hAnsi="SimHei" w:eastAsia="SimHei" w:cs="SimHei"/>
              <w:sz w:val="32"/>
              <w:szCs w:val="32"/>
              <w:spacing w:val="-27"/>
            </w:rPr>
            <w:t>目</w:t>
          </w:r>
          <w:r>
            <w:rPr>
              <w:rFonts w:ascii="SimHei" w:hAnsi="SimHei" w:eastAsia="SimHei" w:cs="SimHei"/>
              <w:sz w:val="32"/>
              <w:szCs w:val="32"/>
              <w:spacing w:val="7"/>
            </w:rPr>
            <w:t xml:space="preserve">  </w:t>
          </w:r>
          <w:r>
            <w:rPr>
              <w:rFonts w:ascii="SimHei" w:hAnsi="SimHei" w:eastAsia="SimHei" w:cs="SimHei"/>
              <w:sz w:val="32"/>
              <w:szCs w:val="32"/>
              <w:spacing w:val="-27"/>
            </w:rPr>
            <w:t>录</w:t>
          </w:r>
        </w:p>
        <w:p>
          <w:pPr>
            <w:pStyle w:val="BodyText"/>
            <w:spacing w:line="411" w:lineRule="auto"/>
            <w:rPr/>
          </w:pPr>
          <w:r/>
        </w:p>
        <w:p>
          <w:pPr>
            <w:ind w:left="1413"/>
            <w:spacing w:before="87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">
            <w:r>
              <w:rPr>
                <w:rFonts w:ascii="SimSun" w:hAnsi="SimSun" w:eastAsia="SimSun" w:cs="SimSun"/>
                <w:sz w:val="27"/>
                <w:szCs w:val="27"/>
                <w:spacing w:val="5"/>
              </w:rPr>
              <w:t>中英文缩略词对照表</w:t>
            </w:r>
            <w:r>
              <w:rPr>
                <w:rFonts w:ascii="SimSun" w:hAnsi="SimSun" w:eastAsia="SimSun" w:cs="SimSun"/>
                <w:sz w:val="27"/>
                <w:szCs w:val="27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5</w:t>
            </w:r>
          </w:hyperlink>
        </w:p>
        <w:p>
          <w:pPr>
            <w:ind w:left="1391"/>
            <w:spacing w:before="9" w:line="242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">
            <w:r>
              <w:rPr>
                <w:rFonts w:ascii="SimSun" w:hAnsi="SimSun" w:eastAsia="SimSun" w:cs="SimSun"/>
                <w:sz w:val="27"/>
                <w:szCs w:val="27"/>
                <w:spacing w:val="1"/>
              </w:rPr>
              <w:t>前言</w:t>
            </w:r>
            <w:r>
              <w:rPr>
                <w:rFonts w:ascii="SimSun" w:hAnsi="SimSun" w:eastAsia="SimSun" w:cs="SimSun"/>
                <w:sz w:val="27"/>
                <w:szCs w:val="27"/>
                <w:spacing w:val="-10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6</w:t>
            </w:r>
          </w:hyperlink>
        </w:p>
        <w:p>
          <w:pPr>
            <w:ind w:left="1399"/>
            <w:spacing w:before="6" w:line="241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">
            <w:r>
              <w:rPr>
                <w:rFonts w:ascii="SimSun" w:hAnsi="SimSun" w:eastAsia="SimSun" w:cs="SimSun"/>
                <w:sz w:val="27"/>
                <w:szCs w:val="27"/>
                <w:spacing w:val="5"/>
              </w:rPr>
              <w:t>资料和方法</w:t>
            </w:r>
            <w:r>
              <w:rPr>
                <w:rFonts w:ascii="SimSun" w:hAnsi="SimSun" w:eastAsia="SimSun" w:cs="SimSun"/>
                <w:sz w:val="27"/>
                <w:szCs w:val="27"/>
                <w:spacing w:val="-113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7</w:t>
            </w:r>
          </w:hyperlink>
        </w:p>
        <w:p>
          <w:pPr>
            <w:ind w:left="1609"/>
            <w:spacing w:before="6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"/>
              </w:rPr>
              <w:t>1.</w:t>
            </w:r>
            <w:r>
              <w:rPr>
                <w:rFonts w:ascii="SimSun" w:hAnsi="SimSun" w:eastAsia="SimSun" w:cs="SimSun"/>
                <w:sz w:val="27"/>
                <w:szCs w:val="27"/>
                <w:spacing w:val="2"/>
              </w:rPr>
              <w:t>研究对象</w:t>
            </w:r>
            <w:r>
              <w:rPr>
                <w:rFonts w:ascii="SimSun" w:hAnsi="SimSun" w:eastAsia="SimSun" w:cs="SimSun"/>
                <w:sz w:val="27"/>
                <w:szCs w:val="27"/>
                <w:spacing w:val="-103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7</w:t>
            </w:r>
          </w:hyperlink>
        </w:p>
        <w:p>
          <w:pPr>
            <w:ind w:left="1582"/>
            <w:spacing w:before="10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"/>
              </w:rPr>
              <w:t>2.</w:t>
            </w:r>
            <w:r>
              <w:rPr>
                <w:rFonts w:ascii="SimSun" w:hAnsi="SimSun" w:eastAsia="SimSun" w:cs="SimSun"/>
                <w:sz w:val="27"/>
                <w:szCs w:val="27"/>
                <w:spacing w:val="6"/>
              </w:rPr>
              <w:t>诊断标准</w:t>
            </w:r>
            <w:r>
              <w:rPr>
                <w:rFonts w:ascii="SimSun" w:hAnsi="SimSun" w:eastAsia="SimSun" w:cs="SimSun"/>
                <w:sz w:val="27"/>
                <w:szCs w:val="27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7</w:t>
            </w:r>
          </w:hyperlink>
        </w:p>
        <w:p>
          <w:pPr>
            <w:ind w:left="1588"/>
            <w:spacing w:before="9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7"/>
              </w:rPr>
              <w:t>3.</w:t>
            </w:r>
            <w:r>
              <w:rPr>
                <w:rFonts w:ascii="SimSun" w:hAnsi="SimSun" w:eastAsia="SimSun" w:cs="SimSun"/>
                <w:sz w:val="27"/>
                <w:szCs w:val="27"/>
                <w:spacing w:val="7"/>
              </w:rPr>
              <w:t>纳入与排除标准</w:t>
            </w:r>
            <w:r>
              <w:rPr>
                <w:rFonts w:ascii="SimSun" w:hAnsi="SimSun" w:eastAsia="SimSun" w:cs="SimSun"/>
                <w:sz w:val="27"/>
                <w:szCs w:val="27"/>
                <w:spacing w:val="-10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7</w:t>
            </w:r>
          </w:hyperlink>
        </w:p>
        <w:p>
          <w:pPr>
            <w:ind w:left="1581"/>
            <w:spacing w:before="8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7"/>
              </w:rPr>
              <w:t>4.</w:t>
            </w:r>
            <w:r>
              <w:rPr>
                <w:rFonts w:ascii="SimSun" w:hAnsi="SimSun" w:eastAsia="SimSun" w:cs="SimSun"/>
                <w:sz w:val="27"/>
                <w:szCs w:val="27"/>
                <w:spacing w:val="7"/>
              </w:rPr>
              <w:t>资料采集</w:t>
            </w:r>
            <w:r>
              <w:rPr>
                <w:rFonts w:ascii="SimSun" w:hAnsi="SimSun" w:eastAsia="SimSun" w:cs="SimSun"/>
                <w:sz w:val="27"/>
                <w:szCs w:val="27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7</w:t>
            </w:r>
          </w:hyperlink>
        </w:p>
        <w:p>
          <w:pPr>
            <w:ind w:left="1590"/>
            <w:spacing w:before="10" w:line="241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5"/>
              </w:rPr>
              <w:t>5.</w:t>
            </w:r>
            <w:r>
              <w:rPr>
                <w:rFonts w:ascii="SimSun" w:hAnsi="SimSun" w:eastAsia="SimSun" w:cs="SimSun"/>
                <w:sz w:val="27"/>
                <w:szCs w:val="27"/>
                <w:spacing w:val="5"/>
              </w:rPr>
              <w:t>统计分析</w:t>
            </w:r>
            <w:r>
              <w:rPr>
                <w:rFonts w:ascii="SimSun" w:hAnsi="SimSun" w:eastAsia="SimSun" w:cs="SimSun"/>
                <w:sz w:val="27"/>
                <w:szCs w:val="27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8</w:t>
            </w:r>
          </w:hyperlink>
        </w:p>
        <w:p>
          <w:pPr>
            <w:ind w:left="1394"/>
            <w:spacing w:before="7" w:line="241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9">
            <w:r>
              <w:rPr>
                <w:rFonts w:ascii="SimSun" w:hAnsi="SimSun" w:eastAsia="SimSun" w:cs="SimSun"/>
                <w:sz w:val="27"/>
                <w:szCs w:val="27"/>
              </w:rPr>
              <w:t>结果</w:t>
            </w:r>
            <w:r>
              <w:rPr>
                <w:rFonts w:ascii="SimSun" w:hAnsi="SimSun" w:eastAsia="SimSun" w:cs="SimSun"/>
                <w:sz w:val="27"/>
                <w:szCs w:val="27"/>
                <w:spacing w:val="-10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9</w:t>
            </w:r>
          </w:hyperlink>
        </w:p>
        <w:p>
          <w:pPr>
            <w:ind w:left="1609"/>
            <w:spacing w:before="8" w:line="241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1.</w:t>
            </w:r>
            <w:r>
              <w:rPr>
                <w:rFonts w:ascii="SimSun" w:hAnsi="SimSun" w:eastAsia="SimSun" w:cs="SimSun"/>
                <w:sz w:val="27"/>
                <w:szCs w:val="27"/>
                <w:spacing w:val="4"/>
              </w:rPr>
              <w:t>一般资料分析</w:t>
            </w:r>
            <w:r>
              <w:rPr>
                <w:rFonts w:ascii="SimSun" w:hAnsi="SimSun" w:eastAsia="SimSun" w:cs="SimSun"/>
                <w:sz w:val="27"/>
                <w:szCs w:val="27"/>
                <w:spacing w:val="-107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9</w:t>
            </w:r>
          </w:hyperlink>
        </w:p>
        <w:p>
          <w:pPr>
            <w:ind w:left="1582"/>
            <w:spacing w:before="8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"/>
              </w:rPr>
              <w:t>2.</w:t>
            </w:r>
            <w:r>
              <w:rPr>
                <w:rFonts w:ascii="SimSun" w:hAnsi="SimSun" w:eastAsia="SimSun" w:cs="SimSun"/>
                <w:sz w:val="27"/>
                <w:szCs w:val="27"/>
                <w:spacing w:val="6"/>
              </w:rPr>
              <w:t>临床表现</w:t>
            </w:r>
            <w:r>
              <w:rPr>
                <w:rFonts w:ascii="SimSun" w:hAnsi="SimSun" w:eastAsia="SimSun" w:cs="SimSun"/>
                <w:sz w:val="27"/>
                <w:szCs w:val="27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8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10</w:t>
            </w:r>
          </w:hyperlink>
        </w:p>
        <w:p>
          <w:pPr>
            <w:ind w:left="1588"/>
            <w:spacing w:before="9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7"/>
              </w:rPr>
              <w:t>3.</w:t>
            </w:r>
            <w:r>
              <w:rPr>
                <w:rFonts w:ascii="SimSun" w:hAnsi="SimSun" w:eastAsia="SimSun" w:cs="SimSun"/>
                <w:sz w:val="27"/>
                <w:szCs w:val="27"/>
                <w:spacing w:val="7"/>
              </w:rPr>
              <w:t>实验室及影像学检查</w:t>
            </w:r>
            <w:r>
              <w:rPr>
                <w:rFonts w:ascii="SimSun" w:hAnsi="SimSun" w:eastAsia="SimSun" w:cs="SimSun"/>
                <w:sz w:val="27"/>
                <w:szCs w:val="27"/>
                <w:spacing w:val="-105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10</w:t>
            </w:r>
          </w:hyperlink>
        </w:p>
        <w:p>
          <w:pPr>
            <w:ind w:left="1581"/>
            <w:spacing w:before="9" w:line="21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>4.</w:t>
            </w:r>
            <w:r>
              <w:rPr>
                <w:rFonts w:ascii="SimSun" w:hAnsi="SimSun" w:eastAsia="SimSun" w:cs="SimSun"/>
                <w:sz w:val="27"/>
                <w:szCs w:val="27"/>
                <w:spacing w:val="9"/>
              </w:rPr>
              <w:t>糖尿病酮症酸中毒合并急性胰腺炎多因</w:t>
            </w:r>
            <w:r>
              <w:rPr>
                <w:rFonts w:ascii="SimSun" w:hAnsi="SimSun" w:eastAsia="SimSun" w:cs="SimSun"/>
                <w:sz w:val="27"/>
                <w:szCs w:val="27"/>
                <w:spacing w:val="8"/>
              </w:rPr>
              <w:t>素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Logistic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7"/>
                <w:szCs w:val="27"/>
                <w:spacing w:val="8"/>
              </w:rPr>
              <w:t>回归分析</w:t>
            </w:r>
            <w:r>
              <w:rPr>
                <w:rFonts w:ascii="SimSun" w:hAnsi="SimSun" w:eastAsia="SimSun" w:cs="SimSun"/>
                <w:sz w:val="27"/>
                <w:szCs w:val="27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12</w:t>
            </w:r>
          </w:hyperlink>
        </w:p>
        <w:p>
          <w:pPr>
            <w:ind w:left="1590"/>
            <w:spacing w:before="40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8"/>
              </w:rPr>
              <w:t>5.</w:t>
            </w:r>
            <w:r>
              <w:rPr>
                <w:rFonts w:ascii="SimSun" w:hAnsi="SimSun" w:eastAsia="SimSun" w:cs="SimSun"/>
                <w:sz w:val="27"/>
                <w:szCs w:val="27"/>
                <w:spacing w:val="8"/>
              </w:rPr>
              <w:t>临床评分及疾病严重程度比较</w:t>
            </w:r>
            <w:r>
              <w:rPr>
                <w:rFonts w:ascii="SimSun" w:hAnsi="SimSun" w:eastAsia="SimSun" w:cs="SimSun"/>
                <w:sz w:val="27"/>
                <w:szCs w:val="27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14</w:t>
            </w:r>
          </w:hyperlink>
        </w:p>
        <w:p>
          <w:pPr>
            <w:ind w:left="1588"/>
            <w:spacing w:before="8" w:line="241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7"/>
              </w:rPr>
              <w:t>6.</w:t>
            </w:r>
            <w:r>
              <w:rPr>
                <w:rFonts w:ascii="SimSun" w:hAnsi="SimSun" w:eastAsia="SimSun" w:cs="SimSun"/>
                <w:sz w:val="27"/>
                <w:szCs w:val="27"/>
                <w:spacing w:val="7"/>
              </w:rPr>
              <w:t>两组患者治疗措施比较</w:t>
            </w:r>
            <w:r>
              <w:rPr>
                <w:rFonts w:ascii="SimSun" w:hAnsi="SimSun" w:eastAsia="SimSun" w:cs="SimSun"/>
                <w:sz w:val="27"/>
                <w:szCs w:val="27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14</w:t>
            </w:r>
          </w:hyperlink>
        </w:p>
        <w:p>
          <w:pPr>
            <w:ind w:left="1587"/>
            <w:spacing w:before="8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7.</w:t>
            </w:r>
            <w:r>
              <w:rPr>
                <w:rFonts w:ascii="SimSun" w:hAnsi="SimSun" w:eastAsia="SimSun" w:cs="SimSun"/>
                <w:sz w:val="27"/>
                <w:szCs w:val="27"/>
                <w:spacing w:val="4"/>
              </w:rPr>
              <w:t>转归</w:t>
            </w:r>
            <w:r>
              <w:rPr>
                <w:rFonts w:ascii="SimSun" w:hAnsi="SimSun" w:eastAsia="SimSun" w:cs="SimSun"/>
                <w:sz w:val="27"/>
                <w:szCs w:val="27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14</w:t>
            </w:r>
          </w:hyperlink>
        </w:p>
        <w:p>
          <w:pPr>
            <w:ind w:left="1593"/>
            <w:spacing w:before="9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7"/>
              </w:rPr>
              <w:t>8.</w:t>
            </w:r>
            <w:r>
              <w:rPr>
                <w:rFonts w:ascii="SimSun" w:hAnsi="SimSun" w:eastAsia="SimSun" w:cs="SimSun"/>
                <w:sz w:val="27"/>
                <w:szCs w:val="27"/>
                <w:spacing w:val="7"/>
              </w:rPr>
              <w:t>两组住院天数和住院总费用比较</w:t>
            </w:r>
            <w:r>
              <w:rPr>
                <w:rFonts w:ascii="SimSun" w:hAnsi="SimSun" w:eastAsia="SimSun" w:cs="SimSun"/>
                <w:sz w:val="27"/>
                <w:szCs w:val="2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15</w:t>
            </w:r>
          </w:hyperlink>
        </w:p>
        <w:p>
          <w:pPr>
            <w:ind w:left="1387"/>
            <w:spacing w:before="9" w:line="242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8">
            <w:r>
              <w:rPr>
                <w:rFonts w:ascii="SimSun" w:hAnsi="SimSun" w:eastAsia="SimSun" w:cs="SimSun"/>
                <w:sz w:val="27"/>
                <w:szCs w:val="27"/>
                <w:spacing w:val="4"/>
              </w:rPr>
              <w:t>讨论</w:t>
            </w:r>
            <w:r>
              <w:rPr>
                <w:rFonts w:ascii="SimSun" w:hAnsi="SimSun" w:eastAsia="SimSun" w:cs="SimSun"/>
                <w:sz w:val="27"/>
                <w:szCs w:val="27"/>
                <w:spacing w:val="-10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SimSun" w:hAnsi="SimSun" w:eastAsia="SimSun" w:cs="SimSun"/>
                <w:sz w:val="27"/>
                <w:szCs w:val="27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16</w:t>
            </w:r>
          </w:hyperlink>
        </w:p>
        <w:p>
          <w:pPr>
            <w:ind w:left="1394"/>
            <w:spacing w:before="6" w:line="242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9">
            <w:r>
              <w:rPr>
                <w:rFonts w:ascii="SimSun" w:hAnsi="SimSun" w:eastAsia="SimSun" w:cs="SimSun"/>
                <w:sz w:val="27"/>
                <w:szCs w:val="27"/>
              </w:rPr>
              <w:t>结论</w:t>
            </w:r>
            <w:r>
              <w:rPr>
                <w:rFonts w:ascii="SimSun" w:hAnsi="SimSun" w:eastAsia="SimSun" w:cs="SimSun"/>
                <w:sz w:val="27"/>
                <w:szCs w:val="27"/>
                <w:spacing w:val="-10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22</w:t>
            </w:r>
          </w:hyperlink>
        </w:p>
        <w:p>
          <w:pPr>
            <w:ind w:left="1389"/>
            <w:spacing w:before="7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0">
            <w:r>
              <w:rPr>
                <w:rFonts w:ascii="SimSun" w:hAnsi="SimSun" w:eastAsia="SimSun" w:cs="SimSun"/>
                <w:sz w:val="27"/>
                <w:szCs w:val="27"/>
                <w:spacing w:val="6"/>
              </w:rPr>
              <w:t>参考文献</w:t>
            </w:r>
            <w:r>
              <w:rPr>
                <w:rFonts w:ascii="SimSun" w:hAnsi="SimSun" w:eastAsia="SimSun" w:cs="SimSun"/>
                <w:sz w:val="27"/>
                <w:szCs w:val="27"/>
                <w:spacing w:val="-11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23</w:t>
            </w:r>
          </w:hyperlink>
        </w:p>
        <w:p>
          <w:pPr>
            <w:ind w:left="1390"/>
            <w:spacing w:before="9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1">
            <w:r>
              <w:rPr>
                <w:rFonts w:ascii="SimSun" w:hAnsi="SimSun" w:eastAsia="SimSun" w:cs="SimSun"/>
                <w:sz w:val="27"/>
                <w:szCs w:val="27"/>
                <w:spacing w:val="9"/>
              </w:rPr>
              <w:t>综述 糖尿病酮症酸中毒合并急性胰腺的临</w:t>
            </w:r>
            <w:r>
              <w:rPr>
                <w:rFonts w:ascii="SimSun" w:hAnsi="SimSun" w:eastAsia="SimSun" w:cs="SimSun"/>
                <w:sz w:val="27"/>
                <w:szCs w:val="27"/>
                <w:spacing w:val="8"/>
              </w:rPr>
              <w:t>床特征</w:t>
            </w:r>
            <w:r>
              <w:rPr>
                <w:rFonts w:ascii="SimSun" w:hAnsi="SimSun" w:eastAsia="SimSun" w:cs="SimSun"/>
                <w:sz w:val="27"/>
                <w:szCs w:val="27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27</w:t>
            </w:r>
          </w:hyperlink>
        </w:p>
        <w:p>
          <w:pPr>
            <w:ind w:left="1589"/>
            <w:spacing w:before="9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2">
            <w:r>
              <w:rPr>
                <w:rFonts w:ascii="SimSun" w:hAnsi="SimSun" w:eastAsia="SimSun" w:cs="SimSun"/>
                <w:sz w:val="27"/>
                <w:szCs w:val="27"/>
                <w:spacing w:val="6"/>
              </w:rPr>
              <w:t>参考文献</w:t>
            </w:r>
            <w:r>
              <w:rPr>
                <w:rFonts w:ascii="SimSun" w:hAnsi="SimSun" w:eastAsia="SimSun" w:cs="SimSun"/>
                <w:sz w:val="27"/>
                <w:szCs w:val="27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32</w:t>
            </w:r>
          </w:hyperlink>
        </w:p>
        <w:p>
          <w:pPr>
            <w:ind w:left="1409"/>
            <w:spacing w:before="8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3">
            <w:r>
              <w:rPr>
                <w:rFonts w:ascii="SimSun" w:hAnsi="SimSun" w:eastAsia="SimSun" w:cs="SimSun"/>
                <w:sz w:val="27"/>
                <w:szCs w:val="27"/>
                <w:spacing w:val="-7"/>
              </w:rPr>
              <w:t>附录</w:t>
            </w:r>
            <w:r>
              <w:rPr>
                <w:rFonts w:ascii="SimSun" w:hAnsi="SimSun" w:eastAsia="SimSun" w:cs="SimSun"/>
                <w:sz w:val="27"/>
                <w:szCs w:val="27"/>
                <w:spacing w:val="-10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35</w:t>
            </w:r>
          </w:hyperlink>
        </w:p>
      </w:sdtContent>
    </w:sdt>
    <w:p>
      <w:pPr>
        <w:sectPr>
          <w:footerReference w:type="default" r:id="rId10"/>
          <w:pgSz w:w="11907" w:h="16839"/>
          <w:pgMar w:top="400" w:right="1785" w:bottom="604" w:left="424" w:header="0" w:footer="354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line="426" w:lineRule="auto"/>
        <w:rPr/>
      </w:pPr>
      <w:r/>
    </w:p>
    <w:p>
      <w:pPr>
        <w:ind w:left="2417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color w:val="231F20"/>
          <w:spacing w:val="9"/>
        </w:rPr>
        <w:t>糖尿病酮症酸中毒合并急性胰腺炎的临床特征</w:t>
      </w:r>
    </w:p>
    <w:p>
      <w:pPr>
        <w:ind w:left="5219"/>
        <w:spacing w:before="243" w:line="228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</w:rPr>
        <w:t>摘要</w:t>
      </w:r>
    </w:p>
    <w:p>
      <w:pPr>
        <w:ind w:left="1047"/>
        <w:spacing w:before="20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</w:rPr>
        <w:t>目的：</w:t>
      </w:r>
    </w:p>
    <w:p>
      <w:pPr>
        <w:ind w:left="1000" w:right="80" w:firstLine="480"/>
        <w:spacing w:before="179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探讨糖尿病酮症酸中毒合并急性胰腺炎的临床特征，识别危险因素，提高临床医师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对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的认识及诊治水平。</w:t>
      </w:r>
    </w:p>
    <w:p>
      <w:pPr>
        <w:ind w:left="1002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方法：</w:t>
      </w:r>
    </w:p>
    <w:p>
      <w:pPr>
        <w:ind w:left="993" w:firstLine="486"/>
        <w:spacing w:before="17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选取扬州大学附属医院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2013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年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9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月至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2022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年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12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月收治在我院急诊科、消</w:t>
      </w:r>
      <w:r>
        <w:rPr>
          <w:rFonts w:ascii="SimSun" w:hAnsi="SimSun" w:eastAsia="SimSun" w:cs="SimSun"/>
          <w:sz w:val="24"/>
          <w:szCs w:val="24"/>
          <w:spacing w:val="-2"/>
        </w:rPr>
        <w:t>化科、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内分泌科及重症医学科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45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例明确诊断为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SimSun" w:hAnsi="SimSun" w:eastAsia="SimSun" w:cs="SimSun"/>
          <w:sz w:val="24"/>
          <w:szCs w:val="24"/>
          <w:spacing w:val="-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DKA-AP </w:t>
      </w:r>
      <w:r>
        <w:rPr>
          <w:rFonts w:ascii="SimSun" w:hAnsi="SimSun" w:eastAsia="SimSun" w:cs="SimSun"/>
          <w:sz w:val="24"/>
          <w:szCs w:val="24"/>
          <w:spacing w:val="-3"/>
        </w:rPr>
        <w:t>组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）患者的临床资料进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行回顾性分析；筛选出同一时间段内数量均等的单纯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组）患者做为对照组。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之后对两组患者的基础数据进行统计分析，比较受试者临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床表现、既往史、个人史、</w:t>
      </w:r>
      <w:r>
        <w:rPr>
          <w:rFonts w:ascii="SimSun" w:hAnsi="SimSun" w:eastAsia="SimSun" w:cs="SimSun"/>
          <w:sz w:val="24"/>
          <w:szCs w:val="24"/>
          <w:spacing w:val="-2"/>
        </w:rPr>
        <w:t>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验室及影像学检查、临床评分、治疗措施、疾病转归等相</w:t>
      </w:r>
      <w:r>
        <w:rPr>
          <w:rFonts w:ascii="SimSun" w:hAnsi="SimSun" w:eastAsia="SimSun" w:cs="SimSun"/>
          <w:sz w:val="24"/>
          <w:szCs w:val="24"/>
          <w:spacing w:val="-2"/>
        </w:rPr>
        <w:t>关因素的差异。行单因素及多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因素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回归分析，分析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合并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的独立危险因素，并绘制受试者工作特征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Receiver operating characteristic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RO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SimSun" w:hAnsi="SimSun" w:eastAsia="SimSun" w:cs="SimSun"/>
          <w:sz w:val="24"/>
          <w:szCs w:val="24"/>
          <w:spacing w:val="-1"/>
        </w:rPr>
        <w:t>）曲线，计算曲线下面积（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Area and the curve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AUC</w:t>
      </w:r>
      <w:r>
        <w:rPr>
          <w:rFonts w:ascii="SimSun" w:hAnsi="SimSun" w:eastAsia="SimSun" w:cs="SimSun"/>
          <w:sz w:val="24"/>
          <w:szCs w:val="24"/>
          <w:spacing w:val="-1"/>
        </w:rPr>
        <w:t>）以评价指标的预测性能。</w:t>
      </w:r>
    </w:p>
    <w:p>
      <w:pPr>
        <w:ind w:left="1007"/>
        <w:spacing w:before="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结果：</w:t>
      </w:r>
    </w:p>
    <w:p>
      <w:pPr>
        <w:ind w:left="996" w:firstLine="503"/>
        <w:spacing w:before="181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1. 单因素结果分析显示：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DKA-AP </w:t>
      </w:r>
      <w:r>
        <w:rPr>
          <w:rFonts w:ascii="SimSun" w:hAnsi="SimSun" w:eastAsia="SimSun" w:cs="SimSun"/>
          <w:sz w:val="24"/>
          <w:szCs w:val="24"/>
          <w:spacing w:val="-4"/>
        </w:rPr>
        <w:t>组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MI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、高脂血症病史、腹痛、腹痛持续时间、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HCT</w:t>
      </w:r>
      <w:r>
        <w:rPr>
          <w:rFonts w:ascii="SimSun" w:hAnsi="SimSun" w:eastAsia="SimSun" w:cs="SimSun"/>
          <w:sz w:val="24"/>
          <w:szCs w:val="24"/>
          <w:spacing w:val="-3"/>
        </w:rPr>
        <w:t>%、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RBC </w:t>
      </w:r>
      <w:r>
        <w:rPr>
          <w:rFonts w:ascii="SimSun" w:hAnsi="SimSun" w:eastAsia="SimSun" w:cs="SimSun"/>
          <w:sz w:val="24"/>
          <w:szCs w:val="24"/>
          <w:spacing w:val="-3"/>
        </w:rPr>
        <w:t>计数、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HB </w:t>
      </w:r>
      <w:r>
        <w:rPr>
          <w:rFonts w:ascii="SimSun" w:hAnsi="SimSun" w:eastAsia="SimSun" w:cs="SimSun"/>
          <w:sz w:val="24"/>
          <w:szCs w:val="24"/>
          <w:spacing w:val="-3"/>
        </w:rPr>
        <w:t>浓度、血糖、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TC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G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AMY </w:t>
      </w:r>
      <w:r>
        <w:rPr>
          <w:rFonts w:ascii="SimSun" w:hAnsi="SimSun" w:eastAsia="SimSun" w:cs="SimSun"/>
          <w:sz w:val="24"/>
          <w:szCs w:val="24"/>
          <w:spacing w:val="-4"/>
        </w:rPr>
        <w:t>均高于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组，两组比较有统计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P</w:t>
      </w:r>
      <w:r>
        <w:rPr>
          <w:rFonts w:ascii="SimSun" w:hAnsi="SimSun" w:eastAsia="SimSun" w:cs="SimSun"/>
          <w:sz w:val="24"/>
          <w:szCs w:val="24"/>
          <w:spacing w:val="-3"/>
        </w:rPr>
        <w:t>＜0.05）。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组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PH </w:t>
      </w:r>
      <w:r>
        <w:rPr>
          <w:rFonts w:ascii="SimSun" w:hAnsi="SimSun" w:eastAsia="SimSun" w:cs="SimSun"/>
          <w:sz w:val="24"/>
          <w:szCs w:val="24"/>
          <w:spacing w:val="-3"/>
        </w:rPr>
        <w:t>值、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HCO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-1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8"/>
        </w:rPr>
        <w:t>-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-CP </w:t>
      </w:r>
      <w:r>
        <w:rPr>
          <w:rFonts w:ascii="SimSun" w:hAnsi="SimSun" w:eastAsia="SimSun" w:cs="SimSun"/>
          <w:sz w:val="24"/>
          <w:szCs w:val="24"/>
          <w:spacing w:val="-3"/>
        </w:rPr>
        <w:t>均小于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组，两组比较也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1"/>
        </w:rPr>
        <w:t>＜0.05）。</w:t>
      </w:r>
    </w:p>
    <w:p>
      <w:pPr>
        <w:ind w:left="996" w:right="80" w:firstLine="488"/>
        <w:spacing w:before="18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2. 行多因素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回归分析：将单因素结果有统计学意义的做自变量，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并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组做为因变量，结果显示腹痛（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P</w:t>
      </w:r>
      <w:r>
        <w:rPr>
          <w:rFonts w:ascii="SimSun" w:hAnsi="SimSun" w:eastAsia="SimSun" w:cs="SimSun"/>
          <w:sz w:val="24"/>
          <w:szCs w:val="24"/>
          <w:spacing w:val="4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SimSun" w:hAnsi="SimSun" w:eastAsia="SimSun" w:cs="SimSun"/>
          <w:sz w:val="24"/>
          <w:szCs w:val="24"/>
          <w:spacing w:val="4"/>
        </w:rPr>
        <w:t>=38.906）、腹痛持续时间（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P</w:t>
      </w:r>
      <w:r>
        <w:rPr>
          <w:rFonts w:ascii="SimSun" w:hAnsi="SimSun" w:eastAsia="SimSun" w:cs="SimSun"/>
          <w:sz w:val="24"/>
          <w:szCs w:val="24"/>
          <w:spacing w:val="4"/>
        </w:rPr>
        <w:t>&lt;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0.001，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SimSun" w:hAnsi="SimSun" w:eastAsia="SimSun" w:cs="SimSun"/>
          <w:sz w:val="24"/>
          <w:szCs w:val="24"/>
          <w:spacing w:val="4"/>
        </w:rPr>
        <w:t>=3.892）、</w:t>
      </w:r>
      <w:r>
        <w:rPr>
          <w:rFonts w:ascii="Times New Roman" w:hAnsi="Times New Roman" w:eastAsia="Times New Roman" w:cs="Times New Roman"/>
          <w:sz w:val="24"/>
          <w:szCs w:val="24"/>
        </w:rPr>
        <w:t>TC</w:t>
      </w:r>
      <w:r>
        <w:rPr>
          <w:rFonts w:ascii="SimSun" w:hAnsi="SimSun" w:eastAsia="SimSun" w:cs="SimSun"/>
          <w:sz w:val="24"/>
          <w:szCs w:val="24"/>
          <w:spacing w:val="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P</w:t>
      </w:r>
      <w:r>
        <w:rPr>
          <w:rFonts w:ascii="SimSun" w:hAnsi="SimSun" w:eastAsia="SimSun" w:cs="SimSun"/>
          <w:sz w:val="24"/>
          <w:szCs w:val="24"/>
          <w:spacing w:val="4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SimSun" w:hAnsi="SimSun" w:eastAsia="SimSun" w:cs="SimSun"/>
          <w:sz w:val="24"/>
          <w:szCs w:val="24"/>
          <w:spacing w:val="4"/>
        </w:rPr>
        <w:t>=1.455）、</w:t>
      </w:r>
      <w:r>
        <w:rPr>
          <w:rFonts w:ascii="Times New Roman" w:hAnsi="Times New Roman" w:eastAsia="Times New Roman" w:cs="Times New Roman"/>
          <w:sz w:val="24"/>
          <w:szCs w:val="24"/>
        </w:rPr>
        <w:t>TG</w:t>
      </w:r>
      <w:r>
        <w:rPr>
          <w:rFonts w:ascii="SimSun" w:hAnsi="SimSun" w:eastAsia="SimSun" w:cs="SimSun"/>
          <w:sz w:val="24"/>
          <w:szCs w:val="24"/>
          <w:spacing w:val="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P</w:t>
      </w:r>
      <w:r>
        <w:rPr>
          <w:rFonts w:ascii="SimSun" w:hAnsi="SimSun" w:eastAsia="SimSun" w:cs="SimSun"/>
          <w:sz w:val="24"/>
          <w:szCs w:val="24"/>
          <w:spacing w:val="4"/>
        </w:rPr>
        <w:t>=0.008，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SimSun" w:hAnsi="SimSun" w:eastAsia="SimSun" w:cs="SimSun"/>
          <w:sz w:val="24"/>
          <w:szCs w:val="24"/>
          <w:spacing w:val="4"/>
        </w:rPr>
        <w:t>=2</w:t>
      </w:r>
      <w:r>
        <w:rPr>
          <w:rFonts w:ascii="SimSun" w:hAnsi="SimSun" w:eastAsia="SimSun" w:cs="SimSun"/>
          <w:sz w:val="24"/>
          <w:szCs w:val="24"/>
          <w:spacing w:val="3"/>
        </w:rPr>
        <w:t>.046）是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的独立危险因素。</w:t>
      </w:r>
    </w:p>
    <w:p>
      <w:pPr>
        <w:ind w:left="993" w:right="21" w:firstLine="492"/>
        <w:spacing w:before="182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3. 将多因素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回归分析有统计学</w:t>
      </w:r>
      <w:r>
        <w:rPr>
          <w:rFonts w:ascii="SimSun" w:hAnsi="SimSun" w:eastAsia="SimSun" w:cs="SimSun"/>
          <w:sz w:val="24"/>
          <w:szCs w:val="24"/>
          <w:spacing w:val="-3"/>
        </w:rPr>
        <w:t>意义的连续型变量绘制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ROC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曲线，结果显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示：腹痛持续时间的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AUC </w:t>
      </w:r>
      <w:r>
        <w:rPr>
          <w:rFonts w:ascii="SimSun" w:hAnsi="SimSun" w:eastAsia="SimSun" w:cs="SimSun"/>
          <w:sz w:val="24"/>
          <w:szCs w:val="24"/>
          <w:spacing w:val="-9"/>
        </w:rPr>
        <w:t>为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0.871，敏</w:t>
      </w:r>
      <w:r>
        <w:rPr>
          <w:rFonts w:ascii="SimSun" w:hAnsi="SimSun" w:eastAsia="SimSun" w:cs="SimSun"/>
          <w:sz w:val="24"/>
          <w:szCs w:val="24"/>
          <w:spacing w:val="-10"/>
        </w:rPr>
        <w:t>感度为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77.8%，特异度为86.7%，约登指数为0.644；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TC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的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AUC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为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0.751，敏感度为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71.1%，特异度为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75.6%，约登指数为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0.467；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TG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的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AUC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为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0.884，敏感度为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88.4%，特异度为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84.4%，约登指数为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0.664；上述指标联合诊断的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AUC </w:t>
      </w:r>
      <w:r>
        <w:rPr>
          <w:rFonts w:ascii="SimSun" w:hAnsi="SimSun" w:eastAsia="SimSun" w:cs="SimSun"/>
          <w:sz w:val="24"/>
          <w:szCs w:val="24"/>
          <w:spacing w:val="-1"/>
        </w:rPr>
        <w:t>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0.993，敏感度为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93.3%，特异度为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73.3%，约</w:t>
      </w:r>
      <w:r>
        <w:rPr>
          <w:rFonts w:ascii="SimSun" w:hAnsi="SimSun" w:eastAsia="SimSun" w:cs="SimSun"/>
          <w:sz w:val="24"/>
          <w:szCs w:val="24"/>
          <w:spacing w:val="-2"/>
        </w:rPr>
        <w:t>登指数为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0.667。</w:t>
      </w:r>
    </w:p>
    <w:p>
      <w:pPr>
        <w:ind w:left="1480"/>
        <w:spacing w:before="1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 两组在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APACHE II </w:t>
      </w:r>
      <w:r>
        <w:rPr>
          <w:rFonts w:ascii="SimSun" w:hAnsi="SimSun" w:eastAsia="SimSun" w:cs="SimSun"/>
          <w:sz w:val="24"/>
          <w:szCs w:val="24"/>
          <w:spacing w:val="-1"/>
        </w:rPr>
        <w:t>评分中有统计学差异（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1"/>
        </w:rPr>
        <w:t>=0.035）。</w:t>
      </w:r>
    </w:p>
    <w:p>
      <w:pPr>
        <w:pStyle w:val="BodyText"/>
        <w:spacing w:line="395" w:lineRule="auto"/>
        <w:rPr/>
      </w:pPr>
      <w:r/>
    </w:p>
    <w:p>
      <w:pPr>
        <w:ind w:left="5497"/>
        <w:spacing w:before="55" w:line="180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1</w:t>
      </w:r>
    </w:p>
    <w:p>
      <w:pPr>
        <w:spacing w:line="180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6" w:right="80" w:firstLine="480"/>
        <w:spacing w:before="179" w:line="360" w:lineRule="auto"/>
        <w:rPr>
          <w:rFonts w:ascii="SimSun" w:hAnsi="SimSun" w:eastAsia="SimSun" w:cs="SimSun"/>
          <w:sz w:val="24"/>
          <w:szCs w:val="24"/>
        </w:rPr>
      </w:pPr>
      <w:bookmarkStart w:name="bookmark24" w:id="1"/>
      <w:bookmarkEnd w:id="1"/>
      <w:r>
        <w:rPr>
          <w:rFonts w:ascii="SimSun" w:hAnsi="SimSun" w:eastAsia="SimSun" w:cs="SimSun"/>
          <w:sz w:val="24"/>
          <w:szCs w:val="24"/>
          <w:spacing w:val="-4"/>
        </w:rPr>
        <w:t>5. 两组在平均每日补液量、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CRRT </w:t>
      </w:r>
      <w:r>
        <w:rPr>
          <w:rFonts w:ascii="SimSun" w:hAnsi="SimSun" w:eastAsia="SimSun" w:cs="SimSun"/>
          <w:sz w:val="24"/>
          <w:szCs w:val="24"/>
          <w:spacing w:val="-4"/>
        </w:rPr>
        <w:t>使用上、住院时间、平均住院费用比较上有统计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学意义（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P</w:t>
      </w:r>
      <w:r>
        <w:rPr>
          <w:rFonts w:ascii="SimSun" w:hAnsi="SimSun" w:eastAsia="SimSun" w:cs="SimSun"/>
          <w:sz w:val="24"/>
          <w:szCs w:val="24"/>
          <w:spacing w:val="-2"/>
        </w:rPr>
        <w:t>＜0.05）。</w:t>
      </w:r>
    </w:p>
    <w:p>
      <w:pPr>
        <w:ind w:left="1007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结论：</w:t>
      </w:r>
    </w:p>
    <w:p>
      <w:pPr>
        <w:ind w:left="1014" w:right="80" w:firstLine="484"/>
        <w:spacing w:before="180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1. 本研究认为腹痛、腹痛持续时间、胆固醇、甘油三酯是</w:t>
      </w:r>
      <w:r>
        <w:rPr>
          <w:rFonts w:ascii="SimSun" w:hAnsi="SimSun" w:eastAsia="SimSun" w:cs="SimSun"/>
          <w:sz w:val="24"/>
          <w:szCs w:val="24"/>
          <w:color w:val="2121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的独立危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险因素，监测上述指标以期及早识别</w:t>
      </w:r>
      <w:r>
        <w:rPr>
          <w:rFonts w:ascii="SimSun" w:hAnsi="SimSun" w:eastAsia="SimSun" w:cs="SimSun"/>
          <w:sz w:val="24"/>
          <w:szCs w:val="24"/>
          <w:color w:val="212121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并及时诊治。</w:t>
      </w:r>
    </w:p>
    <w:p>
      <w:pPr>
        <w:ind w:left="1003" w:right="80" w:firstLine="480"/>
        <w:spacing w:before="181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2. 腹痛、腹痛持续时间、胆固醇、甘油三酯联合预测</w:t>
      </w:r>
      <w:r>
        <w:rPr>
          <w:rFonts w:ascii="SimSun" w:hAnsi="SimSun" w:eastAsia="SimSun" w:cs="SimSun"/>
          <w:sz w:val="24"/>
          <w:szCs w:val="24"/>
          <w:color w:val="2121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的准确性优于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单因素预测。</w:t>
      </w:r>
    </w:p>
    <w:p>
      <w:pPr>
        <w:spacing w:before="182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3.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血容量不足更明显，持续器官功能恶化的几率较单纯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更大。</w:t>
      </w:r>
    </w:p>
    <w:p>
      <w:pPr>
        <w:ind w:left="1480"/>
        <w:spacing w:before="18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4.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住院时间更长、花费更高。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05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color w:val="212121"/>
          <w:spacing w:val="-2"/>
        </w:rPr>
        <w:t>关键词：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color w:val="212121"/>
          <w:spacing w:val="-2"/>
        </w:rPr>
        <w:t>糖尿病酮症酸中毒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color w:val="212121"/>
          <w:spacing w:val="-2"/>
        </w:rPr>
        <w:t>急性胰腺炎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color w:val="212121"/>
          <w:spacing w:val="-2"/>
        </w:rPr>
        <w:t>临床</w:t>
      </w:r>
      <w:r>
        <w:rPr>
          <w:rFonts w:ascii="SimSun" w:hAnsi="SimSun" w:eastAsia="SimSun" w:cs="SimSun"/>
          <w:sz w:val="24"/>
          <w:szCs w:val="24"/>
          <w:b/>
          <w:bCs/>
          <w:color w:val="212121"/>
          <w:spacing w:val="-3"/>
        </w:rPr>
        <w:t>特征</w:t>
      </w:r>
      <w:r>
        <w:rPr>
          <w:rFonts w:ascii="SimSun" w:hAnsi="SimSun" w:eastAsia="SimSun" w:cs="SimSun"/>
          <w:sz w:val="24"/>
          <w:szCs w:val="24"/>
          <w:color w:val="212121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color w:val="212121"/>
          <w:spacing w:val="-3"/>
        </w:rPr>
        <w:t>危险因素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492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2</w:t>
      </w:r>
    </w:p>
    <w:p>
      <w:pPr>
        <w:spacing w:line="181" w:lineRule="auto"/>
        <w:sectPr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29"/>
        <w:spacing w:before="267" w:line="197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bookmarkStart w:name="bookmark25" w:id="2"/>
      <w:bookmarkEnd w:id="2"/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4"/>
        </w:rPr>
        <w:t>Clinical characteristics of</w:t>
      </w: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4"/>
        </w:rPr>
        <w:t>diabetes ketoacidosis with acute pancreati</w:t>
      </w:r>
      <w:r>
        <w:rPr>
          <w:rFonts w:ascii="Times New Roman" w:hAnsi="Times New Roman" w:eastAsia="Times New Roman" w:cs="Times New Roman"/>
          <w:sz w:val="31"/>
          <w:szCs w:val="31"/>
          <w:color w:val="231F20"/>
          <w:spacing w:val="3"/>
        </w:rPr>
        <w:t>tis</w:t>
      </w:r>
    </w:p>
    <w:p>
      <w:pPr>
        <w:pStyle w:val="BodyText"/>
        <w:rPr/>
      </w:pPr>
      <w:r/>
    </w:p>
    <w:p>
      <w:pPr>
        <w:ind w:left="4990"/>
        <w:spacing w:before="89" w:line="196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color w:val="212121"/>
          <w:spacing w:val="3"/>
        </w:rPr>
        <w:t>Abstract</w:t>
      </w:r>
    </w:p>
    <w:p>
      <w:pPr>
        <w:ind w:left="1000"/>
        <w:spacing w:before="245" w:line="21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Objective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：</w:t>
      </w:r>
    </w:p>
    <w:p>
      <w:pPr>
        <w:ind w:left="996" w:right="434" w:firstLine="483"/>
        <w:spacing w:before="230" w:line="38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To explore the clinical characteristics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diabetes ketoacidosis with acute panc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reatitis,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identify the risk factors, and improve clinicians' understanding, diagnosis 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treatment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with AP.</w:t>
      </w:r>
    </w:p>
    <w:p>
      <w:pPr>
        <w:ind w:left="996"/>
        <w:spacing w:before="37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Methods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：</w:t>
      </w:r>
    </w:p>
    <w:p>
      <w:pPr>
        <w:ind w:left="994" w:right="153" w:firstLine="484"/>
        <w:spacing w:before="197" w:line="39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 clinical data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45 patients with DKA combined with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AP (DKA-A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P group) admitted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to the emergency department, digestive departmen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t, endocrinology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department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critical</w:t>
      </w:r>
    </w:p>
    <w:p>
      <w:pPr>
        <w:ind w:left="993"/>
        <w:spacing w:before="3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medicine department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Yangzhou University Affili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ated Hospital from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September 2013 to</w:t>
      </w:r>
    </w:p>
    <w:p>
      <w:pPr>
        <w:ind w:left="996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December 2022 were analyzed retrospectively;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 xml:space="preserve"> patients with simple DKA (DKA group)</w:t>
      </w:r>
    </w:p>
    <w:p>
      <w:pPr>
        <w:ind w:left="993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with equal number in the same time period were sel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ected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as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group.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that,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</w:p>
    <w:p>
      <w:pPr>
        <w:ind w:left="99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basic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groups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analyzed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differences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in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clinical manifestations, past history, personal histor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y, laboratory and imaging examinations,</w:t>
      </w:r>
    </w:p>
    <w:p>
      <w:pPr>
        <w:ind w:left="1006" w:hanging="6"/>
        <w:spacing w:before="249" w:line="39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clinical scores, treatment measures, disease outcomes 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other 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elated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factors were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compared.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Single factor and multiple factor logistic regression ana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lysis was performed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analyze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</w:p>
    <w:p>
      <w:pPr>
        <w:ind w:left="1000" w:right="85" w:hanging="2"/>
        <w:spacing w:before="35" w:line="39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independent risk factors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DKA combined with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AP, draw the recei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ver operating characteristic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(ROC) curve, and calculate 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 area and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curve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(AUC)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evaluate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 predictive</w:t>
      </w:r>
    </w:p>
    <w:p>
      <w:pPr>
        <w:ind w:left="991"/>
        <w:spacing w:before="3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performance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index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>.</w:t>
      </w:r>
    </w:p>
    <w:p>
      <w:pPr>
        <w:ind w:left="996"/>
        <w:spacing w:before="21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Results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：</w:t>
      </w:r>
    </w:p>
    <w:p>
      <w:pPr>
        <w:ind w:left="1500"/>
        <w:spacing w:before="19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1.Single factor analysis showed that BMI, history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hyperlipidemi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abdominal pain,</w:t>
      </w:r>
    </w:p>
    <w:p>
      <w:pPr>
        <w:ind w:left="991" w:right="148" w:firstLine="8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duration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abdominal pain, HCT%, RBC count, HB concentration, blood glucose, TC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, TG,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AMY in DKA-AP group were higher than those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in DKA group, with statistical difference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groups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&lt;0.05).</w:t>
      </w:r>
    </w:p>
    <w:p>
      <w:pPr>
        <w:ind w:left="1003" w:right="598" w:firstLine="473"/>
        <w:spacing w:before="249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2.Multivariate logistic regression analysis: take the univariate results with stat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istical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significance as the independent variable, and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combined with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 as the dependent</w:t>
      </w:r>
    </w:p>
    <w:p>
      <w:pPr>
        <w:ind w:left="998" w:right="436" w:hanging="5"/>
        <w:spacing w:before="165" w:line="3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variable. The results showed that abdominal pain 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&lt;0.001, OR=38.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906),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abdominal pain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duration 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&lt;0.001, OR=3.892), TC 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&lt;0.001, OR=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1.455), TG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=0.008,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OR=2.046) were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independent risk factors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DKA combined with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P.</w:t>
      </w:r>
    </w:p>
    <w:p>
      <w:pPr>
        <w:ind w:left="148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3.The ROC curve was drawn by multivariate logistic regression analysis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contin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uous</w:t>
      </w:r>
    </w:p>
    <w:p>
      <w:pPr>
        <w:pStyle w:val="BodyText"/>
        <w:spacing w:line="268" w:lineRule="auto"/>
        <w:rPr/>
      </w:pPr>
      <w:r/>
    </w:p>
    <w:p>
      <w:pPr>
        <w:ind w:left="5491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3</w:t>
      </w:r>
    </w:p>
    <w:p>
      <w:pPr>
        <w:spacing w:line="181" w:lineRule="auto"/>
        <w:sectPr>
          <w:headerReference w:type="default" r:id="rId13"/>
          <w:footerReference w:type="default" r:id="rId14"/>
          <w:pgSz w:w="11906" w:h="16839"/>
          <w:pgMar w:top="1182" w:right="1360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3"/>
        <w:spacing w:before="214" w:line="192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bookmarkStart w:name="bookmark26" w:id="3"/>
      <w:bookmarkEnd w:id="3"/>
      <w:bookmarkStart w:name="bookmark7" w:id="4"/>
      <w:bookmarkEnd w:id="4"/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variables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statistical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significance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results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showed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AUC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duration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abdominal pain was 0.871, the sensitivity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was 77.8%, the specificity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86.7%,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</w:p>
    <w:p>
      <w:pPr>
        <w:ind w:left="993" w:firstLine="3"/>
        <w:spacing w:before="248" w:line="39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Jordan index was 0.644; Th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AUC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TC was 0.751,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sensitivity was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71.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1%,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specificity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was 75.6%, and the Yoden index was 0.467;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 AUC ofTG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0.884,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sensitivity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88.4%,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 specificity is 84.4%, and the Yoden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 xml:space="preserve"> index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0.664;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AUC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combined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diagnosis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 above indicators was 0.993, the sens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itivity was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93.3%,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specificity was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73.3%,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Yoden index was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0.667.</w:t>
      </w:r>
    </w:p>
    <w:p>
      <w:pPr>
        <w:ind w:left="1001" w:right="899" w:firstLine="474"/>
        <w:spacing w:before="73" w:line="30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4. There was a statistical difference between the two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groups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APACHE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II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=0.035).</w:t>
      </w:r>
    </w:p>
    <w:p>
      <w:pPr>
        <w:ind w:left="1000" w:right="339" w:firstLine="482"/>
        <w:spacing w:before="226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5.The average daily rehydration volume, CRRT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 xml:space="preserve"> use, hospital stay 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average hospital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expenses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groups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&lt;0.05).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Conclusions:</w:t>
      </w:r>
    </w:p>
    <w:p>
      <w:pPr>
        <w:ind w:left="994" w:right="294" w:firstLine="505"/>
        <w:spacing w:before="249" w:line="3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   This study considers that abdominal pain, dura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abdominal pain,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cholesterol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and triglyceride are independent risk factors 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complicated with AP, and monitors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above indicators in order to ident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ify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 as early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possible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make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diagnosis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treatment.</w:t>
      </w:r>
    </w:p>
    <w:p>
      <w:pPr>
        <w:ind w:left="1000" w:right="115" w:firstLine="476"/>
        <w:spacing w:before="87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2.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accuracy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combined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prediction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abdominal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duration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abdominal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cholesterol and triglyceride for DKA combined 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 was better than tha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single factor</w:t>
      </w:r>
    </w:p>
    <w:p>
      <w:pPr>
        <w:ind w:left="99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prediction.</w:t>
      </w:r>
    </w:p>
    <w:p>
      <w:pPr>
        <w:ind w:left="1000" w:right="824" w:firstLine="481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  DKA combined 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 hypovolemia is more obvious, and the prob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ability 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continuous organ function deterioration is greater than that of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simple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DKA.</w:t>
      </w:r>
    </w:p>
    <w:p>
      <w:pPr>
        <w:ind w:left="1475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   DKA combined 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 has longer hospitali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zation time and higher cost.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999" w:right="627" w:hanging="2"/>
        <w:spacing w:before="79" w:line="36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Key words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diabetic ketoacidosis    acute pancreatitis    clinical characterists     risk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factors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486"/>
        <w:spacing w:before="55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4</w:t>
      </w:r>
    </w:p>
    <w:p>
      <w:pPr>
        <w:spacing w:line="179" w:lineRule="auto"/>
        <w:sectPr>
          <w:headerReference w:type="default" r:id="rId15"/>
          <w:footerReference w:type="default" r:id="rId16"/>
          <w:pgSz w:w="11906" w:h="16839"/>
          <w:pgMar w:top="1182" w:right="135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4125"/>
        <w:spacing w:before="218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27" w:id="5"/>
      <w:bookmarkEnd w:id="5"/>
      <w:r>
        <w:rPr>
          <w:rFonts w:ascii="SimHei" w:hAnsi="SimHei" w:eastAsia="SimHei" w:cs="SimHei"/>
          <w:sz w:val="31"/>
          <w:szCs w:val="31"/>
          <w:spacing w:val="5"/>
        </w:rPr>
        <w:t>中英文缩略词对照表</w:t>
      </w:r>
    </w:p>
    <w:p>
      <w:pPr>
        <w:spacing w:line="91" w:lineRule="exact"/>
        <w:rPr/>
      </w:pPr>
      <w:r/>
    </w:p>
    <w:tbl>
      <w:tblPr>
        <w:tblStyle w:val="TableNormal"/>
        <w:tblW w:w="8856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6"/>
        <w:gridCol w:w="4364"/>
        <w:gridCol w:w="3116"/>
      </w:tblGrid>
      <w:tr>
        <w:trPr>
          <w:trHeight w:val="322" w:hRule="atLeast"/>
        </w:trPr>
        <w:tc>
          <w:tcPr>
            <w:tcW w:w="1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5"/>
              <w:spacing w:before="57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英文缩写</w:t>
            </w:r>
          </w:p>
        </w:tc>
        <w:tc>
          <w:tcPr>
            <w:tcW w:w="43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23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英文名称</w:t>
            </w:r>
          </w:p>
        </w:tc>
        <w:tc>
          <w:tcPr>
            <w:tcW w:w="31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72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中文名称</w:t>
            </w:r>
          </w:p>
        </w:tc>
      </w:tr>
      <w:tr>
        <w:trPr>
          <w:trHeight w:val="310" w:hRule="atLeast"/>
        </w:trPr>
        <w:tc>
          <w:tcPr>
            <w:tcW w:w="13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0"/>
              <w:spacing w:before="88" w:line="195" w:lineRule="auto"/>
              <w:rPr/>
            </w:pPr>
            <w:r>
              <w:rPr>
                <w:spacing w:val="5"/>
              </w:rPr>
              <w:t>DKA</w:t>
            </w:r>
          </w:p>
        </w:tc>
        <w:tc>
          <w:tcPr>
            <w:tcW w:w="43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5"/>
              <w:spacing w:before="84" w:line="199" w:lineRule="auto"/>
              <w:rPr/>
            </w:pPr>
            <w:r>
              <w:rPr>
                <w:spacing w:val="3"/>
              </w:rPr>
              <w:t>diabetic ketoacidosis</w:t>
            </w:r>
          </w:p>
        </w:tc>
        <w:tc>
          <w:tcPr>
            <w:tcW w:w="3116" w:type="dxa"/>
            <w:vAlign w:val="top"/>
            <w:tcBorders>
              <w:top w:val="single" w:color="000000" w:sz="2" w:space="0"/>
            </w:tcBorders>
          </w:tcPr>
          <w:p>
            <w:pPr>
              <w:ind w:left="732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糖尿病酮症酸中毒</w:t>
            </w:r>
          </w:p>
        </w:tc>
      </w:tr>
      <w:tr>
        <w:trPr>
          <w:trHeight w:val="324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90" w:line="195" w:lineRule="auto"/>
              <w:rPr/>
            </w:pPr>
            <w:r>
              <w:rPr>
                <w:spacing w:val="5"/>
              </w:rPr>
              <w:t>AP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510"/>
              <w:spacing w:before="85" w:line="201" w:lineRule="auto"/>
              <w:rPr/>
            </w:pPr>
            <w:r>
              <w:rPr>
                <w:spacing w:val="3"/>
              </w:rPr>
              <w:t>acute pancreatitis</w:t>
            </w:r>
          </w:p>
        </w:tc>
        <w:tc>
          <w:tcPr>
            <w:tcW w:w="3116" w:type="dxa"/>
            <w:vAlign w:val="top"/>
          </w:tcPr>
          <w:p>
            <w:pPr>
              <w:ind w:left="1053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急性胰腺炎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77" w:line="195" w:lineRule="auto"/>
              <w:rPr/>
            </w:pPr>
            <w:r>
              <w:rPr>
                <w:spacing w:val="5"/>
              </w:rPr>
              <w:t>HTG-AP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597"/>
              <w:spacing w:before="74" w:line="201" w:lineRule="auto"/>
              <w:rPr/>
            </w:pPr>
            <w:r>
              <w:rPr>
                <w:spacing w:val="4"/>
              </w:rPr>
              <w:t>hypertriglyceridemic acute pancreat</w:t>
            </w:r>
            <w:r>
              <w:rPr>
                <w:spacing w:val="3"/>
              </w:rPr>
              <w:t>itis</w:t>
            </w:r>
          </w:p>
        </w:tc>
        <w:tc>
          <w:tcPr>
            <w:tcW w:w="3116" w:type="dxa"/>
            <w:vAlign w:val="top"/>
          </w:tcPr>
          <w:p>
            <w:pPr>
              <w:ind w:left="738"/>
              <w:spacing w:before="4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高脂血症型胰腺炎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78" w:line="197" w:lineRule="auto"/>
              <w:rPr>
                <w:sz w:val="13"/>
                <w:szCs w:val="13"/>
              </w:rPr>
            </w:pPr>
            <w:r>
              <w:rPr/>
              <w:t>HCO</w:t>
            </w:r>
            <w:r>
              <w:rPr>
                <w:sz w:val="13"/>
                <w:szCs w:val="13"/>
                <w:spacing w:val="11"/>
                <w:position w:val="-1"/>
              </w:rPr>
              <w:t>3</w:t>
            </w:r>
            <w:r>
              <w:rPr>
                <w:sz w:val="13"/>
                <w:szCs w:val="13"/>
                <w:spacing w:val="11"/>
                <w:position w:val="7"/>
              </w:rPr>
              <w:t>-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922"/>
              <w:spacing w:before="74" w:line="201" w:lineRule="auto"/>
              <w:rPr/>
            </w:pPr>
            <w:r>
              <w:rPr>
                <w:spacing w:val="4"/>
              </w:rPr>
              <w:t>Carbonic acid hydrogen rad</w:t>
            </w:r>
            <w:r>
              <w:rPr>
                <w:spacing w:val="3"/>
              </w:rPr>
              <w:t>ical</w:t>
            </w:r>
          </w:p>
        </w:tc>
        <w:tc>
          <w:tcPr>
            <w:tcW w:w="3116" w:type="dxa"/>
            <w:vAlign w:val="top"/>
          </w:tcPr>
          <w:p>
            <w:pPr>
              <w:ind w:left="1152"/>
              <w:spacing w:before="4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碳酸氢根</w:t>
            </w:r>
          </w:p>
        </w:tc>
      </w:tr>
      <w:tr>
        <w:trPr>
          <w:trHeight w:val="31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78" w:line="195" w:lineRule="auto"/>
              <w:rPr/>
            </w:pPr>
            <w:r>
              <w:rPr>
                <w:spacing w:val="6"/>
              </w:rPr>
              <w:t>AMY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618"/>
              <w:spacing w:before="74" w:line="201" w:lineRule="auto"/>
              <w:rPr/>
            </w:pPr>
            <w:r>
              <w:rPr>
                <w:spacing w:val="3"/>
              </w:rPr>
              <w:t>serum amylase</w:t>
            </w:r>
          </w:p>
        </w:tc>
        <w:tc>
          <w:tcPr>
            <w:tcW w:w="3116" w:type="dxa"/>
            <w:vAlign w:val="top"/>
          </w:tcPr>
          <w:p>
            <w:pPr>
              <w:ind w:left="1048"/>
              <w:spacing w:before="4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血清淀粉酶</w:t>
            </w:r>
          </w:p>
        </w:tc>
      </w:tr>
      <w:tr>
        <w:trPr>
          <w:trHeight w:val="2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9"/>
              <w:spacing w:before="76" w:line="195" w:lineRule="auto"/>
              <w:rPr/>
            </w:pPr>
            <w:r>
              <w:rPr>
                <w:spacing w:val="5"/>
              </w:rPr>
              <w:t>WBC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559"/>
              <w:spacing w:before="73" w:line="199" w:lineRule="auto"/>
              <w:rPr/>
            </w:pPr>
            <w:r>
              <w:rPr>
                <w:spacing w:val="3"/>
              </w:rPr>
              <w:t>white blood cell</w:t>
            </w:r>
          </w:p>
        </w:tc>
        <w:tc>
          <w:tcPr>
            <w:tcW w:w="3116" w:type="dxa"/>
            <w:vAlign w:val="top"/>
          </w:tcPr>
          <w:p>
            <w:pPr>
              <w:ind w:left="1286"/>
              <w:spacing w:before="4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白细胞</w:t>
            </w:r>
          </w:p>
        </w:tc>
      </w:tr>
      <w:tr>
        <w:trPr>
          <w:trHeight w:val="325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4"/>
              <w:spacing w:before="92" w:line="192" w:lineRule="auto"/>
              <w:rPr/>
            </w:pPr>
            <w:r>
              <w:rPr>
                <w:spacing w:val="6"/>
              </w:rPr>
              <w:t>NEUT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233"/>
              <w:spacing w:before="86" w:line="201" w:lineRule="auto"/>
              <w:rPr/>
            </w:pPr>
            <w:r>
              <w:rPr>
                <w:color w:val="333333"/>
                <w:spacing w:val="4"/>
              </w:rPr>
              <w:t>neutrophilicgranulocy</w:t>
            </w:r>
            <w:r>
              <w:rPr>
                <w:color w:val="333333"/>
                <w:spacing w:val="3"/>
              </w:rPr>
              <w:t>te</w:t>
            </w:r>
          </w:p>
        </w:tc>
        <w:tc>
          <w:tcPr>
            <w:tcW w:w="3116" w:type="dxa"/>
            <w:vAlign w:val="top"/>
          </w:tcPr>
          <w:p>
            <w:pPr>
              <w:ind w:left="1066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中性粒细胞</w:t>
            </w:r>
          </w:p>
        </w:tc>
      </w:tr>
      <w:tr>
        <w:trPr>
          <w:trHeight w:val="2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76" w:line="195" w:lineRule="auto"/>
              <w:rPr/>
            </w:pPr>
            <w:r>
              <w:rPr>
                <w:spacing w:val="4"/>
              </w:rPr>
              <w:t>RBC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626"/>
              <w:spacing w:before="73" w:line="199" w:lineRule="auto"/>
              <w:rPr/>
            </w:pPr>
            <w:r>
              <w:rPr>
                <w:spacing w:val="3"/>
              </w:rPr>
              <w:t>Red blood cell</w:t>
            </w:r>
          </w:p>
        </w:tc>
        <w:tc>
          <w:tcPr>
            <w:tcW w:w="3116" w:type="dxa"/>
            <w:vAlign w:val="top"/>
          </w:tcPr>
          <w:p>
            <w:pPr>
              <w:ind w:left="1260"/>
              <w:spacing w:before="4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红细胞</w:t>
            </w:r>
          </w:p>
        </w:tc>
      </w:tr>
      <w:tr>
        <w:trPr>
          <w:trHeight w:val="32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92" w:line="192" w:lineRule="auto"/>
              <w:rPr/>
            </w:pPr>
            <w:r>
              <w:rPr>
                <w:spacing w:val="4"/>
              </w:rPr>
              <w:t>RB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734"/>
              <w:spacing w:before="86" w:line="201" w:lineRule="auto"/>
              <w:rPr/>
            </w:pPr>
            <w:r>
              <w:rPr>
                <w:spacing w:val="4"/>
              </w:rPr>
              <w:t>hemoglobin</w:t>
            </w:r>
          </w:p>
        </w:tc>
        <w:tc>
          <w:tcPr>
            <w:tcW w:w="3116" w:type="dxa"/>
            <w:vAlign w:val="top"/>
          </w:tcPr>
          <w:p>
            <w:pPr>
              <w:ind w:left="1154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血红蛋白</w:t>
            </w:r>
          </w:p>
        </w:tc>
      </w:tr>
      <w:tr>
        <w:trPr>
          <w:trHeight w:val="30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78" w:line="195" w:lineRule="auto"/>
              <w:rPr/>
            </w:pPr>
            <w:r>
              <w:rPr>
                <w:spacing w:val="4"/>
              </w:rPr>
              <w:t>HCT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787"/>
              <w:spacing w:before="75" w:line="199" w:lineRule="auto"/>
              <w:rPr/>
            </w:pPr>
            <w:r>
              <w:rPr>
                <w:spacing w:val="3"/>
              </w:rPr>
              <w:t>hematocrit</w:t>
            </w:r>
          </w:p>
        </w:tc>
        <w:tc>
          <w:tcPr>
            <w:tcW w:w="3116" w:type="dxa"/>
            <w:vAlign w:val="top"/>
          </w:tcPr>
          <w:p>
            <w:pPr>
              <w:ind w:left="1052"/>
              <w:spacing w:before="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红细胞比容</w:t>
            </w:r>
          </w:p>
        </w:tc>
      </w:tr>
      <w:tr>
        <w:trPr>
          <w:trHeight w:val="308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87" w:line="195" w:lineRule="auto"/>
              <w:rPr/>
            </w:pPr>
            <w:r>
              <w:rPr>
                <w:spacing w:val="1"/>
              </w:rPr>
              <w:t>Cr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826"/>
              <w:spacing w:before="84" w:line="199" w:lineRule="auto"/>
              <w:rPr/>
            </w:pPr>
            <w:r>
              <w:rPr>
                <w:spacing w:val="3"/>
              </w:rPr>
              <w:t>creatinine</w:t>
            </w:r>
          </w:p>
        </w:tc>
        <w:tc>
          <w:tcPr>
            <w:tcW w:w="3116" w:type="dxa"/>
            <w:vAlign w:val="top"/>
          </w:tcPr>
          <w:p>
            <w:pPr>
              <w:ind w:left="1359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肌酐</w:t>
            </w:r>
          </w:p>
        </w:tc>
      </w:tr>
      <w:tr>
        <w:trPr>
          <w:trHeight w:val="325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94" w:line="192" w:lineRule="auto"/>
              <w:rPr/>
            </w:pPr>
            <w:r>
              <w:rPr>
                <w:spacing w:val="3"/>
              </w:rPr>
              <w:t>PH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329"/>
              <w:spacing w:before="88" w:line="201" w:lineRule="auto"/>
              <w:rPr/>
            </w:pPr>
            <w:r>
              <w:rPr>
                <w:spacing w:val="5"/>
              </w:rPr>
              <w:t>potential of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hydrogen</w:t>
            </w:r>
          </w:p>
        </w:tc>
        <w:tc>
          <w:tcPr>
            <w:tcW w:w="3116" w:type="dxa"/>
            <w:vAlign w:val="top"/>
          </w:tcPr>
          <w:p>
            <w:pPr>
              <w:ind w:left="1256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酸碱度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79" w:line="209" w:lineRule="auto"/>
              <w:rPr/>
            </w:pPr>
            <w:r>
              <w:rPr/>
              <w:t>CO</w:t>
            </w:r>
            <w:r>
              <w:rPr>
                <w:sz w:val="13"/>
                <w:szCs w:val="13"/>
                <w:spacing w:val="11"/>
              </w:rPr>
              <w:t>2</w:t>
            </w:r>
            <w:r>
              <w:rPr>
                <w:spacing w:val="11"/>
              </w:rPr>
              <w:t>-</w:t>
            </w:r>
            <w:r>
              <w:rPr/>
              <w:t>CP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878"/>
              <w:spacing w:before="75" w:line="201" w:lineRule="auto"/>
              <w:rPr/>
            </w:pPr>
            <w:r>
              <w:rPr>
                <w:spacing w:val="4"/>
              </w:rPr>
              <w:t>carbondioxide combining power</w:t>
            </w:r>
          </w:p>
        </w:tc>
        <w:tc>
          <w:tcPr>
            <w:tcW w:w="3116" w:type="dxa"/>
            <w:vAlign w:val="top"/>
          </w:tcPr>
          <w:p>
            <w:pPr>
              <w:ind w:left="839"/>
              <w:spacing w:before="4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二氧化碳结合力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75" w:line="199" w:lineRule="auto"/>
              <w:rPr/>
            </w:pPr>
            <w:r>
              <w:rPr>
                <w:spacing w:val="1"/>
              </w:rPr>
              <w:t>Glu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922"/>
              <w:spacing w:before="75" w:line="201" w:lineRule="auto"/>
              <w:rPr/>
            </w:pPr>
            <w:r>
              <w:rPr>
                <w:spacing w:val="3"/>
              </w:rPr>
              <w:t>glucose</w:t>
            </w:r>
          </w:p>
        </w:tc>
        <w:tc>
          <w:tcPr>
            <w:tcW w:w="3116" w:type="dxa"/>
            <w:vAlign w:val="top"/>
          </w:tcPr>
          <w:p>
            <w:pPr>
              <w:ind w:left="1363"/>
              <w:spacing w:before="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血糖</w:t>
            </w:r>
          </w:p>
        </w:tc>
      </w:tr>
      <w:tr>
        <w:trPr>
          <w:trHeight w:val="2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1"/>
              <w:spacing w:before="81" w:line="192" w:lineRule="auto"/>
              <w:rPr/>
            </w:pPr>
            <w:r>
              <w:rPr>
                <w:spacing w:val="3"/>
              </w:rPr>
              <w:t>Lac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775"/>
              <w:spacing w:before="75" w:line="199" w:lineRule="auto"/>
              <w:rPr/>
            </w:pPr>
            <w:r>
              <w:rPr>
                <w:spacing w:val="2"/>
              </w:rPr>
              <w:t>Lactic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acid</w:t>
            </w:r>
          </w:p>
        </w:tc>
        <w:tc>
          <w:tcPr>
            <w:tcW w:w="3116" w:type="dxa"/>
            <w:vAlign w:val="top"/>
          </w:tcPr>
          <w:p>
            <w:pPr>
              <w:ind w:left="1363"/>
              <w:spacing w:before="4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乳酸</w:t>
            </w:r>
          </w:p>
        </w:tc>
      </w:tr>
      <w:tr>
        <w:trPr>
          <w:trHeight w:val="31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4"/>
              <w:spacing w:before="83" w:line="204" w:lineRule="auto"/>
              <w:rPr>
                <w:sz w:val="13"/>
                <w:szCs w:val="13"/>
              </w:rPr>
            </w:pPr>
            <w:r>
              <w:rPr>
                <w:position w:val="-1"/>
              </w:rPr>
              <w:t>Na</w:t>
            </w:r>
            <w:r>
              <w:rPr>
                <w:sz w:val="13"/>
                <w:szCs w:val="13"/>
                <w:spacing w:val="17"/>
                <w:position w:val="5"/>
              </w:rPr>
              <w:t>+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882"/>
              <w:spacing w:before="88" w:line="199" w:lineRule="auto"/>
              <w:rPr/>
            </w:pPr>
            <w:r>
              <w:rPr>
                <w:spacing w:val="4"/>
              </w:rPr>
              <w:t>Natrium</w:t>
            </w:r>
          </w:p>
        </w:tc>
        <w:tc>
          <w:tcPr>
            <w:tcW w:w="3116" w:type="dxa"/>
            <w:vAlign w:val="top"/>
          </w:tcPr>
          <w:p>
            <w:pPr>
              <w:ind w:left="1466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钠</w:t>
            </w:r>
          </w:p>
        </w:tc>
      </w:tr>
      <w:tr>
        <w:trPr>
          <w:trHeight w:val="31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82" w:line="204" w:lineRule="auto"/>
              <w:rPr>
                <w:sz w:val="13"/>
                <w:szCs w:val="13"/>
              </w:rPr>
            </w:pPr>
            <w:r>
              <w:rPr>
                <w:spacing w:val="3"/>
                <w:position w:val="-1"/>
              </w:rPr>
              <w:t>K</w:t>
            </w:r>
            <w:r>
              <w:rPr>
                <w:sz w:val="13"/>
                <w:szCs w:val="13"/>
                <w:spacing w:val="3"/>
                <w:position w:val="5"/>
              </w:rPr>
              <w:t>+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946"/>
              <w:spacing w:before="87" w:line="199" w:lineRule="auto"/>
              <w:rPr/>
            </w:pPr>
            <w:r>
              <w:rPr>
                <w:spacing w:val="3"/>
              </w:rPr>
              <w:t>kalium</w:t>
            </w:r>
          </w:p>
        </w:tc>
        <w:tc>
          <w:tcPr>
            <w:tcW w:w="3116" w:type="dxa"/>
            <w:vAlign w:val="top"/>
          </w:tcPr>
          <w:p>
            <w:pPr>
              <w:ind w:left="146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钾</w:t>
            </w:r>
          </w:p>
        </w:tc>
      </w:tr>
      <w:tr>
        <w:trPr>
          <w:trHeight w:val="310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81" w:line="204" w:lineRule="auto"/>
              <w:rPr>
                <w:sz w:val="13"/>
                <w:szCs w:val="13"/>
              </w:rPr>
            </w:pPr>
            <w:r>
              <w:rPr>
                <w:position w:val="-1"/>
              </w:rPr>
              <w:t>Ca</w:t>
            </w:r>
            <w:r>
              <w:rPr>
                <w:sz w:val="13"/>
                <w:szCs w:val="13"/>
                <w:spacing w:val="6"/>
                <w:position w:val="5"/>
              </w:rPr>
              <w:t>+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910"/>
              <w:spacing w:before="86" w:line="199" w:lineRule="auto"/>
              <w:rPr/>
            </w:pPr>
            <w:r>
              <w:rPr>
                <w:spacing w:val="3"/>
              </w:rPr>
              <w:t>calcium</w:t>
            </w:r>
          </w:p>
        </w:tc>
        <w:tc>
          <w:tcPr>
            <w:tcW w:w="3116" w:type="dxa"/>
            <w:vAlign w:val="top"/>
          </w:tcPr>
          <w:p>
            <w:pPr>
              <w:ind w:left="1466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钙</w:t>
            </w:r>
          </w:p>
        </w:tc>
      </w:tr>
      <w:tr>
        <w:trPr>
          <w:trHeight w:val="325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88" w:line="199" w:lineRule="auto"/>
              <w:rPr/>
            </w:pPr>
            <w:r>
              <w:rPr/>
              <w:t>HbA</w:t>
            </w:r>
            <w:r>
              <w:rPr>
                <w:spacing w:val="12"/>
              </w:rPr>
              <w:t>1c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182"/>
              <w:spacing w:before="88" w:line="201" w:lineRule="auto"/>
              <w:rPr/>
            </w:pPr>
            <w:r>
              <w:rPr>
                <w:spacing w:val="4"/>
              </w:rPr>
              <w:t>glycosylated hemoglobin</w:t>
            </w:r>
          </w:p>
        </w:tc>
        <w:tc>
          <w:tcPr>
            <w:tcW w:w="3116" w:type="dxa"/>
            <w:vAlign w:val="top"/>
          </w:tcPr>
          <w:p>
            <w:pPr>
              <w:ind w:left="941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糖化血红蛋白</w:t>
            </w:r>
          </w:p>
        </w:tc>
      </w:tr>
      <w:tr>
        <w:trPr>
          <w:trHeight w:val="2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3"/>
              <w:spacing w:before="78" w:line="195" w:lineRule="auto"/>
              <w:rPr/>
            </w:pPr>
            <w:r>
              <w:rPr>
                <w:spacing w:val="2"/>
              </w:rPr>
              <w:t>TC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565"/>
              <w:spacing w:before="75" w:line="199" w:lineRule="auto"/>
              <w:rPr/>
            </w:pPr>
            <w:r>
              <w:rPr>
                <w:spacing w:val="3"/>
              </w:rPr>
              <w:t>total cholesterol</w:t>
            </w:r>
          </w:p>
        </w:tc>
        <w:tc>
          <w:tcPr>
            <w:tcW w:w="3116" w:type="dxa"/>
            <w:vAlign w:val="top"/>
          </w:tcPr>
          <w:p>
            <w:pPr>
              <w:ind w:left="1158"/>
              <w:spacing w:before="4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总胆固醇</w:t>
            </w:r>
          </w:p>
        </w:tc>
      </w:tr>
      <w:tr>
        <w:trPr>
          <w:trHeight w:val="324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3"/>
              <w:spacing w:before="91" w:line="195" w:lineRule="auto"/>
              <w:rPr/>
            </w:pPr>
            <w:r>
              <w:rPr>
                <w:spacing w:val="2"/>
              </w:rPr>
              <w:t>TG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725"/>
              <w:spacing w:before="88" w:line="201" w:lineRule="auto"/>
              <w:rPr/>
            </w:pPr>
            <w:r>
              <w:rPr>
                <w:color w:val="0C0C0C"/>
                <w:spacing w:val="2"/>
              </w:rPr>
              <w:t>Triglyceride</w:t>
            </w:r>
          </w:p>
        </w:tc>
        <w:tc>
          <w:tcPr>
            <w:tcW w:w="3116" w:type="dxa"/>
            <w:vAlign w:val="top"/>
          </w:tcPr>
          <w:p>
            <w:pPr>
              <w:ind w:left="1151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甘油三酯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82" w:line="192" w:lineRule="auto"/>
              <w:rPr/>
            </w:pPr>
            <w:r>
              <w:rPr>
                <w:spacing w:val="5"/>
              </w:rPr>
              <w:t>HDL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233"/>
              <w:spacing w:before="76" w:line="201" w:lineRule="auto"/>
              <w:rPr/>
            </w:pPr>
            <w:r>
              <w:rPr>
                <w:color w:val="333333"/>
                <w:spacing w:val="4"/>
              </w:rPr>
              <w:t>high density lipopro</w:t>
            </w:r>
            <w:r>
              <w:rPr>
                <w:color w:val="333333"/>
                <w:spacing w:val="3"/>
              </w:rPr>
              <w:t>tein</w:t>
            </w:r>
          </w:p>
        </w:tc>
        <w:tc>
          <w:tcPr>
            <w:tcW w:w="3116" w:type="dxa"/>
            <w:vAlign w:val="top"/>
          </w:tcPr>
          <w:p>
            <w:pPr>
              <w:ind w:left="947"/>
              <w:spacing w:before="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高密度脂蛋白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1"/>
              <w:spacing w:before="82" w:line="192" w:lineRule="auto"/>
              <w:rPr/>
            </w:pPr>
            <w:r>
              <w:rPr>
                <w:spacing w:val="4"/>
              </w:rPr>
              <w:t>LDL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266"/>
              <w:spacing w:before="76" w:line="201" w:lineRule="auto"/>
              <w:rPr/>
            </w:pPr>
            <w:r>
              <w:rPr>
                <w:color w:val="333333"/>
                <w:spacing w:val="3"/>
              </w:rPr>
              <w:t>low density lipoprotein</w:t>
            </w:r>
          </w:p>
        </w:tc>
        <w:tc>
          <w:tcPr>
            <w:tcW w:w="3116" w:type="dxa"/>
            <w:vAlign w:val="top"/>
          </w:tcPr>
          <w:p>
            <w:pPr>
              <w:ind w:left="940"/>
              <w:spacing w:before="4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低密度脂蛋白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79" w:line="195" w:lineRule="auto"/>
              <w:rPr/>
            </w:pPr>
            <w:r>
              <w:rPr>
                <w:spacing w:val="2"/>
              </w:rPr>
              <w:t>aCCI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478"/>
              <w:spacing w:before="76" w:line="201" w:lineRule="auto"/>
              <w:rPr/>
            </w:pPr>
            <w:r>
              <w:rPr>
                <w:spacing w:val="4"/>
              </w:rPr>
              <w:t>age-adjusted Charlson Comorbidity Index</w:t>
            </w:r>
          </w:p>
        </w:tc>
        <w:tc>
          <w:tcPr>
            <w:tcW w:w="3116" w:type="dxa"/>
            <w:vAlign w:val="top"/>
          </w:tcPr>
          <w:p>
            <w:pPr>
              <w:ind w:left="155"/>
              <w:spacing w:before="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1"/>
              </w:rPr>
              <w:t>年龄校正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</w:rPr>
              <w:t>Charlson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1"/>
              </w:rPr>
              <w:t>合并症指数</w:t>
            </w:r>
          </w:p>
        </w:tc>
      </w:tr>
      <w:tr>
        <w:trPr>
          <w:trHeight w:val="311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79" w:line="195" w:lineRule="auto"/>
              <w:rPr/>
            </w:pPr>
            <w:r>
              <w:rPr>
                <w:spacing w:val="3"/>
              </w:rPr>
              <w:t>GCS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337"/>
              <w:spacing w:before="76" w:line="201" w:lineRule="auto"/>
              <w:rPr/>
            </w:pPr>
            <w:r>
              <w:rPr>
                <w:spacing w:val="3"/>
              </w:rPr>
              <w:t>Glasgow Coma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Scale</w:t>
            </w:r>
          </w:p>
        </w:tc>
        <w:tc>
          <w:tcPr>
            <w:tcW w:w="3116" w:type="dxa"/>
            <w:vAlign w:val="top"/>
          </w:tcPr>
          <w:p>
            <w:pPr>
              <w:ind w:left="732"/>
              <w:spacing w:before="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8"/>
              </w:rPr>
              <w:t>格拉斯哥昏迷评分</w:t>
            </w:r>
          </w:p>
        </w:tc>
      </w:tr>
      <w:tr>
        <w:trPr>
          <w:trHeight w:val="625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80" w:line="195" w:lineRule="auto"/>
              <w:rPr/>
            </w:pPr>
            <w:r>
              <w:rPr>
                <w:color w:val="0C0C0C"/>
                <w:spacing w:val="3"/>
              </w:rPr>
              <w:t>APACHE II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262"/>
              <w:spacing w:before="77" w:line="201" w:lineRule="auto"/>
              <w:rPr/>
            </w:pPr>
            <w:r>
              <w:rPr>
                <w:color w:val="333333"/>
                <w:spacing w:val="4"/>
              </w:rPr>
              <w:t>acute physiology and chronic health ev</w:t>
            </w:r>
            <w:r>
              <w:rPr>
                <w:color w:val="333333"/>
                <w:spacing w:val="3"/>
              </w:rPr>
              <w:t>aluation</w:t>
            </w:r>
          </w:p>
          <w:p>
            <w:pPr>
              <w:pStyle w:val="TableText"/>
              <w:ind w:left="1525"/>
              <w:spacing w:before="119" w:line="201" w:lineRule="auto"/>
              <w:rPr/>
            </w:pPr>
            <w:r>
              <w:rPr>
                <w:color w:val="333333"/>
              </w:rPr>
              <w:t>scoring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system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22"/>
              </w:rPr>
              <w:t>Ⅱ</w:t>
            </w:r>
          </w:p>
        </w:tc>
        <w:tc>
          <w:tcPr>
            <w:tcW w:w="3116" w:type="dxa"/>
            <w:vAlign w:val="top"/>
          </w:tcPr>
          <w:p>
            <w:pPr>
              <w:ind w:left="292"/>
              <w:spacing w:before="4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急性生理和慢性健康评分</w:t>
            </w:r>
            <w:r>
              <w:rPr>
                <w:rFonts w:ascii="SimSun" w:hAnsi="SimSun" w:eastAsia="SimSun" w:cs="SimSun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II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1"/>
              <w:spacing w:before="79" w:line="195" w:lineRule="auto"/>
              <w:rPr/>
            </w:pPr>
            <w:r>
              <w:rPr>
                <w:color w:val="0C0C0C"/>
                <w:spacing w:val="4"/>
              </w:rPr>
              <w:t>LODS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830"/>
              <w:spacing w:before="76" w:line="201" w:lineRule="auto"/>
              <w:rPr/>
            </w:pPr>
            <w:r>
              <w:rPr>
                <w:color w:val="333333"/>
                <w:spacing w:val="3"/>
              </w:rPr>
              <w:t>logistic organ dysfunction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3"/>
              </w:rPr>
              <w:t>system</w:t>
            </w:r>
          </w:p>
        </w:tc>
        <w:tc>
          <w:tcPr>
            <w:tcW w:w="3116" w:type="dxa"/>
            <w:vAlign w:val="top"/>
          </w:tcPr>
          <w:p>
            <w:pPr>
              <w:ind w:left="520"/>
              <w:spacing w:before="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9"/>
              </w:rPr>
              <w:t>逻辑器官功能障碍系统</w:t>
            </w:r>
          </w:p>
        </w:tc>
      </w:tr>
      <w:tr>
        <w:trPr>
          <w:trHeight w:val="311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20"/>
              <w:spacing w:before="79" w:line="195" w:lineRule="auto"/>
              <w:rPr/>
            </w:pPr>
            <w:r>
              <w:rPr>
                <w:color w:val="0C0C0C"/>
              </w:rPr>
              <w:t>SOFA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692"/>
              <w:spacing w:before="76" w:line="201" w:lineRule="auto"/>
              <w:rPr/>
            </w:pPr>
            <w:r>
              <w:rPr>
                <w:color w:val="333333"/>
                <w:spacing w:val="3"/>
              </w:rPr>
              <w:t>sequential Organ Failure Assessment</w:t>
            </w:r>
          </w:p>
        </w:tc>
        <w:tc>
          <w:tcPr>
            <w:tcW w:w="3116" w:type="dxa"/>
            <w:vAlign w:val="top"/>
          </w:tcPr>
          <w:p>
            <w:pPr>
              <w:ind w:left="731"/>
              <w:spacing w:before="4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8"/>
              </w:rPr>
              <w:t>序贯器官衰竭评估</w:t>
            </w:r>
          </w:p>
        </w:tc>
      </w:tr>
      <w:tr>
        <w:trPr>
          <w:trHeight w:val="312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83" w:line="192" w:lineRule="auto"/>
              <w:rPr/>
            </w:pPr>
            <w:r>
              <w:rPr>
                <w:spacing w:val="4"/>
              </w:rPr>
              <w:t>BMI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529"/>
              <w:spacing w:before="77" w:line="201" w:lineRule="auto"/>
              <w:rPr/>
            </w:pPr>
            <w:r>
              <w:rPr>
                <w:spacing w:val="4"/>
              </w:rPr>
              <w:t>body mass index</w:t>
            </w:r>
          </w:p>
        </w:tc>
        <w:tc>
          <w:tcPr>
            <w:tcW w:w="3116" w:type="dxa"/>
            <w:vAlign w:val="top"/>
          </w:tcPr>
          <w:p>
            <w:pPr>
              <w:ind w:left="947"/>
              <w:spacing w:before="4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身体质量指数</w:t>
            </w:r>
          </w:p>
        </w:tc>
      </w:tr>
      <w:tr>
        <w:trPr>
          <w:trHeight w:val="2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81" w:line="195" w:lineRule="auto"/>
              <w:rPr/>
            </w:pPr>
            <w:r>
              <w:rPr>
                <w:spacing w:val="5"/>
              </w:rPr>
              <w:t>AUC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388"/>
              <w:spacing w:before="77" w:line="199" w:lineRule="auto"/>
              <w:rPr/>
            </w:pPr>
            <w:r>
              <w:rPr>
                <w:spacing w:val="3"/>
              </w:rPr>
              <w:t>area under the curve</w:t>
            </w:r>
          </w:p>
        </w:tc>
        <w:tc>
          <w:tcPr>
            <w:tcW w:w="3116" w:type="dxa"/>
            <w:vAlign w:val="top"/>
          </w:tcPr>
          <w:p>
            <w:pPr>
              <w:ind w:left="1071"/>
              <w:spacing w:before="45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曲线下面积</w:t>
            </w:r>
          </w:p>
        </w:tc>
      </w:tr>
      <w:tr>
        <w:trPr>
          <w:trHeight w:val="324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94" w:line="195" w:lineRule="auto"/>
              <w:rPr/>
            </w:pPr>
            <w:r>
              <w:rPr>
                <w:spacing w:val="1"/>
              </w:rPr>
              <w:t>FFA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659"/>
              <w:spacing w:before="90" w:line="201" w:lineRule="auto"/>
              <w:rPr/>
            </w:pPr>
            <w:r>
              <w:rPr>
                <w:spacing w:val="1"/>
              </w:rPr>
              <w:t>free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fatty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acid</w:t>
            </w:r>
          </w:p>
        </w:tc>
        <w:tc>
          <w:tcPr>
            <w:tcW w:w="3116" w:type="dxa"/>
            <w:vAlign w:val="top"/>
          </w:tcPr>
          <w:p>
            <w:pPr>
              <w:ind w:left="1047"/>
              <w:spacing w:before="5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游离脂肪酸</w:t>
            </w:r>
          </w:p>
        </w:tc>
      </w:tr>
      <w:tr>
        <w:trPr>
          <w:trHeight w:val="31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84" w:line="192" w:lineRule="auto"/>
              <w:rPr/>
            </w:pPr>
            <w:r>
              <w:rPr>
                <w:spacing w:val="5"/>
              </w:rPr>
              <w:t>VLDL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048"/>
              <w:spacing w:before="78" w:line="201" w:lineRule="auto"/>
              <w:rPr/>
            </w:pPr>
            <w:r>
              <w:rPr>
                <w:color w:val="333333"/>
                <w:spacing w:val="4"/>
              </w:rPr>
              <w:t>very low density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4"/>
              </w:rPr>
              <w:t>lipo</w:t>
            </w:r>
            <w:r>
              <w:rPr>
                <w:color w:val="333333"/>
                <w:spacing w:val="3"/>
              </w:rPr>
              <w:t>protein</w:t>
            </w:r>
          </w:p>
        </w:tc>
        <w:tc>
          <w:tcPr>
            <w:tcW w:w="3116" w:type="dxa"/>
            <w:vAlign w:val="top"/>
          </w:tcPr>
          <w:p>
            <w:pPr>
              <w:ind w:left="838"/>
              <w:spacing w:before="4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极低密度脂蛋白</w:t>
            </w:r>
          </w:p>
        </w:tc>
      </w:tr>
      <w:tr>
        <w:trPr>
          <w:trHeight w:val="311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1"/>
              <w:spacing w:before="83" w:line="192" w:lineRule="auto"/>
              <w:rPr/>
            </w:pPr>
            <w:r>
              <w:rPr>
                <w:spacing w:val="4"/>
              </w:rPr>
              <w:t>LPL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550"/>
              <w:spacing w:before="76" w:line="201" w:lineRule="auto"/>
              <w:rPr/>
            </w:pPr>
            <w:r>
              <w:rPr>
                <w:spacing w:val="3"/>
              </w:rPr>
              <w:t>Lipoprteinlipase</w:t>
            </w:r>
          </w:p>
        </w:tc>
        <w:tc>
          <w:tcPr>
            <w:tcW w:w="3116" w:type="dxa"/>
            <w:vAlign w:val="top"/>
          </w:tcPr>
          <w:p>
            <w:pPr>
              <w:ind w:left="943"/>
              <w:spacing w:before="4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脂蛋白脂肪酶</w:t>
            </w:r>
          </w:p>
        </w:tc>
      </w:tr>
      <w:tr>
        <w:trPr>
          <w:trHeight w:val="313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81" w:line="195" w:lineRule="auto"/>
              <w:rPr/>
            </w:pPr>
            <w:r>
              <w:rPr>
                <w:spacing w:val="3"/>
              </w:rPr>
              <w:t>CM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688"/>
              <w:spacing w:before="78" w:line="201" w:lineRule="auto"/>
              <w:rPr/>
            </w:pPr>
            <w:r>
              <w:rPr>
                <w:spacing w:val="4"/>
              </w:rPr>
              <w:t>Chylomicron</w:t>
            </w:r>
          </w:p>
        </w:tc>
        <w:tc>
          <w:tcPr>
            <w:tcW w:w="3116" w:type="dxa"/>
            <w:vAlign w:val="top"/>
          </w:tcPr>
          <w:p>
            <w:pPr>
              <w:ind w:left="1154"/>
              <w:spacing w:before="4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乳糜微粒</w:t>
            </w:r>
          </w:p>
        </w:tc>
      </w:tr>
      <w:tr>
        <w:trPr>
          <w:trHeight w:val="311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0"/>
              <w:spacing w:before="83" w:line="192" w:lineRule="auto"/>
              <w:rPr/>
            </w:pPr>
            <w:r>
              <w:rPr>
                <w:spacing w:val="1"/>
              </w:rPr>
              <w:t>PLT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924"/>
              <w:spacing w:before="76" w:line="201" w:lineRule="auto"/>
              <w:rPr/>
            </w:pPr>
            <w:r>
              <w:rPr>
                <w:color w:val="0C0C0C"/>
                <w:spacing w:val="3"/>
              </w:rPr>
              <w:t>platelet</w:t>
            </w:r>
          </w:p>
        </w:tc>
        <w:tc>
          <w:tcPr>
            <w:tcW w:w="3116" w:type="dxa"/>
            <w:vAlign w:val="top"/>
          </w:tcPr>
          <w:p>
            <w:pPr>
              <w:ind w:left="1257"/>
              <w:spacing w:before="4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血小板</w:t>
            </w:r>
          </w:p>
        </w:tc>
      </w:tr>
      <w:tr>
        <w:trPr>
          <w:trHeight w:val="2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2"/>
              <w:spacing w:before="82" w:line="195" w:lineRule="auto"/>
              <w:rPr/>
            </w:pPr>
            <w:r>
              <w:rPr>
                <w:spacing w:val="3"/>
              </w:rPr>
              <w:t>ICU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473"/>
              <w:spacing w:before="78" w:line="199" w:lineRule="auto"/>
              <w:rPr/>
            </w:pPr>
            <w:r>
              <w:rPr>
                <w:spacing w:val="3"/>
              </w:rPr>
              <w:t>intensive care unit</w:t>
            </w:r>
          </w:p>
        </w:tc>
        <w:tc>
          <w:tcPr>
            <w:tcW w:w="3116" w:type="dxa"/>
            <w:vAlign w:val="top"/>
          </w:tcPr>
          <w:p>
            <w:pPr>
              <w:ind w:left="942"/>
              <w:spacing w:before="46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重症监护病房</w:t>
            </w:r>
          </w:p>
        </w:tc>
      </w:tr>
      <w:tr>
        <w:trPr>
          <w:trHeight w:val="324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14"/>
              <w:spacing w:before="94" w:line="195" w:lineRule="auto"/>
              <w:rPr/>
            </w:pPr>
            <w:r>
              <w:rPr>
                <w:spacing w:val="2"/>
              </w:rPr>
              <w:t>CRRT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665"/>
              <w:spacing w:before="91" w:line="201" w:lineRule="auto"/>
              <w:rPr/>
            </w:pPr>
            <w:r>
              <w:rPr>
                <w:spacing w:val="4"/>
              </w:rPr>
              <w:t>continuous renal replacement thera</w:t>
            </w:r>
            <w:r>
              <w:rPr>
                <w:spacing w:val="3"/>
              </w:rPr>
              <w:t>py</w:t>
            </w:r>
          </w:p>
        </w:tc>
        <w:tc>
          <w:tcPr>
            <w:tcW w:w="3116" w:type="dxa"/>
            <w:vAlign w:val="top"/>
          </w:tcPr>
          <w:p>
            <w:pPr>
              <w:ind w:left="733"/>
              <w:spacing w:before="5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连续肾脏替代治疗</w:t>
            </w:r>
          </w:p>
        </w:tc>
      </w:tr>
      <w:tr>
        <w:trPr>
          <w:trHeight w:val="300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83" w:line="195" w:lineRule="auto"/>
              <w:rPr/>
            </w:pPr>
            <w:r>
              <w:rPr>
                <w:spacing w:val="3"/>
              </w:rPr>
              <w:t>ALT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161"/>
              <w:spacing w:before="79" w:line="199" w:lineRule="auto"/>
              <w:rPr/>
            </w:pPr>
            <w:r>
              <w:rPr>
                <w:spacing w:val="4"/>
              </w:rPr>
              <w:t>Alanine aminotransferase</w:t>
            </w:r>
          </w:p>
        </w:tc>
        <w:tc>
          <w:tcPr>
            <w:tcW w:w="3116" w:type="dxa"/>
            <w:vAlign w:val="top"/>
          </w:tcPr>
          <w:p>
            <w:pPr>
              <w:ind w:left="736"/>
              <w:spacing w:before="4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丙氨酸氨基转移酶</w:t>
            </w:r>
          </w:p>
        </w:tc>
      </w:tr>
      <w:tr>
        <w:trPr>
          <w:trHeight w:val="324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108"/>
              <w:spacing w:before="94" w:line="195" w:lineRule="auto"/>
              <w:rPr/>
            </w:pPr>
            <w:r>
              <w:rPr>
                <w:spacing w:val="4"/>
              </w:rPr>
              <w:t>AST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1091"/>
              <w:spacing w:before="90" w:line="201" w:lineRule="auto"/>
              <w:rPr/>
            </w:pPr>
            <w:r>
              <w:rPr>
                <w:color w:val="333333"/>
                <w:spacing w:val="4"/>
              </w:rPr>
              <w:t>Aspartate aminotransferase</w:t>
            </w:r>
          </w:p>
        </w:tc>
        <w:tc>
          <w:tcPr>
            <w:tcW w:w="3116" w:type="dxa"/>
            <w:vAlign w:val="top"/>
          </w:tcPr>
          <w:p>
            <w:pPr>
              <w:ind w:left="859"/>
              <w:spacing w:before="5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门冬氨酸转氨酶</w:t>
            </w:r>
          </w:p>
        </w:tc>
      </w:tr>
      <w:tr>
        <w:trPr>
          <w:trHeight w:val="311" w:hRule="atLeast"/>
        </w:trPr>
        <w:tc>
          <w:tcPr>
            <w:tcW w:w="13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3"/>
              <w:spacing w:before="85" w:line="192" w:lineRule="auto"/>
              <w:rPr/>
            </w:pPr>
            <w:r>
              <w:rPr>
                <w:spacing w:val="3"/>
              </w:rPr>
              <w:t>TBIL</w:t>
            </w:r>
          </w:p>
        </w:tc>
        <w:tc>
          <w:tcPr>
            <w:tcW w:w="43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63"/>
              <w:spacing w:before="79" w:line="199" w:lineRule="auto"/>
              <w:rPr/>
            </w:pPr>
            <w:r>
              <w:rPr>
                <w:color w:val="333333"/>
                <w:spacing w:val="3"/>
              </w:rPr>
              <w:t>total bilirubin</w:t>
            </w:r>
          </w:p>
        </w:tc>
        <w:tc>
          <w:tcPr>
            <w:tcW w:w="3116" w:type="dxa"/>
            <w:vAlign w:val="top"/>
            <w:tcBorders>
              <w:bottom w:val="single" w:color="000000" w:sz="2" w:space="0"/>
            </w:tcBorders>
          </w:tcPr>
          <w:p>
            <w:pPr>
              <w:ind w:left="1158"/>
              <w:spacing w:before="4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总胆红素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491"/>
        <w:spacing w:before="55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5</w:t>
      </w:r>
    </w:p>
    <w:p>
      <w:pPr>
        <w:spacing w:line="179" w:lineRule="auto"/>
        <w:sectPr>
          <w:headerReference w:type="default" r:id="rId17"/>
          <w:footerReference w:type="default" r:id="rId18"/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5228"/>
        <w:spacing w:before="217" w:line="228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28" w:id="6"/>
      <w:bookmarkEnd w:id="6"/>
      <w:bookmarkStart w:name="bookmark9" w:id="7"/>
      <w:bookmarkEnd w:id="7"/>
      <w:r>
        <w:rPr>
          <w:rFonts w:ascii="SimHei" w:hAnsi="SimHei" w:eastAsia="SimHei" w:cs="SimHei"/>
          <w:sz w:val="31"/>
          <w:szCs w:val="31"/>
          <w:spacing w:val="-1"/>
        </w:rPr>
        <w:t>前言</w:t>
      </w:r>
    </w:p>
    <w:p>
      <w:pPr>
        <w:ind w:left="1000" w:right="80" w:firstLine="480"/>
        <w:spacing w:before="198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糖尿病酮症酸中毒（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diabetic ketoacidosis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）是一种发病率高的糖尿病急性并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发症，其年发病率约为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4.6/1000-8/1000，且每年呈上升趋势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[1-2]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。1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型糖尿病和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2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型糖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尿病患者均有可能罹患本病；根据相关统计资料显示，1</w:t>
      </w:r>
      <w:r>
        <w:rPr>
          <w:rFonts w:ascii="SimSun" w:hAnsi="SimSun" w:eastAsia="SimSun" w:cs="SimSun"/>
          <w:sz w:val="24"/>
          <w:szCs w:val="24"/>
          <w:color w:val="0C0C0C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型糖尿病患者发生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的风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险更大；2</w:t>
      </w:r>
      <w:r>
        <w:rPr>
          <w:rFonts w:ascii="SimSun" w:hAnsi="SimSun" w:eastAsia="SimSun" w:cs="SimSun"/>
          <w:sz w:val="24"/>
          <w:szCs w:val="24"/>
          <w:color w:val="0C0C0C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型糖尿病患者可因感染、饮食习惯不良、治疗不当、重大创伤等应激因素诱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发该疾病。发生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时经积极补液、降糖、抗感染、维持内环境稳定等综合治疗，其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总体死亡率低且愈后良好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[2]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。急性胰腺炎（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acute pancreatit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）是一类较为常见的，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具有一定身体危害性的以胰腺局部炎症为特点的疾病，</w:t>
      </w:r>
      <w:r>
        <w:rPr>
          <w:rFonts w:ascii="SimSun" w:hAnsi="SimSun" w:eastAsia="SimSun" w:cs="SimSun"/>
          <w:sz w:val="24"/>
          <w:szCs w:val="24"/>
          <w:spacing w:val="-2"/>
        </w:rPr>
        <w:t>胆系结石和酗酒是其最常见的诱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因，高脂血症型胰腺炎（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hypertriglyceridemic acute pancreatitis</w:t>
      </w:r>
      <w:r>
        <w:rPr>
          <w:rFonts w:ascii="SimSun" w:hAnsi="SimSun" w:eastAsia="SimSun" w:cs="SimSun"/>
          <w:sz w:val="24"/>
          <w:szCs w:val="24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HTG-AP</w:t>
      </w:r>
      <w:r>
        <w:rPr>
          <w:rFonts w:ascii="SimSun" w:hAnsi="SimSun" w:eastAsia="SimSun" w:cs="SimSun"/>
          <w:sz w:val="24"/>
          <w:szCs w:val="24"/>
          <w:spacing w:val="-2"/>
        </w:rPr>
        <w:t>）发病率日益增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长，已成为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的第三大诱因 </w:t>
      </w:r>
      <w:r>
        <w:rPr>
          <w:rFonts w:ascii="SimSun" w:hAnsi="SimSun" w:eastAsia="SimSun" w:cs="SimSun"/>
          <w:sz w:val="12"/>
          <w:szCs w:val="12"/>
          <w:spacing w:val="-2"/>
          <w:position w:val="11"/>
        </w:rPr>
        <w:t>[3-4]</w:t>
      </w:r>
      <w:r>
        <w:rPr>
          <w:rFonts w:ascii="SimSun" w:hAnsi="SimSun" w:eastAsia="SimSun" w:cs="SimSun"/>
          <w:sz w:val="12"/>
          <w:szCs w:val="12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，根据多项</w:t>
      </w:r>
      <w:r>
        <w:rPr>
          <w:rFonts w:ascii="SimSun" w:hAnsi="SimSun" w:eastAsia="SimSun" w:cs="SimSun"/>
          <w:sz w:val="24"/>
          <w:szCs w:val="24"/>
          <w:spacing w:val="-3"/>
        </w:rPr>
        <w:t>大规模研究显示，糖尿病患者患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的可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能性会增加</w:t>
      </w:r>
      <w:r>
        <w:rPr>
          <w:rFonts w:ascii="SimSun" w:hAnsi="SimSun" w:eastAsia="SimSun" w:cs="SimSun"/>
          <w:sz w:val="24"/>
          <w:szCs w:val="24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  <w:position w:val="11"/>
        </w:rPr>
        <w:t>[5-7]</w:t>
      </w:r>
      <w:r>
        <w:rPr>
          <w:rFonts w:ascii="SimSun" w:hAnsi="SimSun" w:eastAsia="SimSun" w:cs="SimSun"/>
          <w:sz w:val="12"/>
          <w:szCs w:val="12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。当</w:t>
      </w:r>
      <w:r>
        <w:rPr>
          <w:rFonts w:ascii="SimSun" w:hAnsi="SimSun" w:eastAsia="SimSun" w:cs="SimSun"/>
          <w:sz w:val="24"/>
          <w:szCs w:val="24"/>
          <w:spacing w:val="-5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position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患者合并</w:t>
      </w:r>
      <w:r>
        <w:rPr>
          <w:rFonts w:ascii="SimSun" w:hAnsi="SimSun" w:eastAsia="SimSun" w:cs="SimSun"/>
          <w:sz w:val="24"/>
          <w:szCs w:val="24"/>
          <w:spacing w:val="-5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时，其病死率显著上升</w:t>
      </w:r>
      <w:r>
        <w:rPr>
          <w:rFonts w:ascii="SimSun" w:hAnsi="SimSun" w:eastAsia="SimSun" w:cs="SimSun"/>
          <w:sz w:val="12"/>
          <w:szCs w:val="12"/>
          <w:spacing w:val="-3"/>
          <w:position w:val="11"/>
        </w:rPr>
        <w:t>[8</w:t>
      </w:r>
      <w:r>
        <w:rPr>
          <w:rFonts w:ascii="SimSun" w:hAnsi="SimSun" w:eastAsia="SimSun" w:cs="SimSun"/>
          <w:sz w:val="12"/>
          <w:szCs w:val="12"/>
          <w:spacing w:val="-4"/>
          <w:position w:val="11"/>
        </w:rPr>
        <w:t>-9]</w:t>
      </w:r>
      <w:r>
        <w:rPr>
          <w:rFonts w:ascii="SimSun" w:hAnsi="SimSun" w:eastAsia="SimSun" w:cs="SimSun"/>
          <w:sz w:val="24"/>
          <w:szCs w:val="24"/>
          <w:spacing w:val="-4"/>
          <w:position w:val="-1"/>
        </w:rPr>
        <w:t>。</w:t>
      </w:r>
    </w:p>
    <w:p>
      <w:pPr>
        <w:ind w:left="993" w:firstLine="482"/>
        <w:spacing w:before="2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和</w:t>
      </w:r>
      <w:r>
        <w:rPr>
          <w:rFonts w:ascii="SimSun" w:hAnsi="SimSun" w:eastAsia="SimSun" w:cs="SimSun"/>
          <w:sz w:val="24"/>
          <w:szCs w:val="24"/>
          <w:color w:val="231F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两者同时出现的概率相对较低，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的临床表现无特异性，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发病前数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日可出现较为明显的多饮、多尿烦渴等病症。另外，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酸中毒失代偿后可出现恶心、呕吐、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腹痛等情况，大多数患者可有深大呼吸、呼出气有烂苹果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味儿，如果上述症状得不到及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时缓解，则可引起严重脱水情况，此时患者多伴有皮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肤粘膜干燥、眼球下陷、尿量减少、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心率加快、血压下降等情况；进一步加重，患者会伴有各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种反射的迟钝甚至消失，甚至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昏迷。相当一部分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患者就诊时便存在恶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心、呕吐、腹痛等一系列症状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[10]</w:t>
      </w:r>
      <w:r>
        <w:rPr>
          <w:rFonts w:ascii="SimSun" w:hAnsi="SimSun" w:eastAsia="SimSun" w:cs="SimSun"/>
          <w:sz w:val="12"/>
          <w:szCs w:val="12"/>
          <w:color w:val="0C0C0C"/>
          <w:spacing w:val="-28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。急性胰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腺炎患者则可能表现为呕吐、腹痛、黄疸、发热、</w:t>
      </w:r>
      <w:r>
        <w:rPr>
          <w:rFonts w:ascii="SimSun" w:hAnsi="SimSun" w:eastAsia="SimSun" w:cs="SimSun"/>
          <w:sz w:val="24"/>
          <w:szCs w:val="24"/>
          <w:spacing w:val="-1"/>
        </w:rPr>
        <w:t>腹胀、</w:t>
      </w:r>
      <w:r>
        <w:rPr>
          <w:rFonts w:ascii="SimSun" w:hAnsi="SimSun" w:eastAsia="SimSun" w:cs="SimSun"/>
          <w:sz w:val="24"/>
          <w:szCs w:val="24"/>
          <w:spacing w:val="-2"/>
        </w:rPr>
        <w:t>低血压、休克等症状，少数有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Cullen </w:t>
      </w:r>
      <w:r>
        <w:rPr>
          <w:rFonts w:ascii="SimSun" w:hAnsi="SimSun" w:eastAsia="SimSun" w:cs="SimSun"/>
          <w:sz w:val="24"/>
          <w:szCs w:val="24"/>
        </w:rPr>
        <w:t>征、腹水、肠梗阻等，因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 </w:t>
      </w:r>
      <w:r>
        <w:rPr>
          <w:rFonts w:ascii="SimSun" w:hAnsi="SimSun" w:eastAsia="SimSun" w:cs="SimSun"/>
          <w:sz w:val="24"/>
          <w:szCs w:val="24"/>
        </w:rPr>
        <w:t>可能伴有血清淀粉酶的升高，</w:t>
      </w:r>
      <w:r>
        <w:rPr>
          <w:rFonts w:ascii="SimSun" w:hAnsi="SimSun" w:eastAsia="SimSun" w:cs="SimSun"/>
          <w:sz w:val="24"/>
          <w:szCs w:val="24"/>
          <w:spacing w:val="-1"/>
        </w:rPr>
        <w:t>这些非特异性的症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状和生物标志物的相似，可能掩盖或延迟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的临床诊断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11"/>
        </w:rPr>
        <w:t>[11-12]</w:t>
      </w:r>
      <w:r>
        <w:rPr>
          <w:rFonts w:ascii="SimSun" w:hAnsi="SimSun" w:eastAsia="SimSun" w:cs="SimSun"/>
          <w:sz w:val="12"/>
          <w:szCs w:val="12"/>
          <w:color w:val="231F20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31F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时将导致</w:t>
      </w:r>
      <w:r>
        <w:rPr>
          <w:rFonts w:ascii="SimSun" w:hAnsi="SimSun" w:eastAsia="SimSun" w:cs="SimSun"/>
          <w:sz w:val="24"/>
          <w:szCs w:val="24"/>
          <w:color w:val="231F2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更严重的高血糖和血管内容量消耗</w:t>
      </w:r>
      <w:r>
        <w:rPr>
          <w:rFonts w:ascii="SimSun" w:hAnsi="SimSun" w:eastAsia="SimSun" w:cs="SimSun"/>
          <w:sz w:val="24"/>
          <w:szCs w:val="24"/>
          <w:spacing w:val="-3"/>
        </w:rPr>
        <w:t>，这可能会增加患者的死亡率</w:t>
      </w:r>
      <w:r>
        <w:rPr>
          <w:rFonts w:ascii="SimSun" w:hAnsi="SimSun" w:eastAsia="SimSun" w:cs="SimSun"/>
          <w:sz w:val="12"/>
          <w:szCs w:val="12"/>
          <w:spacing w:val="-3"/>
          <w:position w:val="11"/>
        </w:rPr>
        <w:t>[13-14]</w:t>
      </w:r>
      <w:r>
        <w:rPr>
          <w:rFonts w:ascii="SimSun" w:hAnsi="SimSun" w:eastAsia="SimSun" w:cs="SimSun"/>
          <w:sz w:val="12"/>
          <w:szCs w:val="12"/>
          <w:spacing w:val="-16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。目前，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的研究多以病例报道为主，系统分析较少，为提高对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的关注，本研究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拟对此类患者的临床特征进行阐述和分析，以识别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患者的危险因素，从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而协助临床诊疗。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491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6</w:t>
      </w:r>
    </w:p>
    <w:p>
      <w:pPr>
        <w:spacing w:line="181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4752"/>
        <w:spacing w:before="218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29" w:id="8"/>
      <w:bookmarkEnd w:id="8"/>
      <w:r>
        <w:rPr>
          <w:rFonts w:ascii="SimHei" w:hAnsi="SimHei" w:eastAsia="SimHei" w:cs="SimHei"/>
          <w:sz w:val="31"/>
          <w:szCs w:val="31"/>
          <w:spacing w:val="4"/>
        </w:rPr>
        <w:t>资料和方法</w:t>
      </w:r>
    </w:p>
    <w:p>
      <w:pPr>
        <w:ind w:left="1019"/>
        <w:spacing w:before="126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1.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研究对象</w:t>
      </w:r>
    </w:p>
    <w:p>
      <w:pPr>
        <w:ind w:left="1000" w:firstLine="480"/>
        <w:spacing w:before="10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选取扬州大学附属医院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2013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年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9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月至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2022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年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12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月收治在我院急诊科、消</w:t>
      </w:r>
      <w:r>
        <w:rPr>
          <w:rFonts w:ascii="SimSun" w:hAnsi="SimSun" w:eastAsia="SimSun" w:cs="SimSun"/>
          <w:sz w:val="24"/>
          <w:szCs w:val="24"/>
          <w:spacing w:val="-2"/>
        </w:rPr>
        <w:t>化科、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内分泌科及重症医学科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45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例明确诊断为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SimSun" w:hAnsi="SimSun" w:eastAsia="SimSun" w:cs="SimSun"/>
          <w:sz w:val="24"/>
          <w:szCs w:val="24"/>
          <w:spacing w:val="-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DKA-AP </w:t>
      </w:r>
      <w:r>
        <w:rPr>
          <w:rFonts w:ascii="SimSun" w:hAnsi="SimSun" w:eastAsia="SimSun" w:cs="SimSun"/>
          <w:sz w:val="24"/>
          <w:szCs w:val="24"/>
          <w:spacing w:val="-3"/>
        </w:rPr>
        <w:t>组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）患者的临床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资料进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行回顾性分析；筛选出同一时间段内数量均等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的单纯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组）患者做为对照组。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之后对两组患者的基础数据进行统计分析，比较受试者临床表现、既往史、个人史、</w:t>
      </w:r>
      <w:r>
        <w:rPr>
          <w:rFonts w:ascii="SimSun" w:hAnsi="SimSun" w:eastAsia="SimSun" w:cs="SimSun"/>
          <w:sz w:val="24"/>
          <w:szCs w:val="24"/>
          <w:spacing w:val="-2"/>
        </w:rPr>
        <w:t>实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验室及影像学检查、临床评分、治疗措施、疾病转</w:t>
      </w:r>
      <w:r>
        <w:rPr>
          <w:rFonts w:ascii="SimSun" w:hAnsi="SimSun" w:eastAsia="SimSun" w:cs="SimSun"/>
          <w:sz w:val="24"/>
          <w:szCs w:val="24"/>
          <w:spacing w:val="-1"/>
        </w:rPr>
        <w:t>归等相关因素的差异。</w:t>
      </w:r>
    </w:p>
    <w:p>
      <w:pPr>
        <w:ind w:left="1004"/>
        <w:spacing w:line="219" w:lineRule="auto"/>
        <w:outlineLvl w:val="1"/>
        <w:rPr>
          <w:rFonts w:ascii="SimSun" w:hAnsi="SimSun" w:eastAsia="SimSun" w:cs="SimSun"/>
          <w:sz w:val="24"/>
          <w:szCs w:val="24"/>
        </w:rPr>
      </w:pPr>
      <w:bookmarkStart w:name="bookmark11" w:id="9"/>
      <w:bookmarkEnd w:id="9"/>
      <w:r>
        <w:rPr>
          <w:rFonts w:ascii="SimSun" w:hAnsi="SimSun" w:eastAsia="SimSun" w:cs="SimSun"/>
          <w:sz w:val="24"/>
          <w:szCs w:val="24"/>
          <w:spacing w:val="-3"/>
        </w:rPr>
        <w:t>2.诊断标准</w:t>
      </w:r>
    </w:p>
    <w:p>
      <w:pPr>
        <w:ind w:left="933" w:right="55" w:firstLine="499"/>
        <w:spacing w:before="162" w:line="3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16"/>
        </w:rPr>
        <w:t>（1）同时满足以下条件可诊断糖尿病酮症酸中毒</w:t>
      </w:r>
      <w:r>
        <w:rPr>
          <w:rFonts w:ascii="SimSun" w:hAnsi="SimSun" w:eastAsia="SimSun" w:cs="SimSun"/>
          <w:sz w:val="24"/>
          <w:szCs w:val="24"/>
          <w:color w:val="0C0C0C"/>
          <w:spacing w:val="-6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0C0C0C"/>
          <w:spacing w:val="16"/>
          <w:position w:val="11"/>
        </w:rPr>
        <w:t>[15] </w:t>
      </w:r>
      <w:r>
        <w:rPr>
          <w:rFonts w:ascii="SimSun" w:hAnsi="SimSun" w:eastAsia="SimSun" w:cs="SimSun"/>
          <w:sz w:val="24"/>
          <w:szCs w:val="24"/>
          <w:color w:val="0C0C0C"/>
          <w:spacing w:val="16"/>
        </w:rPr>
        <w:t>：</w:t>
      </w:r>
      <w:r>
        <w:rPr>
          <w:rFonts w:ascii="SimSun" w:hAnsi="SimSun" w:eastAsia="SimSun" w:cs="SimSun"/>
          <w:sz w:val="24"/>
          <w:szCs w:val="24"/>
          <w:color w:val="0C0C0C"/>
          <w:spacing w:val="-8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6"/>
        </w:rPr>
        <w:t>①酸碱度（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potential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hydrogen,PH</w:t>
      </w:r>
      <w:r>
        <w:rPr>
          <w:rFonts w:ascii="SimSun" w:hAnsi="SimSun" w:eastAsia="SimSun" w:cs="SimSun"/>
          <w:sz w:val="24"/>
          <w:szCs w:val="24"/>
          <w:color w:val="0C0C0C"/>
        </w:rPr>
        <w:t>）值＜7.3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和（或）血清碳酸氢根（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Carb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onic acid hydrogen radical,HCO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"/>
          <w:position w:val="-1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"/>
        </w:rPr>
        <w:t>-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）&lt;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18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mmol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>/L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；②患者血糖＞13.9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mmol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>/L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或前期已经被明确确诊为糖尿病的；③患者血酮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≥3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mmol/L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或尿酮（++以上）阳性。</w:t>
      </w:r>
    </w:p>
    <w:p>
      <w:pPr>
        <w:ind w:left="940" w:right="80" w:firstLine="492"/>
        <w:spacing w:before="164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（2）存在以下任意两种情况的，可确诊为急性胰腺炎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[16]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：①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疾病突然发作且较为剧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烈，出现持续性中上腹痛，向背部放射；②患者血清淀粉酶和或血清脂肪酶高于正常值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上限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3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倍以上；③经过腹部超声、</w:t>
      </w:r>
      <w:r>
        <w:rPr>
          <w:rFonts w:ascii="SimSun" w:hAnsi="SimSun" w:eastAsia="SimSun" w:cs="SimSun"/>
          <w:sz w:val="24"/>
          <w:szCs w:val="24"/>
        </w:rPr>
        <w:t>计算机断层扫描（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</w:rPr>
        <w:t>Computer Tomo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graphy,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</w:t>
      </w:r>
      <w:r>
        <w:rPr>
          <w:rFonts w:ascii="SimSun" w:hAnsi="SimSun" w:eastAsia="SimSun" w:cs="SimSun"/>
          <w:sz w:val="24"/>
          <w:szCs w:val="24"/>
          <w:spacing w:val="-1"/>
        </w:rPr>
        <w:t>）或核磁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共振成像（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Magnetic resonance imaging,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MRI</w:t>
      </w:r>
      <w:r>
        <w:rPr>
          <w:rFonts w:ascii="SimSun" w:hAnsi="SimSun" w:eastAsia="SimSun" w:cs="SimSun"/>
          <w:sz w:val="24"/>
          <w:szCs w:val="24"/>
          <w:spacing w:val="-1"/>
        </w:rPr>
        <w:t>）提示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的特征性表现</w:t>
      </w:r>
      <w:r>
        <w:rPr>
          <w:rFonts w:ascii="SimSun" w:hAnsi="SimSun" w:eastAsia="SimSun" w:cs="SimSun"/>
          <w:sz w:val="24"/>
          <w:szCs w:val="24"/>
          <w:color w:val="0000FF"/>
          <w:spacing w:val="-1"/>
        </w:rPr>
        <w:t>。</w:t>
      </w:r>
    </w:p>
    <w:p>
      <w:pPr>
        <w:ind w:left="1006"/>
        <w:spacing w:before="195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3.纳入与排除标准</w:t>
      </w:r>
    </w:p>
    <w:p>
      <w:pPr>
        <w:ind w:left="1004" w:right="78" w:firstLine="488"/>
        <w:spacing w:before="182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（1）纳入标准：①符合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spacing w:val="-4"/>
        </w:rPr>
        <w:t>诊断标准及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AP </w:t>
      </w:r>
      <w:r>
        <w:rPr>
          <w:rFonts w:ascii="SimSun" w:hAnsi="SimSun" w:eastAsia="SimSun" w:cs="SimSun"/>
          <w:sz w:val="24"/>
          <w:szCs w:val="24"/>
          <w:spacing w:val="-4"/>
        </w:rPr>
        <w:t>诊断标准并且年龄＞</w:t>
      </w:r>
      <w:r>
        <w:rPr>
          <w:rFonts w:ascii="SimSun" w:hAnsi="SimSun" w:eastAsia="SimSun" w:cs="SimSun"/>
          <w:sz w:val="24"/>
          <w:szCs w:val="24"/>
          <w:spacing w:val="-5"/>
        </w:rPr>
        <w:t>18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岁纳入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组；②符合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DKA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诊断标准且年龄＞18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岁纳入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组。</w:t>
      </w:r>
    </w:p>
    <w:p>
      <w:pPr>
        <w:ind w:left="1000" w:firstLine="432"/>
        <w:spacing w:before="18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（2）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排除标准：</w:t>
      </w:r>
      <w:r>
        <w:rPr>
          <w:rFonts w:ascii="SimSun" w:hAnsi="SimSun" w:eastAsia="SimSun" w:cs="SimSun"/>
          <w:sz w:val="24"/>
          <w:szCs w:val="24"/>
          <w:spacing w:val="1"/>
        </w:rPr>
        <w:t>①年龄＜18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岁；②妊娠期患者；③临床数据严</w:t>
      </w:r>
      <w:r>
        <w:rPr>
          <w:rFonts w:ascii="SimSun" w:hAnsi="SimSun" w:eastAsia="SimSun" w:cs="SimSun"/>
          <w:sz w:val="24"/>
          <w:szCs w:val="24"/>
        </w:rPr>
        <w:t>重缺乏，如缺乏血 </w:t>
      </w:r>
      <w:r>
        <w:rPr>
          <w:rFonts w:ascii="SimSun" w:hAnsi="SimSun" w:eastAsia="SimSun" w:cs="SimSun"/>
          <w:sz w:val="24"/>
          <w:szCs w:val="24"/>
          <w:spacing w:val="-1"/>
        </w:rPr>
        <w:t>气分析、血脂分析、血淀粉酶检查的病例；④</w:t>
      </w:r>
      <w:r>
        <w:rPr>
          <w:rFonts w:ascii="SimSun" w:hAnsi="SimSun" w:eastAsia="SimSun" w:cs="SimSun"/>
          <w:sz w:val="24"/>
          <w:szCs w:val="24"/>
          <w:spacing w:val="-2"/>
        </w:rPr>
        <w:t>患有慢性胰腺炎；⑤其他酮症状态( 如酒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精性酮症、饥饿性酮症)；⑦其他代谢性酸中毒状</w:t>
      </w:r>
      <w:r>
        <w:rPr>
          <w:rFonts w:ascii="SimSun" w:hAnsi="SimSun" w:eastAsia="SimSun" w:cs="SimSun"/>
          <w:sz w:val="24"/>
          <w:szCs w:val="24"/>
          <w:spacing w:val="-3"/>
        </w:rPr>
        <w:t>态( 如乳酸性酸中毒、高氯性酸中毒、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尿毒症酸中毒等)。</w:t>
      </w:r>
    </w:p>
    <w:p>
      <w:pPr>
        <w:ind w:left="1000"/>
        <w:spacing w:before="182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4.资料采集</w:t>
      </w:r>
    </w:p>
    <w:p>
      <w:pPr>
        <w:ind w:left="1001" w:firstLine="419"/>
        <w:spacing w:before="186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对所取的研究对象进行回顾性分析，收集以下信息：一般资料：性别、年龄、体质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指数（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body mass index,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BMI</w:t>
      </w:r>
      <w:r>
        <w:rPr>
          <w:rFonts w:ascii="SimSun" w:hAnsi="SimSun" w:eastAsia="SimSun" w:cs="SimSun"/>
          <w:sz w:val="24"/>
          <w:szCs w:val="24"/>
          <w:spacing w:val="-22"/>
        </w:rPr>
        <w:t>）；</w:t>
      </w:r>
      <w:r>
        <w:rPr>
          <w:rFonts w:ascii="SimSun" w:hAnsi="SimSun" w:eastAsia="SimSun" w:cs="SimSun"/>
          <w:sz w:val="24"/>
          <w:szCs w:val="24"/>
          <w:spacing w:val="-3"/>
        </w:rPr>
        <w:t>入院时及入院后的临床表现：是否存在恶心呕吐、腹痛、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三多一少症状、发热及意识改变、以及入院后患者腹痛持续时间；既往史：是否存在高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血压病、糖尿病、高脂血症、胆石症病史；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个人史：是否存在烟酒史、饮酒史；实验室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指标：白细胞（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white blood cell,WBC</w:t>
      </w:r>
      <w:r>
        <w:rPr>
          <w:rFonts w:ascii="SimSun" w:hAnsi="SimSun" w:eastAsia="SimSun" w:cs="SimSun"/>
          <w:sz w:val="24"/>
          <w:szCs w:val="24"/>
          <w:color w:val="0C0C0C"/>
        </w:rPr>
        <w:t>）计数、红细胞（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red blood cell,RBC</w:t>
      </w:r>
      <w:r>
        <w:rPr>
          <w:rFonts w:ascii="SimSun" w:hAnsi="SimSun" w:eastAsia="SimSun" w:cs="SimSun"/>
          <w:sz w:val="24"/>
          <w:szCs w:val="24"/>
          <w:color w:val="0C0C0C"/>
        </w:rPr>
        <w:t>）计数、血红</w:t>
      </w:r>
      <w:r>
        <w:rPr>
          <w:rFonts w:ascii="SimSun" w:hAnsi="SimSun" w:eastAsia="SimSun" w:cs="SimSun"/>
          <w:sz w:val="24"/>
          <w:szCs w:val="24"/>
          <w:color w:val="0C0C0C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蛋白（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remoglobin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HB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）浓度、中性粒细胞（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neutrophilicgranulocyte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NEUT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）百分比、红</w:t>
      </w:r>
    </w:p>
    <w:p>
      <w:pPr>
        <w:pStyle w:val="BodyText"/>
        <w:spacing w:line="374" w:lineRule="auto"/>
        <w:rPr/>
      </w:pPr>
      <w:r/>
    </w:p>
    <w:p>
      <w:pPr>
        <w:ind w:left="5491"/>
        <w:spacing w:before="56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7</w:t>
      </w:r>
    </w:p>
    <w:p>
      <w:pPr>
        <w:spacing w:line="179" w:lineRule="auto"/>
        <w:sectPr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3" w:right="7" w:firstLine="8"/>
        <w:spacing w:before="181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细胞比容（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hematocrit,HCT</w:t>
      </w:r>
      <w:r>
        <w:rPr>
          <w:rFonts w:ascii="SimSun" w:hAnsi="SimSun" w:eastAsia="SimSun" w:cs="SimSun"/>
          <w:sz w:val="24"/>
          <w:szCs w:val="24"/>
          <w:color w:val="0C0C0C"/>
        </w:rPr>
        <w:t>）、</w:t>
      </w:r>
      <w:r>
        <w:rPr>
          <w:rFonts w:ascii="SimSun" w:hAnsi="SimSun" w:eastAsia="SimSun" w:cs="SimSun"/>
          <w:sz w:val="24"/>
          <w:szCs w:val="24"/>
        </w:rPr>
        <w:t>肌酐（</w:t>
      </w:r>
      <w:r>
        <w:rPr>
          <w:rFonts w:ascii="Times New Roman" w:hAnsi="Times New Roman" w:eastAsia="Times New Roman" w:cs="Times New Roman"/>
          <w:sz w:val="24"/>
          <w:szCs w:val="24"/>
        </w:rPr>
        <w:t>creatinine,Cr</w:t>
      </w:r>
      <w:r>
        <w:rPr>
          <w:rFonts w:ascii="SimSun" w:hAnsi="SimSun" w:eastAsia="SimSun" w:cs="SimSun"/>
          <w:sz w:val="24"/>
          <w:szCs w:val="24"/>
        </w:rPr>
        <w:t>）、尿素（</w:t>
      </w:r>
      <w:r>
        <w:rPr>
          <w:rFonts w:ascii="Times New Roman" w:hAnsi="Times New Roman" w:eastAsia="Times New Roman" w:cs="Times New Roman"/>
          <w:sz w:val="24"/>
          <w:szCs w:val="24"/>
        </w:rPr>
        <w:t>Urea</w:t>
      </w:r>
      <w:r>
        <w:rPr>
          <w:rFonts w:ascii="SimSun" w:hAnsi="SimSun" w:eastAsia="SimSun" w:cs="SimSun"/>
          <w:sz w:val="24"/>
          <w:szCs w:val="24"/>
        </w:rPr>
        <w:t>）、酸碱度（</w:t>
      </w: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SimSun" w:hAnsi="SimSun" w:eastAsia="SimSun" w:cs="SimSun"/>
          <w:sz w:val="24"/>
          <w:szCs w:val="24"/>
        </w:rPr>
        <w:t>）、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碳酸氢根（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HCO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-1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-</w:t>
      </w:r>
      <w:r>
        <w:rPr>
          <w:rFonts w:ascii="SimSun" w:hAnsi="SimSun" w:eastAsia="SimSun" w:cs="SimSun"/>
          <w:sz w:val="24"/>
          <w:szCs w:val="24"/>
          <w:spacing w:val="-1"/>
        </w:rPr>
        <w:t>）、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二氧化碳结合力（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carbondioxide co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mbining power,CO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-CP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）、乳酸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lactic acid,Lac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)、血淀粉酶（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serum amylase,AMY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）、总胆固醇（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tot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al cholesterol,TC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）、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甘油三酯（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Triglyceride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TG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）、高密度脂蛋白（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density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lipoprotein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HDL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）、低密度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脂蛋白（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low density lipop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rotein,LDL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）、钠（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Natrium,Na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)离子、钾(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kalium,K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）离子、钙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calcium,Ca</w:t>
      </w:r>
      <w:r>
        <w:rPr>
          <w:rFonts w:ascii="SimSun" w:hAnsi="SimSun" w:eastAsia="SimSun" w:cs="SimSun"/>
          <w:sz w:val="24"/>
          <w:szCs w:val="24"/>
          <w:color w:val="0C0C0C"/>
        </w:rPr>
        <w:t>)离子、随机血糖（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</w:rPr>
        <w:t>random blood glucose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,Glu</w:t>
      </w:r>
      <w:r>
        <w:rPr>
          <w:rFonts w:ascii="SimSun" w:hAnsi="SimSun" w:eastAsia="SimSun" w:cs="SimSun"/>
          <w:sz w:val="24"/>
          <w:szCs w:val="24"/>
          <w:color w:val="0C0C0C"/>
        </w:rPr>
        <w:t>)、糖化血红蛋白(</w:t>
      </w:r>
      <w:r>
        <w:rPr>
          <w:rFonts w:ascii="Times New Roman" w:hAnsi="Times New Roman" w:eastAsia="Times New Roman" w:cs="Times New Roman"/>
          <w:sz w:val="24"/>
          <w:szCs w:val="24"/>
        </w:rPr>
        <w:t>glycosylated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hemoglobin,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HbA1c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)、空腹</w:t>
      </w:r>
      <w:r>
        <w:rPr>
          <w:rFonts w:ascii="SimSun" w:hAnsi="SimSun" w:eastAsia="SimSun" w:cs="SimSun"/>
          <w:sz w:val="24"/>
          <w:szCs w:val="24"/>
          <w:color w:val="0C0C0C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肽、餐后</w:t>
      </w:r>
      <w:r>
        <w:rPr>
          <w:rFonts w:ascii="SimSun" w:hAnsi="SimSun" w:eastAsia="SimSun" w:cs="SimSun"/>
          <w:sz w:val="24"/>
          <w:szCs w:val="24"/>
          <w:color w:val="0C0C0C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2</w:t>
      </w:r>
      <w:r>
        <w:rPr>
          <w:rFonts w:ascii="SimSun" w:hAnsi="SimSun" w:eastAsia="SimSun" w:cs="SimSun"/>
          <w:sz w:val="24"/>
          <w:szCs w:val="24"/>
          <w:color w:val="0C0C0C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小时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肽，糖尿病分型试验，</w:t>
      </w:r>
      <w:r>
        <w:rPr>
          <w:rFonts w:ascii="SimSun" w:hAnsi="SimSun" w:eastAsia="SimSun" w:cs="SimSun"/>
          <w:sz w:val="24"/>
          <w:szCs w:val="24"/>
          <w:spacing w:val="-1"/>
        </w:rPr>
        <w:t>丙氨酸氨基转移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酶（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Alanine aminotransferase,ALT)</w:t>
      </w:r>
      <w:r>
        <w:rPr>
          <w:rFonts w:ascii="SimSun" w:hAnsi="SimSun" w:eastAsia="SimSun" w:cs="SimSun"/>
          <w:sz w:val="24"/>
          <w:szCs w:val="24"/>
          <w:spacing w:val="-2"/>
        </w:rPr>
        <w:t>、门冬氨酸转氨酶（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2"/>
        </w:rPr>
        <w:t>Aspartate aminotran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3"/>
        </w:rPr>
        <w:t>sferase,AST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）、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总胆红素（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2"/>
        </w:rPr>
        <w:t>otal bilirubin,TBIL</w:t>
      </w:r>
      <w:r>
        <w:rPr>
          <w:rFonts w:ascii="SimSun" w:hAnsi="SimSun" w:eastAsia="SimSun" w:cs="SimSun"/>
          <w:sz w:val="24"/>
          <w:szCs w:val="24"/>
          <w:color w:val="333333"/>
          <w:spacing w:val="9"/>
        </w:rPr>
        <w:t>）</w:t>
      </w:r>
      <w:r>
        <w:rPr>
          <w:rFonts w:ascii="SimSun" w:hAnsi="SimSun" w:eastAsia="SimSun" w:cs="SimSun"/>
          <w:sz w:val="20"/>
          <w:szCs w:val="20"/>
          <w:color w:val="333333"/>
          <w:spacing w:val="9"/>
        </w:rPr>
        <w:t>；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胰腺影像学。本次研究中，使用了多种评分方法，均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为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入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院</w:t>
      </w:r>
      <w:r>
        <w:rPr>
          <w:rFonts w:ascii="SimSun" w:hAnsi="SimSun" w:eastAsia="SimSun" w:cs="SimSun"/>
          <w:sz w:val="24"/>
          <w:szCs w:val="24"/>
          <w:color w:val="0C0C0C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后 48h 内</w:t>
      </w:r>
      <w:r>
        <w:rPr>
          <w:rFonts w:ascii="SimSun" w:hAnsi="SimSun" w:eastAsia="SimSun" w:cs="SimSun"/>
          <w:sz w:val="24"/>
          <w:szCs w:val="24"/>
          <w:color w:val="0C0C0C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最</w:t>
      </w:r>
      <w:r>
        <w:rPr>
          <w:rFonts w:ascii="SimSun" w:hAnsi="SimSun" w:eastAsia="SimSun" w:cs="SimSun"/>
          <w:sz w:val="24"/>
          <w:szCs w:val="24"/>
          <w:color w:val="0C0C0C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大</w:t>
      </w:r>
      <w:r>
        <w:rPr>
          <w:rFonts w:ascii="SimSun" w:hAnsi="SimSun" w:eastAsia="SimSun" w:cs="SimSun"/>
          <w:sz w:val="24"/>
          <w:szCs w:val="24"/>
          <w:color w:val="0C0C0C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值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</w:t>
      </w:r>
      <w:r>
        <w:rPr>
          <w:rFonts w:ascii="SimSun" w:hAnsi="SimSun" w:eastAsia="SimSun" w:cs="SimSun"/>
          <w:sz w:val="24"/>
          <w:szCs w:val="24"/>
          <w:color w:val="0C0C0C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年</w:t>
      </w:r>
      <w:r>
        <w:rPr>
          <w:rFonts w:ascii="SimSun" w:hAnsi="SimSun" w:eastAsia="SimSun" w:cs="SimSun"/>
          <w:sz w:val="24"/>
          <w:szCs w:val="24"/>
          <w:color w:val="0C0C0C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龄</w:t>
      </w:r>
      <w:r>
        <w:rPr>
          <w:rFonts w:ascii="SimSun" w:hAnsi="SimSun" w:eastAsia="SimSun" w:cs="SimSun"/>
          <w:sz w:val="24"/>
          <w:szCs w:val="24"/>
          <w:color w:val="0C0C0C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校</w:t>
      </w:r>
      <w:r>
        <w:rPr>
          <w:rFonts w:ascii="SimSun" w:hAnsi="SimSun" w:eastAsia="SimSun" w:cs="SimSun"/>
          <w:sz w:val="24"/>
          <w:szCs w:val="24"/>
          <w:color w:val="0C0C0C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正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Charlson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</w:t>
      </w:r>
      <w:r>
        <w:rPr>
          <w:rFonts w:ascii="SimSun" w:hAnsi="SimSun" w:eastAsia="SimSun" w:cs="SimSun"/>
          <w:sz w:val="24"/>
          <w:szCs w:val="24"/>
          <w:color w:val="0C0C0C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并</w:t>
      </w:r>
      <w:r>
        <w:rPr>
          <w:rFonts w:ascii="SimSun" w:hAnsi="SimSun" w:eastAsia="SimSun" w:cs="SimSun"/>
          <w:sz w:val="24"/>
          <w:szCs w:val="24"/>
          <w:color w:val="0C0C0C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症</w:t>
      </w:r>
      <w:r>
        <w:rPr>
          <w:rFonts w:ascii="SimSun" w:hAnsi="SimSun" w:eastAsia="SimSun" w:cs="SimSun"/>
          <w:sz w:val="24"/>
          <w:szCs w:val="24"/>
          <w:color w:val="0C0C0C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指</w:t>
      </w:r>
      <w:r>
        <w:rPr>
          <w:rFonts w:ascii="SimSun" w:hAnsi="SimSun" w:eastAsia="SimSun" w:cs="SimSun"/>
          <w:sz w:val="24"/>
          <w:szCs w:val="24"/>
          <w:color w:val="0C0C0C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数（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age-adjusted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Charlson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Comorbidity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Index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aCCI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)、格拉斯哥昏迷评分（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Glasgow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Coma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GCS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）、急性生理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6"/>
        </w:rPr>
        <w:t>学与慢性健康状况评价系统 </w:t>
      </w:r>
      <w:r>
        <w:rPr>
          <w:rFonts w:ascii="SimSun" w:hAnsi="SimSun" w:eastAsia="SimSun" w:cs="SimSun"/>
          <w:sz w:val="24"/>
          <w:szCs w:val="24"/>
          <w:color w:val="0C0C0C"/>
        </w:rPr>
        <w:t>II</w:t>
      </w:r>
      <w:r>
        <w:rPr>
          <w:rFonts w:ascii="SimSun" w:hAnsi="SimSun" w:eastAsia="SimSun" w:cs="SimSun"/>
          <w:sz w:val="24"/>
          <w:szCs w:val="24"/>
          <w:color w:val="0C0C0C"/>
          <w:spacing w:val="6"/>
        </w:rPr>
        <w:t>（</w:t>
      </w:r>
      <w:r>
        <w:rPr>
          <w:rFonts w:ascii="SimSun" w:hAnsi="SimSun" w:eastAsia="SimSun" w:cs="SimSun"/>
          <w:sz w:val="24"/>
          <w:szCs w:val="24"/>
          <w:color w:val="0C0C0C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physiology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chronic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health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evaluation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scoring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system Ⅱ,APACHE II</w:t>
      </w:r>
      <w:r>
        <w:rPr>
          <w:rFonts w:ascii="SimSun" w:hAnsi="SimSun" w:eastAsia="SimSun" w:cs="SimSun"/>
          <w:sz w:val="24"/>
          <w:szCs w:val="24"/>
          <w:color w:val="0C0C0C"/>
          <w:spacing w:val="6"/>
        </w:rPr>
        <w:t>）；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序贯器官衰竭评估（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sequential Organ Failure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ssessment,SOFA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评分和逻辑器官功能障碍系统（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organ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dysfunction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LODS</w:t>
      </w:r>
      <w:r>
        <w:rPr>
          <w:rFonts w:ascii="SimSun" w:hAnsi="SimSun" w:eastAsia="SimSun" w:cs="SimSun"/>
          <w:sz w:val="24"/>
          <w:szCs w:val="24"/>
          <w:color w:val="0C0C0C"/>
          <w:spacing w:val="24"/>
        </w:rPr>
        <w:t>）；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治疗措施包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括禁食、胃肠减压、质子泵抑制剂使用、连续肾脏替代治疗(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continuous renal repl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acement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therapy,CRRT)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使用情况、平均补液量；住院时间、重症监护室时间及住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院费用等。本研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究经医院伦理委员会审核通过，伦理号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20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22-YKL3-06-004。</w:t>
      </w:r>
    </w:p>
    <w:p>
      <w:pPr>
        <w:ind w:left="1006"/>
        <w:spacing w:before="20" w:line="22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5.统计分析</w:t>
      </w:r>
    </w:p>
    <w:p>
      <w:pPr>
        <w:ind w:left="996" w:firstLine="486"/>
        <w:spacing w:before="180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本次研究产生的各类数据均采用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SPSS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25.0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统计软件进行处理。本研究的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各类计数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资料，用例数（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n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)和率（%）表示，组间比较用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Pearson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卡方或校正卡方检验；对于计量</w:t>
      </w:r>
      <w:r>
        <w:rPr>
          <w:rFonts w:ascii="SimSun" w:hAnsi="SimSun" w:eastAsia="SimSun" w:cs="SimSun"/>
          <w:sz w:val="24"/>
          <w:szCs w:val="24"/>
          <w:color w:val="0C0C0C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资料，首先判断其是否符合正态分布，若符合则以均数±标准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差（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X±S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）表示，组间比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6"/>
        </w:rPr>
        <w:t>较用独立样本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6"/>
        </w:rPr>
        <w:t>t </w:t>
      </w:r>
      <w:r>
        <w:rPr>
          <w:rFonts w:ascii="SimSun" w:hAnsi="SimSun" w:eastAsia="SimSun" w:cs="SimSun"/>
          <w:sz w:val="24"/>
          <w:szCs w:val="24"/>
          <w:color w:val="0C0C0C"/>
          <w:spacing w:val="6"/>
        </w:rPr>
        <w:t>检验；若不符合，偏态分布则以中位数及四分位数表示，组间比较用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Mann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Whitney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检验。将单因素分析有统计学意义的进一步完成多因素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回归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1"/>
        </w:rPr>
        <w:t>分析，在此基础上，筛选出疾病的独立预测因素，并绘制出相应的受试者工作特征（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1"/>
        </w:rPr>
        <w:t>ROC</w:t>
      </w:r>
      <w:r>
        <w:rPr>
          <w:rFonts w:ascii="SimSun" w:hAnsi="SimSun" w:eastAsia="SimSun" w:cs="SimSun"/>
          <w:sz w:val="24"/>
          <w:szCs w:val="24"/>
          <w:color w:val="0C0C0C"/>
          <w:spacing w:val="-11"/>
        </w:rPr>
        <w:t>）</w:t>
      </w:r>
      <w:r>
        <w:rPr>
          <w:rFonts w:ascii="SimSun" w:hAnsi="SimSun" w:eastAsia="SimSun" w:cs="SimSun"/>
          <w:sz w:val="24"/>
          <w:szCs w:val="24"/>
          <w:color w:val="0C0C0C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曲线以评估预测性能。本研究以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＜0.05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为界，小于该值则认为有统计学意义。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489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8</w:t>
      </w:r>
    </w:p>
    <w:p>
      <w:pPr>
        <w:spacing w:line="181" w:lineRule="auto"/>
        <w:sectPr>
          <w:headerReference w:type="default" r:id="rId19"/>
          <w:footerReference w:type="default" r:id="rId20"/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5219"/>
        <w:spacing w:before="218" w:line="231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0" w:id="10"/>
      <w:bookmarkEnd w:id="10"/>
      <w:r>
        <w:rPr>
          <w:rFonts w:ascii="SimHei" w:hAnsi="SimHei" w:eastAsia="SimHei" w:cs="SimHei"/>
          <w:sz w:val="31"/>
          <w:szCs w:val="31"/>
          <w:spacing w:val="3"/>
        </w:rPr>
        <w:t>结果</w:t>
      </w:r>
    </w:p>
    <w:p>
      <w:pPr>
        <w:ind w:left="1019"/>
        <w:spacing w:before="197" w:line="22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1.一般资料分析</w:t>
      </w:r>
    </w:p>
    <w:p>
      <w:pPr>
        <w:ind w:left="993" w:firstLine="488"/>
        <w:spacing w:before="177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本研究共纳入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45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例，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组男性和女性分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别有</w:t>
      </w:r>
      <w:r>
        <w:rPr>
          <w:rFonts w:ascii="SimSun" w:hAnsi="SimSun" w:eastAsia="SimSun" w:cs="SimSun"/>
          <w:sz w:val="24"/>
          <w:szCs w:val="24"/>
          <w:color w:val="0C0C0C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34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例、11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例，在总人数中的占比分别为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75.60%、24.40%，年龄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18～75</w:t>
      </w:r>
      <w:r>
        <w:rPr>
          <w:rFonts w:ascii="SimSun" w:hAnsi="SimSun" w:eastAsia="SimSun" w:cs="SimSun"/>
          <w:sz w:val="24"/>
          <w:szCs w:val="24"/>
          <w:color w:val="0C0C0C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岁，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组男性和女性分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别有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27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例、18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例，在总人数中的占比分别为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6</w:t>
      </w:r>
      <w:r>
        <w:rPr>
          <w:rFonts w:ascii="SimSun" w:hAnsi="SimSun" w:eastAsia="SimSun" w:cs="SimSun"/>
          <w:sz w:val="24"/>
          <w:szCs w:val="24"/>
          <w:spacing w:val="-4"/>
        </w:rPr>
        <w:t>0.0%</w:t>
      </w:r>
      <w:r>
        <w:rPr>
          <w:rFonts w:ascii="SimSun" w:hAnsi="SimSun" w:eastAsia="SimSun" w:cs="SimSun"/>
          <w:sz w:val="24"/>
          <w:szCs w:val="24"/>
          <w:color w:val="0000FF"/>
          <w:spacing w:val="-4"/>
        </w:rPr>
        <w:t>、</w:t>
      </w:r>
      <w:r>
        <w:rPr>
          <w:rFonts w:ascii="SimSun" w:hAnsi="SimSun" w:eastAsia="SimSun" w:cs="SimSun"/>
          <w:sz w:val="24"/>
          <w:szCs w:val="24"/>
          <w:spacing w:val="-4"/>
        </w:rPr>
        <w:t>40.0%，年龄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1</w:t>
      </w:r>
      <w:r>
        <w:rPr>
          <w:rFonts w:ascii="SimSun" w:hAnsi="SimSun" w:eastAsia="SimSun" w:cs="SimSun"/>
          <w:sz w:val="24"/>
          <w:szCs w:val="24"/>
          <w:spacing w:val="-5"/>
        </w:rPr>
        <w:t>8～74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岁，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8"/>
        </w:rPr>
        <w:t>组患者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BMI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26.30（22.15，28.40）kg/m</w:t>
      </w:r>
      <w:r>
        <w:rPr>
          <w:rFonts w:ascii="SimSun" w:hAnsi="SimSun" w:eastAsia="SimSun" w:cs="SimSun"/>
          <w:sz w:val="12"/>
          <w:szCs w:val="12"/>
          <w:spacing w:val="2"/>
          <w:position w:val="12"/>
        </w:rPr>
        <w:t>2</w:t>
      </w:r>
      <w:r>
        <w:rPr>
          <w:rFonts w:ascii="SimSun" w:hAnsi="SimSun" w:eastAsia="SimSun" w:cs="SimSun"/>
          <w:sz w:val="24"/>
          <w:szCs w:val="24"/>
          <w:spacing w:val="-9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组患者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BMI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23.20（20.70，25.35）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kg/m</w:t>
      </w:r>
      <w:r>
        <w:rPr>
          <w:rFonts w:ascii="SimSun" w:hAnsi="SimSun" w:eastAsia="SimSun" w:cs="SimSun"/>
          <w:sz w:val="12"/>
          <w:szCs w:val="12"/>
          <w:spacing w:val="-3"/>
          <w:position w:val="12"/>
        </w:rPr>
        <w:t>2</w:t>
      </w:r>
      <w:r>
        <w:rPr>
          <w:rFonts w:ascii="SimSun" w:hAnsi="SimSun" w:eastAsia="SimSun" w:cs="SimSun"/>
          <w:sz w:val="12"/>
          <w:szCs w:val="12"/>
          <w:spacing w:val="-30"/>
          <w:position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组有吸烟史</w:t>
      </w:r>
      <w:r>
        <w:rPr>
          <w:rFonts w:ascii="SimSun" w:hAnsi="SimSun" w:eastAsia="SimSun" w:cs="SimSun"/>
          <w:sz w:val="24"/>
          <w:szCs w:val="24"/>
          <w:color w:val="0C0C0C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15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例（33.33%</w:t>
      </w:r>
      <w:r>
        <w:rPr>
          <w:rFonts w:ascii="SimSun" w:hAnsi="SimSun" w:eastAsia="SimSun" w:cs="SimSun"/>
          <w:sz w:val="24"/>
          <w:szCs w:val="24"/>
          <w:color w:val="0C0C0C"/>
          <w:spacing w:val="8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有饮酒史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12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例（26.70%</w:t>
      </w:r>
      <w:r>
        <w:rPr>
          <w:rFonts w:ascii="SimSun" w:hAnsi="SimSun" w:eastAsia="SimSun" w:cs="SimSun"/>
          <w:sz w:val="24"/>
          <w:szCs w:val="24"/>
          <w:color w:val="0C0C0C"/>
          <w:spacing w:val="8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组有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吸烟史</w:t>
      </w:r>
      <w:r>
        <w:rPr>
          <w:rFonts w:ascii="SimSun" w:hAnsi="SimSun" w:eastAsia="SimSun" w:cs="SimSu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11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例（24.40%</w:t>
      </w:r>
      <w:r>
        <w:rPr>
          <w:rFonts w:ascii="SimSun" w:hAnsi="SimSun" w:eastAsia="SimSun" w:cs="SimSun"/>
          <w:sz w:val="24"/>
          <w:szCs w:val="24"/>
          <w:color w:val="0C0C0C"/>
          <w:spacing w:val="10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</w:rPr>
        <w:t>饮酒史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8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例（1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7.80%</w:t>
      </w:r>
      <w:r>
        <w:rPr>
          <w:rFonts w:ascii="SimSun" w:hAnsi="SimSun" w:eastAsia="SimSun" w:cs="SimSun"/>
          <w:sz w:val="24"/>
          <w:szCs w:val="24"/>
          <w:color w:val="0C0C0C"/>
          <w:spacing w:val="10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组患者有高血压病病史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8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例（17.8%</w:t>
      </w:r>
      <w:r>
        <w:rPr>
          <w:rFonts w:ascii="SimSun" w:hAnsi="SimSun" w:eastAsia="SimSun" w:cs="SimSun"/>
          <w:sz w:val="24"/>
          <w:szCs w:val="24"/>
          <w:color w:val="0C0C0C"/>
          <w:spacing w:val="9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糖尿病病史</w:t>
      </w:r>
      <w:r>
        <w:rPr>
          <w:rFonts w:ascii="SimSun" w:hAnsi="SimSun" w:eastAsia="SimSun" w:cs="SimSun"/>
          <w:sz w:val="24"/>
          <w:szCs w:val="24"/>
          <w:color w:val="0C0C0C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30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例（66.67%</w:t>
      </w:r>
      <w:r>
        <w:rPr>
          <w:rFonts w:ascii="SimSun" w:hAnsi="SimSun" w:eastAsia="SimSun" w:cs="SimSun"/>
          <w:sz w:val="24"/>
          <w:szCs w:val="24"/>
          <w:color w:val="0C0C0C"/>
          <w:spacing w:val="9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高脂血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症病史</w:t>
      </w:r>
      <w:r>
        <w:rPr>
          <w:rFonts w:ascii="SimSun" w:hAnsi="SimSun" w:eastAsia="SimSun" w:cs="SimSu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12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例（26.70%</w:t>
      </w:r>
      <w:r>
        <w:rPr>
          <w:rFonts w:ascii="SimSun" w:hAnsi="SimSun" w:eastAsia="SimSun" w:cs="SimSun"/>
          <w:sz w:val="24"/>
          <w:szCs w:val="24"/>
          <w:color w:val="0C0C0C"/>
          <w:spacing w:val="9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胆石症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0"/>
        </w:rPr>
        <w:t>病史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0"/>
        </w:rPr>
        <w:t>3</w:t>
      </w:r>
      <w:r>
        <w:rPr>
          <w:rFonts w:ascii="SimSun" w:hAnsi="SimSun" w:eastAsia="SimSun" w:cs="SimSun"/>
          <w:sz w:val="24"/>
          <w:szCs w:val="24"/>
          <w:color w:val="0C0C0C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0"/>
        </w:rPr>
        <w:t>例</w:t>
      </w:r>
      <w:r>
        <w:rPr>
          <w:rFonts w:ascii="SimSun" w:hAnsi="SimSun" w:eastAsia="SimSun" w:cs="SimSun"/>
          <w:sz w:val="24"/>
          <w:szCs w:val="24"/>
          <w:color w:val="0000FF"/>
          <w:spacing w:val="-10"/>
        </w:rPr>
        <w:t>（</w:t>
      </w:r>
      <w:r>
        <w:rPr>
          <w:rFonts w:ascii="SimSun" w:hAnsi="SimSun" w:eastAsia="SimSun" w:cs="SimSun"/>
          <w:sz w:val="24"/>
          <w:szCs w:val="24"/>
          <w:spacing w:val="-10"/>
        </w:rPr>
        <w:t>6.70%</w:t>
      </w:r>
      <w:r>
        <w:rPr>
          <w:rFonts w:ascii="SimSun" w:hAnsi="SimSun" w:eastAsia="SimSun" w:cs="SimSun"/>
          <w:sz w:val="24"/>
          <w:szCs w:val="24"/>
          <w:spacing w:val="-50"/>
          <w:w w:val="79"/>
        </w:rPr>
        <w:t>），</w:t>
      </w:r>
      <w:r>
        <w:rPr>
          <w:rFonts w:ascii="SimSun" w:hAnsi="SimSun" w:eastAsia="SimSun" w:cs="SimSun"/>
          <w:sz w:val="24"/>
          <w:szCs w:val="24"/>
          <w:spacing w:val="-10"/>
        </w:rPr>
        <w:t>DKA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组患者有高血压病史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7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例（15.60%</w:t>
      </w:r>
      <w:r>
        <w:rPr>
          <w:rFonts w:ascii="SimSun" w:hAnsi="SimSun" w:eastAsia="SimSun" w:cs="SimSun"/>
          <w:sz w:val="24"/>
          <w:szCs w:val="24"/>
          <w:spacing w:val="-50"/>
          <w:w w:val="79"/>
        </w:rPr>
        <w:t>），</w:t>
      </w:r>
      <w:r>
        <w:rPr>
          <w:rFonts w:ascii="SimSun" w:hAnsi="SimSun" w:eastAsia="SimSun" w:cs="SimSun"/>
          <w:sz w:val="24"/>
          <w:szCs w:val="24"/>
          <w:spacing w:val="-10"/>
        </w:rPr>
        <w:t>有糖尿病病史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27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例（60.00%</w:t>
      </w:r>
      <w:r>
        <w:rPr>
          <w:rFonts w:ascii="SimSun" w:hAnsi="SimSun" w:eastAsia="SimSun" w:cs="SimSun"/>
          <w:sz w:val="24"/>
          <w:szCs w:val="24"/>
          <w:spacing w:val="-50"/>
          <w:w w:val="79"/>
        </w:rPr>
        <w:t>），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有高脂血症病史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例（4.40%</w:t>
      </w:r>
      <w:r>
        <w:rPr>
          <w:rFonts w:ascii="SimSun" w:hAnsi="SimSun" w:eastAsia="SimSun" w:cs="SimSun"/>
          <w:sz w:val="24"/>
          <w:szCs w:val="24"/>
          <w:spacing w:val="-4"/>
        </w:rPr>
        <w:t>），</w:t>
      </w:r>
      <w:r>
        <w:rPr>
          <w:rFonts w:ascii="SimSun" w:hAnsi="SimSun" w:eastAsia="SimSun" w:cs="SimSun"/>
          <w:sz w:val="24"/>
          <w:szCs w:val="24"/>
          <w:spacing w:val="-2"/>
        </w:rPr>
        <w:t>有胆石症病</w:t>
      </w:r>
      <w:r>
        <w:rPr>
          <w:rFonts w:ascii="SimSun" w:hAnsi="SimSun" w:eastAsia="SimSun" w:cs="SimSun"/>
          <w:sz w:val="24"/>
          <w:szCs w:val="24"/>
          <w:spacing w:val="-3"/>
        </w:rPr>
        <w:t>史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1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例（2.20%）。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对两组以上指标数据进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行统计分析，结果显示</w:t>
      </w:r>
      <w:r>
        <w:rPr>
          <w:rFonts w:ascii="SimSun" w:hAnsi="SimSun" w:eastAsia="SimSun" w:cs="SimSun"/>
          <w:sz w:val="24"/>
          <w:szCs w:val="24"/>
          <w:spacing w:val="2"/>
        </w:rPr>
        <w:t>在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BMI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、高脂血症病史方面有统计学</w:t>
      </w:r>
      <w:r>
        <w:rPr>
          <w:rFonts w:ascii="SimSun" w:hAnsi="SimSun" w:eastAsia="SimSun" w:cs="SimSun"/>
          <w:sz w:val="24"/>
          <w:szCs w:val="24"/>
          <w:spacing w:val="1"/>
        </w:rPr>
        <w:t>差异，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 </w:t>
      </w:r>
      <w:r>
        <w:rPr>
          <w:rFonts w:ascii="SimSun" w:hAnsi="SimSun" w:eastAsia="SimSun" w:cs="SimSun"/>
          <w:sz w:val="24"/>
          <w:szCs w:val="24"/>
          <w:spacing w:val="1"/>
        </w:rPr>
        <w:t>值分别为0.031、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0.004。其余各指标两组比较差异均不显著（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2"/>
        </w:rPr>
        <w:t>＞0.05</w:t>
      </w:r>
      <w:r>
        <w:rPr>
          <w:rFonts w:ascii="SimSun" w:hAnsi="SimSun" w:eastAsia="SimSun" w:cs="SimSun"/>
          <w:sz w:val="24"/>
          <w:szCs w:val="24"/>
          <w:spacing w:val="6"/>
        </w:rPr>
        <w:t>），</w:t>
      </w:r>
      <w:r>
        <w:rPr>
          <w:rFonts w:ascii="SimSun" w:hAnsi="SimSun" w:eastAsia="SimSun" w:cs="SimSun"/>
          <w:sz w:val="24"/>
          <w:szCs w:val="24"/>
          <w:spacing w:val="-2"/>
        </w:rPr>
        <w:t>详见表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1。</w:t>
      </w:r>
    </w:p>
    <w:p>
      <w:pPr>
        <w:pStyle w:val="BodyText"/>
        <w:spacing w:line="422" w:lineRule="auto"/>
        <w:rPr/>
      </w:pPr>
      <w:r/>
    </w:p>
    <w:p>
      <w:pPr>
        <w:ind w:left="3651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表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1.</w:t>
      </w:r>
      <w:r>
        <w:rPr>
          <w:rFonts w:ascii="Times New Roman" w:hAnsi="Times New Roman" w:eastAsia="Times New Roman" w:cs="Times New Roman"/>
          <w:sz w:val="20"/>
          <w:szCs w:val="20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AP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组与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组一般资料比较</w:t>
      </w:r>
    </w:p>
    <w:p>
      <w:pPr>
        <w:spacing w:line="1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659" w:type="dxa"/>
        <w:tblInd w:w="11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6"/>
        <w:gridCol w:w="689"/>
        <w:gridCol w:w="2396"/>
        <w:gridCol w:w="2361"/>
        <w:gridCol w:w="1233"/>
        <w:gridCol w:w="924"/>
      </w:tblGrid>
      <w:tr>
        <w:trPr>
          <w:trHeight w:val="675" w:hRule="atLeast"/>
        </w:trPr>
        <w:tc>
          <w:tcPr>
            <w:tcW w:w="1745" w:type="dxa"/>
            <w:vAlign w:val="top"/>
            <w:gridSpan w:val="2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60"/>
              <w:spacing w:before="22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临床资料</w:t>
            </w:r>
          </w:p>
        </w:tc>
        <w:tc>
          <w:tcPr>
            <w:tcW w:w="239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91"/>
              <w:spacing w:before="230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5"/>
              </w:rPr>
              <w:t>-</w:t>
            </w:r>
            <w:r>
              <w:rPr/>
              <w:t>AP</w:t>
            </w:r>
            <w:r>
              <w:rPr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pacing w:val="15"/>
              </w:rPr>
              <w:t>组</w:t>
            </w:r>
          </w:p>
        </w:tc>
        <w:tc>
          <w:tcPr>
            <w:tcW w:w="236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820"/>
              <w:spacing w:before="230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6"/>
              </w:rPr>
              <w:t>组</w:t>
            </w:r>
          </w:p>
        </w:tc>
        <w:tc>
          <w:tcPr>
            <w:tcW w:w="123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92"/>
              <w:spacing w:before="7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统计量值</w:t>
            </w:r>
          </w:p>
          <w:p>
            <w:pPr>
              <w:pStyle w:val="TableText"/>
              <w:ind w:left="144"/>
              <w:spacing w:before="65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"/>
              </w:rPr>
              <w:t>（</w:t>
            </w:r>
            <w:r>
              <w:rPr>
                <w:spacing w:val="2"/>
              </w:rPr>
              <w:t>Z/X</w:t>
            </w:r>
            <w:r>
              <w:rPr>
                <w:sz w:val="13"/>
                <w:szCs w:val="13"/>
                <w:spacing w:val="2"/>
                <w:position w:val="6"/>
              </w:rPr>
              <w:t>2</w:t>
            </w:r>
            <w:r>
              <w:rPr>
                <w:spacing w:val="2"/>
              </w:rPr>
              <w:t>/t</w:t>
            </w:r>
            <w:r>
              <w:rPr>
                <w:rFonts w:ascii="SimSun" w:hAnsi="SimSun" w:eastAsia="SimSun" w:cs="SimSun"/>
                <w:spacing w:val="2"/>
              </w:rPr>
              <w:t>）</w:t>
            </w:r>
          </w:p>
        </w:tc>
        <w:tc>
          <w:tcPr>
            <w:tcW w:w="92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77"/>
              <w:spacing w:before="229" w:line="22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6"/>
              </w:rPr>
              <w:t>P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值</w:t>
            </w:r>
          </w:p>
        </w:tc>
      </w:tr>
      <w:tr>
        <w:trPr>
          <w:trHeight w:val="711" w:hRule="atLeast"/>
        </w:trPr>
        <w:tc>
          <w:tcPr>
            <w:tcW w:w="1745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ind w:left="118"/>
              <w:spacing w:before="6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性别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     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男</w:t>
            </w:r>
          </w:p>
          <w:p>
            <w:pPr>
              <w:ind w:left="1347"/>
              <w:spacing w:before="6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女</w:t>
            </w:r>
          </w:p>
        </w:tc>
        <w:tc>
          <w:tcPr>
            <w:tcW w:w="2396" w:type="dxa"/>
            <w:vAlign w:val="top"/>
            <w:tcBorders>
              <w:top w:val="single" w:color="000000" w:sz="10" w:space="0"/>
            </w:tcBorders>
          </w:tcPr>
          <w:p>
            <w:pPr>
              <w:ind w:left="599"/>
              <w:spacing w:before="6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34（75.60%）</w:t>
            </w:r>
          </w:p>
          <w:p>
            <w:pPr>
              <w:ind w:left="740"/>
              <w:spacing w:before="5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11（24.40%）</w:t>
            </w:r>
          </w:p>
        </w:tc>
        <w:tc>
          <w:tcPr>
            <w:tcW w:w="2361" w:type="dxa"/>
            <w:vAlign w:val="top"/>
            <w:tcBorders>
              <w:top w:val="single" w:color="000000" w:sz="10" w:space="0"/>
            </w:tcBorders>
          </w:tcPr>
          <w:p>
            <w:pPr>
              <w:ind w:left="714"/>
              <w:spacing w:before="6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27（60.0%）</w:t>
            </w:r>
          </w:p>
          <w:p>
            <w:pPr>
              <w:ind w:left="727"/>
              <w:spacing w:before="5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18（40.0%）</w:t>
            </w:r>
          </w:p>
        </w:tc>
        <w:tc>
          <w:tcPr>
            <w:tcW w:w="1233" w:type="dxa"/>
            <w:vAlign w:val="top"/>
            <w:tcBorders>
              <w:top w:val="single" w:color="000000" w:sz="10" w:space="0"/>
            </w:tcBorders>
          </w:tcPr>
          <w:p>
            <w:pPr>
              <w:ind w:left="345"/>
              <w:spacing w:before="21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2.493</w:t>
            </w:r>
          </w:p>
        </w:tc>
        <w:tc>
          <w:tcPr>
            <w:tcW w:w="924" w:type="dxa"/>
            <w:vAlign w:val="top"/>
            <w:tcBorders>
              <w:top w:val="single" w:color="000000" w:sz="10" w:space="0"/>
            </w:tcBorders>
          </w:tcPr>
          <w:p>
            <w:pPr>
              <w:ind w:left="225"/>
              <w:spacing w:before="21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0.114</w:t>
            </w:r>
          </w:p>
        </w:tc>
      </w:tr>
      <w:tr>
        <w:trPr>
          <w:trHeight w:val="553" w:hRule="atLeast"/>
        </w:trPr>
        <w:tc>
          <w:tcPr>
            <w:tcW w:w="1745" w:type="dxa"/>
            <w:vAlign w:val="top"/>
            <w:gridSpan w:val="2"/>
          </w:tcPr>
          <w:p>
            <w:pPr>
              <w:ind w:left="116"/>
              <w:spacing w:before="14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年龄（岁）</w:t>
            </w:r>
          </w:p>
        </w:tc>
        <w:tc>
          <w:tcPr>
            <w:tcW w:w="2396" w:type="dxa"/>
            <w:vAlign w:val="top"/>
          </w:tcPr>
          <w:p>
            <w:pPr>
              <w:ind w:left="599"/>
              <w:spacing w:before="143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10205"/>
                <w:spacing w:val="4"/>
                <w:position w:val="1"/>
              </w:rPr>
              <w:t>39.89±10.74</w:t>
            </w:r>
          </w:p>
        </w:tc>
        <w:tc>
          <w:tcPr>
            <w:tcW w:w="2361" w:type="dxa"/>
            <w:vAlign w:val="top"/>
          </w:tcPr>
          <w:p>
            <w:pPr>
              <w:ind w:left="557"/>
              <w:spacing w:before="143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10205"/>
                <w:spacing w:val="4"/>
                <w:position w:val="1"/>
              </w:rPr>
              <w:t>39.11±14.31</w:t>
            </w:r>
          </w:p>
        </w:tc>
        <w:tc>
          <w:tcPr>
            <w:tcW w:w="1233" w:type="dxa"/>
            <w:vAlign w:val="top"/>
          </w:tcPr>
          <w:p>
            <w:pPr>
              <w:ind w:left="344"/>
              <w:spacing w:before="14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0.292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14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0.771</w:t>
            </w:r>
          </w:p>
        </w:tc>
      </w:tr>
      <w:tr>
        <w:trPr>
          <w:trHeight w:val="556" w:hRule="atLeast"/>
        </w:trPr>
        <w:tc>
          <w:tcPr>
            <w:tcW w:w="1745" w:type="dxa"/>
            <w:vAlign w:val="top"/>
            <w:gridSpan w:val="2"/>
          </w:tcPr>
          <w:p>
            <w:pPr>
              <w:pStyle w:val="TableText"/>
              <w:ind w:left="110"/>
              <w:spacing w:before="214" w:line="221" w:lineRule="auto"/>
              <w:rPr/>
            </w:pPr>
            <w:r>
              <w:rPr/>
              <w:t>BMI</w:t>
            </w:r>
            <w:r>
              <w:rPr>
                <w:rFonts w:ascii="SimSun" w:hAnsi="SimSun" w:eastAsia="SimSun" w:cs="SimSun"/>
                <w:spacing w:val="10"/>
              </w:rPr>
              <w:t>（</w:t>
            </w:r>
            <w:r>
              <w:rPr/>
              <w:t>kg</w:t>
            </w:r>
            <w:r>
              <w:rPr>
                <w:spacing w:val="10"/>
              </w:rPr>
              <w:t>/m</w:t>
            </w:r>
            <w:r>
              <w:rPr>
                <w:sz w:val="13"/>
                <w:szCs w:val="13"/>
                <w:spacing w:val="10"/>
                <w:position w:val="6"/>
              </w:rPr>
              <w:t>2</w:t>
            </w:r>
            <w:r>
              <w:rPr>
                <w:spacing w:val="10"/>
              </w:rPr>
              <w:t>)</w:t>
            </w:r>
          </w:p>
        </w:tc>
        <w:tc>
          <w:tcPr>
            <w:tcW w:w="2396" w:type="dxa"/>
            <w:vAlign w:val="top"/>
          </w:tcPr>
          <w:p>
            <w:pPr>
              <w:ind w:left="177"/>
              <w:spacing w:before="214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26.30（22.15，28.40)</w:t>
            </w:r>
          </w:p>
        </w:tc>
        <w:tc>
          <w:tcPr>
            <w:tcW w:w="2361" w:type="dxa"/>
            <w:vAlign w:val="top"/>
          </w:tcPr>
          <w:p>
            <w:pPr>
              <w:ind w:left="177"/>
              <w:spacing w:before="21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23.20（20.70，25.35）</w:t>
            </w:r>
          </w:p>
        </w:tc>
        <w:tc>
          <w:tcPr>
            <w:tcW w:w="1233" w:type="dxa"/>
            <w:vAlign w:val="top"/>
          </w:tcPr>
          <w:p>
            <w:pPr>
              <w:ind w:left="288"/>
              <w:spacing w:before="21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-2.155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21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0.031</w:t>
            </w:r>
          </w:p>
        </w:tc>
      </w:tr>
      <w:tr>
        <w:trPr>
          <w:trHeight w:val="692" w:hRule="atLeast"/>
        </w:trPr>
        <w:tc>
          <w:tcPr>
            <w:tcW w:w="1745" w:type="dxa"/>
            <w:vAlign w:val="top"/>
            <w:gridSpan w:val="2"/>
          </w:tcPr>
          <w:p>
            <w:pPr>
              <w:ind w:left="123"/>
              <w:spacing w:before="13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吸烟史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   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有</w:t>
            </w:r>
          </w:p>
          <w:p>
            <w:pPr>
              <w:ind w:left="1343"/>
              <w:spacing w:before="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  <w:tc>
          <w:tcPr>
            <w:tcW w:w="2396" w:type="dxa"/>
            <w:vAlign w:val="top"/>
          </w:tcPr>
          <w:p>
            <w:pPr>
              <w:ind w:left="610"/>
              <w:spacing w:before="131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15（33.33%）</w:t>
            </w:r>
          </w:p>
          <w:p>
            <w:pPr>
              <w:ind w:left="599"/>
              <w:spacing w:before="5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30（66.67%）</w:t>
            </w:r>
          </w:p>
        </w:tc>
        <w:tc>
          <w:tcPr>
            <w:tcW w:w="2361" w:type="dxa"/>
            <w:vAlign w:val="top"/>
          </w:tcPr>
          <w:p>
            <w:pPr>
              <w:ind w:left="569"/>
              <w:spacing w:before="131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11（24.40%）</w:t>
            </w:r>
          </w:p>
          <w:p>
            <w:pPr>
              <w:ind w:left="557"/>
              <w:spacing w:before="5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34（75.60%）</w:t>
            </w:r>
          </w:p>
        </w:tc>
        <w:tc>
          <w:tcPr>
            <w:tcW w:w="1233" w:type="dxa"/>
            <w:vAlign w:val="top"/>
          </w:tcPr>
          <w:p>
            <w:pPr>
              <w:ind w:left="344"/>
              <w:spacing w:before="287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0.865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287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0.352</w:t>
            </w:r>
          </w:p>
        </w:tc>
      </w:tr>
      <w:tr>
        <w:trPr>
          <w:trHeight w:val="625" w:hRule="atLeast"/>
        </w:trPr>
        <w:tc>
          <w:tcPr>
            <w:tcW w:w="1745" w:type="dxa"/>
            <w:vAlign w:val="top"/>
            <w:gridSpan w:val="2"/>
          </w:tcPr>
          <w:p>
            <w:pPr>
              <w:ind w:left="115"/>
              <w:spacing w:before="6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饮酒史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  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有</w:t>
            </w:r>
          </w:p>
          <w:p>
            <w:pPr>
              <w:ind w:left="1343"/>
              <w:spacing w:before="6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  <w:tc>
          <w:tcPr>
            <w:tcW w:w="2396" w:type="dxa"/>
            <w:vAlign w:val="top"/>
          </w:tcPr>
          <w:p>
            <w:pPr>
              <w:ind w:left="610"/>
              <w:spacing w:before="68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12（26.70%）</w:t>
            </w:r>
          </w:p>
          <w:p>
            <w:pPr>
              <w:ind w:left="599"/>
              <w:spacing w:before="52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33（73.30%）</w:t>
            </w:r>
          </w:p>
        </w:tc>
        <w:tc>
          <w:tcPr>
            <w:tcW w:w="2361" w:type="dxa"/>
            <w:vAlign w:val="top"/>
          </w:tcPr>
          <w:p>
            <w:pPr>
              <w:ind w:left="607"/>
              <w:spacing w:before="68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8（17.80%）</w:t>
            </w:r>
          </w:p>
          <w:p>
            <w:pPr>
              <w:ind w:left="557"/>
              <w:spacing w:before="52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37（82.20%）</w:t>
            </w:r>
          </w:p>
        </w:tc>
        <w:tc>
          <w:tcPr>
            <w:tcW w:w="1233" w:type="dxa"/>
            <w:vAlign w:val="top"/>
          </w:tcPr>
          <w:p>
            <w:pPr>
              <w:ind w:left="358"/>
              <w:spacing w:before="22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position w:val="1"/>
              </w:rPr>
              <w:t>1.029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22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0.310</w:t>
            </w:r>
          </w:p>
        </w:tc>
      </w:tr>
      <w:tr>
        <w:trPr>
          <w:trHeight w:val="625" w:hRule="atLeast"/>
        </w:trPr>
        <w:tc>
          <w:tcPr>
            <w:tcW w:w="1745" w:type="dxa"/>
            <w:vAlign w:val="top"/>
            <w:gridSpan w:val="2"/>
          </w:tcPr>
          <w:p>
            <w:pPr>
              <w:ind w:left="1343" w:right="168" w:hanging="1222"/>
              <w:spacing w:before="69" w:line="25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高血压史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有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  <w:tc>
          <w:tcPr>
            <w:tcW w:w="2396" w:type="dxa"/>
            <w:vAlign w:val="top"/>
          </w:tcPr>
          <w:p>
            <w:pPr>
              <w:ind w:left="599" w:right="410" w:firstLine="258"/>
              <w:spacing w:before="69" w:line="25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8（17.80%）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37（82.20%）</w:t>
            </w:r>
          </w:p>
        </w:tc>
        <w:tc>
          <w:tcPr>
            <w:tcW w:w="2361" w:type="dxa"/>
            <w:vAlign w:val="top"/>
          </w:tcPr>
          <w:p>
            <w:pPr>
              <w:ind w:left="611"/>
              <w:spacing w:before="69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7（15.60%）</w:t>
            </w:r>
          </w:p>
          <w:p>
            <w:pPr>
              <w:ind w:left="557"/>
              <w:spacing w:before="52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38（84.40%）</w:t>
            </w:r>
          </w:p>
        </w:tc>
        <w:tc>
          <w:tcPr>
            <w:tcW w:w="1233" w:type="dxa"/>
            <w:vAlign w:val="top"/>
          </w:tcPr>
          <w:p>
            <w:pPr>
              <w:ind w:left="344"/>
              <w:spacing w:before="22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0.080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22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0.777</w:t>
            </w:r>
          </w:p>
        </w:tc>
      </w:tr>
      <w:tr>
        <w:trPr>
          <w:trHeight w:val="626" w:hRule="atLeast"/>
        </w:trPr>
        <w:tc>
          <w:tcPr>
            <w:tcW w:w="1745" w:type="dxa"/>
            <w:vAlign w:val="top"/>
            <w:gridSpan w:val="2"/>
          </w:tcPr>
          <w:p>
            <w:pPr>
              <w:ind w:left="1343" w:right="168" w:hanging="1228"/>
              <w:spacing w:before="74" w:line="25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糖尿病史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有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  <w:tc>
          <w:tcPr>
            <w:tcW w:w="2396" w:type="dxa"/>
            <w:vAlign w:val="top"/>
          </w:tcPr>
          <w:p>
            <w:pPr>
              <w:ind w:left="599"/>
              <w:spacing w:before="73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30（66.67%）</w:t>
            </w:r>
          </w:p>
          <w:p>
            <w:pPr>
              <w:ind w:left="610"/>
              <w:spacing w:before="51" w:line="21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15（33.33%）</w:t>
            </w:r>
          </w:p>
        </w:tc>
        <w:tc>
          <w:tcPr>
            <w:tcW w:w="2361" w:type="dxa"/>
            <w:vAlign w:val="top"/>
          </w:tcPr>
          <w:p>
            <w:pPr>
              <w:ind w:left="556"/>
              <w:spacing w:before="73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27（60.00%）</w:t>
            </w:r>
          </w:p>
          <w:p>
            <w:pPr>
              <w:ind w:left="569"/>
              <w:spacing w:before="51" w:line="21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18（40.00%）</w:t>
            </w:r>
          </w:p>
        </w:tc>
        <w:tc>
          <w:tcPr>
            <w:tcW w:w="1233" w:type="dxa"/>
            <w:vAlign w:val="top"/>
          </w:tcPr>
          <w:p>
            <w:pPr>
              <w:ind w:left="344"/>
              <w:spacing w:before="22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0.431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22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0.662</w:t>
            </w:r>
          </w:p>
        </w:tc>
      </w:tr>
      <w:tr>
        <w:trPr>
          <w:trHeight w:val="633" w:hRule="atLeast"/>
        </w:trPr>
        <w:tc>
          <w:tcPr>
            <w:tcW w:w="1056" w:type="dxa"/>
            <w:vAlign w:val="top"/>
          </w:tcPr>
          <w:p>
            <w:pPr>
              <w:ind w:left="121"/>
              <w:spacing w:before="7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高脂血</w:t>
            </w:r>
          </w:p>
          <w:p>
            <w:pPr>
              <w:ind w:left="115"/>
              <w:spacing w:before="6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症病史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76"/>
              <w:spacing w:before="16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有 无</w:t>
            </w:r>
          </w:p>
        </w:tc>
        <w:tc>
          <w:tcPr>
            <w:tcW w:w="2396" w:type="dxa"/>
            <w:vAlign w:val="top"/>
          </w:tcPr>
          <w:p>
            <w:pPr>
              <w:ind w:left="610"/>
              <w:spacing w:before="76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12（26.70%）</w:t>
            </w:r>
          </w:p>
          <w:p>
            <w:pPr>
              <w:ind w:left="861"/>
              <w:spacing w:before="52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33（73.3%）</w:t>
            </w:r>
          </w:p>
        </w:tc>
        <w:tc>
          <w:tcPr>
            <w:tcW w:w="2361" w:type="dxa"/>
            <w:vAlign w:val="top"/>
          </w:tcPr>
          <w:p>
            <w:pPr>
              <w:ind w:left="661"/>
              <w:spacing w:before="76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2（4.40%）</w:t>
            </w:r>
          </w:p>
          <w:p>
            <w:pPr>
              <w:ind w:left="552"/>
              <w:spacing w:before="52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43（95.60%）</w:t>
            </w:r>
          </w:p>
        </w:tc>
        <w:tc>
          <w:tcPr>
            <w:tcW w:w="1233" w:type="dxa"/>
            <w:vAlign w:val="top"/>
          </w:tcPr>
          <w:p>
            <w:pPr>
              <w:ind w:left="343"/>
              <w:spacing w:before="23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8.459</w:t>
            </w:r>
          </w:p>
        </w:tc>
        <w:tc>
          <w:tcPr>
            <w:tcW w:w="924" w:type="dxa"/>
            <w:vAlign w:val="top"/>
          </w:tcPr>
          <w:p>
            <w:pPr>
              <w:ind w:left="225"/>
              <w:spacing w:before="23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0.004</w:t>
            </w:r>
          </w:p>
        </w:tc>
      </w:tr>
      <w:tr>
        <w:trPr>
          <w:trHeight w:val="678" w:hRule="atLeast"/>
        </w:trPr>
        <w:tc>
          <w:tcPr>
            <w:tcW w:w="1056" w:type="dxa"/>
            <w:vAlign w:val="top"/>
            <w:tcBorders>
              <w:bottom w:val="single" w:color="000000" w:sz="10" w:space="0"/>
            </w:tcBorders>
          </w:tcPr>
          <w:p>
            <w:pPr>
              <w:ind w:left="114" w:right="319"/>
              <w:spacing w:before="85" w:line="26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胆石症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病史</w:t>
            </w:r>
          </w:p>
        </w:tc>
        <w:tc>
          <w:tcPr>
            <w:tcW w:w="689" w:type="dxa"/>
            <w:vAlign w:val="top"/>
            <w:textDirection w:val="tbRlV"/>
            <w:tcBorders>
              <w:bottom w:val="single" w:color="000000" w:sz="10" w:space="0"/>
            </w:tcBorders>
          </w:tcPr>
          <w:p>
            <w:pPr>
              <w:ind w:left="84"/>
              <w:spacing w:before="16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有 无</w:t>
            </w:r>
          </w:p>
        </w:tc>
        <w:tc>
          <w:tcPr>
            <w:tcW w:w="2396" w:type="dxa"/>
            <w:vAlign w:val="top"/>
            <w:tcBorders>
              <w:bottom w:val="single" w:color="000000" w:sz="10" w:space="0"/>
            </w:tcBorders>
          </w:tcPr>
          <w:p>
            <w:pPr>
              <w:ind w:left="913"/>
              <w:spacing w:before="84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3（6.70%）</w:t>
            </w:r>
          </w:p>
          <w:p>
            <w:pPr>
              <w:ind w:left="594"/>
              <w:spacing w:before="5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42（93.30%）</w:t>
            </w:r>
          </w:p>
        </w:tc>
        <w:tc>
          <w:tcPr>
            <w:tcW w:w="2361" w:type="dxa"/>
            <w:vAlign w:val="top"/>
            <w:tcBorders>
              <w:bottom w:val="single" w:color="000000" w:sz="10" w:space="0"/>
            </w:tcBorders>
          </w:tcPr>
          <w:p>
            <w:pPr>
              <w:ind w:left="674"/>
              <w:spacing w:before="84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1（2.20%）</w:t>
            </w:r>
          </w:p>
          <w:p>
            <w:pPr>
              <w:ind w:left="552"/>
              <w:spacing w:before="5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44（97.80%）</w:t>
            </w:r>
          </w:p>
        </w:tc>
        <w:tc>
          <w:tcPr>
            <w:tcW w:w="1233" w:type="dxa"/>
            <w:vAlign w:val="top"/>
            <w:tcBorders>
              <w:bottom w:val="single" w:color="000000" w:sz="10" w:space="0"/>
            </w:tcBorders>
          </w:tcPr>
          <w:p>
            <w:pPr>
              <w:ind w:left="358"/>
              <w:spacing w:before="240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position w:val="1"/>
              </w:rPr>
              <w:t>1.047</w:t>
            </w:r>
          </w:p>
        </w:tc>
        <w:tc>
          <w:tcPr>
            <w:tcW w:w="924" w:type="dxa"/>
            <w:vAlign w:val="top"/>
            <w:tcBorders>
              <w:bottom w:val="single" w:color="000000" w:sz="10" w:space="0"/>
            </w:tcBorders>
          </w:tcPr>
          <w:p>
            <w:pPr>
              <w:ind w:left="225"/>
              <w:spacing w:before="240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0.616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489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9</w:t>
      </w:r>
    </w:p>
    <w:p>
      <w:pPr>
        <w:spacing w:line="181" w:lineRule="auto"/>
        <w:sectPr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4"/>
        <w:spacing w:before="180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2.临床表现</w:t>
      </w:r>
    </w:p>
    <w:p>
      <w:pPr>
        <w:ind w:left="1023" w:right="99" w:firstLine="452"/>
        <w:spacing w:before="182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患者的临床表现复杂，有些临床表现可能对疾病的诊断存在价值</w:t>
      </w:r>
      <w:r>
        <w:rPr>
          <w:rFonts w:ascii="SimSun" w:hAnsi="SimSun" w:eastAsia="SimSun" w:cs="SimSun"/>
          <w:sz w:val="24"/>
          <w:szCs w:val="24"/>
          <w:spacing w:val="1"/>
        </w:rPr>
        <w:t>，在本研究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中，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组患者有恶心呕吐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21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例（46.70</w:t>
      </w:r>
      <w:r>
        <w:rPr>
          <w:rFonts w:ascii="SimSun" w:hAnsi="SimSun" w:eastAsia="SimSun" w:cs="SimSun"/>
          <w:sz w:val="24"/>
          <w:szCs w:val="24"/>
          <w:spacing w:val="-2"/>
        </w:rPr>
        <w:t>%</w:t>
      </w:r>
      <w:r>
        <w:rPr>
          <w:rFonts w:ascii="SimSun" w:hAnsi="SimSun" w:eastAsia="SimSun" w:cs="SimSun"/>
          <w:sz w:val="24"/>
          <w:szCs w:val="24"/>
          <w:spacing w:val="3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30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例（66.67%</w:t>
      </w:r>
      <w:r>
        <w:rPr>
          <w:rFonts w:ascii="SimSun" w:hAnsi="SimSun" w:eastAsia="SimSun" w:cs="SimSun"/>
          <w:sz w:val="24"/>
          <w:szCs w:val="24"/>
          <w:spacing w:val="3"/>
        </w:rPr>
        <w:t>）；</w:t>
      </w:r>
    </w:p>
    <w:p>
      <w:pPr>
        <w:ind w:left="996" w:right="37"/>
        <w:spacing w:before="5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组患者有腹痛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35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例（77.80%</w:t>
      </w:r>
      <w:r>
        <w:rPr>
          <w:rFonts w:ascii="SimSun" w:hAnsi="SimSun" w:eastAsia="SimSun" w:cs="SimSun"/>
          <w:sz w:val="24"/>
          <w:szCs w:val="24"/>
          <w:spacing w:val="-5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组患者有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6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例（13.30%</w:t>
      </w:r>
      <w:r>
        <w:rPr>
          <w:rFonts w:ascii="SimSun" w:hAnsi="SimSun" w:eastAsia="SimSun" w:cs="SimSun"/>
          <w:sz w:val="24"/>
          <w:szCs w:val="24"/>
          <w:spacing w:val="-5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DKA-AP </w:t>
      </w:r>
      <w:r>
        <w:rPr>
          <w:rFonts w:ascii="SimSun" w:hAnsi="SimSun" w:eastAsia="SimSun" w:cs="SimSun"/>
          <w:sz w:val="24"/>
          <w:szCs w:val="24"/>
          <w:spacing w:val="-2"/>
        </w:rPr>
        <w:t>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患者有三多一少症状（多饮、多食、多尿、消瘦）10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例（22.20%</w:t>
      </w:r>
      <w:r>
        <w:rPr>
          <w:rFonts w:ascii="SimSun" w:hAnsi="SimSun" w:eastAsia="SimSun" w:cs="SimSun"/>
          <w:sz w:val="24"/>
          <w:szCs w:val="24"/>
          <w:spacing w:val="7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15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例（33.33%</w:t>
      </w:r>
      <w:r>
        <w:rPr>
          <w:rFonts w:ascii="SimSun" w:hAnsi="SimSun" w:eastAsia="SimSun" w:cs="SimSun"/>
          <w:sz w:val="24"/>
          <w:szCs w:val="24"/>
          <w:spacing w:val="-11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DKA-AP </w:t>
      </w:r>
      <w:r>
        <w:rPr>
          <w:rFonts w:ascii="SimSun" w:hAnsi="SimSun" w:eastAsia="SimSun" w:cs="SimSun"/>
          <w:sz w:val="24"/>
          <w:szCs w:val="24"/>
          <w:spacing w:val="-2"/>
        </w:rPr>
        <w:t>组患者有发热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例（8.90%</w:t>
      </w:r>
      <w:r>
        <w:rPr>
          <w:rFonts w:ascii="SimSun" w:hAnsi="SimSun" w:eastAsia="SimSun" w:cs="SimSun"/>
          <w:sz w:val="24"/>
          <w:szCs w:val="24"/>
          <w:spacing w:val="-11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例（2.20%</w:t>
      </w:r>
      <w:r>
        <w:rPr>
          <w:rFonts w:ascii="SimSun" w:hAnsi="SimSun" w:eastAsia="SimSun" w:cs="SimSun"/>
          <w:sz w:val="24"/>
          <w:szCs w:val="24"/>
          <w:spacing w:val="-11"/>
        </w:rPr>
        <w:t>），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组患者意识改变有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6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例（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13.33%</w:t>
      </w:r>
      <w:r>
        <w:rPr>
          <w:rFonts w:ascii="SimSun" w:hAnsi="SimSun" w:eastAsia="SimSun" w:cs="SimSun"/>
          <w:sz w:val="24"/>
          <w:szCs w:val="24"/>
          <w:spacing w:val="15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组患者为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例（8.89%</w:t>
      </w:r>
      <w:r>
        <w:rPr>
          <w:rFonts w:ascii="SimSun" w:hAnsi="SimSun" w:eastAsia="SimSun" w:cs="SimSun"/>
          <w:sz w:val="24"/>
          <w:szCs w:val="24"/>
          <w:spacing w:val="15"/>
        </w:rPr>
        <w:t>），</w:t>
      </w:r>
      <w:r>
        <w:rPr>
          <w:rFonts w:ascii="SimSun" w:hAnsi="SimSun" w:eastAsia="SimSun" w:cs="SimSun"/>
          <w:sz w:val="24"/>
          <w:szCs w:val="24"/>
          <w:spacing w:val="-1"/>
        </w:rPr>
        <w:t>入院后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组腹痛持续时间为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3（1，5）天，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KA </w:t>
      </w:r>
      <w:r>
        <w:rPr>
          <w:rFonts w:ascii="SimSun" w:hAnsi="SimSun" w:eastAsia="SimSun" w:cs="SimSun"/>
          <w:sz w:val="24"/>
          <w:szCs w:val="24"/>
          <w:spacing w:val="-2"/>
        </w:rPr>
        <w:t>组为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0（0，0）天。上述临床症状两组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间比较，其中在恶心呕吐、三多一少症状、发热、意识改变方面均无统计学意义（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rFonts w:ascii="SimSun" w:hAnsi="SimSun" w:eastAsia="SimSun" w:cs="SimSun"/>
          <w:sz w:val="24"/>
          <w:szCs w:val="24"/>
          <w:spacing w:val="1"/>
        </w:rPr>
        <w:t>＞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0.05</w:t>
      </w:r>
      <w:r>
        <w:rPr>
          <w:rFonts w:ascii="SimSun" w:hAnsi="SimSun" w:eastAsia="SimSun" w:cs="SimSun"/>
          <w:sz w:val="24"/>
          <w:szCs w:val="24"/>
          <w:spacing w:val="-51"/>
          <w:w w:val="82"/>
        </w:rPr>
        <w:t>），</w:t>
      </w:r>
      <w:r>
        <w:rPr>
          <w:rFonts w:ascii="SimSun" w:hAnsi="SimSun" w:eastAsia="SimSun" w:cs="SimSun"/>
          <w:sz w:val="24"/>
          <w:szCs w:val="24"/>
          <w:spacing w:val="-8"/>
        </w:rPr>
        <w:t>在腹痛、入院后腹痛持续时间方面，两组间比较均</w:t>
      </w:r>
      <w:r>
        <w:rPr>
          <w:rFonts w:ascii="SimSun" w:hAnsi="SimSun" w:eastAsia="SimSun" w:cs="SimSun"/>
          <w:sz w:val="24"/>
          <w:szCs w:val="24"/>
          <w:spacing w:val="-9"/>
        </w:rPr>
        <w:t>有统计学差异，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9"/>
        </w:rPr>
        <w:t>P </w:t>
      </w:r>
      <w:r>
        <w:rPr>
          <w:rFonts w:ascii="SimSun" w:hAnsi="SimSun" w:eastAsia="SimSun" w:cs="SimSun"/>
          <w:sz w:val="24"/>
          <w:szCs w:val="24"/>
          <w:spacing w:val="-9"/>
        </w:rPr>
        <w:t>值均＜0.001，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详见表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2。</w:t>
      </w:r>
    </w:p>
    <w:p>
      <w:pPr>
        <w:pStyle w:val="BodyText"/>
        <w:spacing w:line="316" w:lineRule="auto"/>
        <w:rPr/>
      </w:pPr>
      <w:r/>
    </w:p>
    <w:p>
      <w:pPr>
        <w:ind w:left="368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表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2.</w:t>
      </w:r>
      <w:r>
        <w:rPr>
          <w:rFonts w:ascii="Times New Roman" w:hAnsi="Times New Roman" w:eastAsia="Times New Roman" w:cs="Times New Roman"/>
          <w:sz w:val="20"/>
          <w:szCs w:val="20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组与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组临床表现比较</w:t>
      </w:r>
    </w:p>
    <w:p>
      <w:pPr>
        <w:spacing w:line="19" w:lineRule="exact"/>
        <w:rPr/>
      </w:pPr>
      <w:r/>
    </w:p>
    <w:tbl>
      <w:tblPr>
        <w:tblStyle w:val="TableNormal"/>
        <w:tblW w:w="8799" w:type="dxa"/>
        <w:tblInd w:w="1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1"/>
        <w:gridCol w:w="961"/>
        <w:gridCol w:w="2094"/>
        <w:gridCol w:w="2185"/>
        <w:gridCol w:w="1477"/>
        <w:gridCol w:w="1131"/>
      </w:tblGrid>
      <w:tr>
        <w:trPr>
          <w:trHeight w:val="724" w:hRule="atLeast"/>
        </w:trPr>
        <w:tc>
          <w:tcPr>
            <w:tcW w:w="1912" w:type="dxa"/>
            <w:vAlign w:val="top"/>
            <w:gridSpan w:val="2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47"/>
              <w:spacing w:before="2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临床表现</w:t>
            </w:r>
          </w:p>
        </w:tc>
        <w:tc>
          <w:tcPr>
            <w:tcW w:w="209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41"/>
              <w:spacing w:before="254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5"/>
              </w:rPr>
              <w:t>-</w:t>
            </w:r>
            <w:r>
              <w:rPr/>
              <w:t>AP</w:t>
            </w:r>
            <w:r>
              <w:rPr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pacing w:val="15"/>
              </w:rPr>
              <w:t>组</w:t>
            </w:r>
          </w:p>
        </w:tc>
        <w:tc>
          <w:tcPr>
            <w:tcW w:w="218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876"/>
              <w:spacing w:before="254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6"/>
              </w:rPr>
              <w:t>组</w:t>
            </w:r>
          </w:p>
        </w:tc>
        <w:tc>
          <w:tcPr>
            <w:tcW w:w="147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41"/>
              <w:spacing w:before="9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统计量值</w:t>
            </w:r>
          </w:p>
          <w:p>
            <w:pPr>
              <w:pStyle w:val="TableText"/>
              <w:ind w:left="453"/>
              <w:spacing w:before="65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"/>
              </w:rPr>
              <w:t>（</w:t>
            </w:r>
            <w:r>
              <w:rPr>
                <w:spacing w:val="1"/>
              </w:rPr>
              <w:t>Z/X</w:t>
            </w:r>
            <w:r>
              <w:rPr>
                <w:sz w:val="13"/>
                <w:szCs w:val="13"/>
                <w:spacing w:val="1"/>
                <w:position w:val="6"/>
              </w:rPr>
              <w:t>2</w:t>
            </w:r>
            <w:r>
              <w:rPr>
                <w:rFonts w:ascii="SimSun" w:hAnsi="SimSun" w:eastAsia="SimSun" w:cs="SimSun"/>
                <w:spacing w:val="1"/>
              </w:rPr>
              <w:t>）</w:t>
            </w:r>
          </w:p>
        </w:tc>
        <w:tc>
          <w:tcPr>
            <w:tcW w:w="113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64"/>
              <w:spacing w:before="253" w:line="22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6"/>
              </w:rPr>
              <w:t>P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值</w:t>
            </w:r>
          </w:p>
        </w:tc>
      </w:tr>
      <w:tr>
        <w:trPr>
          <w:trHeight w:val="678" w:hRule="atLeast"/>
        </w:trPr>
        <w:tc>
          <w:tcPr>
            <w:tcW w:w="951" w:type="dxa"/>
            <w:vAlign w:val="top"/>
            <w:tcBorders>
              <w:top w:val="single" w:color="000000" w:sz="10" w:space="0"/>
            </w:tcBorders>
          </w:tcPr>
          <w:p>
            <w:pPr>
              <w:ind w:left="117"/>
              <w:spacing w:before="87" w:line="23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恶心</w:t>
            </w:r>
          </w:p>
          <w:p>
            <w:pPr>
              <w:ind w:left="126"/>
              <w:spacing w:before="56" w:line="23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呕吐</w:t>
            </w:r>
          </w:p>
        </w:tc>
        <w:tc>
          <w:tcPr>
            <w:tcW w:w="961" w:type="dxa"/>
            <w:vAlign w:val="top"/>
            <w:textDirection w:val="tbRlV"/>
            <w:tcBorders>
              <w:top w:val="single" w:color="000000" w:sz="10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67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有 无</w:t>
            </w:r>
          </w:p>
        </w:tc>
        <w:tc>
          <w:tcPr>
            <w:tcW w:w="2094" w:type="dxa"/>
            <w:vAlign w:val="top"/>
            <w:tcBorders>
              <w:top w:val="single" w:color="000000" w:sz="10" w:space="0"/>
            </w:tcBorders>
          </w:tcPr>
          <w:p>
            <w:pPr>
              <w:ind w:left="347"/>
              <w:spacing w:before="87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21（46.70%）</w:t>
            </w:r>
          </w:p>
          <w:p>
            <w:pPr>
              <w:ind w:left="347"/>
              <w:spacing w:before="5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24（53.30%）</w:t>
            </w:r>
          </w:p>
        </w:tc>
        <w:tc>
          <w:tcPr>
            <w:tcW w:w="2185" w:type="dxa"/>
            <w:vAlign w:val="top"/>
            <w:tcBorders>
              <w:top w:val="single" w:color="000000" w:sz="10" w:space="0"/>
            </w:tcBorders>
          </w:tcPr>
          <w:p>
            <w:pPr>
              <w:ind w:left="614"/>
              <w:spacing w:before="87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30（66.67%）</w:t>
            </w:r>
          </w:p>
          <w:p>
            <w:pPr>
              <w:ind w:left="625"/>
              <w:spacing w:before="5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15（33.33%）</w:t>
            </w:r>
          </w:p>
        </w:tc>
        <w:tc>
          <w:tcPr>
            <w:tcW w:w="1477" w:type="dxa"/>
            <w:vAlign w:val="top"/>
            <w:tcBorders>
              <w:top w:val="single" w:color="000000" w:sz="10" w:space="0"/>
            </w:tcBorders>
          </w:tcPr>
          <w:p>
            <w:pPr>
              <w:ind w:left="599"/>
              <w:spacing w:before="244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3.665</w:t>
            </w:r>
          </w:p>
        </w:tc>
        <w:tc>
          <w:tcPr>
            <w:tcW w:w="1131" w:type="dxa"/>
            <w:vAlign w:val="top"/>
            <w:tcBorders>
              <w:top w:val="single" w:color="000000" w:sz="10" w:space="0"/>
            </w:tcBorders>
          </w:tcPr>
          <w:p>
            <w:pPr>
              <w:ind w:left="312"/>
              <w:spacing w:before="244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0.088</w:t>
            </w:r>
          </w:p>
        </w:tc>
      </w:tr>
      <w:tr>
        <w:trPr>
          <w:trHeight w:val="659" w:hRule="atLeast"/>
        </w:trPr>
        <w:tc>
          <w:tcPr>
            <w:tcW w:w="1912" w:type="dxa"/>
            <w:vAlign w:val="top"/>
            <w:gridSpan w:val="2"/>
          </w:tcPr>
          <w:p>
            <w:pPr>
              <w:ind w:left="116"/>
              <w:spacing w:before="8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腹痛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     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有</w:t>
            </w:r>
          </w:p>
          <w:p>
            <w:pPr>
              <w:ind w:left="1330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  <w:tc>
          <w:tcPr>
            <w:tcW w:w="2094" w:type="dxa"/>
            <w:vAlign w:val="top"/>
          </w:tcPr>
          <w:p>
            <w:pPr>
              <w:ind w:left="349"/>
              <w:spacing w:before="89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35（77.80%）</w:t>
            </w:r>
          </w:p>
          <w:p>
            <w:pPr>
              <w:ind w:left="360"/>
              <w:spacing w:before="51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10（22.20%）</w:t>
            </w:r>
          </w:p>
        </w:tc>
        <w:tc>
          <w:tcPr>
            <w:tcW w:w="2185" w:type="dxa"/>
            <w:vAlign w:val="top"/>
          </w:tcPr>
          <w:p>
            <w:pPr>
              <w:ind w:left="664"/>
              <w:spacing w:before="89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6（13.30%）</w:t>
            </w:r>
          </w:p>
          <w:p>
            <w:pPr>
              <w:ind w:left="614"/>
              <w:spacing w:before="51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39（86.70%）</w:t>
            </w:r>
          </w:p>
        </w:tc>
        <w:tc>
          <w:tcPr>
            <w:tcW w:w="1477" w:type="dxa"/>
            <w:vAlign w:val="top"/>
          </w:tcPr>
          <w:p>
            <w:pPr>
              <w:ind w:left="546"/>
              <w:spacing w:before="24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37.675</w:t>
            </w:r>
          </w:p>
        </w:tc>
        <w:tc>
          <w:tcPr>
            <w:tcW w:w="1131" w:type="dxa"/>
            <w:vAlign w:val="top"/>
          </w:tcPr>
          <w:p>
            <w:pPr>
              <w:ind w:left="220"/>
              <w:spacing w:before="24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  <w:position w:val="1"/>
              </w:rPr>
              <w:t>&lt;0.001</w:t>
            </w:r>
          </w:p>
        </w:tc>
      </w:tr>
      <w:tr>
        <w:trPr>
          <w:trHeight w:val="644" w:hRule="atLeast"/>
        </w:trPr>
        <w:tc>
          <w:tcPr>
            <w:tcW w:w="951" w:type="dxa"/>
            <w:vAlign w:val="top"/>
          </w:tcPr>
          <w:p>
            <w:pPr>
              <w:ind w:left="116"/>
              <w:spacing w:before="75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三多一</w:t>
            </w:r>
          </w:p>
          <w:p>
            <w:pPr>
              <w:ind w:left="117"/>
              <w:spacing w:before="6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少症状</w:t>
            </w:r>
          </w:p>
        </w:tc>
        <w:tc>
          <w:tcPr>
            <w:tcW w:w="961" w:type="dxa"/>
            <w:vAlign w:val="top"/>
            <w:textDirection w:val="tbRlV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75"/>
              <w:spacing w:before="67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有 无</w:t>
            </w:r>
          </w:p>
        </w:tc>
        <w:tc>
          <w:tcPr>
            <w:tcW w:w="2094" w:type="dxa"/>
            <w:vAlign w:val="top"/>
          </w:tcPr>
          <w:p>
            <w:pPr>
              <w:ind w:left="360"/>
              <w:spacing w:before="75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10（22.20%）</w:t>
            </w:r>
          </w:p>
          <w:p>
            <w:pPr>
              <w:ind w:left="349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35（77.80%）</w:t>
            </w:r>
          </w:p>
        </w:tc>
        <w:tc>
          <w:tcPr>
            <w:tcW w:w="2185" w:type="dxa"/>
            <w:vAlign w:val="top"/>
          </w:tcPr>
          <w:p>
            <w:pPr>
              <w:ind w:left="625"/>
              <w:spacing w:before="75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15（33.33%）</w:t>
            </w:r>
          </w:p>
          <w:p>
            <w:pPr>
              <w:ind w:left="614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30（66.67%）</w:t>
            </w:r>
          </w:p>
        </w:tc>
        <w:tc>
          <w:tcPr>
            <w:tcW w:w="1477" w:type="dxa"/>
            <w:vAlign w:val="top"/>
          </w:tcPr>
          <w:p>
            <w:pPr>
              <w:ind w:left="610"/>
              <w:spacing w:before="23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position w:val="1"/>
              </w:rPr>
              <w:t>1.385</w:t>
            </w:r>
          </w:p>
        </w:tc>
        <w:tc>
          <w:tcPr>
            <w:tcW w:w="1131" w:type="dxa"/>
            <w:vAlign w:val="top"/>
          </w:tcPr>
          <w:p>
            <w:pPr>
              <w:ind w:left="312"/>
              <w:spacing w:before="23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0.239</w:t>
            </w:r>
          </w:p>
        </w:tc>
      </w:tr>
      <w:tr>
        <w:trPr>
          <w:trHeight w:val="643" w:hRule="atLeast"/>
        </w:trPr>
        <w:tc>
          <w:tcPr>
            <w:tcW w:w="1912" w:type="dxa"/>
            <w:vAlign w:val="top"/>
            <w:gridSpan w:val="2"/>
          </w:tcPr>
          <w:p>
            <w:pPr>
              <w:ind w:left="119"/>
              <w:spacing w:before="8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发热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     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有</w:t>
            </w:r>
          </w:p>
          <w:p>
            <w:pPr>
              <w:ind w:left="1330"/>
              <w:spacing w:before="6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  <w:tc>
          <w:tcPr>
            <w:tcW w:w="2094" w:type="dxa"/>
            <w:vAlign w:val="top"/>
          </w:tcPr>
          <w:p>
            <w:pPr>
              <w:ind w:left="447"/>
              <w:spacing w:before="79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4（8.90%）</w:t>
            </w:r>
          </w:p>
          <w:p>
            <w:pPr>
              <w:ind w:left="344"/>
              <w:spacing w:before="51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41（91.10%）</w:t>
            </w:r>
          </w:p>
        </w:tc>
        <w:tc>
          <w:tcPr>
            <w:tcW w:w="2185" w:type="dxa"/>
            <w:vAlign w:val="top"/>
          </w:tcPr>
          <w:p>
            <w:pPr>
              <w:ind w:left="731"/>
              <w:spacing w:before="79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1（2.20%）</w:t>
            </w:r>
          </w:p>
          <w:p>
            <w:pPr>
              <w:ind w:left="609"/>
              <w:spacing w:before="51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44（97.80%）</w:t>
            </w:r>
          </w:p>
        </w:tc>
        <w:tc>
          <w:tcPr>
            <w:tcW w:w="1477" w:type="dxa"/>
            <w:vAlign w:val="top"/>
          </w:tcPr>
          <w:p>
            <w:pPr>
              <w:ind w:left="596"/>
              <w:spacing w:before="23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0.847</w:t>
            </w:r>
          </w:p>
        </w:tc>
        <w:tc>
          <w:tcPr>
            <w:tcW w:w="1131" w:type="dxa"/>
            <w:vAlign w:val="top"/>
          </w:tcPr>
          <w:p>
            <w:pPr>
              <w:ind w:left="312"/>
              <w:spacing w:before="23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0.375</w:t>
            </w:r>
          </w:p>
        </w:tc>
      </w:tr>
      <w:tr>
        <w:trPr>
          <w:trHeight w:val="659" w:hRule="atLeast"/>
        </w:trPr>
        <w:tc>
          <w:tcPr>
            <w:tcW w:w="951" w:type="dxa"/>
            <w:vAlign w:val="top"/>
          </w:tcPr>
          <w:p>
            <w:pPr>
              <w:ind w:left="121"/>
              <w:spacing w:before="82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意识</w:t>
            </w:r>
          </w:p>
          <w:p>
            <w:pPr>
              <w:ind w:left="123"/>
              <w:spacing w:before="6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改变</w:t>
            </w:r>
          </w:p>
        </w:tc>
        <w:tc>
          <w:tcPr>
            <w:tcW w:w="961" w:type="dxa"/>
            <w:vAlign w:val="top"/>
            <w:textDirection w:val="tbRlV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67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有 无</w:t>
            </w:r>
          </w:p>
        </w:tc>
        <w:tc>
          <w:tcPr>
            <w:tcW w:w="2094" w:type="dxa"/>
            <w:vAlign w:val="top"/>
          </w:tcPr>
          <w:p>
            <w:pPr>
              <w:ind w:left="399"/>
              <w:spacing w:before="8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6（13.33%）</w:t>
            </w:r>
          </w:p>
          <w:p>
            <w:pPr>
              <w:ind w:left="349"/>
              <w:spacing w:before="52" w:line="23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39（86.67%）</w:t>
            </w:r>
          </w:p>
        </w:tc>
        <w:tc>
          <w:tcPr>
            <w:tcW w:w="2185" w:type="dxa"/>
            <w:vAlign w:val="top"/>
          </w:tcPr>
          <w:p>
            <w:pPr>
              <w:ind w:left="715"/>
              <w:spacing w:before="82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4（8.89%）</w:t>
            </w:r>
          </w:p>
          <w:p>
            <w:pPr>
              <w:ind w:left="609"/>
              <w:spacing w:before="52" w:line="23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41（91.11%）</w:t>
            </w:r>
          </w:p>
        </w:tc>
        <w:tc>
          <w:tcPr>
            <w:tcW w:w="1477" w:type="dxa"/>
            <w:vAlign w:val="top"/>
          </w:tcPr>
          <w:p>
            <w:pPr>
              <w:ind w:left="596"/>
              <w:spacing w:before="23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0.450</w:t>
            </w:r>
          </w:p>
        </w:tc>
        <w:tc>
          <w:tcPr>
            <w:tcW w:w="1131" w:type="dxa"/>
            <w:vAlign w:val="top"/>
          </w:tcPr>
          <w:p>
            <w:pPr>
              <w:ind w:left="312"/>
              <w:spacing w:before="23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0.502</w:t>
            </w:r>
          </w:p>
        </w:tc>
      </w:tr>
      <w:tr>
        <w:trPr>
          <w:trHeight w:val="721" w:hRule="atLeast"/>
        </w:trPr>
        <w:tc>
          <w:tcPr>
            <w:tcW w:w="1912" w:type="dxa"/>
            <w:vAlign w:val="top"/>
            <w:gridSpan w:val="2"/>
            <w:tcBorders>
              <w:bottom w:val="single" w:color="000000" w:sz="10" w:space="0"/>
            </w:tcBorders>
          </w:tcPr>
          <w:p>
            <w:pPr>
              <w:ind w:left="126" w:right="325" w:hanging="10"/>
              <w:spacing w:before="102" w:line="28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45"/>
              </w:rPr>
              <w:t>腹痛持续时间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-1"/>
              </w:rPr>
              <w:t>（天）</w:t>
            </w:r>
          </w:p>
        </w:tc>
        <w:tc>
          <w:tcPr>
            <w:tcW w:w="2094" w:type="dxa"/>
            <w:vAlign w:val="top"/>
            <w:tcBorders>
              <w:bottom w:val="single" w:color="000000" w:sz="10" w:space="0"/>
            </w:tcBorders>
          </w:tcPr>
          <w:p>
            <w:pPr>
              <w:ind w:left="505"/>
              <w:spacing w:before="258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3（1，5）</w:t>
            </w:r>
          </w:p>
        </w:tc>
        <w:tc>
          <w:tcPr>
            <w:tcW w:w="2185" w:type="dxa"/>
            <w:vAlign w:val="top"/>
            <w:tcBorders>
              <w:bottom w:val="single" w:color="000000" w:sz="10" w:space="0"/>
            </w:tcBorders>
          </w:tcPr>
          <w:p>
            <w:pPr>
              <w:ind w:left="770"/>
              <w:spacing w:before="258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0（0，0）</w:t>
            </w:r>
          </w:p>
        </w:tc>
        <w:tc>
          <w:tcPr>
            <w:tcW w:w="1477" w:type="dxa"/>
            <w:vAlign w:val="top"/>
            <w:tcBorders>
              <w:bottom w:val="single" w:color="000000" w:sz="10" w:space="0"/>
            </w:tcBorders>
          </w:tcPr>
          <w:p>
            <w:pPr>
              <w:ind w:left="540"/>
              <w:spacing w:before="25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-6.636</w:t>
            </w:r>
          </w:p>
        </w:tc>
        <w:tc>
          <w:tcPr>
            <w:tcW w:w="1131" w:type="dxa"/>
            <w:vAlign w:val="top"/>
            <w:tcBorders>
              <w:bottom w:val="single" w:color="000000" w:sz="10" w:space="0"/>
            </w:tcBorders>
          </w:tcPr>
          <w:p>
            <w:pPr>
              <w:ind w:left="220"/>
              <w:spacing w:before="25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  <w:position w:val="1"/>
              </w:rPr>
              <w:t>&lt;0.001</w:t>
            </w:r>
          </w:p>
        </w:tc>
      </w:tr>
    </w:tbl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06"/>
        <w:spacing w:before="78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3.实验室及影像学检查</w:t>
      </w:r>
    </w:p>
    <w:p>
      <w:pPr>
        <w:ind w:left="1002" w:right="178" w:firstLine="597"/>
        <w:spacing w:before="185" w:line="35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将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DKA-AP </w:t>
      </w:r>
      <w:r>
        <w:rPr>
          <w:rFonts w:ascii="SimSun" w:hAnsi="SimSun" w:eastAsia="SimSun" w:cs="SimSun"/>
          <w:sz w:val="24"/>
          <w:szCs w:val="24"/>
        </w:rPr>
        <w:t>组和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 </w:t>
      </w:r>
      <w:r>
        <w:rPr>
          <w:rFonts w:ascii="SimSun" w:hAnsi="SimSun" w:eastAsia="SimSun" w:cs="SimSun"/>
          <w:sz w:val="24"/>
          <w:szCs w:val="24"/>
        </w:rPr>
        <w:t>组的实验室检查纳入单</w:t>
      </w:r>
      <w:r>
        <w:rPr>
          <w:rFonts w:ascii="SimSun" w:hAnsi="SimSun" w:eastAsia="SimSun" w:cs="SimSun"/>
          <w:sz w:val="24"/>
          <w:szCs w:val="24"/>
          <w:spacing w:val="-1"/>
        </w:rPr>
        <w:t>因素分析，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组患者的红细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胞比容为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46.76%±5.24%，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44.46%±4.36%，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-AP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组高于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组，</w:t>
      </w:r>
    </w:p>
    <w:p>
      <w:pPr>
        <w:ind w:left="1000" w:firstLine="1"/>
        <w:spacing w:before="3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P</w:t>
      </w:r>
      <w:r>
        <w:rPr>
          <w:rFonts w:ascii="SimSun" w:hAnsi="SimSun" w:eastAsia="SimSun" w:cs="SimSun"/>
          <w:sz w:val="24"/>
          <w:szCs w:val="24"/>
          <w:spacing w:val="-4"/>
        </w:rPr>
        <w:t>=0.027</w:t>
      </w:r>
      <w:r>
        <w:rPr>
          <w:rFonts w:ascii="SimSun" w:hAnsi="SimSun" w:eastAsia="SimSun" w:cs="SimSun"/>
          <w:sz w:val="24"/>
          <w:szCs w:val="24"/>
          <w:spacing w:val="-58"/>
          <w:w w:val="91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DKA-AP </w:t>
      </w:r>
      <w:r>
        <w:rPr>
          <w:rFonts w:ascii="SimSun" w:hAnsi="SimSun" w:eastAsia="SimSun" w:cs="SimSun"/>
          <w:sz w:val="24"/>
          <w:szCs w:val="24"/>
          <w:spacing w:val="-4"/>
        </w:rPr>
        <w:t>组患者的红细胞计数为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5.29</w:t>
      </w:r>
      <w:r>
        <w:rPr>
          <w:rFonts w:ascii="SimSun" w:hAnsi="SimSun" w:eastAsia="SimSun" w:cs="SimSun"/>
          <w:sz w:val="24"/>
          <w:szCs w:val="24"/>
          <w:spacing w:val="-5"/>
        </w:rPr>
        <w:t>±0.67（*10</w:t>
      </w:r>
      <w:r>
        <w:rPr>
          <w:rFonts w:ascii="SimSun" w:hAnsi="SimSun" w:eastAsia="SimSun" w:cs="SimSun"/>
          <w:sz w:val="12"/>
          <w:szCs w:val="12"/>
          <w:spacing w:val="-5"/>
          <w:position w:val="11"/>
        </w:rPr>
        <w:t>9</w:t>
      </w:r>
      <w:r>
        <w:rPr>
          <w:rFonts w:ascii="SimSun" w:hAnsi="SimSun" w:eastAsia="SimSun" w:cs="SimSun"/>
          <w:sz w:val="24"/>
          <w:szCs w:val="24"/>
          <w:spacing w:val="-5"/>
        </w:rPr>
        <w:t>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/L，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组患者为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4.91±0.51（*10</w:t>
      </w:r>
      <w:r>
        <w:rPr>
          <w:rFonts w:ascii="SimSun" w:hAnsi="SimSun" w:eastAsia="SimSun" w:cs="SimSun"/>
          <w:sz w:val="12"/>
          <w:szCs w:val="12"/>
          <w:spacing w:val="-1"/>
          <w:position w:val="11"/>
        </w:rPr>
        <w:t>9</w:t>
      </w:r>
      <w:r>
        <w:rPr>
          <w:rFonts w:ascii="SimSun" w:hAnsi="SimSun" w:eastAsia="SimSun" w:cs="SimSun"/>
          <w:sz w:val="24"/>
          <w:szCs w:val="24"/>
          <w:spacing w:val="-1"/>
        </w:rPr>
        <w:t>/L</w:t>
      </w:r>
      <w:r>
        <w:rPr>
          <w:rFonts w:ascii="SimSun" w:hAnsi="SimSun" w:eastAsia="SimSun" w:cs="SimSun"/>
          <w:sz w:val="24"/>
          <w:szCs w:val="24"/>
          <w:spacing w:val="-14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-AP </w:t>
      </w:r>
      <w:r>
        <w:rPr>
          <w:rFonts w:ascii="SimSun" w:hAnsi="SimSun" w:eastAsia="SimSun" w:cs="SimSun"/>
          <w:sz w:val="24"/>
          <w:szCs w:val="24"/>
          <w:spacing w:val="-2"/>
        </w:rPr>
        <w:t>组高于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组，两组比较有统计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1"/>
        </w:rPr>
        <w:t>=0.003</w:t>
      </w:r>
      <w:r>
        <w:rPr>
          <w:rFonts w:ascii="SimSun" w:hAnsi="SimSun" w:eastAsia="SimSun" w:cs="SimSun"/>
          <w:sz w:val="24"/>
          <w:szCs w:val="24"/>
          <w:spacing w:val="2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组患者的血红蛋白 164(148,186)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g/L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154(141,165.5)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g/L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组高于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1"/>
        </w:rPr>
        <w:t>=0.017</w:t>
      </w:r>
      <w:r>
        <w:rPr>
          <w:rFonts w:ascii="SimSun" w:hAnsi="SimSun" w:eastAsia="SimSun" w:cs="SimSun"/>
          <w:sz w:val="24"/>
          <w:szCs w:val="24"/>
          <w:spacing w:val="4"/>
        </w:rPr>
        <w:t>）；</w:t>
      </w:r>
    </w:p>
    <w:p>
      <w:pPr>
        <w:ind w:left="5452"/>
        <w:spacing w:before="1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10</w:t>
      </w:r>
    </w:p>
    <w:p>
      <w:pPr>
        <w:spacing w:line="181" w:lineRule="auto"/>
        <w:sectPr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6" w:right="174"/>
        <w:spacing w:before="179" w:line="360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1" w:id="11"/>
      <w:bookmarkEnd w:id="11"/>
      <w:r>
        <w:rPr>
          <w:rFonts w:ascii="Times New Roman" w:hAnsi="Times New Roman" w:eastAsia="Times New Roman" w:cs="Times New Roman"/>
          <w:sz w:val="24"/>
          <w:szCs w:val="24"/>
        </w:rPr>
        <w:t>DKA-AP </w:t>
      </w:r>
      <w:r>
        <w:rPr>
          <w:rFonts w:ascii="SimSun" w:hAnsi="SimSun" w:eastAsia="SimSun" w:cs="SimSun"/>
          <w:sz w:val="24"/>
          <w:szCs w:val="24"/>
        </w:rPr>
        <w:t>组患者的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 </w:t>
      </w:r>
      <w:r>
        <w:rPr>
          <w:rFonts w:ascii="SimSun" w:hAnsi="SimSun" w:eastAsia="SimSun" w:cs="SimSun"/>
          <w:sz w:val="24"/>
          <w:szCs w:val="24"/>
        </w:rPr>
        <w:t>值为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7.11(7.015,7.20)，</w:t>
      </w:r>
      <w:r>
        <w:rPr>
          <w:rFonts w:ascii="Times New Roman" w:hAnsi="Times New Roman" w:eastAsia="Times New Roman" w:cs="Times New Roman"/>
          <w:sz w:val="24"/>
          <w:szCs w:val="24"/>
        </w:rPr>
        <w:t>DKA </w:t>
      </w:r>
      <w:r>
        <w:rPr>
          <w:rFonts w:ascii="SimSun" w:hAnsi="SimSun" w:eastAsia="SimSun" w:cs="SimSun"/>
          <w:sz w:val="24"/>
          <w:szCs w:val="24"/>
        </w:rPr>
        <w:t>组患者的为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7.</w:t>
      </w:r>
      <w:r>
        <w:rPr>
          <w:rFonts w:ascii="SimSun" w:hAnsi="SimSun" w:eastAsia="SimSun" w:cs="SimSun"/>
          <w:sz w:val="24"/>
          <w:szCs w:val="24"/>
          <w:spacing w:val="-1"/>
        </w:rPr>
        <w:t>20(7.14,7.23)，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DKA-AP </w:t>
      </w:r>
      <w:r>
        <w:rPr>
          <w:rFonts w:ascii="SimSun" w:hAnsi="SimSun" w:eastAsia="SimSun" w:cs="SimSun"/>
          <w:sz w:val="24"/>
          <w:szCs w:val="24"/>
        </w:rPr>
        <w:t>组低于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 </w:t>
      </w:r>
      <w:r>
        <w:rPr>
          <w:rFonts w:ascii="SimSun" w:hAnsi="SimSun" w:eastAsia="SimSun" w:cs="SimSun"/>
          <w:sz w:val="24"/>
          <w:szCs w:val="24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SimSun" w:hAnsi="SimSun" w:eastAsia="SimSun" w:cs="SimSun"/>
          <w:sz w:val="24"/>
          <w:szCs w:val="24"/>
        </w:rPr>
        <w:t>=0.0</w:t>
      </w:r>
      <w:r>
        <w:rPr>
          <w:rFonts w:ascii="SimSun" w:hAnsi="SimSun" w:eastAsia="SimSun" w:cs="SimSun"/>
          <w:sz w:val="24"/>
          <w:szCs w:val="24"/>
          <w:spacing w:val="-1"/>
        </w:rPr>
        <w:t>04</w:t>
      </w:r>
      <w:r>
        <w:rPr>
          <w:rFonts w:ascii="SimSun" w:hAnsi="SimSun" w:eastAsia="SimSun" w:cs="SimSun"/>
          <w:sz w:val="24"/>
          <w:szCs w:val="24"/>
          <w:spacing w:val="2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组患者的二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氧化碳结合力为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16(11,25.50)mmol/L，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24(15,27)mmol/L,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组</w:t>
      </w:r>
      <w:r>
        <w:rPr>
          <w:rFonts w:ascii="SimSun" w:hAnsi="SimSun" w:eastAsia="SimSun" w:cs="SimSun"/>
          <w:sz w:val="24"/>
          <w:szCs w:val="24"/>
          <w:spacing w:val="-2"/>
        </w:rPr>
        <w:t>低于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 </w:t>
      </w:r>
      <w:r>
        <w:rPr>
          <w:rFonts w:ascii="SimSun" w:hAnsi="SimSun" w:eastAsia="SimSun" w:cs="SimSun"/>
          <w:sz w:val="24"/>
          <w:szCs w:val="24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SimSun" w:hAnsi="SimSun" w:eastAsia="SimSun" w:cs="SimSun"/>
          <w:sz w:val="24"/>
          <w:szCs w:val="24"/>
        </w:rPr>
        <w:t>=0.027</w:t>
      </w:r>
      <w:r>
        <w:rPr>
          <w:rFonts w:ascii="SimSun" w:hAnsi="SimSun" w:eastAsia="SimSun" w:cs="SimSun"/>
          <w:sz w:val="24"/>
          <w:szCs w:val="24"/>
          <w:spacing w:val="2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组患者的碳酸氢根为</w:t>
      </w:r>
    </w:p>
    <w:p>
      <w:pPr>
        <w:ind w:left="996" w:firstLine="10"/>
        <w:spacing w:before="1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5.7(3.4,9.7)mmol/L,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组患者为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9.7(4.3,11.7)，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组低于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组，两组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P</w:t>
      </w:r>
      <w:r>
        <w:rPr>
          <w:rFonts w:ascii="SimSun" w:hAnsi="SimSun" w:eastAsia="SimSun" w:cs="SimSun"/>
          <w:sz w:val="24"/>
          <w:szCs w:val="24"/>
          <w:spacing w:val="-2"/>
        </w:rPr>
        <w:t>=0.044</w:t>
      </w:r>
      <w:r>
        <w:rPr>
          <w:rFonts w:ascii="SimSun" w:hAnsi="SimSun" w:eastAsia="SimSun" w:cs="SimSun"/>
          <w:sz w:val="24"/>
          <w:szCs w:val="24"/>
          <w:spacing w:val="-3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DKA-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 </w:t>
      </w:r>
      <w:r>
        <w:rPr>
          <w:rFonts w:ascii="SimSun" w:hAnsi="SimSun" w:eastAsia="SimSun" w:cs="SimSun"/>
          <w:sz w:val="24"/>
          <w:szCs w:val="24"/>
          <w:spacing w:val="-3"/>
        </w:rPr>
        <w:t>组患者血糖为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29.73 (23.30,36.58)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mmol/L</w:t>
      </w:r>
      <w:r>
        <w:rPr>
          <w:rFonts w:ascii="SimSun" w:hAnsi="SimSun" w:eastAsia="SimSun" w:cs="SimSun"/>
          <w:sz w:val="24"/>
          <w:szCs w:val="24"/>
          <w:spacing w:val="-3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25.20(20.23,30.51)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mmol/L</w:t>
      </w:r>
      <w:r>
        <w:rPr>
          <w:rFonts w:ascii="SimSun" w:hAnsi="SimSun" w:eastAsia="SimSun" w:cs="SimSu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DKA-AP </w:t>
      </w:r>
      <w:r>
        <w:rPr>
          <w:rFonts w:ascii="SimSun" w:hAnsi="SimSun" w:eastAsia="SimSun" w:cs="SimSun"/>
          <w:sz w:val="24"/>
          <w:szCs w:val="24"/>
          <w:spacing w:val="-2"/>
        </w:rPr>
        <w:t>组高于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组，两组比较有统计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1"/>
        </w:rPr>
        <w:t>=0.02</w:t>
      </w:r>
      <w:r>
        <w:rPr>
          <w:rFonts w:ascii="SimSun" w:hAnsi="SimSun" w:eastAsia="SimSun" w:cs="SimSun"/>
          <w:sz w:val="24"/>
          <w:szCs w:val="24"/>
          <w:spacing w:val="-11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组患者胆固醇为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7.71(5.60,11.66)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mmol/L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组患者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为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4.86(4.22,6.52)</w:t>
      </w:r>
      <w:r>
        <w:rPr>
          <w:rFonts w:ascii="Times New Roman" w:hAnsi="Times New Roman" w:eastAsia="Times New Roman" w:cs="Times New Roman"/>
          <w:sz w:val="24"/>
          <w:szCs w:val="24"/>
        </w:rPr>
        <w:t>mmol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/L</w:t>
      </w:r>
      <w:r>
        <w:rPr>
          <w:rFonts w:ascii="SimSun" w:hAnsi="SimSun" w:eastAsia="SimSun" w:cs="SimSu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组高于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组，两组比较有统计</w:t>
      </w:r>
      <w:r>
        <w:rPr>
          <w:rFonts w:ascii="SimSun" w:hAnsi="SimSun" w:eastAsia="SimSun" w:cs="SimSun"/>
          <w:sz w:val="24"/>
          <w:szCs w:val="24"/>
          <w:spacing w:val="1"/>
        </w:rPr>
        <w:t>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rFonts w:ascii="SimSun" w:hAnsi="SimSun" w:eastAsia="SimSun" w:cs="SimSun"/>
          <w:sz w:val="24"/>
          <w:szCs w:val="24"/>
          <w:spacing w:val="1"/>
        </w:rPr>
        <w:t>&lt;</w:t>
      </w:r>
    </w:p>
    <w:p>
      <w:pPr>
        <w:ind w:left="1003"/>
        <w:spacing w:before="187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0.001</w:t>
      </w:r>
      <w:r>
        <w:rPr>
          <w:rFonts w:ascii="SimSun" w:hAnsi="SimSun" w:eastAsia="SimSun" w:cs="SimSun"/>
          <w:sz w:val="24"/>
          <w:szCs w:val="24"/>
          <w:spacing w:val="2"/>
        </w:rPr>
        <w:t>）；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组患者甘油三酯为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11.97(4.71,15.</w:t>
      </w:r>
      <w:r>
        <w:rPr>
          <w:rFonts w:ascii="SimSun" w:hAnsi="SimSun" w:eastAsia="SimSun" w:cs="SimSun"/>
          <w:sz w:val="24"/>
          <w:szCs w:val="24"/>
          <w:spacing w:val="-2"/>
        </w:rPr>
        <w:t>84)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组患者为</w:t>
      </w:r>
    </w:p>
    <w:p>
      <w:pPr>
        <w:ind w:left="996" w:firstLine="23"/>
        <w:spacing w:before="190" w:line="34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1.60(0.89,3.64)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mmol/L</w:t>
      </w:r>
      <w:r>
        <w:rPr>
          <w:rFonts w:ascii="SimSun" w:hAnsi="SimSun" w:eastAsia="SimSun" w:cs="SimSun"/>
          <w:sz w:val="24"/>
          <w:szCs w:val="24"/>
          <w:spacing w:val="-7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组高于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组，两组比较有统计学差异</w:t>
      </w:r>
      <w:r>
        <w:rPr>
          <w:rFonts w:ascii="SimSun" w:hAnsi="SimSun" w:eastAsia="SimSun" w:cs="SimSun"/>
          <w:sz w:val="24"/>
          <w:szCs w:val="24"/>
          <w:spacing w:val="-7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7"/>
        </w:rPr>
        <w:t>P</w:t>
      </w:r>
      <w:r>
        <w:rPr>
          <w:rFonts w:ascii="SimSun" w:hAnsi="SimSun" w:eastAsia="SimSun" w:cs="SimSun"/>
          <w:sz w:val="24"/>
          <w:szCs w:val="24"/>
          <w:spacing w:val="-7"/>
        </w:rPr>
        <w:t>＜0.001</w:t>
      </w:r>
      <w:r>
        <w:rPr>
          <w:rFonts w:ascii="SimSun" w:hAnsi="SimSun" w:eastAsia="SimSun" w:cs="SimSun"/>
          <w:sz w:val="24"/>
          <w:szCs w:val="24"/>
          <w:spacing w:val="-56"/>
          <w:w w:val="88"/>
        </w:rPr>
        <w:t>）；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组患者血淀粉酶为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215（80.5，540）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U/L</w:t>
      </w:r>
      <w:r>
        <w:rPr>
          <w:rFonts w:ascii="SimSun" w:hAnsi="SimSun" w:eastAsia="SimSun" w:cs="SimSun"/>
          <w:sz w:val="24"/>
          <w:szCs w:val="24"/>
          <w:spacing w:val="-8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组患者为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92（68，182</w:t>
      </w:r>
      <w:r>
        <w:rPr>
          <w:rFonts w:ascii="SimSun" w:hAnsi="SimSun" w:eastAsia="SimSun" w:cs="SimSun"/>
          <w:sz w:val="24"/>
          <w:szCs w:val="24"/>
          <w:spacing w:val="-9"/>
        </w:rPr>
        <w:t>.5）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U/L</w:t>
      </w:r>
      <w:r>
        <w:rPr>
          <w:rFonts w:ascii="SimSun" w:hAnsi="SimSun" w:eastAsia="SimSun" w:cs="SimSun"/>
          <w:sz w:val="24"/>
          <w:szCs w:val="24"/>
          <w:spacing w:val="-9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</w:rPr>
        <w:t>组高于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</w:rPr>
        <w:t>组，两组比较有统计学差异</w:t>
      </w:r>
      <w:r>
        <w:rPr>
          <w:rFonts w:ascii="SimSun" w:hAnsi="SimSun" w:eastAsia="SimSun" w:cs="SimSu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SimSun" w:hAnsi="SimSun" w:eastAsia="SimSun" w:cs="SimSun"/>
          <w:sz w:val="24"/>
          <w:szCs w:val="24"/>
        </w:rPr>
        <w:t>=0.003）。</w:t>
      </w:r>
      <w:r>
        <w:rPr>
          <w:rFonts w:ascii="SimSun" w:hAnsi="SimSun" w:eastAsia="SimSun" w:cs="SimSun"/>
          <w:sz w:val="24"/>
          <w:szCs w:val="24"/>
          <w:spacing w:val="-1"/>
        </w:rPr>
        <w:t>进一步的统计分析得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出，两组在以下指标：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WB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C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计数、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NEUT%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Urea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Lac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Na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4"/>
          <w:position w:val="7"/>
        </w:rPr>
        <w:t>+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3"/>
          <w:position w:val="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4"/>
          <w:position w:val="7"/>
        </w:rPr>
        <w:t>+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0"/>
          <w:position w:val="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Ca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4"/>
          <w:position w:val="7"/>
        </w:rPr>
        <w:t>+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3"/>
          <w:position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HbA1c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、空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腹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 </w:t>
      </w:r>
      <w:r>
        <w:rPr>
          <w:rFonts w:ascii="SimSun" w:hAnsi="SimSun" w:eastAsia="SimSun" w:cs="SimSun"/>
          <w:sz w:val="24"/>
          <w:szCs w:val="24"/>
          <w:spacing w:val="-2"/>
        </w:rPr>
        <w:t>肽、餐后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小时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 </w:t>
      </w:r>
      <w:r>
        <w:rPr>
          <w:rFonts w:ascii="SimSun" w:hAnsi="SimSun" w:eastAsia="SimSun" w:cs="SimSun"/>
          <w:sz w:val="24"/>
          <w:szCs w:val="24"/>
          <w:spacing w:val="-2"/>
        </w:rPr>
        <w:t>肽、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HDL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LDL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，在统计学上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均无差异</w:t>
      </w:r>
      <w:r>
        <w:rPr>
          <w:rFonts w:ascii="SimSun" w:hAnsi="SimSun" w:eastAsia="SimSun" w:cs="SimSun"/>
          <w:sz w:val="24"/>
          <w:szCs w:val="24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P</w:t>
      </w:r>
      <w:r>
        <w:rPr>
          <w:rFonts w:ascii="SimSun" w:hAnsi="SimSun" w:eastAsia="SimSun" w:cs="SimSun"/>
          <w:sz w:val="24"/>
          <w:szCs w:val="24"/>
          <w:spacing w:val="-3"/>
        </w:rPr>
        <w:t>＞0.05）。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组全部行了腹部影像学（腹部</w:t>
      </w:r>
      <w:r>
        <w:rPr>
          <w:rFonts w:ascii="Times New Roman" w:hAnsi="Times New Roman" w:eastAsia="Times New Roman" w:cs="Times New Roman"/>
          <w:sz w:val="24"/>
          <w:szCs w:val="24"/>
        </w:rPr>
        <w:t>CT</w:t>
      </w:r>
      <w:r>
        <w:rPr>
          <w:rFonts w:ascii="SimSun" w:hAnsi="SimSun" w:eastAsia="SimSun" w:cs="SimSun"/>
          <w:sz w:val="24"/>
          <w:szCs w:val="24"/>
          <w:spacing w:val="1"/>
        </w:rPr>
        <w:t>）检查，结果均符合胰腺炎表现，其中同时有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6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例合  </w:t>
      </w:r>
      <w:r>
        <w:rPr>
          <w:rFonts w:ascii="SimSun" w:hAnsi="SimSun" w:eastAsia="SimSun" w:cs="SimSun"/>
          <w:sz w:val="24"/>
          <w:szCs w:val="24"/>
          <w:spacing w:val="-2"/>
        </w:rPr>
        <w:t>并有胆囊结石伴胆囊炎，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组患者有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15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例行了腹部超声检查、另有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10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例行了腹部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 </w:t>
      </w:r>
      <w:r>
        <w:rPr>
          <w:rFonts w:ascii="SimSun" w:hAnsi="SimSun" w:eastAsia="SimSun" w:cs="SimSun"/>
          <w:sz w:val="24"/>
          <w:szCs w:val="24"/>
          <w:spacing w:val="-1"/>
        </w:rPr>
        <w:t>检查，结果均未提示胰腺炎表现。详见表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45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表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3.</w:t>
      </w:r>
      <w:r>
        <w:rPr>
          <w:rFonts w:ascii="Times New Roman" w:hAnsi="Times New Roman" w:eastAsia="Times New Roman" w:cs="Times New Roman"/>
          <w:sz w:val="20"/>
          <w:szCs w:val="20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组与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组血清学资料比较</w:t>
      </w:r>
    </w:p>
    <w:p>
      <w:pPr>
        <w:spacing w:line="91" w:lineRule="exact"/>
        <w:rPr/>
      </w:pPr>
      <w:r/>
    </w:p>
    <w:tbl>
      <w:tblPr>
        <w:tblStyle w:val="TableNormal"/>
        <w:tblW w:w="9102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4"/>
        <w:gridCol w:w="2513"/>
        <w:gridCol w:w="2554"/>
        <w:gridCol w:w="1317"/>
        <w:gridCol w:w="1034"/>
      </w:tblGrid>
      <w:tr>
        <w:trPr>
          <w:trHeight w:val="950" w:hRule="atLeast"/>
        </w:trPr>
        <w:tc>
          <w:tcPr>
            <w:tcW w:w="168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657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指标</w:t>
            </w:r>
          </w:p>
        </w:tc>
        <w:tc>
          <w:tcPr>
            <w:tcW w:w="251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8"/>
              <w:spacing w:before="65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5"/>
              </w:rPr>
              <w:t>-</w:t>
            </w:r>
            <w:r>
              <w:rPr/>
              <w:t>AP</w:t>
            </w:r>
            <w:r>
              <w:rPr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pacing w:val="15"/>
              </w:rPr>
              <w:t>组</w:t>
            </w:r>
          </w:p>
        </w:tc>
        <w:tc>
          <w:tcPr>
            <w:tcW w:w="255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3"/>
              <w:spacing w:before="65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6"/>
              </w:rPr>
              <w:t>组</w:t>
            </w:r>
          </w:p>
        </w:tc>
        <w:tc>
          <w:tcPr>
            <w:tcW w:w="131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254"/>
              <w:spacing w:before="13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统计量值</w:t>
            </w:r>
          </w:p>
          <w:p>
            <w:pPr>
              <w:pStyle w:val="TableText"/>
              <w:ind w:left="339"/>
              <w:spacing w:before="220" w:line="23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(</w:t>
            </w:r>
            <w:r>
              <w:rPr>
                <w:spacing w:val="-2"/>
              </w:rPr>
              <w:t>Z/X</w:t>
            </w:r>
            <w:r>
              <w:rPr>
                <w:sz w:val="13"/>
                <w:szCs w:val="13"/>
                <w:spacing w:val="-2"/>
                <w:position w:val="6"/>
              </w:rPr>
              <w:t>2</w:t>
            </w:r>
            <w:r>
              <w:rPr>
                <w:spacing w:val="-2"/>
              </w:rPr>
              <w:t>/t</w:t>
            </w:r>
            <w:r>
              <w:rPr>
                <w:rFonts w:ascii="SimSun" w:hAnsi="SimSun" w:eastAsia="SimSun" w:cs="SimSun"/>
                <w:spacing w:val="-2"/>
              </w:rPr>
              <w:t>)</w:t>
            </w:r>
          </w:p>
        </w:tc>
        <w:tc>
          <w:tcPr>
            <w:tcW w:w="103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9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6"/>
              </w:rPr>
              <w:t>P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值</w:t>
            </w:r>
          </w:p>
        </w:tc>
      </w:tr>
      <w:tr>
        <w:trPr>
          <w:trHeight w:val="450" w:hRule="atLeast"/>
        </w:trPr>
        <w:tc>
          <w:tcPr>
            <w:tcW w:w="168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26"/>
              <w:spacing w:before="125"/>
              <w:rPr>
                <w:rFonts w:ascii="SimSun" w:hAnsi="SimSun" w:eastAsia="SimSun" w:cs="SimSun"/>
              </w:rPr>
            </w:pPr>
            <w:r>
              <w:rPr/>
              <w:t>WBC</w:t>
            </w:r>
            <w:r>
              <w:rPr>
                <w:rFonts w:ascii="SimSun" w:hAnsi="SimSun" w:eastAsia="SimSun" w:cs="SimSun"/>
                <w:spacing w:val="6"/>
              </w:rPr>
              <w:t>（</w:t>
            </w:r>
            <w:r>
              <w:rPr>
                <w:spacing w:val="6"/>
              </w:rPr>
              <w:t>*10</w:t>
            </w:r>
            <w:r>
              <w:rPr>
                <w:sz w:val="13"/>
                <w:szCs w:val="13"/>
                <w:spacing w:val="6"/>
                <w:position w:val="6"/>
              </w:rPr>
              <w:t>9</w:t>
            </w:r>
            <w:r>
              <w:rPr>
                <w:spacing w:val="6"/>
              </w:rPr>
              <w:t>/L</w:t>
            </w:r>
            <w:r>
              <w:rPr>
                <w:rFonts w:ascii="SimSun" w:hAnsi="SimSun" w:eastAsia="SimSun" w:cs="SimSun"/>
                <w:spacing w:val="6"/>
              </w:rPr>
              <w:t>）</w:t>
            </w:r>
          </w:p>
        </w:tc>
        <w:tc>
          <w:tcPr>
            <w:tcW w:w="2513" w:type="dxa"/>
            <w:vAlign w:val="top"/>
            <w:tcBorders>
              <w:top w:val="single" w:color="000000" w:sz="10" w:space="0"/>
            </w:tcBorders>
          </w:tcPr>
          <w:p>
            <w:pPr>
              <w:ind w:left="213"/>
              <w:spacing w:before="12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15.86（12.28，19.42）</w:t>
            </w:r>
          </w:p>
        </w:tc>
        <w:tc>
          <w:tcPr>
            <w:tcW w:w="2554" w:type="dxa"/>
            <w:vAlign w:val="top"/>
            <w:tcBorders>
              <w:top w:val="single" w:color="000000" w:sz="10" w:space="0"/>
            </w:tcBorders>
          </w:tcPr>
          <w:p>
            <w:pPr>
              <w:ind w:left="239"/>
              <w:spacing w:before="12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15.28（10.72，20.34）</w:t>
            </w:r>
          </w:p>
        </w:tc>
        <w:tc>
          <w:tcPr>
            <w:tcW w:w="1317" w:type="dxa"/>
            <w:vAlign w:val="top"/>
            <w:tcBorders>
              <w:top w:val="single" w:color="000000" w:sz="10" w:space="0"/>
            </w:tcBorders>
          </w:tcPr>
          <w:p>
            <w:pPr>
              <w:ind w:left="409"/>
              <w:spacing w:before="12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0.052</w:t>
            </w:r>
          </w:p>
        </w:tc>
        <w:tc>
          <w:tcPr>
            <w:tcW w:w="1034" w:type="dxa"/>
            <w:vAlign w:val="top"/>
            <w:tcBorders>
              <w:top w:val="single" w:color="000000" w:sz="10" w:space="0"/>
            </w:tcBorders>
          </w:tcPr>
          <w:p>
            <w:pPr>
              <w:ind w:left="247"/>
              <w:spacing w:before="12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0.958</w:t>
            </w:r>
          </w:p>
        </w:tc>
      </w:tr>
      <w:tr>
        <w:trPr>
          <w:trHeight w:val="475" w:hRule="atLeast"/>
        </w:trPr>
        <w:tc>
          <w:tcPr>
            <w:tcW w:w="1684" w:type="dxa"/>
            <w:vAlign w:val="top"/>
          </w:tcPr>
          <w:p>
            <w:pPr>
              <w:pStyle w:val="TableText"/>
              <w:ind w:left="574"/>
              <w:spacing w:before="182" w:line="192" w:lineRule="auto"/>
              <w:rPr/>
            </w:pPr>
            <w:r>
              <w:rPr>
                <w:spacing w:val="6"/>
              </w:rPr>
              <w:t>NEUT</w:t>
            </w:r>
          </w:p>
        </w:tc>
        <w:tc>
          <w:tcPr>
            <w:tcW w:w="2513" w:type="dxa"/>
            <w:vAlign w:val="top"/>
          </w:tcPr>
          <w:p>
            <w:pPr>
              <w:ind w:left="410"/>
              <w:spacing w:before="143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0.85(0.80，0.89）</w:t>
            </w:r>
          </w:p>
        </w:tc>
        <w:tc>
          <w:tcPr>
            <w:tcW w:w="2554" w:type="dxa"/>
            <w:vAlign w:val="top"/>
          </w:tcPr>
          <w:p>
            <w:pPr>
              <w:ind w:left="383"/>
              <w:spacing w:before="143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0.83（0.77，0.86）</w:t>
            </w:r>
          </w:p>
        </w:tc>
        <w:tc>
          <w:tcPr>
            <w:tcW w:w="1317" w:type="dxa"/>
            <w:vAlign w:val="top"/>
          </w:tcPr>
          <w:p>
            <w:pPr>
              <w:ind w:left="353"/>
              <w:spacing w:before="14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-1.570</w:t>
            </w:r>
          </w:p>
        </w:tc>
        <w:tc>
          <w:tcPr>
            <w:tcW w:w="1034" w:type="dxa"/>
            <w:vAlign w:val="top"/>
          </w:tcPr>
          <w:p>
            <w:pPr>
              <w:ind w:left="247"/>
              <w:spacing w:before="14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0.116</w:t>
            </w:r>
          </w:p>
        </w:tc>
      </w:tr>
      <w:tr>
        <w:trPr>
          <w:trHeight w:val="460" w:hRule="atLeast"/>
        </w:trPr>
        <w:tc>
          <w:tcPr>
            <w:tcW w:w="1684" w:type="dxa"/>
            <w:vAlign w:val="top"/>
          </w:tcPr>
          <w:p>
            <w:pPr>
              <w:pStyle w:val="TableText"/>
              <w:ind w:left="352"/>
              <w:spacing w:before="136"/>
              <w:rPr>
                <w:rFonts w:ascii="SimSun" w:hAnsi="SimSun" w:eastAsia="SimSun" w:cs="SimSun"/>
              </w:rPr>
            </w:pPr>
            <w:r>
              <w:rPr/>
              <w:t>HCT</w:t>
            </w:r>
            <w:r>
              <w:rPr>
                <w:rFonts w:ascii="SimSun" w:hAnsi="SimSun" w:eastAsia="SimSun" w:cs="SimSun"/>
                <w:spacing w:val="11"/>
              </w:rPr>
              <w:t>（</w:t>
            </w:r>
            <w:r>
              <w:rPr>
                <w:spacing w:val="11"/>
              </w:rPr>
              <w:t>%</w:t>
            </w:r>
            <w:r>
              <w:rPr>
                <w:rFonts w:ascii="SimSun" w:hAnsi="SimSun" w:eastAsia="SimSun" w:cs="SimSun"/>
                <w:spacing w:val="11"/>
              </w:rPr>
              <w:t>）</w:t>
            </w:r>
          </w:p>
        </w:tc>
        <w:tc>
          <w:tcPr>
            <w:tcW w:w="2513" w:type="dxa"/>
            <w:vAlign w:val="top"/>
          </w:tcPr>
          <w:p>
            <w:pPr>
              <w:ind w:left="722"/>
              <w:spacing w:before="136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46.76±5.24</w:t>
            </w:r>
          </w:p>
        </w:tc>
        <w:tc>
          <w:tcPr>
            <w:tcW w:w="2554" w:type="dxa"/>
            <w:vAlign w:val="top"/>
          </w:tcPr>
          <w:p>
            <w:pPr>
              <w:ind w:left="748"/>
              <w:spacing w:before="136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44.46±4.36</w:t>
            </w:r>
          </w:p>
        </w:tc>
        <w:tc>
          <w:tcPr>
            <w:tcW w:w="1317" w:type="dxa"/>
            <w:vAlign w:val="top"/>
          </w:tcPr>
          <w:p>
            <w:pPr>
              <w:ind w:left="410"/>
              <w:spacing w:before="13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2.256</w:t>
            </w:r>
          </w:p>
        </w:tc>
        <w:tc>
          <w:tcPr>
            <w:tcW w:w="1034" w:type="dxa"/>
            <w:vAlign w:val="top"/>
          </w:tcPr>
          <w:p>
            <w:pPr>
              <w:ind w:left="247"/>
              <w:spacing w:before="13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0.027</w:t>
            </w:r>
          </w:p>
        </w:tc>
      </w:tr>
      <w:tr>
        <w:trPr>
          <w:trHeight w:val="462" w:hRule="atLeast"/>
        </w:trPr>
        <w:tc>
          <w:tcPr>
            <w:tcW w:w="1684" w:type="dxa"/>
            <w:vAlign w:val="top"/>
          </w:tcPr>
          <w:p>
            <w:pPr>
              <w:pStyle w:val="TableText"/>
              <w:ind w:left="156"/>
              <w:spacing w:before="144"/>
              <w:rPr>
                <w:rFonts w:ascii="SimSun" w:hAnsi="SimSun" w:eastAsia="SimSun" w:cs="SimSun"/>
              </w:rPr>
            </w:pPr>
            <w:r>
              <w:rPr/>
              <w:t>RBC</w:t>
            </w:r>
            <w:r>
              <w:rPr>
                <w:rFonts w:ascii="SimSun" w:hAnsi="SimSun" w:eastAsia="SimSun" w:cs="SimSun"/>
                <w:spacing w:val="6"/>
              </w:rPr>
              <w:t>（</w:t>
            </w:r>
            <w:r>
              <w:rPr>
                <w:spacing w:val="6"/>
              </w:rPr>
              <w:t>*10</w:t>
            </w:r>
            <w:r>
              <w:rPr>
                <w:sz w:val="13"/>
                <w:szCs w:val="13"/>
                <w:spacing w:val="6"/>
                <w:position w:val="6"/>
              </w:rPr>
              <w:t>9</w:t>
            </w:r>
            <w:r>
              <w:rPr>
                <w:spacing w:val="6"/>
              </w:rPr>
              <w:t>/L</w:t>
            </w:r>
            <w:r>
              <w:rPr>
                <w:rFonts w:ascii="SimSun" w:hAnsi="SimSun" w:eastAsia="SimSun" w:cs="SimSun"/>
                <w:spacing w:val="6"/>
              </w:rPr>
              <w:t>）</w:t>
            </w:r>
          </w:p>
        </w:tc>
        <w:tc>
          <w:tcPr>
            <w:tcW w:w="2513" w:type="dxa"/>
            <w:vAlign w:val="top"/>
          </w:tcPr>
          <w:p>
            <w:pPr>
              <w:ind w:left="780"/>
              <w:spacing w:before="144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5.29±0.67</w:t>
            </w:r>
          </w:p>
        </w:tc>
        <w:tc>
          <w:tcPr>
            <w:tcW w:w="2554" w:type="dxa"/>
            <w:vAlign w:val="top"/>
          </w:tcPr>
          <w:p>
            <w:pPr>
              <w:ind w:left="801"/>
              <w:spacing w:before="144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4.91±0.51</w:t>
            </w:r>
          </w:p>
        </w:tc>
        <w:tc>
          <w:tcPr>
            <w:tcW w:w="1317" w:type="dxa"/>
            <w:vAlign w:val="top"/>
          </w:tcPr>
          <w:p>
            <w:pPr>
              <w:ind w:left="412"/>
              <w:spacing w:before="14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3.013</w:t>
            </w:r>
          </w:p>
        </w:tc>
        <w:tc>
          <w:tcPr>
            <w:tcW w:w="1034" w:type="dxa"/>
            <w:vAlign w:val="top"/>
          </w:tcPr>
          <w:p>
            <w:pPr>
              <w:ind w:left="247"/>
              <w:spacing w:before="14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0.003</w:t>
            </w:r>
          </w:p>
        </w:tc>
      </w:tr>
      <w:tr>
        <w:trPr>
          <w:trHeight w:val="484" w:hRule="atLeast"/>
        </w:trPr>
        <w:tc>
          <w:tcPr>
            <w:tcW w:w="1684" w:type="dxa"/>
            <w:vAlign w:val="top"/>
          </w:tcPr>
          <w:p>
            <w:pPr>
              <w:pStyle w:val="TableText"/>
              <w:ind w:left="429"/>
              <w:spacing w:before="150" w:line="221" w:lineRule="auto"/>
              <w:rPr/>
            </w:pPr>
            <w:r>
              <w:rPr/>
              <w:t>HB</w:t>
            </w:r>
            <w:r>
              <w:rPr>
                <w:rFonts w:ascii="SimSun" w:hAnsi="SimSun" w:eastAsia="SimSun" w:cs="SimSun"/>
                <w:spacing w:val="6"/>
              </w:rPr>
              <w:t>（</w:t>
            </w:r>
            <w:r>
              <w:rPr>
                <w:spacing w:val="6"/>
              </w:rPr>
              <w:t>g/L)</w:t>
            </w:r>
          </w:p>
        </w:tc>
        <w:tc>
          <w:tcPr>
            <w:tcW w:w="2513" w:type="dxa"/>
            <w:vAlign w:val="top"/>
          </w:tcPr>
          <w:p>
            <w:pPr>
              <w:ind w:left="685"/>
              <w:spacing w:before="150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164(148,186)</w:t>
            </w:r>
          </w:p>
        </w:tc>
        <w:tc>
          <w:tcPr>
            <w:tcW w:w="2554" w:type="dxa"/>
            <w:vAlign w:val="top"/>
          </w:tcPr>
          <w:p>
            <w:pPr>
              <w:ind w:left="606"/>
              <w:spacing w:before="150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154(141,165.5)</w:t>
            </w:r>
          </w:p>
        </w:tc>
        <w:tc>
          <w:tcPr>
            <w:tcW w:w="1317" w:type="dxa"/>
            <w:vAlign w:val="top"/>
          </w:tcPr>
          <w:p>
            <w:pPr>
              <w:ind w:left="353"/>
              <w:spacing w:before="15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-2.390</w:t>
            </w:r>
          </w:p>
        </w:tc>
        <w:tc>
          <w:tcPr>
            <w:tcW w:w="1034" w:type="dxa"/>
            <w:vAlign w:val="top"/>
          </w:tcPr>
          <w:p>
            <w:pPr>
              <w:ind w:left="247"/>
              <w:spacing w:before="15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0.017</w:t>
            </w:r>
          </w:p>
        </w:tc>
      </w:tr>
      <w:tr>
        <w:trPr>
          <w:trHeight w:val="465" w:hRule="atLeast"/>
        </w:trPr>
        <w:tc>
          <w:tcPr>
            <w:tcW w:w="1684" w:type="dxa"/>
            <w:vAlign w:val="top"/>
          </w:tcPr>
          <w:p>
            <w:pPr>
              <w:pStyle w:val="TableText"/>
              <w:ind w:left="380"/>
              <w:spacing w:before="166" w:line="201" w:lineRule="auto"/>
              <w:rPr/>
            </w:pPr>
            <w:r>
              <w:rPr/>
              <w:t>Cr</w:t>
            </w:r>
            <w:r>
              <w:rPr>
                <w:spacing w:val="8"/>
              </w:rPr>
              <w:t>(</w:t>
            </w:r>
            <w:r>
              <w:rPr/>
              <w:t>umol</w:t>
            </w:r>
            <w:r>
              <w:rPr>
                <w:spacing w:val="8"/>
              </w:rPr>
              <w:t>/L)</w:t>
            </w:r>
          </w:p>
        </w:tc>
        <w:tc>
          <w:tcPr>
            <w:tcW w:w="2513" w:type="dxa"/>
            <w:vAlign w:val="top"/>
          </w:tcPr>
          <w:p>
            <w:pPr>
              <w:ind w:left="360"/>
              <w:spacing w:before="13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77.0(63.50,113.90)</w:t>
            </w:r>
          </w:p>
        </w:tc>
        <w:tc>
          <w:tcPr>
            <w:tcW w:w="2554" w:type="dxa"/>
            <w:vAlign w:val="top"/>
          </w:tcPr>
          <w:p>
            <w:pPr>
              <w:ind w:left="436"/>
              <w:spacing w:before="13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69.0(52.80,94.25)</w:t>
            </w:r>
          </w:p>
        </w:tc>
        <w:tc>
          <w:tcPr>
            <w:tcW w:w="1317" w:type="dxa"/>
            <w:vAlign w:val="top"/>
          </w:tcPr>
          <w:p>
            <w:pPr>
              <w:ind w:left="353"/>
              <w:spacing w:before="13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-1.501</w:t>
            </w:r>
          </w:p>
        </w:tc>
        <w:tc>
          <w:tcPr>
            <w:tcW w:w="1034" w:type="dxa"/>
            <w:vAlign w:val="top"/>
          </w:tcPr>
          <w:p>
            <w:pPr>
              <w:ind w:left="247"/>
              <w:spacing w:before="13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0.133</w:t>
            </w:r>
          </w:p>
        </w:tc>
      </w:tr>
      <w:tr>
        <w:trPr>
          <w:trHeight w:val="465" w:hRule="atLeast"/>
        </w:trPr>
        <w:tc>
          <w:tcPr>
            <w:tcW w:w="1684" w:type="dxa"/>
            <w:vAlign w:val="top"/>
          </w:tcPr>
          <w:p>
            <w:pPr>
              <w:pStyle w:val="TableText"/>
              <w:ind w:left="244"/>
              <w:spacing w:before="169" w:line="201" w:lineRule="auto"/>
              <w:rPr/>
            </w:pPr>
            <w:r>
              <w:rPr/>
              <w:t>Urea</w:t>
            </w:r>
            <w:r>
              <w:rPr>
                <w:spacing w:val="13"/>
              </w:rPr>
              <w:t>(</w:t>
            </w:r>
            <w:r>
              <w:rPr/>
              <w:t>mmol</w:t>
            </w:r>
            <w:r>
              <w:rPr>
                <w:spacing w:val="13"/>
              </w:rPr>
              <w:t>/L)</w:t>
            </w:r>
          </w:p>
        </w:tc>
        <w:tc>
          <w:tcPr>
            <w:tcW w:w="2513" w:type="dxa"/>
            <w:vAlign w:val="top"/>
          </w:tcPr>
          <w:p>
            <w:pPr>
              <w:ind w:left="513"/>
              <w:spacing w:before="137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6.55(4.59,9.41)</w:t>
            </w:r>
          </w:p>
        </w:tc>
        <w:tc>
          <w:tcPr>
            <w:tcW w:w="2554" w:type="dxa"/>
            <w:vAlign w:val="top"/>
          </w:tcPr>
          <w:p>
            <w:pPr>
              <w:ind w:left="539"/>
              <w:spacing w:before="137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6.37(5.07,9.06)</w:t>
            </w:r>
          </w:p>
        </w:tc>
        <w:tc>
          <w:tcPr>
            <w:tcW w:w="1317" w:type="dxa"/>
            <w:vAlign w:val="top"/>
          </w:tcPr>
          <w:p>
            <w:pPr>
              <w:ind w:left="353"/>
              <w:spacing w:before="137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-0.113</w:t>
            </w:r>
          </w:p>
        </w:tc>
        <w:tc>
          <w:tcPr>
            <w:tcW w:w="1034" w:type="dxa"/>
            <w:vAlign w:val="top"/>
          </w:tcPr>
          <w:p>
            <w:pPr>
              <w:ind w:left="247"/>
              <w:spacing w:before="137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0.910</w:t>
            </w:r>
          </w:p>
        </w:tc>
      </w:tr>
      <w:tr>
        <w:trPr>
          <w:trHeight w:val="480" w:hRule="atLeast"/>
        </w:trPr>
        <w:tc>
          <w:tcPr>
            <w:tcW w:w="168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727"/>
              <w:spacing w:before="179" w:line="192" w:lineRule="auto"/>
              <w:rPr/>
            </w:pPr>
            <w:r>
              <w:rPr>
                <w:spacing w:val="3"/>
              </w:rPr>
              <w:t>PH</w:t>
            </w:r>
          </w:p>
        </w:tc>
        <w:tc>
          <w:tcPr>
            <w:tcW w:w="2513" w:type="dxa"/>
            <w:vAlign w:val="top"/>
            <w:tcBorders>
              <w:bottom w:val="single" w:color="000000" w:sz="10" w:space="0"/>
            </w:tcBorders>
          </w:tcPr>
          <w:p>
            <w:pPr>
              <w:ind w:left="466"/>
              <w:spacing w:before="140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7.11(7.015,7.20)</w:t>
            </w:r>
          </w:p>
        </w:tc>
        <w:tc>
          <w:tcPr>
            <w:tcW w:w="2554" w:type="dxa"/>
            <w:vAlign w:val="top"/>
            <w:tcBorders>
              <w:bottom w:val="single" w:color="000000" w:sz="10" w:space="0"/>
            </w:tcBorders>
          </w:tcPr>
          <w:p>
            <w:pPr>
              <w:ind w:left="543"/>
              <w:spacing w:before="140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7.20(7.14,7.23)</w:t>
            </w:r>
          </w:p>
        </w:tc>
        <w:tc>
          <w:tcPr>
            <w:tcW w:w="1317" w:type="dxa"/>
            <w:vAlign w:val="top"/>
            <w:tcBorders>
              <w:bottom w:val="single" w:color="000000" w:sz="10" w:space="0"/>
            </w:tcBorders>
          </w:tcPr>
          <w:p>
            <w:pPr>
              <w:ind w:left="410"/>
              <w:spacing w:before="14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2.884</w:t>
            </w:r>
          </w:p>
        </w:tc>
        <w:tc>
          <w:tcPr>
            <w:tcW w:w="1034" w:type="dxa"/>
            <w:vAlign w:val="top"/>
            <w:tcBorders>
              <w:bottom w:val="single" w:color="000000" w:sz="10" w:space="0"/>
            </w:tcBorders>
          </w:tcPr>
          <w:p>
            <w:pPr>
              <w:ind w:left="247"/>
              <w:spacing w:before="14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0.004</w:t>
            </w:r>
          </w:p>
        </w:tc>
      </w:tr>
    </w:tbl>
    <w:p>
      <w:pPr>
        <w:pStyle w:val="BodyText"/>
        <w:spacing w:line="396" w:lineRule="auto"/>
        <w:rPr/>
      </w:pPr>
      <w:r/>
    </w:p>
    <w:p>
      <w:pPr>
        <w:ind w:left="5452"/>
        <w:spacing w:before="55" w:line="180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11</w:t>
      </w:r>
    </w:p>
    <w:p>
      <w:pPr>
        <w:spacing w:line="180" w:lineRule="auto"/>
        <w:sectPr>
          <w:headerReference w:type="default" r:id="rId21"/>
          <w:footerReference w:type="default" r:id="rId22"/>
          <w:pgSz w:w="11906" w:h="16839"/>
          <w:pgMar w:top="1182" w:right="135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spacing w:line="64" w:lineRule="exact"/>
        <w:rPr/>
      </w:pPr>
      <w:r/>
    </w:p>
    <w:tbl>
      <w:tblPr>
        <w:tblStyle w:val="TableNormal"/>
        <w:tblW w:w="9102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21"/>
        <w:gridCol w:w="2497"/>
        <w:gridCol w:w="2582"/>
        <w:gridCol w:w="1171"/>
        <w:gridCol w:w="1131"/>
      </w:tblGrid>
      <w:tr>
        <w:trPr>
          <w:trHeight w:val="482" w:hRule="atLeast"/>
        </w:trPr>
        <w:tc>
          <w:tcPr>
            <w:tcW w:w="1721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48"/>
              <w:spacing w:before="165" w:line="201" w:lineRule="auto"/>
              <w:rPr/>
            </w:pPr>
            <w:bookmarkStart w:name="bookmark32" w:id="12"/>
            <w:bookmarkEnd w:id="12"/>
            <w:r>
              <w:rPr/>
              <w:t>CO</w:t>
            </w:r>
            <w:r>
              <w:rPr>
                <w:sz w:val="13"/>
                <w:szCs w:val="13"/>
                <w:spacing w:val="11"/>
                <w:position w:val="-1"/>
              </w:rPr>
              <w:t>2</w:t>
            </w:r>
            <w:r>
              <w:rPr/>
              <w:t>CP</w:t>
            </w:r>
            <w:r>
              <w:rPr>
                <w:spacing w:val="11"/>
              </w:rPr>
              <w:t>(</w:t>
            </w:r>
            <w:r>
              <w:rPr/>
              <w:t>mmol</w:t>
            </w:r>
            <w:r>
              <w:rPr>
                <w:spacing w:val="11"/>
              </w:rPr>
              <w:t>/L)</w:t>
            </w:r>
          </w:p>
        </w:tc>
        <w:tc>
          <w:tcPr>
            <w:tcW w:w="2497" w:type="dxa"/>
            <w:vAlign w:val="top"/>
            <w:tcBorders>
              <w:top w:val="single" w:color="000000" w:sz="10" w:space="0"/>
            </w:tcBorders>
          </w:tcPr>
          <w:p>
            <w:pPr>
              <w:ind w:left="648"/>
              <w:spacing w:before="13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16(11,25.50)</w:t>
            </w:r>
          </w:p>
        </w:tc>
        <w:tc>
          <w:tcPr>
            <w:tcW w:w="2582" w:type="dxa"/>
            <w:vAlign w:val="top"/>
            <w:tcBorders>
              <w:top w:val="single" w:color="000000" w:sz="10" w:space="0"/>
            </w:tcBorders>
          </w:tcPr>
          <w:p>
            <w:pPr>
              <w:ind w:left="836"/>
              <w:spacing w:before="13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24(15,27)</w:t>
            </w:r>
          </w:p>
        </w:tc>
        <w:tc>
          <w:tcPr>
            <w:tcW w:w="1171" w:type="dxa"/>
            <w:vAlign w:val="top"/>
            <w:tcBorders>
              <w:top w:val="single" w:color="000000" w:sz="10" w:space="0"/>
            </w:tcBorders>
          </w:tcPr>
          <w:p>
            <w:pPr>
              <w:ind w:left="361"/>
              <w:spacing w:before="13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2.215</w:t>
            </w:r>
          </w:p>
        </w:tc>
        <w:tc>
          <w:tcPr>
            <w:tcW w:w="1131" w:type="dxa"/>
            <w:vAlign w:val="top"/>
            <w:tcBorders>
              <w:top w:val="single" w:color="000000" w:sz="10" w:space="0"/>
            </w:tcBorders>
          </w:tcPr>
          <w:p>
            <w:pPr>
              <w:ind w:left="344"/>
              <w:spacing w:before="13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0.027</w:t>
            </w:r>
          </w:p>
        </w:tc>
      </w:tr>
      <w:tr>
        <w:trPr>
          <w:trHeight w:val="471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175"/>
              <w:spacing w:before="137" w:line="215" w:lineRule="auto"/>
              <w:rPr/>
            </w:pPr>
            <w:r>
              <w:rPr/>
              <w:t>HCO</w:t>
            </w:r>
            <w:r>
              <w:rPr>
                <w:sz w:val="13"/>
                <w:szCs w:val="13"/>
                <w:spacing w:val="9"/>
                <w:position w:val="6"/>
              </w:rPr>
              <w:t>3-</w:t>
            </w:r>
            <w:r>
              <w:rPr>
                <w:spacing w:val="9"/>
              </w:rPr>
              <w:t>(</w:t>
            </w:r>
            <w:r>
              <w:rPr/>
              <w:t>mmol</w:t>
            </w:r>
            <w:r>
              <w:rPr>
                <w:spacing w:val="9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637"/>
              <w:spacing w:before="119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5.7(3.4,9.7)</w:t>
            </w:r>
          </w:p>
        </w:tc>
        <w:tc>
          <w:tcPr>
            <w:tcW w:w="2582" w:type="dxa"/>
            <w:vAlign w:val="top"/>
          </w:tcPr>
          <w:p>
            <w:pPr>
              <w:ind w:left="623"/>
              <w:spacing w:before="119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9.7(4.3,11.7)</w:t>
            </w:r>
          </w:p>
        </w:tc>
        <w:tc>
          <w:tcPr>
            <w:tcW w:w="1171" w:type="dxa"/>
            <w:vAlign w:val="top"/>
          </w:tcPr>
          <w:p>
            <w:pPr>
              <w:ind w:left="361"/>
              <w:spacing w:before="11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2.017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1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0.044</w:t>
            </w:r>
          </w:p>
        </w:tc>
      </w:tr>
      <w:tr>
        <w:trPr>
          <w:trHeight w:val="444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156"/>
              <w:spacing w:before="116"/>
              <w:rPr>
                <w:rFonts w:ascii="SimSun" w:hAnsi="SimSun" w:eastAsia="SimSun" w:cs="SimSun"/>
              </w:rPr>
            </w:pPr>
            <w:r>
              <w:rPr/>
              <w:t>Lac</w:t>
            </w:r>
            <w:r>
              <w:rPr>
                <w:rFonts w:ascii="SimSun" w:hAnsi="SimSun" w:eastAsia="SimSun" w:cs="SimSun"/>
                <w:spacing w:val="12"/>
              </w:rPr>
              <w:t>（</w:t>
            </w:r>
            <w:r>
              <w:rPr/>
              <w:t>mmol</w:t>
            </w:r>
            <w:r>
              <w:rPr>
                <w:spacing w:val="12"/>
              </w:rPr>
              <w:t>/L</w:t>
            </w:r>
            <w:r>
              <w:rPr>
                <w:rFonts w:ascii="SimSun" w:hAnsi="SimSun" w:eastAsia="SimSun" w:cs="SimSun"/>
                <w:spacing w:val="12"/>
              </w:rPr>
              <w:t>）</w:t>
            </w:r>
          </w:p>
        </w:tc>
        <w:tc>
          <w:tcPr>
            <w:tcW w:w="2497" w:type="dxa"/>
            <w:vAlign w:val="top"/>
          </w:tcPr>
          <w:p>
            <w:pPr>
              <w:ind w:left="387"/>
              <w:spacing w:before="116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1.9（1.55，2.88）</w:t>
            </w:r>
          </w:p>
        </w:tc>
        <w:tc>
          <w:tcPr>
            <w:tcW w:w="2582" w:type="dxa"/>
            <w:vAlign w:val="top"/>
          </w:tcPr>
          <w:p>
            <w:pPr>
              <w:ind w:left="482"/>
              <w:spacing w:before="116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1.9（1.3，2.85）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1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-0.784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1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0.433</w:t>
            </w:r>
          </w:p>
        </w:tc>
      </w:tr>
      <w:tr>
        <w:trPr>
          <w:trHeight w:val="485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229"/>
              <w:spacing w:before="140" w:line="221" w:lineRule="auto"/>
              <w:rPr/>
            </w:pPr>
            <w:r>
              <w:rPr/>
              <w:t>Glu</w:t>
            </w:r>
            <w:r>
              <w:rPr>
                <w:rFonts w:ascii="SimSun" w:hAnsi="SimSun" w:eastAsia="SimSun" w:cs="SimSun"/>
                <w:spacing w:val="12"/>
              </w:rPr>
              <w:t>（</w:t>
            </w:r>
            <w:r>
              <w:rPr/>
              <w:t>mmol</w:t>
            </w:r>
            <w:r>
              <w:rPr>
                <w:spacing w:val="12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321"/>
              <w:spacing w:before="140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29.73(23.30,36.58)</w:t>
            </w:r>
          </w:p>
        </w:tc>
        <w:tc>
          <w:tcPr>
            <w:tcW w:w="2582" w:type="dxa"/>
            <w:vAlign w:val="top"/>
          </w:tcPr>
          <w:p>
            <w:pPr>
              <w:ind w:left="363"/>
              <w:spacing w:before="140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25.20(20.23,30.51)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4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-2.324</w:t>
            </w:r>
          </w:p>
        </w:tc>
        <w:tc>
          <w:tcPr>
            <w:tcW w:w="1131" w:type="dxa"/>
            <w:vAlign w:val="top"/>
          </w:tcPr>
          <w:p>
            <w:pPr>
              <w:ind w:left="394"/>
              <w:spacing w:before="14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0.02</w:t>
            </w:r>
          </w:p>
        </w:tc>
      </w:tr>
      <w:tr>
        <w:trPr>
          <w:trHeight w:val="467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286"/>
              <w:spacing w:before="153" w:line="203" w:lineRule="auto"/>
              <w:rPr/>
            </w:pPr>
            <w:r>
              <w:rPr/>
              <w:t>Na</w:t>
            </w:r>
            <w:r>
              <w:rPr>
                <w:sz w:val="13"/>
                <w:szCs w:val="13"/>
                <w:spacing w:val="10"/>
                <w:position w:val="6"/>
              </w:rPr>
              <w:t>+</w:t>
            </w:r>
            <w:r>
              <w:rPr>
                <w:spacing w:val="10"/>
              </w:rPr>
              <w:t>(</w:t>
            </w:r>
            <w:r>
              <w:rPr/>
              <w:t>mmol</w:t>
            </w:r>
            <w:r>
              <w:rPr>
                <w:spacing w:val="10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281"/>
              <w:spacing w:before="12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132.4(128.85,138.0)</w:t>
            </w:r>
          </w:p>
        </w:tc>
        <w:tc>
          <w:tcPr>
            <w:tcW w:w="2582" w:type="dxa"/>
            <w:vAlign w:val="top"/>
          </w:tcPr>
          <w:p>
            <w:pPr>
              <w:ind w:left="323"/>
              <w:spacing w:before="12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134.8(131.3,137.05)</w:t>
            </w:r>
          </w:p>
        </w:tc>
        <w:tc>
          <w:tcPr>
            <w:tcW w:w="1171" w:type="dxa"/>
            <w:vAlign w:val="top"/>
          </w:tcPr>
          <w:p>
            <w:pPr>
              <w:ind w:left="374"/>
              <w:spacing w:before="12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1,441</w:t>
            </w:r>
          </w:p>
        </w:tc>
        <w:tc>
          <w:tcPr>
            <w:tcW w:w="1131" w:type="dxa"/>
            <w:vAlign w:val="top"/>
          </w:tcPr>
          <w:p>
            <w:pPr>
              <w:ind w:left="394"/>
              <w:spacing w:before="12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0.15</w:t>
            </w:r>
          </w:p>
        </w:tc>
      </w:tr>
      <w:tr>
        <w:trPr>
          <w:trHeight w:val="467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268"/>
              <w:spacing w:before="124" w:line="221" w:lineRule="auto"/>
              <w:rPr/>
            </w:pPr>
            <w:r>
              <w:rPr>
                <w:spacing w:val="8"/>
              </w:rPr>
              <w:t>K</w:t>
            </w:r>
            <w:r>
              <w:rPr>
                <w:sz w:val="13"/>
                <w:szCs w:val="13"/>
                <w:spacing w:val="8"/>
                <w:position w:val="6"/>
              </w:rPr>
              <w:t>+</w:t>
            </w:r>
            <w:r>
              <w:rPr>
                <w:rFonts w:ascii="SimSun" w:hAnsi="SimSun" w:eastAsia="SimSun" w:cs="SimSun"/>
                <w:spacing w:val="8"/>
              </w:rPr>
              <w:t>（</w:t>
            </w:r>
            <w:r>
              <w:rPr/>
              <w:t>mmol</w:t>
            </w:r>
            <w:r>
              <w:rPr>
                <w:spacing w:val="8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474"/>
              <w:spacing w:before="12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4.48(4.10,5.39)</w:t>
            </w:r>
          </w:p>
        </w:tc>
        <w:tc>
          <w:tcPr>
            <w:tcW w:w="2582" w:type="dxa"/>
            <w:vAlign w:val="top"/>
          </w:tcPr>
          <w:p>
            <w:pPr>
              <w:ind w:left="516"/>
              <w:spacing w:before="12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4.65(4.14,5.36)</w:t>
            </w:r>
          </w:p>
        </w:tc>
        <w:tc>
          <w:tcPr>
            <w:tcW w:w="1171" w:type="dxa"/>
            <w:vAlign w:val="top"/>
          </w:tcPr>
          <w:p>
            <w:pPr>
              <w:ind w:left="360"/>
              <w:spacing w:before="12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0.484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2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0.628</w:t>
            </w:r>
          </w:p>
        </w:tc>
      </w:tr>
      <w:tr>
        <w:trPr>
          <w:trHeight w:val="474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301"/>
              <w:spacing w:before="155" w:line="203" w:lineRule="auto"/>
              <w:rPr/>
            </w:pPr>
            <w:r>
              <w:rPr/>
              <w:t>Ca</w:t>
            </w:r>
            <w:r>
              <w:rPr>
                <w:sz w:val="13"/>
                <w:szCs w:val="13"/>
                <w:spacing w:val="8"/>
                <w:position w:val="6"/>
              </w:rPr>
              <w:t>+</w:t>
            </w:r>
            <w:r>
              <w:rPr>
                <w:spacing w:val="8"/>
              </w:rPr>
              <w:t>(</w:t>
            </w:r>
            <w:r>
              <w:rPr/>
              <w:t>mmol</w:t>
            </w:r>
            <w:r>
              <w:rPr>
                <w:spacing w:val="8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477"/>
              <w:spacing w:before="125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2.20(2.02,2.42)</w:t>
            </w:r>
          </w:p>
        </w:tc>
        <w:tc>
          <w:tcPr>
            <w:tcW w:w="2582" w:type="dxa"/>
            <w:vAlign w:val="top"/>
          </w:tcPr>
          <w:p>
            <w:pPr>
              <w:ind w:left="519"/>
              <w:spacing w:before="125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2.22(2.13,2.49)</w:t>
            </w:r>
          </w:p>
        </w:tc>
        <w:tc>
          <w:tcPr>
            <w:tcW w:w="1171" w:type="dxa"/>
            <w:vAlign w:val="top"/>
          </w:tcPr>
          <w:p>
            <w:pPr>
              <w:ind w:left="374"/>
              <w:spacing w:before="12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position w:val="1"/>
              </w:rPr>
              <w:t>1.324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2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0.186</w:t>
            </w:r>
          </w:p>
        </w:tc>
      </w:tr>
      <w:tr>
        <w:trPr>
          <w:trHeight w:val="439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556"/>
              <w:spacing w:before="151" w:line="199" w:lineRule="auto"/>
              <w:rPr/>
            </w:pPr>
            <w:r>
              <w:rPr/>
              <w:t>HbA</w:t>
            </w:r>
            <w:r>
              <w:rPr>
                <w:spacing w:val="12"/>
              </w:rPr>
              <w:t>1c</w:t>
            </w:r>
          </w:p>
        </w:tc>
        <w:tc>
          <w:tcPr>
            <w:tcW w:w="2497" w:type="dxa"/>
            <w:vAlign w:val="top"/>
          </w:tcPr>
          <w:p>
            <w:pPr>
              <w:ind w:left="701"/>
              <w:spacing w:before="119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12.21±2.03</w:t>
            </w:r>
          </w:p>
        </w:tc>
        <w:tc>
          <w:tcPr>
            <w:tcW w:w="2582" w:type="dxa"/>
            <w:vAlign w:val="top"/>
          </w:tcPr>
          <w:p>
            <w:pPr>
              <w:ind w:left="743"/>
              <w:spacing w:before="119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12.60±1.84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1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-0.967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1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0.336</w:t>
            </w:r>
          </w:p>
        </w:tc>
      </w:tr>
      <w:tr>
        <w:trPr>
          <w:trHeight w:val="475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433"/>
              <w:spacing w:before="148" w:line="22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</w:rPr>
              <w:t>空腹</w:t>
            </w:r>
            <w:r>
              <w:rPr>
                <w:rFonts w:ascii="SimSun" w:hAnsi="SimSun" w:eastAsia="SimSun" w:cs="SimSun"/>
                <w:spacing w:val="-36"/>
              </w:rPr>
              <w:t xml:space="preserve"> </w:t>
            </w:r>
            <w:r>
              <w:rPr/>
              <w:t>C</w:t>
            </w:r>
            <w:r>
              <w:rPr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</w:rPr>
              <w:t>肽</w:t>
            </w:r>
          </w:p>
        </w:tc>
        <w:tc>
          <w:tcPr>
            <w:tcW w:w="2497" w:type="dxa"/>
            <w:vAlign w:val="top"/>
          </w:tcPr>
          <w:p>
            <w:pPr>
              <w:ind w:left="162"/>
              <w:spacing w:before="148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64.32（4.04，222.96）</w:t>
            </w:r>
          </w:p>
        </w:tc>
        <w:tc>
          <w:tcPr>
            <w:tcW w:w="2582" w:type="dxa"/>
            <w:vAlign w:val="top"/>
          </w:tcPr>
          <w:p>
            <w:pPr>
              <w:ind w:left="205"/>
              <w:spacing w:before="148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29.48（1.23，218.48）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4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-1.017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4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0.309</w:t>
            </w:r>
          </w:p>
        </w:tc>
      </w:tr>
      <w:tr>
        <w:trPr>
          <w:trHeight w:val="460" w:hRule="atLeast"/>
        </w:trPr>
        <w:tc>
          <w:tcPr>
            <w:tcW w:w="17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41" w:line="22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"/>
              </w:rPr>
              <w:t>餐后</w:t>
            </w:r>
            <w:r>
              <w:rPr>
                <w:rFonts w:ascii="SimSun" w:hAnsi="SimSun" w:eastAsia="SimSun" w:cs="SimSun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2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小时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2"/>
              </w:rPr>
              <w:t>C </w:t>
            </w:r>
            <w:r>
              <w:rPr>
                <w:rFonts w:ascii="SimSun" w:hAnsi="SimSun" w:eastAsia="SimSun" w:cs="SimSun"/>
                <w:spacing w:val="2"/>
              </w:rPr>
              <w:t>肽</w:t>
            </w:r>
          </w:p>
        </w:tc>
        <w:tc>
          <w:tcPr>
            <w:tcW w:w="2497" w:type="dxa"/>
            <w:vAlign w:val="top"/>
          </w:tcPr>
          <w:p>
            <w:pPr>
              <w:ind w:left="125"/>
              <w:spacing w:before="141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120.53（6.45，315.76）</w:t>
            </w:r>
          </w:p>
        </w:tc>
        <w:tc>
          <w:tcPr>
            <w:tcW w:w="2582" w:type="dxa"/>
            <w:vAlign w:val="top"/>
          </w:tcPr>
          <w:p>
            <w:pPr>
              <w:ind w:left="206"/>
              <w:spacing w:before="141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51.61（2.12，248.57）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4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-1.093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4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0.274</w:t>
            </w:r>
          </w:p>
        </w:tc>
      </w:tr>
      <w:tr>
        <w:trPr>
          <w:trHeight w:val="352" w:hRule="atLeast"/>
        </w:trPr>
        <w:tc>
          <w:tcPr>
            <w:tcW w:w="17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ind w:left="490"/>
              <w:spacing w:before="149" w:line="17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型</w:t>
            </w:r>
            <w:r>
              <w:rPr>
                <w:rFonts w:ascii="SimSun" w:hAnsi="SimSun" w:eastAsia="SimSun" w:cs="SimSun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10（22.2%）</w:t>
            </w:r>
          </w:p>
        </w:tc>
        <w:tc>
          <w:tcPr>
            <w:tcW w:w="2582" w:type="dxa"/>
            <w:vAlign w:val="top"/>
          </w:tcPr>
          <w:p>
            <w:pPr>
              <w:ind w:left="532"/>
              <w:spacing w:before="149" w:line="17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型</w:t>
            </w:r>
            <w:r>
              <w:rPr>
                <w:rFonts w:ascii="SimSun" w:hAnsi="SimSun" w:eastAsia="SimSun" w:cs="SimSun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17（37.8%）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4" w:hRule="atLeast"/>
        </w:trPr>
        <w:tc>
          <w:tcPr>
            <w:tcW w:w="1721" w:type="dxa"/>
            <w:vAlign w:val="top"/>
          </w:tcPr>
          <w:p>
            <w:pPr>
              <w:ind w:left="340"/>
              <w:spacing w:before="3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糖尿病分型</w:t>
            </w:r>
          </w:p>
        </w:tc>
        <w:tc>
          <w:tcPr>
            <w:tcW w:w="2497" w:type="dxa"/>
            <w:vAlign w:val="top"/>
          </w:tcPr>
          <w:p>
            <w:pPr>
              <w:ind w:left="477"/>
              <w:spacing w:before="265" w:line="23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2</w:t>
            </w:r>
            <w:r>
              <w:rPr>
                <w:rFonts w:ascii="SimSun" w:hAnsi="SimSun" w:eastAsia="SimSun" w:cs="SimSun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型</w:t>
            </w:r>
            <w:r>
              <w:rPr>
                <w:rFonts w:ascii="SimSun" w:hAnsi="SimSun" w:eastAsia="SimSun" w:cs="SimSun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35（77.8%）</w:t>
            </w:r>
          </w:p>
        </w:tc>
        <w:tc>
          <w:tcPr>
            <w:tcW w:w="2582" w:type="dxa"/>
            <w:vAlign w:val="top"/>
          </w:tcPr>
          <w:p>
            <w:pPr>
              <w:ind w:left="519"/>
              <w:spacing w:before="265" w:line="23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2</w:t>
            </w:r>
            <w:r>
              <w:rPr>
                <w:rFonts w:ascii="SimSun" w:hAnsi="SimSun" w:eastAsia="SimSun" w:cs="SimSun"/>
                <w:sz w:val="20"/>
                <w:szCs w:val="20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型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28（62.2%）</w:t>
            </w:r>
          </w:p>
        </w:tc>
        <w:tc>
          <w:tcPr>
            <w:tcW w:w="1171" w:type="dxa"/>
            <w:vAlign w:val="top"/>
          </w:tcPr>
          <w:p>
            <w:pPr>
              <w:ind w:left="361"/>
              <w:spacing w:before="3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2.593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3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0.107</w:t>
            </w:r>
          </w:p>
        </w:tc>
      </w:tr>
      <w:tr>
        <w:trPr>
          <w:trHeight w:val="483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250"/>
              <w:spacing w:before="149" w:line="221" w:lineRule="auto"/>
              <w:rPr/>
            </w:pPr>
            <w:r>
              <w:rPr/>
              <w:t>TC</w:t>
            </w:r>
            <w:r>
              <w:rPr>
                <w:rFonts w:ascii="SimSun" w:hAnsi="SimSun" w:eastAsia="SimSun" w:cs="SimSun"/>
                <w:spacing w:val="12"/>
              </w:rPr>
              <w:t>（</w:t>
            </w:r>
            <w:r>
              <w:rPr/>
              <w:t>mmol</w:t>
            </w:r>
            <w:r>
              <w:rPr>
                <w:spacing w:val="12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429"/>
              <w:spacing w:before="149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7.71(5.60,11.66)</w:t>
            </w:r>
          </w:p>
        </w:tc>
        <w:tc>
          <w:tcPr>
            <w:tcW w:w="2582" w:type="dxa"/>
            <w:vAlign w:val="top"/>
          </w:tcPr>
          <w:p>
            <w:pPr>
              <w:ind w:left="516"/>
              <w:spacing w:before="149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4.86(4.22,6.52)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4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-4.018</w:t>
            </w:r>
          </w:p>
        </w:tc>
        <w:tc>
          <w:tcPr>
            <w:tcW w:w="1131" w:type="dxa"/>
            <w:vAlign w:val="top"/>
          </w:tcPr>
          <w:p>
            <w:pPr>
              <w:ind w:left="252"/>
              <w:spacing w:before="14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  <w:position w:val="1"/>
              </w:rPr>
              <w:t>&lt;0.001</w:t>
            </w:r>
          </w:p>
        </w:tc>
      </w:tr>
      <w:tr>
        <w:trPr>
          <w:trHeight w:val="471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245"/>
              <w:spacing w:before="134" w:line="221" w:lineRule="auto"/>
              <w:rPr/>
            </w:pPr>
            <w:r>
              <w:rPr/>
              <w:t>TG</w:t>
            </w:r>
            <w:r>
              <w:rPr>
                <w:rFonts w:ascii="SimSun" w:hAnsi="SimSun" w:eastAsia="SimSun" w:cs="SimSun"/>
                <w:spacing w:val="12"/>
              </w:rPr>
              <w:t>（</w:t>
            </w:r>
            <w:r>
              <w:rPr/>
              <w:t>mmol</w:t>
            </w:r>
            <w:r>
              <w:rPr>
                <w:spacing w:val="12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387"/>
              <w:spacing w:before="13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11.97(4.71,15.84)</w:t>
            </w:r>
          </w:p>
        </w:tc>
        <w:tc>
          <w:tcPr>
            <w:tcW w:w="2582" w:type="dxa"/>
            <w:vAlign w:val="top"/>
          </w:tcPr>
          <w:p>
            <w:pPr>
              <w:ind w:left="532"/>
              <w:spacing w:before="13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1.60(0.89,3.64)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3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-6.282</w:t>
            </w:r>
          </w:p>
        </w:tc>
        <w:tc>
          <w:tcPr>
            <w:tcW w:w="1131" w:type="dxa"/>
            <w:vAlign w:val="top"/>
          </w:tcPr>
          <w:p>
            <w:pPr>
              <w:ind w:left="252"/>
              <w:spacing w:before="13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  <w:position w:val="1"/>
              </w:rPr>
              <w:t>&lt;0.001</w:t>
            </w:r>
          </w:p>
        </w:tc>
      </w:tr>
      <w:tr>
        <w:trPr>
          <w:trHeight w:val="444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110"/>
              <w:spacing w:before="131"/>
              <w:rPr>
                <w:rFonts w:ascii="SimSun" w:hAnsi="SimSun" w:eastAsia="SimSun" w:cs="SimSun"/>
              </w:rPr>
            </w:pPr>
            <w:r>
              <w:rPr/>
              <w:t>HDL</w:t>
            </w:r>
            <w:r>
              <w:rPr>
                <w:rFonts w:ascii="SimSun" w:hAnsi="SimSun" w:eastAsia="SimSun" w:cs="SimSun"/>
                <w:spacing w:val="14"/>
              </w:rPr>
              <w:t>（</w:t>
            </w:r>
            <w:r>
              <w:rPr/>
              <w:t>mmol</w:t>
            </w:r>
            <w:r>
              <w:rPr>
                <w:spacing w:val="14"/>
              </w:rPr>
              <w:t>/L</w:t>
            </w:r>
            <w:r>
              <w:rPr>
                <w:rFonts w:ascii="SimSun" w:hAnsi="SimSun" w:eastAsia="SimSun" w:cs="SimSun"/>
                <w:spacing w:val="14"/>
              </w:rPr>
              <w:t>）</w:t>
            </w:r>
          </w:p>
        </w:tc>
        <w:tc>
          <w:tcPr>
            <w:tcW w:w="2497" w:type="dxa"/>
            <w:vAlign w:val="top"/>
          </w:tcPr>
          <w:p>
            <w:pPr>
              <w:ind w:left="754"/>
              <w:spacing w:before="131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1.08±0.53</w:t>
            </w:r>
          </w:p>
        </w:tc>
        <w:tc>
          <w:tcPr>
            <w:tcW w:w="2582" w:type="dxa"/>
            <w:vAlign w:val="top"/>
          </w:tcPr>
          <w:p>
            <w:pPr>
              <w:ind w:left="796"/>
              <w:spacing w:before="131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1.24±0.42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3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-1.589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3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0.116</w:t>
            </w:r>
          </w:p>
        </w:tc>
      </w:tr>
      <w:tr>
        <w:trPr>
          <w:trHeight w:val="489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178"/>
              <w:spacing w:before="155" w:line="221" w:lineRule="auto"/>
              <w:rPr/>
            </w:pPr>
            <w:r>
              <w:rPr/>
              <w:t>LDL</w:t>
            </w:r>
            <w:r>
              <w:rPr>
                <w:rFonts w:ascii="SimSun" w:hAnsi="SimSun" w:eastAsia="SimSun" w:cs="SimSun"/>
                <w:spacing w:val="14"/>
              </w:rPr>
              <w:t>（</w:t>
            </w:r>
            <w:r>
              <w:rPr/>
              <w:t>mmol</w:t>
            </w:r>
            <w:r>
              <w:rPr>
                <w:spacing w:val="14"/>
              </w:rPr>
              <w:t>/L)</w:t>
            </w:r>
          </w:p>
        </w:tc>
        <w:tc>
          <w:tcPr>
            <w:tcW w:w="2497" w:type="dxa"/>
            <w:vAlign w:val="top"/>
          </w:tcPr>
          <w:p>
            <w:pPr>
              <w:ind w:left="374"/>
              <w:spacing w:before="154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2.45(1.42，3.17）</w:t>
            </w:r>
          </w:p>
        </w:tc>
        <w:tc>
          <w:tcPr>
            <w:tcW w:w="2582" w:type="dxa"/>
            <w:vAlign w:val="top"/>
          </w:tcPr>
          <w:p>
            <w:pPr>
              <w:ind w:left="363"/>
              <w:spacing w:before="15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2.28（1.71，2.94）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5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-0.105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5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0.916</w:t>
            </w:r>
          </w:p>
        </w:tc>
      </w:tr>
      <w:tr>
        <w:trPr>
          <w:trHeight w:val="467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305"/>
              <w:spacing w:before="134" w:line="221" w:lineRule="auto"/>
              <w:rPr/>
            </w:pPr>
            <w:r>
              <w:rPr/>
              <w:t>AMY</w:t>
            </w:r>
            <w:r>
              <w:rPr>
                <w:rFonts w:ascii="SimSun" w:hAnsi="SimSun" w:eastAsia="SimSun" w:cs="SimSun"/>
                <w:spacing w:val="9"/>
              </w:rPr>
              <w:t>（</w:t>
            </w:r>
            <w:r>
              <w:rPr>
                <w:spacing w:val="9"/>
              </w:rPr>
              <w:t>U/L)</w:t>
            </w:r>
          </w:p>
        </w:tc>
        <w:tc>
          <w:tcPr>
            <w:tcW w:w="2497" w:type="dxa"/>
            <w:vAlign w:val="top"/>
          </w:tcPr>
          <w:p>
            <w:pPr>
              <w:ind w:left="427"/>
              <w:spacing w:before="134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215（80.5，540）</w:t>
            </w:r>
          </w:p>
        </w:tc>
        <w:tc>
          <w:tcPr>
            <w:tcW w:w="2582" w:type="dxa"/>
            <w:vAlign w:val="top"/>
          </w:tcPr>
          <w:p>
            <w:pPr>
              <w:ind w:left="517"/>
              <w:spacing w:before="134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92（68，182.5）</w:t>
            </w:r>
          </w:p>
        </w:tc>
        <w:tc>
          <w:tcPr>
            <w:tcW w:w="1171" w:type="dxa"/>
            <w:vAlign w:val="top"/>
          </w:tcPr>
          <w:p>
            <w:pPr>
              <w:ind w:left="304"/>
              <w:spacing w:before="13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-2.986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3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0.003</w:t>
            </w:r>
          </w:p>
        </w:tc>
      </w:tr>
      <w:tr>
        <w:trPr>
          <w:trHeight w:val="462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355"/>
              <w:spacing w:before="135" w:line="221" w:lineRule="auto"/>
              <w:rPr/>
            </w:pPr>
            <w:r>
              <w:rPr/>
              <w:t>ALT</w:t>
            </w:r>
            <w:r>
              <w:rPr>
                <w:rFonts w:ascii="SimSun" w:hAnsi="SimSun" w:eastAsia="SimSun" w:cs="SimSun"/>
                <w:spacing w:val="4"/>
              </w:rPr>
              <w:t>（</w:t>
            </w:r>
            <w:r>
              <w:rPr>
                <w:spacing w:val="4"/>
              </w:rPr>
              <w:t>U/L)</w:t>
            </w:r>
          </w:p>
        </w:tc>
        <w:tc>
          <w:tcPr>
            <w:tcW w:w="2497" w:type="dxa"/>
            <w:vAlign w:val="top"/>
          </w:tcPr>
          <w:p>
            <w:pPr>
              <w:ind w:left="635"/>
              <w:spacing w:before="13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21（14，33）</w:t>
            </w:r>
          </w:p>
        </w:tc>
        <w:tc>
          <w:tcPr>
            <w:tcW w:w="2582" w:type="dxa"/>
            <w:vAlign w:val="top"/>
          </w:tcPr>
          <w:p>
            <w:pPr>
              <w:ind w:left="572"/>
              <w:spacing w:before="13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20（13.5，31）</w:t>
            </w:r>
          </w:p>
        </w:tc>
        <w:tc>
          <w:tcPr>
            <w:tcW w:w="1171" w:type="dxa"/>
            <w:vAlign w:val="top"/>
          </w:tcPr>
          <w:p>
            <w:pPr>
              <w:ind w:left="360"/>
              <w:spacing w:before="13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0.569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3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0.732</w:t>
            </w:r>
          </w:p>
        </w:tc>
      </w:tr>
      <w:tr>
        <w:trPr>
          <w:trHeight w:val="467" w:hRule="atLeast"/>
        </w:trPr>
        <w:tc>
          <w:tcPr>
            <w:tcW w:w="1721" w:type="dxa"/>
            <w:vAlign w:val="top"/>
          </w:tcPr>
          <w:p>
            <w:pPr>
              <w:pStyle w:val="TableText"/>
              <w:ind w:left="351"/>
              <w:spacing w:before="141" w:line="221" w:lineRule="auto"/>
              <w:rPr/>
            </w:pPr>
            <w:r>
              <w:rPr/>
              <w:t>AST</w:t>
            </w:r>
            <w:r>
              <w:rPr>
                <w:rFonts w:ascii="SimSun" w:hAnsi="SimSun" w:eastAsia="SimSun" w:cs="SimSun"/>
                <w:spacing w:val="8"/>
              </w:rPr>
              <w:t>（</w:t>
            </w:r>
            <w:r>
              <w:rPr>
                <w:spacing w:val="8"/>
              </w:rPr>
              <w:t>U/L)</w:t>
            </w:r>
          </w:p>
        </w:tc>
        <w:tc>
          <w:tcPr>
            <w:tcW w:w="2497" w:type="dxa"/>
            <w:vAlign w:val="top"/>
          </w:tcPr>
          <w:p>
            <w:pPr>
              <w:ind w:left="596"/>
              <w:spacing w:before="141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16(12.5,23.5)</w:t>
            </w:r>
          </w:p>
        </w:tc>
        <w:tc>
          <w:tcPr>
            <w:tcW w:w="2582" w:type="dxa"/>
            <w:vAlign w:val="top"/>
          </w:tcPr>
          <w:p>
            <w:pPr>
              <w:ind w:left="849"/>
              <w:spacing w:before="141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16(13,25)</w:t>
            </w:r>
          </w:p>
        </w:tc>
        <w:tc>
          <w:tcPr>
            <w:tcW w:w="1171" w:type="dxa"/>
            <w:vAlign w:val="top"/>
          </w:tcPr>
          <w:p>
            <w:pPr>
              <w:ind w:left="360"/>
              <w:spacing w:before="14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0.621</w:t>
            </w:r>
          </w:p>
        </w:tc>
        <w:tc>
          <w:tcPr>
            <w:tcW w:w="1131" w:type="dxa"/>
            <w:vAlign w:val="top"/>
          </w:tcPr>
          <w:p>
            <w:pPr>
              <w:ind w:left="344"/>
              <w:spacing w:before="14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0.705</w:t>
            </w:r>
          </w:p>
        </w:tc>
      </w:tr>
      <w:tr>
        <w:trPr>
          <w:trHeight w:val="485" w:hRule="atLeast"/>
        </w:trPr>
        <w:tc>
          <w:tcPr>
            <w:tcW w:w="1721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51"/>
              <w:spacing w:before="142" w:line="221" w:lineRule="auto"/>
              <w:rPr/>
            </w:pPr>
            <w:r>
              <w:rPr/>
              <w:t>TBIL</w:t>
            </w:r>
            <w:r>
              <w:rPr>
                <w:rFonts w:ascii="SimSun" w:hAnsi="SimSun" w:eastAsia="SimSun" w:cs="SimSun"/>
                <w:spacing w:val="14"/>
              </w:rPr>
              <w:t>（</w:t>
            </w:r>
            <w:r>
              <w:rPr/>
              <w:t>mmol</w:t>
            </w:r>
            <w:r>
              <w:rPr>
                <w:spacing w:val="14"/>
              </w:rPr>
              <w:t>/L)</w:t>
            </w:r>
          </w:p>
        </w:tc>
        <w:tc>
          <w:tcPr>
            <w:tcW w:w="2497" w:type="dxa"/>
            <w:vAlign w:val="top"/>
            <w:tcBorders>
              <w:bottom w:val="single" w:color="000000" w:sz="10" w:space="0"/>
            </w:tcBorders>
          </w:tcPr>
          <w:p>
            <w:pPr>
              <w:ind w:left="490"/>
              <w:spacing w:before="142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12.5(7.25,20.2)</w:t>
            </w:r>
          </w:p>
        </w:tc>
        <w:tc>
          <w:tcPr>
            <w:tcW w:w="2582" w:type="dxa"/>
            <w:vAlign w:val="top"/>
            <w:tcBorders>
              <w:bottom w:val="single" w:color="000000" w:sz="10" w:space="0"/>
            </w:tcBorders>
          </w:tcPr>
          <w:p>
            <w:pPr>
              <w:ind w:left="585"/>
              <w:spacing w:before="142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13(9.82,16.65)</w:t>
            </w:r>
          </w:p>
        </w:tc>
        <w:tc>
          <w:tcPr>
            <w:tcW w:w="1171" w:type="dxa"/>
            <w:vAlign w:val="top"/>
            <w:tcBorders>
              <w:bottom w:val="single" w:color="000000" w:sz="10" w:space="0"/>
            </w:tcBorders>
          </w:tcPr>
          <w:p>
            <w:pPr>
              <w:ind w:left="360"/>
              <w:spacing w:before="14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0.421</w:t>
            </w:r>
          </w:p>
        </w:tc>
        <w:tc>
          <w:tcPr>
            <w:tcW w:w="1131" w:type="dxa"/>
            <w:vAlign w:val="top"/>
            <w:tcBorders>
              <w:bottom w:val="single" w:color="000000" w:sz="10" w:space="0"/>
            </w:tcBorders>
          </w:tcPr>
          <w:p>
            <w:pPr>
              <w:ind w:left="344"/>
              <w:spacing w:before="14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0.874</w:t>
            </w:r>
          </w:p>
        </w:tc>
      </w:tr>
    </w:tbl>
    <w:p>
      <w:pPr>
        <w:ind w:left="1000"/>
        <w:spacing w:before="116" w:line="21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4.糖尿病酮症酸中毒合并急性胰腺炎多因素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回归分析</w:t>
      </w:r>
    </w:p>
    <w:p>
      <w:pPr>
        <w:ind w:left="1000" w:firstLine="469"/>
        <w:spacing w:before="196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为减少多种混杂因素的影响，将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DKA-AP </w:t>
      </w:r>
      <w:r>
        <w:rPr>
          <w:rFonts w:ascii="SimSun" w:hAnsi="SimSun" w:eastAsia="SimSun" w:cs="SimSun"/>
          <w:sz w:val="24"/>
          <w:szCs w:val="24"/>
          <w:spacing w:val="-3"/>
        </w:rPr>
        <w:t>组当作因变量，自变量为体质指数、高脂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血症病史、腹痛、腹痛持续时间、红细胞比容、红细胞、血红蛋白浓度、酸碱度、二氧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化碳结合力、碳酸氢根、血糖、胆固醇、甘油三酯及血清淀粉酶进行多因素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归分析，结果得出腹痛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SimSun" w:hAnsi="SimSun" w:eastAsia="SimSun" w:cs="SimSun"/>
          <w:sz w:val="24"/>
          <w:szCs w:val="24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SimSun" w:hAnsi="SimSun" w:eastAsia="SimSun" w:cs="SimSun"/>
          <w:sz w:val="24"/>
          <w:szCs w:val="24"/>
        </w:rPr>
        <w:t>=38.906，95</w:t>
      </w:r>
      <w:r>
        <w:rPr>
          <w:rFonts w:ascii="Times New Roman" w:hAnsi="Times New Roman" w:eastAsia="Times New Roman" w:cs="Times New Roman"/>
          <w:sz w:val="24"/>
          <w:szCs w:val="24"/>
        </w:rPr>
        <w:t>%CI</w:t>
      </w:r>
      <w:r>
        <w:rPr>
          <w:rFonts w:ascii="SimSun" w:hAnsi="SimSun" w:eastAsia="SimSun" w:cs="SimSun"/>
          <w:sz w:val="24"/>
          <w:szCs w:val="24"/>
        </w:rPr>
        <w:t>：9.458-160.046，</w:t>
      </w:r>
      <w:r>
        <w:rPr>
          <w:rFonts w:ascii="SimSun" w:hAnsi="SimSun" w:eastAsia="SimSun" w:cs="SimSun"/>
          <w:sz w:val="24"/>
          <w:szCs w:val="24"/>
          <w:color w:val="0C0C0C"/>
        </w:rPr>
        <w:t>腹痛为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 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的独立影响因素；腹痛持续时间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3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OR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=3.892，95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%CI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：2.173-6.972，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>腹痛持续时间同样是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>的独立影响因素；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胆固醇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4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OR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=1.455，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95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%CI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：1.196-1.769，胆固醇为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的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一个独立影响因素；甘油三酯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8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=0.008，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OR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=2.046，95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%CI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：1.20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2-3.484，甘油三酯为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的一个独立影响因素；血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清淀粉酶</w:t>
      </w:r>
      <w:r>
        <w:rPr>
          <w:rFonts w:ascii="SimSun" w:hAnsi="SimSun" w:eastAsia="SimSun" w:cs="SimSun"/>
          <w:sz w:val="24"/>
          <w:szCs w:val="24"/>
          <w:color w:val="0C0C0C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=0.004，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OR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=1.013，95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"/>
        </w:rPr>
        <w:t>%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CI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:1.004-1.021，血</w:t>
      </w:r>
      <w:r>
        <w:rPr>
          <w:rFonts w:ascii="SimSun" w:hAnsi="SimSun" w:eastAsia="SimSun" w:cs="SimSun"/>
          <w:sz w:val="24"/>
          <w:szCs w:val="24"/>
          <w:color w:val="0C0C0C"/>
        </w:rPr>
        <w:t>清淀粉酶也是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AP</w:t>
      </w:r>
    </w:p>
    <w:p>
      <w:pPr>
        <w:pStyle w:val="BodyText"/>
        <w:spacing w:line="306" w:lineRule="auto"/>
        <w:rPr/>
      </w:pPr>
      <w:r/>
    </w:p>
    <w:p>
      <w:pPr>
        <w:ind w:left="5452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12</w:t>
      </w:r>
    </w:p>
    <w:p>
      <w:pPr>
        <w:spacing w:line="181" w:lineRule="auto"/>
        <w:sectPr>
          <w:pgSz w:w="11906" w:h="16839"/>
          <w:pgMar w:top="1182" w:right="135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1" w:firstLine="19"/>
        <w:spacing w:before="180" w:line="335" w:lineRule="auto"/>
        <w:rPr>
          <w:rFonts w:ascii="SimSun" w:hAnsi="SimSun" w:eastAsia="SimSun" w:cs="SimSun"/>
          <w:sz w:val="24"/>
          <w:szCs w:val="24"/>
        </w:rPr>
      </w:pPr>
      <w:bookmarkStart w:name="bookmark33" w:id="13"/>
      <w:bookmarkEnd w:id="13"/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的一个独立影响因素，详见表4</w:t>
      </w:r>
      <w:r>
        <w:rPr>
          <w:rFonts w:ascii="SimSun" w:hAnsi="SimSun" w:eastAsia="SimSun" w:cs="SimSun"/>
          <w:sz w:val="24"/>
          <w:szCs w:val="24"/>
          <w:spacing w:val="-3"/>
        </w:rPr>
        <w:t>。同时，把有统计学意义的连续性变量：腹痛持续时间、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胆固醇、甘油三酯及三者联合绘制受试者工作特性（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ROC</w:t>
      </w:r>
      <w:r>
        <w:rPr>
          <w:rFonts w:ascii="SimSun" w:hAnsi="SimSun" w:eastAsia="SimSun" w:cs="SimSun"/>
          <w:sz w:val="24"/>
          <w:szCs w:val="24"/>
          <w:spacing w:val="-2"/>
        </w:rPr>
        <w:t>）曲线，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详见图</w:t>
      </w:r>
      <w:r>
        <w:rPr>
          <w:rFonts w:ascii="SimSun" w:hAnsi="SimSun" w:eastAsia="SimSun" w:cs="SimSun"/>
          <w:sz w:val="24"/>
          <w:szCs w:val="24"/>
          <w:color w:val="0C0C0C"/>
          <w:spacing w:val="-1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及表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5。</w:t>
      </w:r>
    </w:p>
    <w:p>
      <w:pPr>
        <w:ind w:left="3951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表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4.多因素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Logistic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回归分析</w:t>
      </w:r>
    </w:p>
    <w:p>
      <w:pPr>
        <w:spacing w:line="62" w:lineRule="exact"/>
        <w:rPr/>
      </w:pPr>
      <w:r/>
    </w:p>
    <w:tbl>
      <w:tblPr>
        <w:tblStyle w:val="TableNormal"/>
        <w:tblW w:w="8856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0"/>
        <w:gridCol w:w="1035"/>
        <w:gridCol w:w="955"/>
        <w:gridCol w:w="1045"/>
        <w:gridCol w:w="1142"/>
        <w:gridCol w:w="1075"/>
        <w:gridCol w:w="1834"/>
      </w:tblGrid>
      <w:tr>
        <w:trPr>
          <w:trHeight w:val="369" w:hRule="atLeast"/>
        </w:trPr>
        <w:tc>
          <w:tcPr>
            <w:tcW w:w="177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51"/>
              <w:spacing w:before="7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影响因素</w:t>
            </w:r>
          </w:p>
        </w:tc>
        <w:tc>
          <w:tcPr>
            <w:tcW w:w="103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30"/>
              <w:spacing w:before="115" w:line="192" w:lineRule="auto"/>
              <w:rPr/>
            </w:pPr>
            <w:r>
              <w:rPr>
                <w:spacing w:val="2"/>
              </w:rPr>
              <w:t>B</w:t>
            </w:r>
          </w:p>
        </w:tc>
        <w:tc>
          <w:tcPr>
            <w:tcW w:w="95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77"/>
              <w:spacing w:before="112" w:line="195" w:lineRule="auto"/>
              <w:rPr/>
            </w:pPr>
            <w:r>
              <w:rPr>
                <w:spacing w:val="-2"/>
              </w:rPr>
              <w:t>SE</w:t>
            </w:r>
          </w:p>
        </w:tc>
        <w:tc>
          <w:tcPr>
            <w:tcW w:w="104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02"/>
              <w:spacing w:before="108" w:line="199" w:lineRule="auto"/>
              <w:rPr/>
            </w:pPr>
            <w:r>
              <w:rPr/>
              <w:t>Wald</w:t>
            </w:r>
          </w:p>
        </w:tc>
        <w:tc>
          <w:tcPr>
            <w:tcW w:w="114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95"/>
              <w:spacing w:before="115" w:line="192" w:lineRule="auto"/>
              <w:rPr/>
            </w:pPr>
            <w:r>
              <w:rPr>
                <w:i/>
                <w:iCs/>
                <w:spacing w:val="12"/>
              </w:rPr>
              <w:t>P</w:t>
            </w:r>
          </w:p>
        </w:tc>
        <w:tc>
          <w:tcPr>
            <w:tcW w:w="107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97"/>
              <w:spacing w:before="112" w:line="195" w:lineRule="auto"/>
              <w:rPr/>
            </w:pPr>
            <w:r>
              <w:rPr>
                <w:spacing w:val="3"/>
              </w:rPr>
              <w:t>OR</w:t>
            </w:r>
          </w:p>
        </w:tc>
        <w:tc>
          <w:tcPr>
            <w:tcW w:w="183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22"/>
              <w:spacing w:before="77" w:line="241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95</w:t>
            </w:r>
            <w:r>
              <w:rPr>
                <w:spacing w:val="5"/>
              </w:rPr>
              <w:t>%</w:t>
            </w:r>
            <w:r>
              <w:rPr/>
              <w:t>CI</w:t>
            </w:r>
          </w:p>
        </w:tc>
      </w:tr>
      <w:tr>
        <w:trPr>
          <w:trHeight w:val="331" w:hRule="atLeast"/>
        </w:trPr>
        <w:tc>
          <w:tcPr>
            <w:tcW w:w="1770" w:type="dxa"/>
            <w:vAlign w:val="top"/>
            <w:tcBorders>
              <w:top w:val="single" w:color="000000" w:sz="10" w:space="0"/>
            </w:tcBorders>
          </w:tcPr>
          <w:p>
            <w:pPr>
              <w:ind w:left="451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体质指数</w:t>
            </w:r>
          </w:p>
        </w:tc>
        <w:tc>
          <w:tcPr>
            <w:tcW w:w="1035" w:type="dxa"/>
            <w:vAlign w:val="top"/>
            <w:tcBorders>
              <w:top w:val="single" w:color="000000" w:sz="10" w:space="0"/>
            </w:tcBorders>
          </w:tcPr>
          <w:p>
            <w:pPr>
              <w:ind w:left="245"/>
              <w:spacing w:before="64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0.185</w:t>
            </w:r>
          </w:p>
        </w:tc>
        <w:tc>
          <w:tcPr>
            <w:tcW w:w="955" w:type="dxa"/>
            <w:vAlign w:val="top"/>
            <w:tcBorders>
              <w:top w:val="single" w:color="000000" w:sz="10" w:space="0"/>
            </w:tcBorders>
          </w:tcPr>
          <w:p>
            <w:pPr>
              <w:ind w:left="232"/>
              <w:spacing w:before="64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0.146</w:t>
            </w:r>
          </w:p>
        </w:tc>
        <w:tc>
          <w:tcPr>
            <w:tcW w:w="1045" w:type="dxa"/>
            <w:vAlign w:val="top"/>
            <w:tcBorders>
              <w:top w:val="single" w:color="000000" w:sz="10" w:space="0"/>
            </w:tcBorders>
          </w:tcPr>
          <w:p>
            <w:pPr>
              <w:ind w:left="280"/>
              <w:spacing w:before="64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1.612</w:t>
            </w:r>
          </w:p>
        </w:tc>
        <w:tc>
          <w:tcPr>
            <w:tcW w:w="1142" w:type="dxa"/>
            <w:vAlign w:val="top"/>
            <w:tcBorders>
              <w:top w:val="single" w:color="000000" w:sz="10" w:space="0"/>
            </w:tcBorders>
          </w:tcPr>
          <w:p>
            <w:pPr>
              <w:ind w:left="311"/>
              <w:spacing w:before="64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0.204</w:t>
            </w:r>
          </w:p>
        </w:tc>
        <w:tc>
          <w:tcPr>
            <w:tcW w:w="1075" w:type="dxa"/>
            <w:vAlign w:val="top"/>
            <w:tcBorders>
              <w:top w:val="single" w:color="000000" w:sz="10" w:space="0"/>
            </w:tcBorders>
          </w:tcPr>
          <w:p>
            <w:pPr>
              <w:ind w:left="296"/>
              <w:spacing w:before="64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1.204</w:t>
            </w:r>
          </w:p>
        </w:tc>
        <w:tc>
          <w:tcPr>
            <w:tcW w:w="1834" w:type="dxa"/>
            <w:vAlign w:val="top"/>
            <w:tcBorders>
              <w:top w:val="single" w:color="000000" w:sz="10" w:space="0"/>
            </w:tcBorders>
          </w:tcPr>
          <w:p>
            <w:pPr>
              <w:ind w:left="342"/>
              <w:spacing w:before="64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0.904-1.602</w:t>
            </w:r>
          </w:p>
        </w:tc>
      </w:tr>
      <w:tr>
        <w:trPr>
          <w:trHeight w:val="328" w:hRule="atLeast"/>
        </w:trPr>
        <w:tc>
          <w:tcPr>
            <w:tcW w:w="1770" w:type="dxa"/>
            <w:vAlign w:val="top"/>
          </w:tcPr>
          <w:p>
            <w:pPr>
              <w:ind w:left="245"/>
              <w:spacing w:before="6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高脂血症病史</w:t>
            </w:r>
          </w:p>
        </w:tc>
        <w:tc>
          <w:tcPr>
            <w:tcW w:w="1035" w:type="dxa"/>
            <w:vAlign w:val="top"/>
          </w:tcPr>
          <w:p>
            <w:pPr>
              <w:ind w:left="245"/>
              <w:spacing w:before="68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0.081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68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0.937</w:t>
            </w:r>
          </w:p>
        </w:tc>
        <w:tc>
          <w:tcPr>
            <w:tcW w:w="1045" w:type="dxa"/>
            <w:vAlign w:val="top"/>
          </w:tcPr>
          <w:p>
            <w:pPr>
              <w:ind w:left="266"/>
              <w:spacing w:before="68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0.007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68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0.931</w:t>
            </w:r>
          </w:p>
        </w:tc>
        <w:tc>
          <w:tcPr>
            <w:tcW w:w="1075" w:type="dxa"/>
            <w:vAlign w:val="top"/>
          </w:tcPr>
          <w:p>
            <w:pPr>
              <w:ind w:left="296"/>
              <w:spacing w:before="68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1.084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68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0.173-6.807</w:t>
            </w:r>
          </w:p>
        </w:tc>
      </w:tr>
      <w:tr>
        <w:trPr>
          <w:trHeight w:val="320" w:hRule="atLeast"/>
        </w:trPr>
        <w:tc>
          <w:tcPr>
            <w:tcW w:w="1770" w:type="dxa"/>
            <w:vAlign w:val="top"/>
          </w:tcPr>
          <w:p>
            <w:pPr>
              <w:ind w:left="659"/>
              <w:spacing w:before="6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腹痛</w:t>
            </w:r>
          </w:p>
        </w:tc>
        <w:tc>
          <w:tcPr>
            <w:tcW w:w="1035" w:type="dxa"/>
            <w:vAlign w:val="top"/>
          </w:tcPr>
          <w:p>
            <w:pPr>
              <w:ind w:left="247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3.661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0.722</w:t>
            </w:r>
          </w:p>
        </w:tc>
        <w:tc>
          <w:tcPr>
            <w:tcW w:w="1045" w:type="dxa"/>
            <w:vAlign w:val="top"/>
          </w:tcPr>
          <w:p>
            <w:pPr>
              <w:ind w:left="214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25.742</w:t>
            </w:r>
          </w:p>
        </w:tc>
        <w:tc>
          <w:tcPr>
            <w:tcW w:w="1142" w:type="dxa"/>
            <w:vAlign w:val="top"/>
          </w:tcPr>
          <w:p>
            <w:pPr>
              <w:ind w:left="221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</w:rPr>
              <w:t>&lt;0.001</w:t>
            </w:r>
          </w:p>
        </w:tc>
        <w:tc>
          <w:tcPr>
            <w:tcW w:w="1075" w:type="dxa"/>
            <w:vAlign w:val="top"/>
          </w:tcPr>
          <w:p>
            <w:pPr>
              <w:ind w:left="232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38.906</w:t>
            </w:r>
          </w:p>
        </w:tc>
        <w:tc>
          <w:tcPr>
            <w:tcW w:w="1834" w:type="dxa"/>
            <w:vAlign w:val="top"/>
          </w:tcPr>
          <w:p>
            <w:pPr>
              <w:ind w:left="236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9.458-160.046</w:t>
            </w:r>
          </w:p>
        </w:tc>
      </w:tr>
      <w:tr>
        <w:trPr>
          <w:trHeight w:val="319" w:hRule="atLeast"/>
        </w:trPr>
        <w:tc>
          <w:tcPr>
            <w:tcW w:w="1770" w:type="dxa"/>
            <w:vAlign w:val="top"/>
          </w:tcPr>
          <w:p>
            <w:pPr>
              <w:ind w:left="239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腹痛持续时间</w:t>
            </w:r>
          </w:p>
        </w:tc>
        <w:tc>
          <w:tcPr>
            <w:tcW w:w="1035" w:type="dxa"/>
            <w:vAlign w:val="top"/>
          </w:tcPr>
          <w:p>
            <w:pPr>
              <w:ind w:left="259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1.359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0.297</w:t>
            </w:r>
          </w:p>
        </w:tc>
        <w:tc>
          <w:tcPr>
            <w:tcW w:w="1045" w:type="dxa"/>
            <w:vAlign w:val="top"/>
          </w:tcPr>
          <w:p>
            <w:pPr>
              <w:ind w:left="214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20.869</w:t>
            </w:r>
          </w:p>
        </w:tc>
        <w:tc>
          <w:tcPr>
            <w:tcW w:w="1142" w:type="dxa"/>
            <w:vAlign w:val="top"/>
          </w:tcPr>
          <w:p>
            <w:pPr>
              <w:ind w:left="221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</w:rPr>
              <w:t>&lt;0.001</w:t>
            </w:r>
          </w:p>
        </w:tc>
        <w:tc>
          <w:tcPr>
            <w:tcW w:w="1075" w:type="dxa"/>
            <w:vAlign w:val="top"/>
          </w:tcPr>
          <w:p>
            <w:pPr>
              <w:ind w:left="285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3.892</w:t>
            </w:r>
          </w:p>
        </w:tc>
        <w:tc>
          <w:tcPr>
            <w:tcW w:w="1834" w:type="dxa"/>
            <w:vAlign w:val="top"/>
          </w:tcPr>
          <w:p>
            <w:pPr>
              <w:ind w:left="343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2.173-6.972</w:t>
            </w:r>
          </w:p>
        </w:tc>
      </w:tr>
      <w:tr>
        <w:trPr>
          <w:trHeight w:val="319" w:hRule="atLeast"/>
        </w:trPr>
        <w:tc>
          <w:tcPr>
            <w:tcW w:w="1770" w:type="dxa"/>
            <w:vAlign w:val="top"/>
          </w:tcPr>
          <w:p>
            <w:pPr>
              <w:ind w:left="350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红细胞比容</w:t>
            </w:r>
          </w:p>
        </w:tc>
        <w:tc>
          <w:tcPr>
            <w:tcW w:w="1035" w:type="dxa"/>
            <w:vAlign w:val="top"/>
          </w:tcPr>
          <w:p>
            <w:pPr>
              <w:ind w:left="189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-0.138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0.167</w:t>
            </w:r>
          </w:p>
        </w:tc>
        <w:tc>
          <w:tcPr>
            <w:tcW w:w="1045" w:type="dxa"/>
            <w:vAlign w:val="top"/>
          </w:tcPr>
          <w:p>
            <w:pPr>
              <w:ind w:left="266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0.682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0.409</w:t>
            </w:r>
          </w:p>
        </w:tc>
        <w:tc>
          <w:tcPr>
            <w:tcW w:w="1075" w:type="dxa"/>
            <w:vAlign w:val="top"/>
          </w:tcPr>
          <w:p>
            <w:pPr>
              <w:ind w:left="282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0.871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6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0.627-1.209</w:t>
            </w:r>
          </w:p>
        </w:tc>
      </w:tr>
      <w:tr>
        <w:trPr>
          <w:trHeight w:val="320" w:hRule="atLeast"/>
        </w:trPr>
        <w:tc>
          <w:tcPr>
            <w:tcW w:w="1770" w:type="dxa"/>
            <w:vAlign w:val="top"/>
          </w:tcPr>
          <w:p>
            <w:pPr>
              <w:ind w:left="561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红细胞</w:t>
            </w:r>
          </w:p>
        </w:tc>
        <w:tc>
          <w:tcPr>
            <w:tcW w:w="1035" w:type="dxa"/>
            <w:vAlign w:val="top"/>
          </w:tcPr>
          <w:p>
            <w:pPr>
              <w:ind w:left="259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1.132</w:t>
            </w:r>
          </w:p>
        </w:tc>
        <w:tc>
          <w:tcPr>
            <w:tcW w:w="955" w:type="dxa"/>
            <w:vAlign w:val="top"/>
          </w:tcPr>
          <w:p>
            <w:pPr>
              <w:ind w:left="246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1.592</w:t>
            </w:r>
          </w:p>
        </w:tc>
        <w:tc>
          <w:tcPr>
            <w:tcW w:w="1045" w:type="dxa"/>
            <w:vAlign w:val="top"/>
          </w:tcPr>
          <w:p>
            <w:pPr>
              <w:ind w:left="266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0.506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0.477</w:t>
            </w:r>
          </w:p>
        </w:tc>
        <w:tc>
          <w:tcPr>
            <w:tcW w:w="1075" w:type="dxa"/>
            <w:vAlign w:val="top"/>
          </w:tcPr>
          <w:p>
            <w:pPr>
              <w:ind w:left="285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3.102</w:t>
            </w:r>
          </w:p>
        </w:tc>
        <w:tc>
          <w:tcPr>
            <w:tcW w:w="1834" w:type="dxa"/>
            <w:vAlign w:val="top"/>
          </w:tcPr>
          <w:p>
            <w:pPr>
              <w:ind w:left="290"/>
              <w:spacing w:before="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0.137-70.224</w:t>
            </w:r>
          </w:p>
        </w:tc>
      </w:tr>
      <w:tr>
        <w:trPr>
          <w:trHeight w:val="319" w:hRule="atLeast"/>
        </w:trPr>
        <w:tc>
          <w:tcPr>
            <w:tcW w:w="1770" w:type="dxa"/>
            <w:vAlign w:val="top"/>
          </w:tcPr>
          <w:p>
            <w:pPr>
              <w:ind w:left="452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血红蛋白</w:t>
            </w:r>
          </w:p>
        </w:tc>
        <w:tc>
          <w:tcPr>
            <w:tcW w:w="1035" w:type="dxa"/>
            <w:vAlign w:val="top"/>
          </w:tcPr>
          <w:p>
            <w:pPr>
              <w:ind w:left="189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-0.031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0.027</w:t>
            </w:r>
          </w:p>
        </w:tc>
        <w:tc>
          <w:tcPr>
            <w:tcW w:w="1045" w:type="dxa"/>
            <w:vAlign w:val="top"/>
          </w:tcPr>
          <w:p>
            <w:pPr>
              <w:ind w:left="280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1.305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0.253</w:t>
            </w:r>
          </w:p>
        </w:tc>
        <w:tc>
          <w:tcPr>
            <w:tcW w:w="1075" w:type="dxa"/>
            <w:vAlign w:val="top"/>
          </w:tcPr>
          <w:p>
            <w:pPr>
              <w:ind w:left="282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0.969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6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0.919-1.023</w:t>
            </w:r>
          </w:p>
        </w:tc>
      </w:tr>
      <w:tr>
        <w:trPr>
          <w:trHeight w:val="399" w:hRule="atLeast"/>
        </w:trPr>
        <w:tc>
          <w:tcPr>
            <w:tcW w:w="1770" w:type="dxa"/>
            <w:vAlign w:val="top"/>
          </w:tcPr>
          <w:p>
            <w:pPr>
              <w:ind w:left="557"/>
              <w:spacing w:before="7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酸碱度</w:t>
            </w:r>
          </w:p>
        </w:tc>
        <w:tc>
          <w:tcPr>
            <w:tcW w:w="1035" w:type="dxa"/>
            <w:vAlign w:val="top"/>
          </w:tcPr>
          <w:p>
            <w:pPr>
              <w:ind w:left="189"/>
              <w:spacing w:before="7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-4.857</w:t>
            </w:r>
          </w:p>
        </w:tc>
        <w:tc>
          <w:tcPr>
            <w:tcW w:w="955" w:type="dxa"/>
            <w:vAlign w:val="top"/>
          </w:tcPr>
          <w:p>
            <w:pPr>
              <w:ind w:left="233"/>
              <w:spacing w:before="7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2.027</w:t>
            </w:r>
          </w:p>
        </w:tc>
        <w:tc>
          <w:tcPr>
            <w:tcW w:w="1045" w:type="dxa"/>
            <w:vAlign w:val="top"/>
          </w:tcPr>
          <w:p>
            <w:pPr>
              <w:ind w:left="268"/>
              <w:spacing w:before="7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5.739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7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0.067</w:t>
            </w:r>
          </w:p>
        </w:tc>
        <w:tc>
          <w:tcPr>
            <w:tcW w:w="1075" w:type="dxa"/>
            <w:vAlign w:val="top"/>
          </w:tcPr>
          <w:p>
            <w:pPr>
              <w:ind w:left="282"/>
              <w:spacing w:before="7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0.208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7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0.102-0.413</w:t>
            </w:r>
          </w:p>
        </w:tc>
      </w:tr>
      <w:tr>
        <w:trPr>
          <w:trHeight w:val="480" w:hRule="atLeast"/>
        </w:trPr>
        <w:tc>
          <w:tcPr>
            <w:tcW w:w="1770" w:type="dxa"/>
            <w:vAlign w:val="top"/>
          </w:tcPr>
          <w:p>
            <w:pPr>
              <w:ind w:left="140"/>
              <w:spacing w:before="1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二氧化碳结合力</w:t>
            </w:r>
          </w:p>
        </w:tc>
        <w:tc>
          <w:tcPr>
            <w:tcW w:w="1035" w:type="dxa"/>
            <w:vAlign w:val="top"/>
          </w:tcPr>
          <w:p>
            <w:pPr>
              <w:ind w:left="189"/>
              <w:spacing w:before="15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-0.089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15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0.161</w:t>
            </w:r>
          </w:p>
        </w:tc>
        <w:tc>
          <w:tcPr>
            <w:tcW w:w="1045" w:type="dxa"/>
            <w:vAlign w:val="top"/>
          </w:tcPr>
          <w:p>
            <w:pPr>
              <w:ind w:left="266"/>
              <w:spacing w:before="15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0.302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15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0.582</w:t>
            </w:r>
          </w:p>
        </w:tc>
        <w:tc>
          <w:tcPr>
            <w:tcW w:w="1075" w:type="dxa"/>
            <w:vAlign w:val="top"/>
          </w:tcPr>
          <w:p>
            <w:pPr>
              <w:ind w:left="282"/>
              <w:spacing w:before="15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0.915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152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0.668-1.255</w:t>
            </w:r>
          </w:p>
        </w:tc>
      </w:tr>
      <w:tr>
        <w:trPr>
          <w:trHeight w:val="399" w:hRule="atLeast"/>
        </w:trPr>
        <w:tc>
          <w:tcPr>
            <w:tcW w:w="1770" w:type="dxa"/>
            <w:vAlign w:val="top"/>
          </w:tcPr>
          <w:p>
            <w:pPr>
              <w:ind w:left="451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碳酸氢根</w:t>
            </w:r>
          </w:p>
        </w:tc>
        <w:tc>
          <w:tcPr>
            <w:tcW w:w="1035" w:type="dxa"/>
            <w:vAlign w:val="top"/>
          </w:tcPr>
          <w:p>
            <w:pPr>
              <w:ind w:left="189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-0.403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0.426</w:t>
            </w:r>
          </w:p>
        </w:tc>
        <w:tc>
          <w:tcPr>
            <w:tcW w:w="1045" w:type="dxa"/>
            <w:vAlign w:val="top"/>
          </w:tcPr>
          <w:p>
            <w:pPr>
              <w:ind w:left="266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0.899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0.343</w:t>
            </w:r>
          </w:p>
        </w:tc>
        <w:tc>
          <w:tcPr>
            <w:tcW w:w="1075" w:type="dxa"/>
            <w:vAlign w:val="top"/>
          </w:tcPr>
          <w:p>
            <w:pPr>
              <w:ind w:left="282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0.668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155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0.290-1.538</w:t>
            </w:r>
          </w:p>
        </w:tc>
      </w:tr>
      <w:tr>
        <w:trPr>
          <w:trHeight w:val="322" w:hRule="atLeast"/>
        </w:trPr>
        <w:tc>
          <w:tcPr>
            <w:tcW w:w="1770" w:type="dxa"/>
            <w:vAlign w:val="top"/>
          </w:tcPr>
          <w:p>
            <w:pPr>
              <w:ind w:left="462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随机血糖</w:t>
            </w:r>
          </w:p>
        </w:tc>
        <w:tc>
          <w:tcPr>
            <w:tcW w:w="1035" w:type="dxa"/>
            <w:vAlign w:val="top"/>
          </w:tcPr>
          <w:p>
            <w:pPr>
              <w:ind w:left="189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-0.107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0.085</w:t>
            </w:r>
          </w:p>
        </w:tc>
        <w:tc>
          <w:tcPr>
            <w:tcW w:w="1045" w:type="dxa"/>
            <w:vAlign w:val="top"/>
          </w:tcPr>
          <w:p>
            <w:pPr>
              <w:ind w:left="280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1.601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0.206</w:t>
            </w:r>
          </w:p>
        </w:tc>
        <w:tc>
          <w:tcPr>
            <w:tcW w:w="1075" w:type="dxa"/>
            <w:vAlign w:val="top"/>
          </w:tcPr>
          <w:p>
            <w:pPr>
              <w:ind w:left="282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0.898</w:t>
            </w:r>
          </w:p>
        </w:tc>
        <w:tc>
          <w:tcPr>
            <w:tcW w:w="1834" w:type="dxa"/>
            <w:vAlign w:val="top"/>
          </w:tcPr>
          <w:p>
            <w:pPr>
              <w:ind w:left="342"/>
              <w:spacing w:before="78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0.761-1.061</w:t>
            </w:r>
          </w:p>
        </w:tc>
      </w:tr>
      <w:tr>
        <w:trPr>
          <w:trHeight w:val="317" w:hRule="atLeast"/>
        </w:trPr>
        <w:tc>
          <w:tcPr>
            <w:tcW w:w="1770" w:type="dxa"/>
            <w:vAlign w:val="top"/>
          </w:tcPr>
          <w:p>
            <w:pPr>
              <w:ind w:left="556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6"/>
              </w:rPr>
              <w:t>胆固醇</w:t>
            </w:r>
          </w:p>
        </w:tc>
        <w:tc>
          <w:tcPr>
            <w:tcW w:w="1035" w:type="dxa"/>
            <w:vAlign w:val="top"/>
          </w:tcPr>
          <w:p>
            <w:pPr>
              <w:ind w:left="245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0.375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0.100</w:t>
            </w:r>
          </w:p>
        </w:tc>
        <w:tc>
          <w:tcPr>
            <w:tcW w:w="1045" w:type="dxa"/>
            <w:vAlign w:val="top"/>
          </w:tcPr>
          <w:p>
            <w:pPr>
              <w:ind w:left="227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"/>
              </w:rPr>
              <w:t>14.116</w:t>
            </w:r>
          </w:p>
        </w:tc>
        <w:tc>
          <w:tcPr>
            <w:tcW w:w="1142" w:type="dxa"/>
            <w:vAlign w:val="top"/>
          </w:tcPr>
          <w:p>
            <w:pPr>
              <w:ind w:left="221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</w:rPr>
              <w:t>&lt;0.001</w:t>
            </w:r>
          </w:p>
        </w:tc>
        <w:tc>
          <w:tcPr>
            <w:tcW w:w="1075" w:type="dxa"/>
            <w:vAlign w:val="top"/>
          </w:tcPr>
          <w:p>
            <w:pPr>
              <w:ind w:left="296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</w:rPr>
              <w:t>1.455</w:t>
            </w:r>
          </w:p>
        </w:tc>
        <w:tc>
          <w:tcPr>
            <w:tcW w:w="1834" w:type="dxa"/>
            <w:vAlign w:val="top"/>
          </w:tcPr>
          <w:p>
            <w:pPr>
              <w:ind w:left="356"/>
              <w:spacing w:before="77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1.196-1.769</w:t>
            </w:r>
          </w:p>
        </w:tc>
      </w:tr>
      <w:tr>
        <w:trPr>
          <w:trHeight w:val="327" w:hRule="atLeast"/>
        </w:trPr>
        <w:tc>
          <w:tcPr>
            <w:tcW w:w="1770" w:type="dxa"/>
            <w:vAlign w:val="top"/>
          </w:tcPr>
          <w:p>
            <w:pPr>
              <w:ind w:left="450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甘油三酯</w:t>
            </w:r>
          </w:p>
        </w:tc>
        <w:tc>
          <w:tcPr>
            <w:tcW w:w="1035" w:type="dxa"/>
            <w:vAlign w:val="top"/>
          </w:tcPr>
          <w:p>
            <w:pPr>
              <w:ind w:left="245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0.716</w:t>
            </w:r>
          </w:p>
        </w:tc>
        <w:tc>
          <w:tcPr>
            <w:tcW w:w="955" w:type="dxa"/>
            <w:vAlign w:val="top"/>
          </w:tcPr>
          <w:p>
            <w:pPr>
              <w:ind w:left="232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0.271</w:t>
            </w:r>
          </w:p>
        </w:tc>
        <w:tc>
          <w:tcPr>
            <w:tcW w:w="1045" w:type="dxa"/>
            <w:vAlign w:val="top"/>
          </w:tcPr>
          <w:p>
            <w:pPr>
              <w:ind w:left="266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6.956</w:t>
            </w:r>
          </w:p>
        </w:tc>
        <w:tc>
          <w:tcPr>
            <w:tcW w:w="1142" w:type="dxa"/>
            <w:vAlign w:val="top"/>
          </w:tcPr>
          <w:p>
            <w:pPr>
              <w:ind w:left="311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0.008</w:t>
            </w:r>
          </w:p>
        </w:tc>
        <w:tc>
          <w:tcPr>
            <w:tcW w:w="1075" w:type="dxa"/>
            <w:vAlign w:val="top"/>
          </w:tcPr>
          <w:p>
            <w:pPr>
              <w:ind w:left="283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2.046</w:t>
            </w:r>
          </w:p>
        </w:tc>
        <w:tc>
          <w:tcPr>
            <w:tcW w:w="1834" w:type="dxa"/>
            <w:vAlign w:val="top"/>
          </w:tcPr>
          <w:p>
            <w:pPr>
              <w:ind w:left="356"/>
              <w:spacing w:before="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1.202-3.484</w:t>
            </w:r>
          </w:p>
        </w:tc>
      </w:tr>
      <w:tr>
        <w:trPr>
          <w:trHeight w:val="374" w:hRule="atLeast"/>
        </w:trPr>
        <w:tc>
          <w:tcPr>
            <w:tcW w:w="1770" w:type="dxa"/>
            <w:vAlign w:val="top"/>
            <w:tcBorders>
              <w:bottom w:val="single" w:color="000000" w:sz="10" w:space="0"/>
            </w:tcBorders>
          </w:tcPr>
          <w:p>
            <w:pPr>
              <w:ind w:left="347"/>
              <w:spacing w:before="9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血清淀粉酶</w:t>
            </w:r>
          </w:p>
        </w:tc>
        <w:tc>
          <w:tcPr>
            <w:tcW w:w="1035" w:type="dxa"/>
            <w:vAlign w:val="top"/>
            <w:tcBorders>
              <w:bottom w:val="single" w:color="000000" w:sz="10" w:space="0"/>
            </w:tcBorders>
          </w:tcPr>
          <w:p>
            <w:pPr>
              <w:ind w:left="245"/>
              <w:spacing w:before="9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0.013</w:t>
            </w:r>
          </w:p>
        </w:tc>
        <w:tc>
          <w:tcPr>
            <w:tcW w:w="955" w:type="dxa"/>
            <w:vAlign w:val="top"/>
            <w:tcBorders>
              <w:bottom w:val="single" w:color="000000" w:sz="10" w:space="0"/>
            </w:tcBorders>
          </w:tcPr>
          <w:p>
            <w:pPr>
              <w:ind w:left="232"/>
              <w:spacing w:before="9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0.004</w:t>
            </w:r>
          </w:p>
        </w:tc>
        <w:tc>
          <w:tcPr>
            <w:tcW w:w="1045" w:type="dxa"/>
            <w:vAlign w:val="top"/>
            <w:tcBorders>
              <w:bottom w:val="single" w:color="000000" w:sz="10" w:space="0"/>
            </w:tcBorders>
          </w:tcPr>
          <w:p>
            <w:pPr>
              <w:ind w:left="265"/>
              <w:spacing w:before="9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8.261</w:t>
            </w:r>
          </w:p>
        </w:tc>
        <w:tc>
          <w:tcPr>
            <w:tcW w:w="1142" w:type="dxa"/>
            <w:vAlign w:val="top"/>
            <w:tcBorders>
              <w:bottom w:val="single" w:color="000000" w:sz="10" w:space="0"/>
            </w:tcBorders>
          </w:tcPr>
          <w:p>
            <w:pPr>
              <w:ind w:left="311"/>
              <w:spacing w:before="9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0.004</w:t>
            </w:r>
          </w:p>
        </w:tc>
        <w:tc>
          <w:tcPr>
            <w:tcW w:w="1075" w:type="dxa"/>
            <w:vAlign w:val="top"/>
            <w:tcBorders>
              <w:bottom w:val="single" w:color="000000" w:sz="10" w:space="0"/>
            </w:tcBorders>
          </w:tcPr>
          <w:p>
            <w:pPr>
              <w:ind w:left="296"/>
              <w:spacing w:before="9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position w:val="1"/>
              </w:rPr>
              <w:t>1.013</w:t>
            </w:r>
          </w:p>
        </w:tc>
        <w:tc>
          <w:tcPr>
            <w:tcW w:w="1834" w:type="dxa"/>
            <w:vAlign w:val="top"/>
            <w:tcBorders>
              <w:bottom w:val="single" w:color="000000" w:sz="10" w:space="0"/>
            </w:tcBorders>
          </w:tcPr>
          <w:p>
            <w:pPr>
              <w:ind w:left="356"/>
              <w:spacing w:before="9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1.004-1.021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51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629920</wp:posOffset>
            </wp:positionH>
            <wp:positionV relativeFrom="paragraph">
              <wp:posOffset>-3900542</wp:posOffset>
            </wp:positionV>
            <wp:extent cx="4981956" cy="3985259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956" cy="398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7"/>
        </w:rPr>
        <w:t>图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1.不同独立危险因素受试者工作特性曲线比较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452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13</w:t>
      </w:r>
    </w:p>
    <w:p>
      <w:pPr>
        <w:spacing w:line="181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2588"/>
        <w:spacing w:before="11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表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5.不同独立危险因素受试者工作特性(</w:t>
      </w:r>
      <w:r>
        <w:rPr>
          <w:rFonts w:ascii="Times New Roman" w:hAnsi="Times New Roman" w:eastAsia="Times New Roman" w:cs="Times New Roman"/>
          <w:sz w:val="20"/>
          <w:szCs w:val="20"/>
        </w:rPr>
        <w:t>ROC</w:t>
      </w:r>
      <w:r>
        <w:rPr>
          <w:rFonts w:ascii="SimSun" w:hAnsi="SimSun" w:eastAsia="SimSun" w:cs="SimSun"/>
          <w:sz w:val="20"/>
          <w:szCs w:val="20"/>
          <w:spacing w:val="7"/>
        </w:rPr>
        <w:t>）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曲线下的面积</w:t>
      </w:r>
    </w:p>
    <w:p>
      <w:pPr>
        <w:spacing w:line="54" w:lineRule="exact"/>
        <w:rPr/>
      </w:pPr>
      <w:r/>
    </w:p>
    <w:tbl>
      <w:tblPr>
        <w:tblStyle w:val="TableNormal"/>
        <w:tblW w:w="9019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0"/>
        <w:gridCol w:w="1221"/>
        <w:gridCol w:w="1267"/>
        <w:gridCol w:w="1288"/>
        <w:gridCol w:w="1211"/>
        <w:gridCol w:w="1624"/>
        <w:gridCol w:w="1228"/>
      </w:tblGrid>
      <w:tr>
        <w:trPr>
          <w:trHeight w:val="686" w:hRule="atLeast"/>
        </w:trPr>
        <w:tc>
          <w:tcPr>
            <w:tcW w:w="118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395"/>
              <w:spacing w:before="23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变量</w:t>
            </w:r>
          </w:p>
        </w:tc>
        <w:tc>
          <w:tcPr>
            <w:tcW w:w="122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76"/>
              <w:spacing w:before="237" w:line="228" w:lineRule="auto"/>
              <w:rPr>
                <w:rFonts w:ascii="SimSun" w:hAnsi="SimSun" w:eastAsia="SimSun" w:cs="SimSun"/>
              </w:rPr>
            </w:pPr>
            <w:r>
              <w:rPr/>
              <w:t>AUC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</w:rPr>
              <w:t>面积</w:t>
            </w:r>
          </w:p>
        </w:tc>
        <w:tc>
          <w:tcPr>
            <w:tcW w:w="126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right="9"/>
              <w:spacing w:before="237" w:line="228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敏感度（%）</w:t>
            </w:r>
          </w:p>
        </w:tc>
        <w:tc>
          <w:tcPr>
            <w:tcW w:w="128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19"/>
              <w:spacing w:before="23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特异度（%）</w:t>
            </w:r>
          </w:p>
        </w:tc>
        <w:tc>
          <w:tcPr>
            <w:tcW w:w="121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68"/>
              <w:spacing w:before="23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约登指数</w:t>
            </w:r>
          </w:p>
        </w:tc>
        <w:tc>
          <w:tcPr>
            <w:tcW w:w="162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08"/>
              <w:spacing w:before="237" w:line="241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95</w:t>
            </w:r>
            <w:r>
              <w:rPr>
                <w:spacing w:val="5"/>
              </w:rPr>
              <w:t>%</w:t>
            </w:r>
            <w:r>
              <w:rPr/>
              <w:t>CI</w:t>
            </w:r>
          </w:p>
        </w:tc>
        <w:tc>
          <w:tcPr>
            <w:tcW w:w="122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06"/>
              <w:spacing w:before="237" w:line="22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6"/>
              </w:rPr>
              <w:t>P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值</w:t>
            </w:r>
          </w:p>
        </w:tc>
      </w:tr>
      <w:tr>
        <w:trPr>
          <w:trHeight w:val="409" w:hRule="atLeast"/>
        </w:trPr>
        <w:tc>
          <w:tcPr>
            <w:tcW w:w="1180" w:type="dxa"/>
            <w:vAlign w:val="top"/>
            <w:tcBorders>
              <w:top w:val="single" w:color="000000" w:sz="10" w:space="0"/>
            </w:tcBorders>
          </w:tcPr>
          <w:p>
            <w:pPr>
              <w:ind w:left="290"/>
              <w:spacing w:before="6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胆固醇</w:t>
            </w:r>
          </w:p>
        </w:tc>
        <w:tc>
          <w:tcPr>
            <w:tcW w:w="1221" w:type="dxa"/>
            <w:vAlign w:val="top"/>
            <w:tcBorders>
              <w:top w:val="single" w:color="000000" w:sz="10" w:space="0"/>
            </w:tcBorders>
          </w:tcPr>
          <w:p>
            <w:pPr>
              <w:ind w:left="381"/>
              <w:spacing w:before="6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0.751</w:t>
            </w:r>
          </w:p>
        </w:tc>
        <w:tc>
          <w:tcPr>
            <w:tcW w:w="1267" w:type="dxa"/>
            <w:vAlign w:val="top"/>
            <w:tcBorders>
              <w:top w:val="single" w:color="000000" w:sz="10" w:space="0"/>
            </w:tcBorders>
          </w:tcPr>
          <w:p>
            <w:pPr>
              <w:ind w:left="455"/>
              <w:spacing w:before="6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1"/>
              </w:rPr>
              <w:t>71.1</w:t>
            </w:r>
          </w:p>
        </w:tc>
        <w:tc>
          <w:tcPr>
            <w:tcW w:w="1288" w:type="dxa"/>
            <w:vAlign w:val="top"/>
            <w:tcBorders>
              <w:top w:val="single" w:color="000000" w:sz="10" w:space="0"/>
            </w:tcBorders>
          </w:tcPr>
          <w:p>
            <w:pPr>
              <w:ind w:left="426"/>
              <w:spacing w:before="6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75.6</w:t>
            </w:r>
          </w:p>
        </w:tc>
        <w:tc>
          <w:tcPr>
            <w:tcW w:w="1211" w:type="dxa"/>
            <w:vAlign w:val="top"/>
            <w:tcBorders>
              <w:top w:val="single" w:color="000000" w:sz="10" w:space="0"/>
            </w:tcBorders>
          </w:tcPr>
          <w:p>
            <w:pPr>
              <w:ind w:left="320"/>
              <w:spacing w:before="6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0.467</w:t>
            </w:r>
          </w:p>
        </w:tc>
        <w:tc>
          <w:tcPr>
            <w:tcW w:w="1624" w:type="dxa"/>
            <w:vAlign w:val="top"/>
            <w:tcBorders>
              <w:top w:val="single" w:color="000000" w:sz="10" w:space="0"/>
            </w:tcBorders>
          </w:tcPr>
          <w:p>
            <w:pPr>
              <w:ind w:left="228"/>
              <w:spacing w:before="6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0.648-0.855</w:t>
            </w:r>
          </w:p>
        </w:tc>
        <w:tc>
          <w:tcPr>
            <w:tcW w:w="1228" w:type="dxa"/>
            <w:vAlign w:val="top"/>
            <w:tcBorders>
              <w:top w:val="single" w:color="000000" w:sz="10" w:space="0"/>
            </w:tcBorders>
          </w:tcPr>
          <w:p>
            <w:pPr>
              <w:ind w:left="261"/>
              <w:spacing w:before="6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  <w:position w:val="1"/>
              </w:rPr>
              <w:t>&lt;0.001</w:t>
            </w:r>
          </w:p>
        </w:tc>
      </w:tr>
      <w:tr>
        <w:trPr>
          <w:trHeight w:val="486" w:hRule="atLeast"/>
        </w:trPr>
        <w:tc>
          <w:tcPr>
            <w:tcW w:w="1180" w:type="dxa"/>
            <w:vAlign w:val="top"/>
          </w:tcPr>
          <w:p>
            <w:pPr>
              <w:ind w:left="183"/>
              <w:spacing w:before="1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甘油三酯</w:t>
            </w:r>
          </w:p>
        </w:tc>
        <w:tc>
          <w:tcPr>
            <w:tcW w:w="1221" w:type="dxa"/>
            <w:vAlign w:val="top"/>
          </w:tcPr>
          <w:p>
            <w:pPr>
              <w:ind w:left="381"/>
              <w:spacing w:before="15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0.884</w:t>
            </w:r>
          </w:p>
        </w:tc>
        <w:tc>
          <w:tcPr>
            <w:tcW w:w="1267" w:type="dxa"/>
            <w:vAlign w:val="top"/>
          </w:tcPr>
          <w:p>
            <w:pPr>
              <w:ind w:left="450"/>
              <w:spacing w:before="15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84.4</w:t>
            </w:r>
          </w:p>
        </w:tc>
        <w:tc>
          <w:tcPr>
            <w:tcW w:w="1288" w:type="dxa"/>
            <w:vAlign w:val="top"/>
          </w:tcPr>
          <w:p>
            <w:pPr>
              <w:ind w:left="422"/>
              <w:spacing w:before="15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80.0</w:t>
            </w:r>
          </w:p>
        </w:tc>
        <w:tc>
          <w:tcPr>
            <w:tcW w:w="1211" w:type="dxa"/>
            <w:vAlign w:val="top"/>
          </w:tcPr>
          <w:p>
            <w:pPr>
              <w:ind w:left="320"/>
              <w:spacing w:before="15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0.644</w:t>
            </w:r>
          </w:p>
        </w:tc>
        <w:tc>
          <w:tcPr>
            <w:tcW w:w="1624" w:type="dxa"/>
            <w:vAlign w:val="top"/>
          </w:tcPr>
          <w:p>
            <w:pPr>
              <w:ind w:left="228"/>
              <w:spacing w:before="15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0.815-0.953</w:t>
            </w:r>
          </w:p>
        </w:tc>
        <w:tc>
          <w:tcPr>
            <w:tcW w:w="1228" w:type="dxa"/>
            <w:vAlign w:val="top"/>
          </w:tcPr>
          <w:p>
            <w:pPr>
              <w:ind w:left="261"/>
              <w:spacing w:before="15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  <w:position w:val="1"/>
              </w:rPr>
              <w:t>&lt;0.001</w:t>
            </w:r>
          </w:p>
        </w:tc>
      </w:tr>
      <w:tr>
        <w:trPr>
          <w:trHeight w:val="717" w:hRule="atLeast"/>
        </w:trPr>
        <w:tc>
          <w:tcPr>
            <w:tcW w:w="1180" w:type="dxa"/>
            <w:vAlign w:val="top"/>
          </w:tcPr>
          <w:p>
            <w:pPr>
              <w:ind w:left="184"/>
              <w:spacing w:before="1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腹痛持续</w:t>
            </w:r>
          </w:p>
          <w:p>
            <w:pPr>
              <w:ind w:left="405"/>
              <w:spacing w:before="65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时间</w:t>
            </w:r>
          </w:p>
        </w:tc>
        <w:tc>
          <w:tcPr>
            <w:tcW w:w="122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381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0.871</w:t>
            </w:r>
          </w:p>
        </w:tc>
        <w:tc>
          <w:tcPr>
            <w:tcW w:w="1267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455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1"/>
              </w:rPr>
              <w:t>77.8</w:t>
            </w:r>
          </w:p>
        </w:tc>
        <w:tc>
          <w:tcPr>
            <w:tcW w:w="128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422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86.7</w:t>
            </w:r>
          </w:p>
        </w:tc>
        <w:tc>
          <w:tcPr>
            <w:tcW w:w="121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320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0.644</w:t>
            </w:r>
          </w:p>
        </w:tc>
        <w:tc>
          <w:tcPr>
            <w:tcW w:w="162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28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0.791-0.951</w:t>
            </w:r>
          </w:p>
        </w:tc>
        <w:tc>
          <w:tcPr>
            <w:tcW w:w="122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61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  <w:position w:val="1"/>
              </w:rPr>
              <w:t>&lt;0.001</w:t>
            </w:r>
          </w:p>
        </w:tc>
      </w:tr>
      <w:tr>
        <w:trPr>
          <w:trHeight w:val="376" w:hRule="atLeast"/>
        </w:trPr>
        <w:tc>
          <w:tcPr>
            <w:tcW w:w="1180" w:type="dxa"/>
            <w:vAlign w:val="top"/>
            <w:tcBorders>
              <w:bottom w:val="single" w:color="000000" w:sz="10" w:space="0"/>
            </w:tcBorders>
          </w:tcPr>
          <w:p>
            <w:pPr>
              <w:ind w:left="396"/>
              <w:spacing w:before="91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联合</w:t>
            </w:r>
          </w:p>
        </w:tc>
        <w:tc>
          <w:tcPr>
            <w:tcW w:w="1221" w:type="dxa"/>
            <w:vAlign w:val="top"/>
            <w:tcBorders>
              <w:bottom w:val="single" w:color="000000" w:sz="10" w:space="0"/>
            </w:tcBorders>
          </w:tcPr>
          <w:p>
            <w:pPr>
              <w:ind w:left="381"/>
              <w:spacing w:before="9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0.933</w:t>
            </w:r>
          </w:p>
        </w:tc>
        <w:tc>
          <w:tcPr>
            <w:tcW w:w="1267" w:type="dxa"/>
            <w:vAlign w:val="top"/>
            <w:tcBorders>
              <w:bottom w:val="single" w:color="000000" w:sz="10" w:space="0"/>
            </w:tcBorders>
          </w:tcPr>
          <w:p>
            <w:pPr>
              <w:ind w:left="450"/>
              <w:spacing w:before="9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93.3</w:t>
            </w:r>
          </w:p>
        </w:tc>
        <w:tc>
          <w:tcPr>
            <w:tcW w:w="1288" w:type="dxa"/>
            <w:vAlign w:val="top"/>
            <w:tcBorders>
              <w:bottom w:val="single" w:color="000000" w:sz="10" w:space="0"/>
            </w:tcBorders>
          </w:tcPr>
          <w:p>
            <w:pPr>
              <w:ind w:left="426"/>
              <w:spacing w:before="9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73.3</w:t>
            </w:r>
          </w:p>
        </w:tc>
        <w:tc>
          <w:tcPr>
            <w:tcW w:w="1211" w:type="dxa"/>
            <w:vAlign w:val="top"/>
            <w:tcBorders>
              <w:bottom w:val="single" w:color="000000" w:sz="10" w:space="0"/>
            </w:tcBorders>
          </w:tcPr>
          <w:p>
            <w:pPr>
              <w:ind w:left="320"/>
              <w:spacing w:before="9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0.667</w:t>
            </w:r>
          </w:p>
        </w:tc>
        <w:tc>
          <w:tcPr>
            <w:tcW w:w="1624" w:type="dxa"/>
            <w:vAlign w:val="top"/>
            <w:tcBorders>
              <w:bottom w:val="single" w:color="000000" w:sz="10" w:space="0"/>
            </w:tcBorders>
          </w:tcPr>
          <w:p>
            <w:pPr>
              <w:ind w:left="228"/>
              <w:spacing w:before="9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0.881-0.986</w:t>
            </w:r>
          </w:p>
        </w:tc>
        <w:tc>
          <w:tcPr>
            <w:tcW w:w="1228" w:type="dxa"/>
            <w:vAlign w:val="top"/>
            <w:tcBorders>
              <w:bottom w:val="single" w:color="000000" w:sz="10" w:space="0"/>
            </w:tcBorders>
          </w:tcPr>
          <w:p>
            <w:pPr>
              <w:ind w:left="261"/>
              <w:spacing w:before="9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  <w:position w:val="1"/>
              </w:rPr>
              <w:t>&lt;0.001</w:t>
            </w:r>
          </w:p>
        </w:tc>
      </w:tr>
    </w:tbl>
    <w:p>
      <w:pPr>
        <w:ind w:left="1006"/>
        <w:spacing w:before="37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5.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临床评分及疾病严重程度比较</w:t>
      </w:r>
    </w:p>
    <w:p>
      <w:pPr>
        <w:ind w:left="1000" w:firstLine="475"/>
        <w:spacing w:before="108" w:line="35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DKA-AP </w:t>
      </w:r>
      <w:r>
        <w:rPr>
          <w:rFonts w:ascii="SimSun" w:hAnsi="SimSun" w:eastAsia="SimSun" w:cs="SimSun"/>
          <w:sz w:val="24"/>
          <w:szCs w:val="24"/>
        </w:rPr>
        <w:t>组患者和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 </w:t>
      </w:r>
      <w:r>
        <w:rPr>
          <w:rFonts w:ascii="SimSun" w:hAnsi="SimSun" w:eastAsia="SimSun" w:cs="SimSun"/>
          <w:sz w:val="24"/>
          <w:szCs w:val="24"/>
        </w:rPr>
        <w:t>组患者的临床评分比较</w:t>
      </w:r>
      <w:r>
        <w:rPr>
          <w:rFonts w:ascii="SimSun" w:hAnsi="SimSun" w:eastAsia="SimSun" w:cs="SimSun"/>
          <w:sz w:val="24"/>
          <w:szCs w:val="24"/>
          <w:spacing w:val="-1"/>
        </w:rPr>
        <w:t>，本文使用了年龄校正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Charlson </w:t>
      </w:r>
      <w:r>
        <w:rPr>
          <w:rFonts w:ascii="SimSun" w:hAnsi="SimSun" w:eastAsia="SimSun" w:cs="SimSun"/>
          <w:sz w:val="24"/>
          <w:szCs w:val="24"/>
          <w:spacing w:val="-1"/>
        </w:rPr>
        <w:t>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并症指数(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3"/>
        </w:rPr>
        <w:t>aCCI</w:t>
      </w:r>
      <w:r>
        <w:rPr>
          <w:rFonts w:ascii="SimSun" w:hAnsi="SimSun" w:eastAsia="SimSun" w:cs="SimSun"/>
          <w:sz w:val="24"/>
          <w:szCs w:val="24"/>
          <w:spacing w:val="-13"/>
        </w:rPr>
        <w:t>）、</w:t>
      </w:r>
      <w:r>
        <w:rPr>
          <w:rFonts w:ascii="SimSun" w:hAnsi="SimSun" w:eastAsia="SimSun" w:cs="SimSun"/>
          <w:sz w:val="24"/>
          <w:szCs w:val="24"/>
          <w:color w:val="0C0C0C"/>
          <w:spacing w:val="-13"/>
        </w:rPr>
        <w:t>器官功能障碍逻辑性评价系统（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3"/>
        </w:rPr>
        <w:t>LODS</w:t>
      </w:r>
      <w:r>
        <w:rPr>
          <w:rFonts w:ascii="SimSun" w:hAnsi="SimSun" w:eastAsia="SimSun" w:cs="SimSun"/>
          <w:sz w:val="24"/>
          <w:szCs w:val="24"/>
          <w:color w:val="0C0C0C"/>
          <w:spacing w:val="-13"/>
        </w:rPr>
        <w:t>)、格拉斯哥昏迷评分法（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3"/>
        </w:rPr>
        <w:t>GCS</w:t>
      </w:r>
      <w:r>
        <w:rPr>
          <w:rFonts w:ascii="SimSun" w:hAnsi="SimSun" w:eastAsia="SimSun" w:cs="SimSun"/>
          <w:sz w:val="24"/>
          <w:szCs w:val="24"/>
          <w:color w:val="0C0C0C"/>
          <w:spacing w:val="-13"/>
        </w:rPr>
        <w:t>）、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序贯器官衰竭评估（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SOFA</w:t>
      </w:r>
      <w:r>
        <w:rPr>
          <w:rFonts w:ascii="SimSun" w:hAnsi="SimSun" w:eastAsia="SimSun" w:cs="SimSun"/>
          <w:sz w:val="24"/>
          <w:szCs w:val="24"/>
          <w:color w:val="0C0C0C"/>
        </w:rPr>
        <w:t>）、急性生理学与慢性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健康状况评价系统</w:t>
      </w:r>
      <w:r>
        <w:rPr>
          <w:rFonts w:ascii="SimSun" w:hAnsi="SimSun" w:eastAsia="SimSun" w:cs="SimSun"/>
          <w:sz w:val="24"/>
          <w:szCs w:val="24"/>
          <w:color w:val="0C0C0C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II（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APACHE II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333333"/>
          <w:spacing w:val="2"/>
        </w:rPr>
        <w:t>等评分方法对各指标进行评分，结果显示，两组在除</w:t>
      </w:r>
      <w:r>
        <w:rPr>
          <w:rFonts w:ascii="SimSun" w:hAnsi="SimSun" w:eastAsia="SimSun" w:cs="SimSun"/>
          <w:sz w:val="24"/>
          <w:szCs w:val="24"/>
          <w:color w:val="33333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APACHE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II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外，其余</w:t>
      </w:r>
      <w:r>
        <w:rPr>
          <w:rFonts w:ascii="SimSun" w:hAnsi="SimSun" w:eastAsia="SimSun" w:cs="SimSun"/>
          <w:sz w:val="24"/>
          <w:szCs w:val="24"/>
          <w:color w:val="333333"/>
          <w:spacing w:val="1"/>
        </w:rPr>
        <w:t>各评分系统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5"/>
        </w:rPr>
        <w:t>两组比较上均无统计学差异（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5"/>
        </w:rPr>
        <w:t>P</w:t>
      </w:r>
      <w:r>
        <w:rPr>
          <w:rFonts w:ascii="SimSun" w:hAnsi="SimSun" w:eastAsia="SimSun" w:cs="SimSun"/>
          <w:sz w:val="24"/>
          <w:szCs w:val="24"/>
          <w:color w:val="333333"/>
          <w:spacing w:val="-5"/>
        </w:rPr>
        <w:t>＞0.05</w:t>
      </w:r>
      <w:r>
        <w:rPr>
          <w:rFonts w:ascii="SimSun" w:hAnsi="SimSun" w:eastAsia="SimSun" w:cs="SimSun"/>
          <w:sz w:val="24"/>
          <w:szCs w:val="24"/>
          <w:color w:val="333333"/>
          <w:spacing w:val="-51"/>
        </w:rPr>
        <w:t>），</w:t>
      </w:r>
      <w:r>
        <w:rPr>
          <w:rFonts w:ascii="SimSun" w:hAnsi="SimSun" w:eastAsia="SimSun" w:cs="SimSun"/>
          <w:sz w:val="24"/>
          <w:szCs w:val="24"/>
          <w:color w:val="333333"/>
          <w:spacing w:val="-5"/>
        </w:rPr>
        <w:t>两组</w:t>
      </w:r>
      <w:r>
        <w:rPr>
          <w:rFonts w:ascii="SimSun" w:hAnsi="SimSun" w:eastAsia="SimSun" w:cs="SimSun"/>
          <w:sz w:val="24"/>
          <w:szCs w:val="24"/>
          <w:color w:val="33333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APACHE II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5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=0.035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4"/>
        </w:rPr>
        <w:t>详见表</w:t>
      </w:r>
      <w:r>
        <w:rPr>
          <w:rFonts w:ascii="SimSun" w:hAnsi="SimSun" w:eastAsia="SimSun" w:cs="SimSun"/>
          <w:sz w:val="24"/>
          <w:szCs w:val="24"/>
          <w:color w:val="333333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4"/>
        </w:rPr>
        <w:t>6。</w:t>
      </w:r>
    </w:p>
    <w:p>
      <w:pPr>
        <w:ind w:left="2399"/>
        <w:spacing w:before="2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表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6.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组和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组临床评分及疾病严重程度比较</w:t>
      </w:r>
    </w:p>
    <w:p>
      <w:pPr>
        <w:spacing w:line="81" w:lineRule="exact"/>
        <w:rPr/>
      </w:pPr>
      <w:r/>
    </w:p>
    <w:tbl>
      <w:tblPr>
        <w:tblStyle w:val="TableNormal"/>
        <w:tblW w:w="9000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2"/>
        <w:gridCol w:w="2276"/>
        <w:gridCol w:w="2359"/>
        <w:gridCol w:w="1433"/>
        <w:gridCol w:w="1490"/>
      </w:tblGrid>
      <w:tr>
        <w:trPr>
          <w:trHeight w:val="367" w:hRule="atLeast"/>
        </w:trPr>
        <w:tc>
          <w:tcPr>
            <w:tcW w:w="144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352"/>
              <w:spacing w:before="7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临床资料</w:t>
            </w:r>
          </w:p>
        </w:tc>
        <w:tc>
          <w:tcPr>
            <w:tcW w:w="227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50"/>
              <w:spacing w:before="77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5"/>
              </w:rPr>
              <w:t>-</w:t>
            </w:r>
            <w:r>
              <w:rPr/>
              <w:t>AP</w:t>
            </w:r>
            <w:r>
              <w:rPr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pacing w:val="15"/>
              </w:rPr>
              <w:t>组</w:t>
            </w:r>
          </w:p>
        </w:tc>
        <w:tc>
          <w:tcPr>
            <w:tcW w:w="235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767"/>
              <w:spacing w:before="77" w:line="238" w:lineRule="auto"/>
              <w:rPr>
                <w:rFonts w:ascii="SimSun" w:hAnsi="SimSun" w:eastAsia="SimSun" w:cs="SimSun"/>
              </w:rPr>
            </w:pPr>
            <w:r>
              <w:rPr/>
              <w:t>DKA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6"/>
              </w:rPr>
              <w:t>组</w:t>
            </w:r>
          </w:p>
        </w:tc>
        <w:tc>
          <w:tcPr>
            <w:tcW w:w="143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52"/>
              <w:spacing w:before="77" w:line="228" w:lineRule="auto"/>
              <w:rPr>
                <w:rFonts w:ascii="SimSun" w:hAnsi="SimSun" w:eastAsia="SimSun" w:cs="SimSun"/>
              </w:rPr>
            </w:pPr>
            <w:r>
              <w:rPr>
                <w:color w:val="0C0C0C"/>
                <w:spacing w:val="1"/>
              </w:rPr>
              <w:t>Z</w:t>
            </w:r>
            <w:r>
              <w:rPr>
                <w:color w:val="0C0C0C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0C0C0C"/>
                <w:spacing w:val="1"/>
              </w:rPr>
              <w:t>值</w:t>
            </w:r>
          </w:p>
        </w:tc>
        <w:tc>
          <w:tcPr>
            <w:tcW w:w="149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36"/>
              <w:spacing w:before="77" w:line="22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6"/>
              </w:rPr>
              <w:t>P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值</w:t>
            </w:r>
          </w:p>
        </w:tc>
      </w:tr>
      <w:tr>
        <w:trPr>
          <w:trHeight w:val="332" w:hRule="atLeast"/>
        </w:trPr>
        <w:tc>
          <w:tcPr>
            <w:tcW w:w="1442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539"/>
              <w:spacing w:before="102" w:line="195" w:lineRule="auto"/>
              <w:rPr/>
            </w:pPr>
            <w:r>
              <w:rPr>
                <w:spacing w:val="2"/>
              </w:rPr>
              <w:t>aCCI</w:t>
            </w:r>
          </w:p>
        </w:tc>
        <w:tc>
          <w:tcPr>
            <w:tcW w:w="2276" w:type="dxa"/>
            <w:vAlign w:val="top"/>
            <w:tcBorders>
              <w:top w:val="single" w:color="000000" w:sz="10" w:space="0"/>
            </w:tcBorders>
          </w:tcPr>
          <w:p>
            <w:pPr>
              <w:ind w:left="409"/>
              <w:spacing w:before="66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1.00(1.00,1.00)</w:t>
            </w:r>
          </w:p>
        </w:tc>
        <w:tc>
          <w:tcPr>
            <w:tcW w:w="2359" w:type="dxa"/>
            <w:vAlign w:val="top"/>
            <w:tcBorders>
              <w:top w:val="single" w:color="000000" w:sz="10" w:space="0"/>
            </w:tcBorders>
          </w:tcPr>
          <w:p>
            <w:pPr>
              <w:ind w:left="358"/>
              <w:spacing w:before="66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1.00(1.00,1.00)</w:t>
            </w:r>
          </w:p>
        </w:tc>
        <w:tc>
          <w:tcPr>
            <w:tcW w:w="1433" w:type="dxa"/>
            <w:vAlign w:val="top"/>
            <w:tcBorders>
              <w:top w:val="single" w:color="000000" w:sz="10" w:space="0"/>
            </w:tcBorders>
          </w:tcPr>
          <w:p>
            <w:pPr>
              <w:ind w:left="393"/>
              <w:spacing w:before="67" w:line="23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2.723</w:t>
            </w:r>
          </w:p>
        </w:tc>
        <w:tc>
          <w:tcPr>
            <w:tcW w:w="1490" w:type="dxa"/>
            <w:vAlign w:val="top"/>
            <w:tcBorders>
              <w:top w:val="single" w:color="000000" w:sz="10" w:space="0"/>
            </w:tcBorders>
          </w:tcPr>
          <w:p>
            <w:pPr>
              <w:ind w:left="483"/>
              <w:spacing w:before="67" w:line="23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0.095</w:t>
            </w:r>
          </w:p>
        </w:tc>
      </w:tr>
      <w:tr>
        <w:trPr>
          <w:trHeight w:val="324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555"/>
              <w:spacing w:before="106" w:line="195" w:lineRule="auto"/>
              <w:rPr/>
            </w:pPr>
            <w:r>
              <w:rPr>
                <w:spacing w:val="3"/>
              </w:rPr>
              <w:t>GCS</w:t>
            </w:r>
          </w:p>
        </w:tc>
        <w:tc>
          <w:tcPr>
            <w:tcW w:w="2276" w:type="dxa"/>
            <w:vAlign w:val="top"/>
          </w:tcPr>
          <w:p>
            <w:pPr>
              <w:ind w:left="253"/>
              <w:spacing w:before="71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15.00(15.00,15.00)</w:t>
            </w:r>
          </w:p>
        </w:tc>
        <w:tc>
          <w:tcPr>
            <w:tcW w:w="2359" w:type="dxa"/>
            <w:vAlign w:val="top"/>
          </w:tcPr>
          <w:p>
            <w:pPr>
              <w:ind w:left="202"/>
              <w:spacing w:before="71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15.00(15.00,15.00)</w:t>
            </w:r>
          </w:p>
        </w:tc>
        <w:tc>
          <w:tcPr>
            <w:tcW w:w="1433" w:type="dxa"/>
            <w:vAlign w:val="top"/>
          </w:tcPr>
          <w:p>
            <w:pPr>
              <w:ind w:left="392"/>
              <w:spacing w:before="71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0.078</w:t>
            </w:r>
          </w:p>
        </w:tc>
        <w:tc>
          <w:tcPr>
            <w:tcW w:w="1490" w:type="dxa"/>
            <w:vAlign w:val="top"/>
          </w:tcPr>
          <w:p>
            <w:pPr>
              <w:ind w:left="483"/>
              <w:spacing w:before="71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0.869</w:t>
            </w:r>
          </w:p>
        </w:tc>
      </w:tr>
      <w:tr>
        <w:trPr>
          <w:trHeight w:val="316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504"/>
              <w:spacing w:before="102" w:line="195" w:lineRule="auto"/>
              <w:rPr/>
            </w:pPr>
            <w:r>
              <w:rPr/>
              <w:t>SOFA</w:t>
            </w:r>
          </w:p>
        </w:tc>
        <w:tc>
          <w:tcPr>
            <w:tcW w:w="2276" w:type="dxa"/>
            <w:vAlign w:val="top"/>
          </w:tcPr>
          <w:p>
            <w:pPr>
              <w:ind w:left="395"/>
              <w:spacing w:before="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0.00(0.00,1.00)</w:t>
            </w:r>
          </w:p>
        </w:tc>
        <w:tc>
          <w:tcPr>
            <w:tcW w:w="2359" w:type="dxa"/>
            <w:vAlign w:val="top"/>
          </w:tcPr>
          <w:p>
            <w:pPr>
              <w:ind w:left="344"/>
              <w:spacing w:before="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0.00(0.00,0.00)</w:t>
            </w:r>
          </w:p>
        </w:tc>
        <w:tc>
          <w:tcPr>
            <w:tcW w:w="1433" w:type="dxa"/>
            <w:vAlign w:val="top"/>
          </w:tcPr>
          <w:p>
            <w:pPr>
              <w:ind w:left="336"/>
              <w:spacing w:before="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</w:rPr>
              <w:t>-0.472</w:t>
            </w:r>
          </w:p>
        </w:tc>
        <w:tc>
          <w:tcPr>
            <w:tcW w:w="1490" w:type="dxa"/>
            <w:vAlign w:val="top"/>
          </w:tcPr>
          <w:p>
            <w:pPr>
              <w:ind w:left="483"/>
              <w:spacing w:before="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0.678</w:t>
            </w:r>
          </w:p>
        </w:tc>
      </w:tr>
      <w:tr>
        <w:trPr>
          <w:trHeight w:val="326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312"/>
              <w:spacing w:before="107" w:line="195" w:lineRule="auto"/>
              <w:rPr/>
            </w:pPr>
            <w:r>
              <w:rPr>
                <w:spacing w:val="2"/>
              </w:rPr>
              <w:t>APACH II</w:t>
            </w:r>
          </w:p>
        </w:tc>
        <w:tc>
          <w:tcPr>
            <w:tcW w:w="2276" w:type="dxa"/>
            <w:vAlign w:val="top"/>
          </w:tcPr>
          <w:p>
            <w:pPr>
              <w:ind w:left="344"/>
              <w:spacing w:before="71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8.50(7.00,14.00)</w:t>
            </w:r>
          </w:p>
        </w:tc>
        <w:tc>
          <w:tcPr>
            <w:tcW w:w="2359" w:type="dxa"/>
            <w:vAlign w:val="top"/>
          </w:tcPr>
          <w:p>
            <w:pPr>
              <w:ind w:left="291"/>
              <w:spacing w:before="71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6.00(5.00,10.75)</w:t>
            </w:r>
          </w:p>
        </w:tc>
        <w:tc>
          <w:tcPr>
            <w:tcW w:w="1433" w:type="dxa"/>
            <w:vAlign w:val="top"/>
          </w:tcPr>
          <w:p>
            <w:pPr>
              <w:ind w:left="336"/>
              <w:spacing w:before="72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</w:rPr>
              <w:t>-2.109</w:t>
            </w:r>
          </w:p>
        </w:tc>
        <w:tc>
          <w:tcPr>
            <w:tcW w:w="1490" w:type="dxa"/>
            <w:vAlign w:val="top"/>
          </w:tcPr>
          <w:p>
            <w:pPr>
              <w:ind w:left="483"/>
              <w:spacing w:before="72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0.035</w:t>
            </w:r>
          </w:p>
        </w:tc>
      </w:tr>
      <w:tr>
        <w:trPr>
          <w:trHeight w:val="367" w:hRule="atLeast"/>
        </w:trPr>
        <w:tc>
          <w:tcPr>
            <w:tcW w:w="1442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483"/>
              <w:spacing w:before="120" w:line="195" w:lineRule="auto"/>
              <w:rPr/>
            </w:pPr>
            <w:r>
              <w:rPr>
                <w:spacing w:val="4"/>
              </w:rPr>
              <w:t>LODS</w:t>
            </w:r>
          </w:p>
        </w:tc>
        <w:tc>
          <w:tcPr>
            <w:tcW w:w="2276" w:type="dxa"/>
            <w:vAlign w:val="top"/>
            <w:tcBorders>
              <w:bottom w:val="single" w:color="000000" w:sz="10" w:space="0"/>
            </w:tcBorders>
          </w:tcPr>
          <w:p>
            <w:pPr>
              <w:ind w:left="409"/>
              <w:spacing w:before="8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1.00(0.00,2.00)</w:t>
            </w:r>
          </w:p>
        </w:tc>
        <w:tc>
          <w:tcPr>
            <w:tcW w:w="2359" w:type="dxa"/>
            <w:vAlign w:val="top"/>
            <w:tcBorders>
              <w:bottom w:val="single" w:color="000000" w:sz="10" w:space="0"/>
            </w:tcBorders>
          </w:tcPr>
          <w:p>
            <w:pPr>
              <w:ind w:left="358"/>
              <w:spacing w:before="83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1.00(0.00,3.00)</w:t>
            </w:r>
          </w:p>
        </w:tc>
        <w:tc>
          <w:tcPr>
            <w:tcW w:w="1433" w:type="dxa"/>
            <w:vAlign w:val="top"/>
            <w:tcBorders>
              <w:bottom w:val="single" w:color="000000" w:sz="10" w:space="0"/>
            </w:tcBorders>
          </w:tcPr>
          <w:p>
            <w:pPr>
              <w:ind w:left="395"/>
              <w:spacing w:before="84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3.051</w:t>
            </w:r>
          </w:p>
        </w:tc>
        <w:tc>
          <w:tcPr>
            <w:tcW w:w="1490" w:type="dxa"/>
            <w:vAlign w:val="top"/>
            <w:tcBorders>
              <w:bottom w:val="single" w:color="000000" w:sz="10" w:space="0"/>
            </w:tcBorders>
          </w:tcPr>
          <w:p>
            <w:pPr>
              <w:ind w:left="483"/>
              <w:spacing w:before="84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0.061</w:t>
            </w:r>
          </w:p>
        </w:tc>
      </w:tr>
    </w:tbl>
    <w:p>
      <w:pPr>
        <w:ind w:left="1003"/>
        <w:spacing w:before="116" w:line="22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6.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两组患者治疗措施比较</w:t>
      </w:r>
    </w:p>
    <w:p>
      <w:pPr>
        <w:ind w:left="996" w:firstLine="489"/>
        <w:spacing w:before="182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一方面，针对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的治疗，所有患者均行控制血糖、补液、纠正内环境紊乱、去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除诱因等治疗。另一方面，针对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的治疗，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spacing w:val="-1"/>
        </w:rPr>
        <w:t>组所有患者均予以禁食，时间为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3（2，6）天；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15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例患者行了胃肠减压，此部分患者的干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预时间为 65.00(15.00-95.00)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小时；所有受试者均接受质子泵抑制剂治疗，时间为 7.00(5.00-13.00)天</w:t>
      </w:r>
      <w:r>
        <w:rPr>
          <w:rFonts w:ascii="SimSun" w:hAnsi="SimSun" w:eastAsia="SimSun" w:cs="SimSun"/>
          <w:sz w:val="24"/>
          <w:szCs w:val="24"/>
          <w:spacing w:val="-1"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组因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未患胰腺炎，故无胃肠减压和质子泵抑制剂等治疗措施。两组平均每日补液</w:t>
      </w:r>
      <w:r>
        <w:rPr>
          <w:rFonts w:ascii="SimSun" w:hAnsi="SimSun" w:eastAsia="SimSun" w:cs="SimSun"/>
          <w:sz w:val="24"/>
          <w:szCs w:val="24"/>
          <w:spacing w:val="4"/>
        </w:rPr>
        <w:t>量比较：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组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2235.71（1776.13，2692.47）ml，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组为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1266.67（1121.25，1629.29）</w:t>
      </w:r>
    </w:p>
    <w:p>
      <w:pPr>
        <w:ind w:left="1003" w:right="99" w:hanging="1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rFonts w:ascii="SimSun" w:hAnsi="SimSun" w:eastAsia="SimSun" w:cs="SimSun"/>
          <w:sz w:val="24"/>
          <w:szCs w:val="24"/>
          <w:spacing w:val="1"/>
        </w:rPr>
        <w:t>＜0.001</w:t>
      </w:r>
      <w:r>
        <w:rPr>
          <w:rFonts w:ascii="SimSun" w:hAnsi="SimSun" w:eastAsia="SimSun" w:cs="SimSun"/>
          <w:sz w:val="24"/>
          <w:szCs w:val="24"/>
          <w:spacing w:val="15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Z </w:t>
      </w:r>
      <w:r>
        <w:rPr>
          <w:rFonts w:ascii="SimSun" w:hAnsi="SimSun" w:eastAsia="SimSun" w:cs="SimSun"/>
          <w:sz w:val="24"/>
          <w:szCs w:val="24"/>
          <w:spacing w:val="1"/>
        </w:rPr>
        <w:t>值为-6.008；两组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CRRT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1"/>
        </w:rPr>
        <w:t>比较：</w:t>
      </w:r>
      <w:r>
        <w:rPr>
          <w:rFonts w:ascii="SimSun" w:hAnsi="SimSun" w:eastAsia="SimSun" w:cs="SimSun"/>
          <w:sz w:val="24"/>
          <w:szCs w:val="24"/>
          <w:color w:val="1F1F1F"/>
        </w:rPr>
        <w:t>DKA</w:t>
      </w:r>
      <w:r>
        <w:rPr>
          <w:rFonts w:ascii="SimSun" w:hAnsi="SimSun" w:eastAsia="SimSun" w:cs="SimSun"/>
          <w:sz w:val="24"/>
          <w:szCs w:val="24"/>
          <w:color w:val="1F1F1F"/>
          <w:spacing w:val="1"/>
        </w:rPr>
        <w:t>-</w:t>
      </w:r>
      <w:r>
        <w:rPr>
          <w:rFonts w:ascii="SimSun" w:hAnsi="SimSun" w:eastAsia="SimSun" w:cs="SimSun"/>
          <w:sz w:val="24"/>
          <w:szCs w:val="24"/>
          <w:color w:val="1F1F1F"/>
        </w:rPr>
        <w:t>AP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组有</w:t>
      </w:r>
      <w:r>
        <w:rPr>
          <w:rFonts w:ascii="SimSun" w:hAnsi="SimSun" w:eastAsia="SimSun" w:cs="SimSun"/>
          <w:sz w:val="24"/>
          <w:szCs w:val="24"/>
          <w:color w:val="1F1F1F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8</w:t>
      </w:r>
      <w:r>
        <w:rPr>
          <w:rFonts w:ascii="SimSun" w:hAnsi="SimSun" w:eastAsia="SimSun" w:cs="SimSun"/>
          <w:sz w:val="24"/>
          <w:szCs w:val="24"/>
          <w:color w:val="1F1F1F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例行了</w:t>
      </w:r>
      <w:r>
        <w:rPr>
          <w:rFonts w:ascii="SimSun" w:hAnsi="SimSun" w:eastAsia="SimSun" w:cs="SimSun"/>
          <w:sz w:val="24"/>
          <w:szCs w:val="24"/>
          <w:color w:val="1F1F1F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-3"/>
        </w:rPr>
        <w:t>CRRT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组患者有</w:t>
      </w:r>
      <w:r>
        <w:rPr>
          <w:rFonts w:ascii="SimSun" w:hAnsi="SimSun" w:eastAsia="SimSun" w:cs="SimSun"/>
          <w:sz w:val="24"/>
          <w:szCs w:val="24"/>
          <w:color w:val="1F1F1F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2</w:t>
      </w:r>
      <w:r>
        <w:rPr>
          <w:rFonts w:ascii="SimSun" w:hAnsi="SimSun" w:eastAsia="SimSun" w:cs="SimSun"/>
          <w:sz w:val="24"/>
          <w:szCs w:val="24"/>
          <w:color w:val="1F1F1F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例行了</w:t>
      </w:r>
      <w:r>
        <w:rPr>
          <w:rFonts w:ascii="SimSun" w:hAnsi="SimSun" w:eastAsia="SimSun" w:cs="SimSun"/>
          <w:sz w:val="24"/>
          <w:szCs w:val="24"/>
          <w:color w:val="1F1F1F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-3"/>
        </w:rPr>
        <w:t>CRRT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，两组</w:t>
      </w:r>
      <w:r>
        <w:rPr>
          <w:rFonts w:ascii="SimSun" w:hAnsi="SimSun" w:eastAsia="SimSun" w:cs="SimSun"/>
          <w:sz w:val="24"/>
          <w:szCs w:val="24"/>
          <w:color w:val="1F1F1F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-3"/>
        </w:rPr>
        <w:t>CRRT</w:t>
      </w:r>
      <w:r>
        <w:rPr>
          <w:rFonts w:ascii="Times New Roman" w:hAnsi="Times New Roman" w:eastAsia="Times New Roman" w:cs="Times New Roman"/>
          <w:sz w:val="24"/>
          <w:szCs w:val="24"/>
          <w:color w:val="1F1F1F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3"/>
        </w:rPr>
        <w:t>比较有统计学差异</w:t>
      </w:r>
      <w:r>
        <w:rPr>
          <w:rFonts w:ascii="SimSun" w:hAnsi="SimSun" w:eastAsia="SimSun" w:cs="SimSun"/>
          <w:sz w:val="24"/>
          <w:szCs w:val="24"/>
          <w:color w:val="1F1F1F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1F1F1F"/>
          <w:spacing w:val="-2"/>
        </w:rPr>
        <w:t>P</w:t>
      </w:r>
      <w:r>
        <w:rPr>
          <w:rFonts w:ascii="SimSun" w:hAnsi="SimSun" w:eastAsia="SimSun" w:cs="SimSun"/>
          <w:sz w:val="24"/>
          <w:szCs w:val="24"/>
          <w:color w:val="1F1F1F"/>
          <w:spacing w:val="-2"/>
        </w:rPr>
        <w:t>=0.044</w:t>
      </w:r>
      <w:r>
        <w:rPr>
          <w:rFonts w:ascii="SimSun" w:hAnsi="SimSun" w:eastAsia="SimSun" w:cs="SimSun"/>
          <w:sz w:val="24"/>
          <w:szCs w:val="24"/>
          <w:color w:val="1F1F1F"/>
          <w:spacing w:val="7"/>
        </w:rPr>
        <w:t>），</w:t>
      </w:r>
      <w:r>
        <w:rPr>
          <w:rFonts w:ascii="SimSun" w:hAnsi="SimSun" w:eastAsia="SimSun" w:cs="SimSun"/>
          <w:sz w:val="24"/>
          <w:szCs w:val="24"/>
          <w:color w:val="1F1F1F"/>
          <w:spacing w:val="-2"/>
        </w:rPr>
        <w:t>卡方值为</w:t>
      </w:r>
      <w:r>
        <w:rPr>
          <w:rFonts w:ascii="SimSun" w:hAnsi="SimSun" w:eastAsia="SimSun" w:cs="SimSun"/>
          <w:sz w:val="24"/>
          <w:szCs w:val="24"/>
          <w:color w:val="1F1F1F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1F1F1F"/>
          <w:spacing w:val="-2"/>
        </w:rPr>
        <w:t>4.050。</w:t>
      </w:r>
    </w:p>
    <w:p>
      <w:pPr>
        <w:ind w:left="1007"/>
        <w:spacing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7.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转归</w:t>
      </w:r>
    </w:p>
    <w:p>
      <w:pPr>
        <w:spacing w:before="183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DKA-AP </w:t>
      </w:r>
      <w:r>
        <w:rPr>
          <w:rFonts w:ascii="SimSun" w:hAnsi="SimSun" w:eastAsia="SimSun" w:cs="SimSun"/>
          <w:sz w:val="24"/>
          <w:szCs w:val="24"/>
          <w:spacing w:val="-4"/>
        </w:rPr>
        <w:t>组患者有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3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例自动出院，1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例转上级医院，1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例死亡，其余全部治愈出院，</w:t>
      </w:r>
    </w:p>
    <w:p>
      <w:pPr>
        <w:ind w:left="5452"/>
        <w:spacing w:before="221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14</w:t>
      </w:r>
    </w:p>
    <w:p>
      <w:pPr>
        <w:spacing w:line="179" w:lineRule="auto"/>
        <w:sectPr>
          <w:headerReference w:type="default" r:id="rId19"/>
          <w:footerReference w:type="default" r:id="rId20"/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6"/>
        <w:spacing w:before="18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组全部患者治愈出院。</w:t>
      </w:r>
    </w:p>
    <w:p>
      <w:pPr>
        <w:ind w:left="1002"/>
        <w:spacing w:before="183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8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.两组住院天数和住院总费用比较</w:t>
      </w:r>
    </w:p>
    <w:p>
      <w:pPr>
        <w:ind w:left="996" w:firstLine="480"/>
        <w:spacing w:before="182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组患者住院天数为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12（9，</w:t>
      </w:r>
      <w:r>
        <w:rPr>
          <w:rFonts w:ascii="SimSun" w:hAnsi="SimSun" w:eastAsia="SimSun" w:cs="SimSun"/>
          <w:sz w:val="24"/>
          <w:szCs w:val="24"/>
          <w:spacing w:val="-12"/>
        </w:rPr>
        <w:t>14）天，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组患者为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10（7，12）天，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0"/>
        </w:rPr>
        <w:t>组高于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1"/>
        </w:rPr>
        <w:t>P</w:t>
      </w:r>
      <w:r>
        <w:rPr>
          <w:rFonts w:ascii="SimSun" w:hAnsi="SimSun" w:eastAsia="SimSun" w:cs="SimSun"/>
          <w:sz w:val="24"/>
          <w:szCs w:val="24"/>
          <w:spacing w:val="-11"/>
        </w:rPr>
        <w:t>=0.001）。其中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组有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13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例（28.89%）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患者入住重症监护病房（</w:t>
      </w:r>
      <w:r>
        <w:rPr>
          <w:rFonts w:ascii="Times New Roman" w:hAnsi="Times New Roman" w:eastAsia="Times New Roman" w:cs="Times New Roman"/>
          <w:sz w:val="24"/>
          <w:szCs w:val="24"/>
        </w:rPr>
        <w:t>intensive care unit,ICU</w:t>
      </w:r>
      <w:r>
        <w:rPr>
          <w:rFonts w:ascii="SimSun" w:hAnsi="SimSun" w:eastAsia="SimSun" w:cs="SimSun"/>
          <w:sz w:val="24"/>
          <w:szCs w:val="24"/>
          <w:spacing w:val="7"/>
        </w:rPr>
        <w:t>），</w:t>
      </w:r>
      <w:r>
        <w:rPr>
          <w:rFonts w:ascii="SimSun" w:hAnsi="SimSun" w:eastAsia="SimSun" w:cs="SimSun"/>
          <w:sz w:val="24"/>
          <w:szCs w:val="24"/>
        </w:rPr>
        <w:t>DKA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组有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2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例（4.44%</w:t>
      </w:r>
      <w:r>
        <w:rPr>
          <w:rFonts w:ascii="SimSun" w:hAnsi="SimSun" w:eastAsia="SimSun" w:cs="SimSun"/>
          <w:sz w:val="24"/>
          <w:szCs w:val="24"/>
          <w:spacing w:val="-1"/>
        </w:rPr>
        <w:t>）入住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ICU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组高于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rFonts w:ascii="SimSun" w:hAnsi="SimSun" w:eastAsia="SimSun" w:cs="SimSun"/>
          <w:sz w:val="24"/>
          <w:szCs w:val="24"/>
          <w:spacing w:val="1"/>
        </w:rPr>
        <w:t>=0.002）。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组患者住院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总费用为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</w:rPr>
        <w:t>17427.04（</w:t>
      </w:r>
      <w:r>
        <w:rPr>
          <w:rFonts w:ascii="SimSun" w:hAnsi="SimSun" w:eastAsia="SimSun" w:cs="SimSun"/>
          <w:sz w:val="24"/>
          <w:szCs w:val="24"/>
          <w:color w:val="010205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</w:rPr>
        <w:t>13182.630，38526.22）元，</w:t>
      </w:r>
      <w:r>
        <w:rPr>
          <w:rFonts w:ascii="Times New Roman" w:hAnsi="Times New Roman" w:eastAsia="Times New Roman" w:cs="Times New Roman"/>
          <w:sz w:val="24"/>
          <w:szCs w:val="24"/>
          <w:color w:val="010205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</w:rPr>
        <w:t>组患者</w:t>
      </w:r>
      <w:r>
        <w:rPr>
          <w:rFonts w:ascii="SimSun" w:hAnsi="SimSun" w:eastAsia="SimSun" w:cs="SimSun"/>
          <w:sz w:val="24"/>
          <w:szCs w:val="24"/>
          <w:color w:val="010205"/>
          <w:spacing w:val="-1"/>
        </w:rPr>
        <w:t>为</w:t>
      </w:r>
      <w:r>
        <w:rPr>
          <w:rFonts w:ascii="SimSun" w:hAnsi="SimSun" w:eastAsia="SimSun" w:cs="SimSun"/>
          <w:sz w:val="24"/>
          <w:szCs w:val="24"/>
          <w:color w:val="010205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1"/>
        </w:rPr>
        <w:t>9631.08（7628.33，</w:t>
      </w:r>
      <w:r>
        <w:rPr>
          <w:rFonts w:ascii="SimSun" w:hAnsi="SimSun" w:eastAsia="SimSun" w:cs="SimSun"/>
          <w:sz w:val="24"/>
          <w:szCs w:val="24"/>
          <w:color w:val="01020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9"/>
        </w:rPr>
        <w:t>12697.79）元，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9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9"/>
        </w:rPr>
        <w:t>组高于</w:t>
      </w:r>
      <w:r>
        <w:rPr>
          <w:rFonts w:ascii="SimSun" w:hAnsi="SimSun" w:eastAsia="SimSun" w:cs="SimSun"/>
          <w:sz w:val="24"/>
          <w:szCs w:val="24"/>
          <w:color w:val="010205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9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9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10205"/>
          <w:spacing w:val="-9"/>
        </w:rPr>
        <w:t>P</w:t>
      </w:r>
      <w:r>
        <w:rPr>
          <w:rFonts w:ascii="SimSun" w:hAnsi="SimSun" w:eastAsia="SimSun" w:cs="SimSun"/>
          <w:sz w:val="24"/>
          <w:szCs w:val="24"/>
          <w:color w:val="010205"/>
          <w:spacing w:val="-9"/>
        </w:rPr>
        <w:t>＜0.001）。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9"/>
        </w:rPr>
        <w:t>DKA-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10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10205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10205"/>
          <w:spacing w:val="-4"/>
        </w:rPr>
        <w:t>组平均每日住院费用为</w:t>
      </w:r>
      <w:r>
        <w:rPr>
          <w:rFonts w:ascii="SimSun" w:hAnsi="SimSun" w:eastAsia="SimSun" w:cs="SimSun"/>
          <w:sz w:val="24"/>
          <w:szCs w:val="24"/>
          <w:color w:val="010205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4"/>
        </w:rPr>
        <w:t>1676.28（1175.28，2412.45）元，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10205"/>
          <w:spacing w:val="-4"/>
        </w:rPr>
        <w:t>组为</w:t>
      </w:r>
      <w:r>
        <w:rPr>
          <w:rFonts w:ascii="SimSun" w:hAnsi="SimSun" w:eastAsia="SimSun" w:cs="SimSun"/>
          <w:sz w:val="24"/>
          <w:szCs w:val="24"/>
          <w:color w:val="010205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4"/>
        </w:rPr>
        <w:t>1058.18（864.20，</w:t>
      </w:r>
      <w:r>
        <w:rPr>
          <w:rFonts w:ascii="SimSun" w:hAnsi="SimSun" w:eastAsia="SimSun" w:cs="SimSun"/>
          <w:sz w:val="24"/>
          <w:szCs w:val="24"/>
          <w:color w:val="01020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10205"/>
          <w:spacing w:val="-1"/>
        </w:rPr>
        <w:t>1279.61）元，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10205"/>
          <w:spacing w:val="-1"/>
        </w:rPr>
        <w:t>组高于</w:t>
      </w:r>
      <w:r>
        <w:rPr>
          <w:rFonts w:ascii="SimSun" w:hAnsi="SimSun" w:eastAsia="SimSun" w:cs="SimSun"/>
          <w:sz w:val="24"/>
          <w:szCs w:val="24"/>
          <w:color w:val="010205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10205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10205"/>
          <w:spacing w:val="-2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10205"/>
          <w:spacing w:val="-2"/>
        </w:rPr>
        <w:t>P</w:t>
      </w:r>
      <w:r>
        <w:rPr>
          <w:rFonts w:ascii="SimSun" w:hAnsi="SimSun" w:eastAsia="SimSun" w:cs="SimSun"/>
          <w:sz w:val="24"/>
          <w:szCs w:val="24"/>
          <w:color w:val="010205"/>
          <w:spacing w:val="-2"/>
        </w:rPr>
        <w:t>＜0.001</w:t>
      </w:r>
      <w:r>
        <w:rPr>
          <w:rFonts w:ascii="SimSun" w:hAnsi="SimSun" w:eastAsia="SimSun" w:cs="SimSun"/>
          <w:sz w:val="24"/>
          <w:szCs w:val="24"/>
          <w:color w:val="010205"/>
          <w:spacing w:val="-13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Z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值为</w:t>
      </w:r>
    </w:p>
    <w:p>
      <w:pPr>
        <w:ind w:left="99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-5.217。详见表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7。</w:t>
      </w:r>
    </w:p>
    <w:p>
      <w:pPr>
        <w:ind w:left="2487"/>
        <w:spacing w:before="19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0C0C0C"/>
          <w:spacing w:val="9"/>
        </w:rPr>
        <w:t>表</w:t>
      </w:r>
      <w:r>
        <w:rPr>
          <w:rFonts w:ascii="SimSun" w:hAnsi="SimSun" w:eastAsia="SimSun" w:cs="SimSun"/>
          <w:sz w:val="20"/>
          <w:szCs w:val="20"/>
          <w:color w:val="0C0C0C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0C0C0C"/>
          <w:spacing w:val="9"/>
        </w:rPr>
        <w:t>7.</w:t>
      </w:r>
      <w:r>
        <w:rPr>
          <w:rFonts w:ascii="Times New Roman" w:hAnsi="Times New Roman" w:eastAsia="Times New Roman" w:cs="Times New Roman"/>
          <w:sz w:val="20"/>
          <w:szCs w:val="20"/>
          <w:color w:val="0C0C0C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color w:val="0C0C0C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C0C0C"/>
        </w:rPr>
        <w:t>AP</w:t>
      </w:r>
      <w:r>
        <w:rPr>
          <w:rFonts w:ascii="Times New Roman" w:hAnsi="Times New Roman" w:eastAsia="Times New Roman" w:cs="Times New Roman"/>
          <w:sz w:val="20"/>
          <w:szCs w:val="20"/>
          <w:color w:val="0C0C0C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0C0C0C"/>
          <w:spacing w:val="9"/>
        </w:rPr>
        <w:t>组与</w:t>
      </w:r>
      <w:r>
        <w:rPr>
          <w:rFonts w:ascii="SimSun" w:hAnsi="SimSun" w:eastAsia="SimSun" w:cs="SimSun"/>
          <w:sz w:val="20"/>
          <w:szCs w:val="20"/>
          <w:color w:val="0C0C0C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C0C0C"/>
        </w:rPr>
        <w:t>DKA</w:t>
      </w:r>
      <w:r>
        <w:rPr>
          <w:rFonts w:ascii="Times New Roman" w:hAnsi="Times New Roman" w:eastAsia="Times New Roman" w:cs="Times New Roman"/>
          <w:sz w:val="20"/>
          <w:szCs w:val="20"/>
          <w:color w:val="0C0C0C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0C0C0C"/>
          <w:spacing w:val="9"/>
        </w:rPr>
        <w:t>组住院天数、</w:t>
      </w:r>
      <w:r>
        <w:rPr>
          <w:rFonts w:ascii="Times New Roman" w:hAnsi="Times New Roman" w:eastAsia="Times New Roman" w:cs="Times New Roman"/>
          <w:sz w:val="20"/>
          <w:szCs w:val="20"/>
          <w:color w:val="0C0C0C"/>
        </w:rPr>
        <w:t>ICU</w:t>
      </w:r>
      <w:r>
        <w:rPr>
          <w:rFonts w:ascii="Times New Roman" w:hAnsi="Times New Roman" w:eastAsia="Times New Roman" w:cs="Times New Roman"/>
          <w:sz w:val="20"/>
          <w:szCs w:val="20"/>
          <w:color w:val="0C0C0C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0C0C0C"/>
          <w:spacing w:val="9"/>
        </w:rPr>
        <w:t>入住率、住院费用比较</w:t>
      </w:r>
    </w:p>
    <w:p>
      <w:pPr>
        <w:spacing w:line="91" w:lineRule="exact"/>
        <w:rPr/>
      </w:pPr>
      <w:r/>
    </w:p>
    <w:tbl>
      <w:tblPr>
        <w:tblStyle w:val="TableNormal"/>
        <w:tblW w:w="9259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22"/>
        <w:gridCol w:w="2105"/>
        <w:gridCol w:w="2822"/>
        <w:gridCol w:w="1078"/>
        <w:gridCol w:w="1132"/>
      </w:tblGrid>
      <w:tr>
        <w:trPr>
          <w:trHeight w:val="352" w:hRule="atLeast"/>
        </w:trPr>
        <w:tc>
          <w:tcPr>
            <w:tcW w:w="9259" w:type="dxa"/>
            <w:vAlign w:val="top"/>
            <w:gridSpan w:val="5"/>
            <w:tcBorders>
              <w:top w:val="single" w:color="000000" w:sz="10" w:space="0"/>
            </w:tcBorders>
          </w:tcPr>
          <w:p>
            <w:pPr>
              <w:ind w:left="7164"/>
              <w:spacing w:before="134" w:line="19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6"/>
              </w:rPr>
              <w:t>统计量值</w:t>
            </w:r>
          </w:p>
        </w:tc>
      </w:tr>
      <w:tr>
        <w:trPr>
          <w:trHeight w:val="598" w:hRule="atLeast"/>
        </w:trPr>
        <w:tc>
          <w:tcPr>
            <w:tcW w:w="2122" w:type="dxa"/>
            <w:vAlign w:val="top"/>
            <w:tcBorders>
              <w:bottom w:val="single" w:color="000000" w:sz="10" w:space="0"/>
            </w:tcBorders>
          </w:tcPr>
          <w:p>
            <w:pPr>
              <w:ind w:left="695"/>
              <w:spacing w:before="1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262626"/>
                <w:spacing w:val="4"/>
              </w:rPr>
              <w:t>临床资料</w:t>
            </w:r>
          </w:p>
        </w:tc>
        <w:tc>
          <w:tcPr>
            <w:tcW w:w="2105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592"/>
              <w:spacing w:before="17" w:line="238" w:lineRule="auto"/>
              <w:rPr>
                <w:rFonts w:ascii="SimSun" w:hAnsi="SimSun" w:eastAsia="SimSun" w:cs="SimSun"/>
              </w:rPr>
            </w:pPr>
            <w:r>
              <w:rPr>
                <w:color w:val="262626"/>
              </w:rPr>
              <w:t>DKA</w:t>
            </w:r>
            <w:r>
              <w:rPr>
                <w:color w:val="262626"/>
                <w:spacing w:val="15"/>
              </w:rPr>
              <w:t>-</w:t>
            </w:r>
            <w:r>
              <w:rPr>
                <w:color w:val="262626"/>
              </w:rPr>
              <w:t>AP</w:t>
            </w:r>
            <w:r>
              <w:rPr>
                <w:color w:val="262626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color w:val="262626"/>
                <w:spacing w:val="15"/>
              </w:rPr>
              <w:t>组</w:t>
            </w:r>
          </w:p>
        </w:tc>
        <w:tc>
          <w:tcPr>
            <w:tcW w:w="2822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38"/>
              <w:spacing w:before="17" w:line="238" w:lineRule="auto"/>
              <w:rPr>
                <w:rFonts w:ascii="SimSun" w:hAnsi="SimSun" w:eastAsia="SimSun" w:cs="SimSun"/>
              </w:rPr>
            </w:pPr>
            <w:r>
              <w:rPr>
                <w:color w:val="0C0C0C"/>
              </w:rPr>
              <w:t>DKA</w:t>
            </w:r>
            <w:r>
              <w:rPr>
                <w:color w:val="0C0C0C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color w:val="0C0C0C"/>
                <w:spacing w:val="16"/>
              </w:rPr>
              <w:t>组</w:t>
            </w:r>
          </w:p>
        </w:tc>
        <w:tc>
          <w:tcPr>
            <w:tcW w:w="1078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27"/>
              <w:spacing w:before="249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C0C0C"/>
                <w:spacing w:val="2"/>
              </w:rPr>
              <w:t>（</w:t>
            </w:r>
            <w:r>
              <w:rPr>
                <w:color w:val="0C0C0C"/>
                <w:spacing w:val="2"/>
              </w:rPr>
              <w:t>Z/X</w:t>
            </w:r>
            <w:r>
              <w:rPr>
                <w:sz w:val="13"/>
                <w:szCs w:val="13"/>
                <w:color w:val="0C0C0C"/>
                <w:spacing w:val="2"/>
                <w:position w:val="6"/>
              </w:rPr>
              <w:t>2</w:t>
            </w:r>
            <w:r>
              <w:rPr>
                <w:rFonts w:ascii="SimSun" w:hAnsi="SimSun" w:eastAsia="SimSun" w:cs="SimSun"/>
                <w:color w:val="0C0C0C"/>
                <w:spacing w:val="2"/>
              </w:rPr>
              <w:t>）</w:t>
            </w:r>
          </w:p>
        </w:tc>
        <w:tc>
          <w:tcPr>
            <w:tcW w:w="1132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394"/>
              <w:spacing w:before="16" w:line="228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color w:val="0C0C0C"/>
                <w:spacing w:val="6"/>
              </w:rPr>
              <w:t>P</w:t>
            </w:r>
            <w:r>
              <w:rPr>
                <w:i/>
                <w:iCs/>
                <w:color w:val="0C0C0C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color w:val="0C0C0C"/>
                <w:spacing w:val="6"/>
              </w:rPr>
              <w:t>值</w:t>
            </w:r>
          </w:p>
        </w:tc>
      </w:tr>
      <w:tr>
        <w:trPr>
          <w:trHeight w:val="476" w:hRule="atLeast"/>
        </w:trPr>
        <w:tc>
          <w:tcPr>
            <w:tcW w:w="2122" w:type="dxa"/>
            <w:vAlign w:val="top"/>
            <w:tcBorders>
              <w:top w:val="single" w:color="000000" w:sz="10" w:space="0"/>
            </w:tcBorders>
          </w:tcPr>
          <w:p>
            <w:pPr>
              <w:ind w:left="683"/>
              <w:spacing w:before="13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7"/>
              </w:rPr>
              <w:t>住院天数</w:t>
            </w:r>
          </w:p>
        </w:tc>
        <w:tc>
          <w:tcPr>
            <w:tcW w:w="2105" w:type="dxa"/>
            <w:vAlign w:val="top"/>
            <w:tcBorders>
              <w:top w:val="single" w:color="000000" w:sz="10" w:space="0"/>
            </w:tcBorders>
          </w:tcPr>
          <w:p>
            <w:pPr>
              <w:ind w:left="562"/>
              <w:spacing w:before="140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12（9，14）</w:t>
            </w:r>
          </w:p>
        </w:tc>
        <w:tc>
          <w:tcPr>
            <w:tcW w:w="2822" w:type="dxa"/>
            <w:vAlign w:val="top"/>
            <w:tcBorders>
              <w:top w:val="single" w:color="000000" w:sz="10" w:space="0"/>
            </w:tcBorders>
          </w:tcPr>
          <w:p>
            <w:pPr>
              <w:ind w:left="840"/>
              <w:spacing w:before="140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10（7，12）</w:t>
            </w:r>
          </w:p>
        </w:tc>
        <w:tc>
          <w:tcPr>
            <w:tcW w:w="1078" w:type="dxa"/>
            <w:vAlign w:val="top"/>
            <w:tcBorders>
              <w:top w:val="single" w:color="000000" w:sz="10" w:space="0"/>
            </w:tcBorders>
          </w:tcPr>
          <w:p>
            <w:pPr>
              <w:ind w:left="214"/>
              <w:spacing w:before="140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  <w:position w:val="1"/>
              </w:rPr>
              <w:t>-3.179</w:t>
            </w:r>
          </w:p>
        </w:tc>
        <w:tc>
          <w:tcPr>
            <w:tcW w:w="1132" w:type="dxa"/>
            <w:vAlign w:val="top"/>
            <w:tcBorders>
              <w:top w:val="single" w:color="000000" w:sz="10" w:space="0"/>
            </w:tcBorders>
          </w:tcPr>
          <w:p>
            <w:pPr>
              <w:ind w:left="341"/>
              <w:spacing w:before="140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0.001</w:t>
            </w:r>
          </w:p>
        </w:tc>
      </w:tr>
      <w:tr>
        <w:trPr>
          <w:trHeight w:val="486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683"/>
              <w:spacing w:before="146" w:line="228" w:lineRule="auto"/>
              <w:rPr>
                <w:rFonts w:ascii="SimSun" w:hAnsi="SimSun" w:eastAsia="SimSun" w:cs="SimSun"/>
              </w:rPr>
            </w:pPr>
            <w:r>
              <w:rPr>
                <w:color w:val="0C0C0C"/>
              </w:rPr>
              <w:t>ICU</w:t>
            </w:r>
            <w:r>
              <w:rPr>
                <w:color w:val="0C0C0C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color w:val="0C0C0C"/>
                <w:spacing w:val="9"/>
              </w:rPr>
              <w:t>例数</w:t>
            </w:r>
          </w:p>
        </w:tc>
        <w:tc>
          <w:tcPr>
            <w:tcW w:w="2105" w:type="dxa"/>
            <w:vAlign w:val="top"/>
          </w:tcPr>
          <w:p>
            <w:pPr>
              <w:ind w:left="509"/>
              <w:spacing w:before="146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</w:rPr>
              <w:t>13（28.89%）</w:t>
            </w:r>
          </w:p>
        </w:tc>
        <w:tc>
          <w:tcPr>
            <w:tcW w:w="2822" w:type="dxa"/>
            <w:vAlign w:val="top"/>
          </w:tcPr>
          <w:p>
            <w:pPr>
              <w:ind w:left="880"/>
              <w:spacing w:before="146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</w:rPr>
              <w:t>2（4.44%）</w:t>
            </w:r>
          </w:p>
        </w:tc>
        <w:tc>
          <w:tcPr>
            <w:tcW w:w="1078" w:type="dxa"/>
            <w:vAlign w:val="top"/>
          </w:tcPr>
          <w:p>
            <w:pPr>
              <w:ind w:left="270"/>
              <w:spacing w:before="14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0.680</w:t>
            </w:r>
          </w:p>
        </w:tc>
        <w:tc>
          <w:tcPr>
            <w:tcW w:w="1132" w:type="dxa"/>
            <w:vAlign w:val="top"/>
          </w:tcPr>
          <w:p>
            <w:pPr>
              <w:ind w:left="341"/>
              <w:spacing w:before="146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0.002</w:t>
            </w:r>
          </w:p>
        </w:tc>
      </w:tr>
      <w:tr>
        <w:trPr>
          <w:trHeight w:val="1505" w:hRule="atLeast"/>
        </w:trPr>
        <w:tc>
          <w:tcPr>
            <w:tcW w:w="212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263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7"/>
              </w:rPr>
              <w:t>住院总费用（元）</w:t>
            </w:r>
          </w:p>
        </w:tc>
        <w:tc>
          <w:tcPr>
            <w:tcW w:w="2105" w:type="dxa"/>
            <w:vAlign w:val="top"/>
          </w:tcPr>
          <w:p>
            <w:pPr>
              <w:ind w:left="720"/>
              <w:spacing w:before="12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2"/>
                <w:position w:val="1"/>
              </w:rPr>
              <w:t>17427.04</w:t>
            </w:r>
          </w:p>
          <w:p>
            <w:pPr>
              <w:ind w:left="451"/>
              <w:spacing w:before="200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</w:rPr>
              <w:t>（13182.630，</w:t>
            </w:r>
          </w:p>
          <w:p>
            <w:pPr>
              <w:ind w:left="603"/>
              <w:spacing w:before="208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</w:rPr>
              <w:t>38526.22）</w:t>
            </w:r>
          </w:p>
        </w:tc>
        <w:tc>
          <w:tcPr>
            <w:tcW w:w="2822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458"/>
              <w:spacing w:before="6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4"/>
              </w:rPr>
              <w:t>9631.08（7628.33，</w:t>
            </w:r>
          </w:p>
          <w:p>
            <w:pPr>
              <w:ind w:left="893"/>
              <w:spacing w:before="208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"/>
              </w:rPr>
              <w:t>12697.79）</w:t>
            </w:r>
          </w:p>
        </w:tc>
        <w:tc>
          <w:tcPr>
            <w:tcW w:w="107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214"/>
              <w:spacing w:before="6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  <w:position w:val="1"/>
              </w:rPr>
              <w:t>-5.370</w:t>
            </w:r>
          </w:p>
        </w:tc>
        <w:tc>
          <w:tcPr>
            <w:tcW w:w="113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252"/>
              <w:spacing w:before="6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  <w:position w:val="1"/>
              </w:rPr>
              <w:t>&lt;0.001</w:t>
            </w:r>
          </w:p>
        </w:tc>
      </w:tr>
      <w:tr>
        <w:trPr>
          <w:trHeight w:val="1327" w:hRule="atLeast"/>
        </w:trPr>
        <w:tc>
          <w:tcPr>
            <w:tcW w:w="2122" w:type="dxa"/>
            <w:vAlign w:val="top"/>
            <w:tcBorders>
              <w:bottom w:val="single" w:color="000000" w:sz="10" w:space="0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7"/>
              </w:rPr>
              <w:t>平均住院费用（元）</w:t>
            </w:r>
          </w:p>
        </w:tc>
        <w:tc>
          <w:tcPr>
            <w:tcW w:w="2105" w:type="dxa"/>
            <w:vAlign w:val="top"/>
            <w:tcBorders>
              <w:bottom w:val="single" w:color="000000" w:sz="10" w:space="0"/>
            </w:tcBorders>
          </w:tcPr>
          <w:p>
            <w:pPr>
              <w:ind w:left="654" w:right="88" w:hanging="452"/>
              <w:spacing w:before="271" w:line="44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</w:rPr>
              <w:t>1676.28（1175.28，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</w:rPr>
              <w:t>2412.45）</w:t>
            </w:r>
          </w:p>
        </w:tc>
        <w:tc>
          <w:tcPr>
            <w:tcW w:w="2822" w:type="dxa"/>
            <w:vAlign w:val="top"/>
            <w:tcBorders>
              <w:bottom w:val="single" w:color="000000" w:sz="10" w:space="0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left="190"/>
              <w:spacing w:before="65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-3"/>
              </w:rPr>
              <w:t>1058.18（864.20，1279.</w:t>
            </w: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-4"/>
              </w:rPr>
              <w:t>61）</w:t>
            </w:r>
          </w:p>
        </w:tc>
        <w:tc>
          <w:tcPr>
            <w:tcW w:w="1078" w:type="dxa"/>
            <w:vAlign w:val="top"/>
            <w:tcBorders>
              <w:bottom w:val="single" w:color="000000" w:sz="10" w:space="0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left="214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3"/>
                <w:position w:val="1"/>
              </w:rPr>
              <w:t>-5.217</w:t>
            </w:r>
          </w:p>
        </w:tc>
        <w:tc>
          <w:tcPr>
            <w:tcW w:w="1132" w:type="dxa"/>
            <w:vAlign w:val="top"/>
            <w:tcBorders>
              <w:bottom w:val="single" w:color="000000" w:sz="10" w:space="0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left="252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0C0C0C"/>
                <w:spacing w:val="18"/>
                <w:position w:val="1"/>
              </w:rPr>
              <w:t>&lt;0.001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452"/>
        <w:spacing w:before="56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15</w:t>
      </w:r>
    </w:p>
    <w:p>
      <w:pPr>
        <w:spacing w:line="179" w:lineRule="auto"/>
        <w:sectPr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5221"/>
        <w:spacing w:before="217" w:line="229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color w:val="0C0C0C"/>
          <w:spacing w:val="-1"/>
        </w:rPr>
        <w:t>讨论</w:t>
      </w:r>
    </w:p>
    <w:p>
      <w:pPr>
        <w:ind w:left="993" w:right="18" w:firstLine="500"/>
        <w:spacing w:before="201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随着人们生活方式的转变，尤其是饮食习惯的变化使得我国糖尿病人数激增，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作为糖尿病的急性并发症，单纯</w:t>
      </w:r>
      <w:r>
        <w:rPr>
          <w:rFonts w:ascii="SimSun" w:hAnsi="SimSun" w:eastAsia="SimSun" w:cs="SimSun"/>
          <w:sz w:val="24"/>
          <w:szCs w:val="24"/>
          <w:color w:val="0C0C0C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经及时治疗后其愈后尚可，一旦合并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，病死率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将明显提高，由于两者具有临床表现及生物标志物的相似之处，易造成临床医师的漏诊，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本研究重点分析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的临床特征，结果显示在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CRRT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、住院天数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、住院费用比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较上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组均高于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组，统计学上两组比较有差异，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2"/>
        </w:rPr>
        <w:t>P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值均＜0.001，DKA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患者给全社会带来更大的经济负担，分析独立危险因素，以期及早识别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并及时救治。</w:t>
      </w:r>
    </w:p>
    <w:p>
      <w:pPr>
        <w:ind w:left="10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1.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BMI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、高脂血症病史与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的关系</w:t>
      </w:r>
    </w:p>
    <w:p>
      <w:pPr>
        <w:ind w:left="999" w:firstLine="481"/>
        <w:spacing w:before="184" w:line="359" w:lineRule="auto"/>
        <w:tabs>
          <w:tab w:val="left" w:pos="10142"/>
        </w:tabs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通过比较</w:t>
      </w:r>
      <w:r>
        <w:rPr>
          <w:rFonts w:ascii="SimSun" w:hAnsi="SimSun" w:eastAsia="SimSun" w:cs="SimSun"/>
          <w:sz w:val="24"/>
          <w:szCs w:val="24"/>
          <w:color w:val="0C0C0C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组和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组的一般资料，我们发现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BMI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值，有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高脂血症病史均高于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组，在两组比较中有统计学意义，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4"/>
        </w:rPr>
        <w:t>P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值分别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为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0.031、0.004。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但在多因素</w:t>
      </w:r>
      <w:r>
        <w:rPr>
          <w:rFonts w:ascii="SimSun" w:hAnsi="SimSun" w:eastAsia="SimSun" w:cs="SimSun"/>
          <w:sz w:val="24"/>
          <w:szCs w:val="24"/>
          <w:color w:val="0C0C0C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回归分析中，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BMI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值及有无高脂血症病史，两组数据比较无统计学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意义，故</w:t>
      </w:r>
      <w:r>
        <w:rPr>
          <w:rFonts w:ascii="SimSun" w:hAnsi="SimSun" w:eastAsia="SimSun" w:cs="SimSun"/>
          <w:sz w:val="24"/>
          <w:szCs w:val="24"/>
          <w:color w:val="0C0C0C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BMI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及高脂血症病史不能作为</w:t>
      </w:r>
      <w:r>
        <w:rPr>
          <w:rFonts w:ascii="SimSun" w:hAnsi="SimSun" w:eastAsia="SimSun" w:cs="SimSun"/>
          <w:sz w:val="24"/>
          <w:szCs w:val="24"/>
          <w:color w:val="0C0C0C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的独立危险因素。但根据中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国</w:t>
      </w:r>
      <w:r>
        <w:rPr>
          <w:rFonts w:ascii="SimSun" w:hAnsi="SimSun" w:eastAsia="SimSun" w:cs="SimSun"/>
          <w:sz w:val="24"/>
          <w:szCs w:val="24"/>
          <w:color w:val="0C0C0C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8"/>
        </w:rPr>
        <w:t>BMI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</w:rPr>
        <w:t>标准，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BMI≥24kg/m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position w:val="8"/>
        </w:rPr>
        <w:t>2   </w:t>
      </w:r>
      <w:r>
        <w:rPr>
          <w:rFonts w:ascii="SimSun" w:hAnsi="SimSun" w:eastAsia="SimSun" w:cs="SimSun"/>
          <w:sz w:val="24"/>
          <w:szCs w:val="24"/>
          <w:color w:val="0C0C0C"/>
        </w:rPr>
        <w:t>属于超重人群，这部分群体体内脂肪大量聚集，往往伴有高脂血</w:t>
      </w:r>
      <w:r>
        <w:rPr>
          <w:rFonts w:ascii="SimSun" w:hAnsi="SimSun" w:eastAsia="SimSun" w:cs="SimSun"/>
          <w:sz w:val="24"/>
          <w:szCs w:val="24"/>
        </w:rPr>
        <w:tab/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症，高脂血症为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的常见病因，有研究显示，脂代谢紊乱对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的病情严重程度及预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后具有重要的影响，尤其是肥胖</w:t>
      </w:r>
      <w:r>
        <w:rPr>
          <w:rFonts w:ascii="SimSun" w:hAnsi="SimSun" w:eastAsia="SimSun" w:cs="SimSu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[17-18]</w:t>
      </w:r>
      <w:r>
        <w:rPr>
          <w:rFonts w:ascii="SimSun" w:hAnsi="SimSun" w:eastAsia="SimSun" w:cs="SimSun"/>
          <w:sz w:val="12"/>
          <w:szCs w:val="12"/>
          <w:color w:val="0C0C0C"/>
          <w:spacing w:val="16"/>
          <w:w w:val="101"/>
          <w:position w:val="11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。因此，临床医师仍需警惕当患者以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DKA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就诊时，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当患者有高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BMI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值及有高脂血症病史时，需考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虑是否合并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的可能。</w:t>
      </w:r>
    </w:p>
    <w:p>
      <w:pPr>
        <w:ind w:left="1004"/>
        <w:spacing w:before="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2.</w:t>
      </w:r>
      <w:r>
        <w:rPr>
          <w:rFonts w:ascii="SimSun" w:hAnsi="SimSun" w:eastAsia="SimSun" w:cs="SimSun"/>
          <w:sz w:val="24"/>
          <w:szCs w:val="24"/>
          <w:color w:val="0C0C0C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临床表现与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的关系</w:t>
      </w:r>
    </w:p>
    <w:p>
      <w:pPr>
        <w:ind w:left="1000" w:firstLine="475"/>
        <w:spacing w:before="182" w:line="360" w:lineRule="auto"/>
        <w:tabs>
          <w:tab w:val="left" w:pos="10142"/>
        </w:tabs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的临床表现可表现在各系统，不少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患者以消化道症状如恶心、呕吐、腹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痛等就诊，其消化道症状的发病机制尚不完全明确。其腹痛可能与严重的代谢性酸中毒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相关，且可能有多种因素参与，涉及神经性、内分泌源性、和代谢性机制。可能的机制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包括：①酮体等酸性物质增多使消化道释放出大量炎性因子引发炎性反应，进而导致腹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部疼痛，且氢离子浓度越高，腹痛出现概率越高，两者呈正相关，本研究显示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值低于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组，两组比较有统计学差异（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=0.004</w:t>
      </w:r>
      <w:r>
        <w:rPr>
          <w:rFonts w:ascii="SimSun" w:hAnsi="SimSun" w:eastAsia="SimSun" w:cs="SimSun"/>
          <w:sz w:val="24"/>
          <w:szCs w:val="24"/>
          <w:color w:val="0C0C0C"/>
          <w:spacing w:val="-16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P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组腹痛发生率高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组，两组数据比较有统计学差异（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＜0.001</w:t>
      </w:r>
      <w:r>
        <w:rPr>
          <w:rFonts w:ascii="SimSun" w:hAnsi="SimSun" w:eastAsia="SimSun" w:cs="SimSun"/>
          <w:sz w:val="24"/>
          <w:szCs w:val="24"/>
          <w:color w:val="0C0C0C"/>
          <w:spacing w:val="13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这一致病原理与本研究结果一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致；②糖尿病患者可出现较为严重的胃肠植</w:t>
      </w:r>
      <w:r>
        <w:rPr>
          <w:rFonts w:ascii="SimSun" w:hAnsi="SimSun" w:eastAsia="SimSun" w:cs="SimSun"/>
          <w:sz w:val="24"/>
          <w:szCs w:val="24"/>
          <w:color w:val="0C0C0C"/>
        </w:rPr>
        <w:t>物神经功能紊乱，同时会伴有胃排空延迟，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此外，胰高血糖素、儿茶酚胺水平升高等引起的急性高血糖也可导致胃排空延迟，在应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激状态下进一步引起胆道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Oddi </w:t>
      </w:r>
      <w:r>
        <w:rPr>
          <w:rFonts w:ascii="SimSun" w:hAnsi="SimSun" w:eastAsia="SimSun" w:cs="SimSun"/>
          <w:sz w:val="24"/>
          <w:szCs w:val="24"/>
          <w:color w:val="0C0C0C"/>
        </w:rPr>
        <w:t>括约肌痉挛，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在这一过程中，还伴随着胆囊、胆总管压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力增加，因此患者会有剧烈腹痛感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[19]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；③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常合并电解质代谢紊乱，其中低钾、低</w:t>
      </w:r>
      <w:r>
        <w:rPr>
          <w:rFonts w:ascii="SimSun" w:hAnsi="SimSun" w:eastAsia="SimSun" w:cs="SimSun"/>
          <w:sz w:val="24"/>
          <w:szCs w:val="24"/>
        </w:rPr>
        <w:tab/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钠易引起消化道痉挛、麻痹性肠梗阻而致腹痛；④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可有严重脱水、循环血量下降、</w:t>
      </w:r>
    </w:p>
    <w:p>
      <w:pPr>
        <w:ind w:left="5452"/>
        <w:spacing w:before="269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16</w:t>
      </w:r>
    </w:p>
    <w:p>
      <w:pPr>
        <w:spacing w:line="181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3" w:right="18" w:firstLine="6"/>
        <w:spacing w:before="156" w:line="3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代谢性酸中毒，可继发肠系膜功能不全、缺血性肠病从而造成腹痛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[20]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；⑤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患者因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代谢毒性产物的不断积累，会出现较为严重的“假性腹膜炎</w:t>
      </w:r>
      <w:r>
        <w:rPr>
          <w:rFonts w:ascii="SimSun" w:hAnsi="SimSun" w:eastAsia="SimSun" w:cs="SimSun"/>
          <w:sz w:val="24"/>
          <w:szCs w:val="24"/>
          <w:color w:val="0C0C0C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”，使患者有明显腹痛感。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根据相关统计资料显示，以腹痛为主要症状的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患者如不能在第一时间内进行干预，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其病死率可高达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19% 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[21]</w:t>
      </w:r>
      <w:r>
        <w:rPr>
          <w:rFonts w:ascii="SimSun" w:hAnsi="SimSun" w:eastAsia="SimSun" w:cs="SimSun"/>
          <w:sz w:val="12"/>
          <w:szCs w:val="12"/>
          <w:color w:val="0C0C0C"/>
          <w:spacing w:val="16"/>
          <w:w w:val="101"/>
          <w:position w:val="11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。因此要求临床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医师抢救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合并腹痛患者要有充分的认识，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做出及时正确的诊疗，降低病死率。本研究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组患者与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组患者临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床表现相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比，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</w:rPr>
        <w:t>组腹痛发生率高于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</w:rPr>
        <w:t>组，腹痛症状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具有统计学差异（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＜0.001</w:t>
      </w:r>
      <w:r>
        <w:rPr>
          <w:rFonts w:ascii="SimSun" w:hAnsi="SimSun" w:eastAsia="SimSun" w:cs="SimSun"/>
          <w:sz w:val="24"/>
          <w:szCs w:val="24"/>
          <w:color w:val="0C0C0C"/>
          <w:spacing w:val="3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行多因素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回归分析，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组高于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OR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=38.9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06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腹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痛是</w:t>
      </w:r>
      <w:r>
        <w:rPr>
          <w:rFonts w:ascii="SimSun" w:hAnsi="SimSun" w:eastAsia="SimSun" w:cs="SimSun"/>
          <w:sz w:val="24"/>
          <w:szCs w:val="24"/>
          <w:color w:val="0C0C0C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的独立危险因素，因此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患者有腹痛症状时，需警惕是否合并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，以期早诊治。</w:t>
      </w:r>
    </w:p>
    <w:p>
      <w:pPr>
        <w:ind w:left="996" w:right="80" w:firstLine="486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本研究显示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组患者腹痛持续时间高于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组患者，两组比较有统计学差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＜0.001</w:t>
      </w:r>
      <w:r>
        <w:rPr>
          <w:rFonts w:ascii="SimSun" w:hAnsi="SimSun" w:eastAsia="SimSun" w:cs="SimSun"/>
          <w:sz w:val="24"/>
          <w:szCs w:val="24"/>
          <w:color w:val="0C0C0C"/>
          <w:spacing w:val="3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进行多因素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回归分析，腹痛持续时间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组患者高于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组患者（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＜0.001，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OR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=3.892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腹痛持续时间是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的一个独立危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险因素。本文根据不同受试者的情况，绘制出相应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的工作特征</w:t>
      </w:r>
      <w:r>
        <w:rPr>
          <w:rFonts w:ascii="SimSun" w:hAnsi="SimSun" w:eastAsia="SimSun" w:cs="SimSun"/>
          <w:sz w:val="24"/>
          <w:szCs w:val="24"/>
          <w:color w:val="0C0C0C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ROC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)曲线，然后对曲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线进行分析，以评价危险因素的预测效果。结果显示，受试者腹痛持续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时间的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AUC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为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0.871；相应的敏感度和特异度分别为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77.8%、86.7%；此外，约登指数为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0.644，若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患者经过数小时专业治疗后腹痛症状持续不缓解，需要考虑合并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的可能，但仍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需考虑其他导致急腹症的疾病，可结合相关病史、体格检查及辅助检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查加以鉴别。</w:t>
      </w:r>
    </w:p>
    <w:p>
      <w:pPr>
        <w:ind w:left="1006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3.</w:t>
      </w:r>
      <w:r>
        <w:rPr>
          <w:rFonts w:ascii="SimSun" w:hAnsi="SimSun" w:eastAsia="SimSun" w:cs="SimSun"/>
          <w:sz w:val="24"/>
          <w:szCs w:val="24"/>
          <w:color w:val="0C0C0C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实验室指标与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的关系</w:t>
      </w:r>
    </w:p>
    <w:p>
      <w:pPr>
        <w:ind w:left="996" w:firstLine="486"/>
        <w:spacing w:before="180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本研究结果显示，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</w:rPr>
        <w:t>组患者的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HCT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HB </w:t>
      </w:r>
      <w:r>
        <w:rPr>
          <w:rFonts w:ascii="SimSun" w:hAnsi="SimSun" w:eastAsia="SimSun" w:cs="SimSun"/>
          <w:sz w:val="24"/>
          <w:szCs w:val="24"/>
          <w:color w:val="0C0C0C"/>
        </w:rPr>
        <w:t>浓度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RBC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计数均高于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两组数据差异均有统计学意义，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</w:rPr>
        <w:t>P </w:t>
      </w:r>
      <w:r>
        <w:rPr>
          <w:rFonts w:ascii="SimSun" w:hAnsi="SimSun" w:eastAsia="SimSun" w:cs="SimSun"/>
          <w:sz w:val="24"/>
          <w:szCs w:val="24"/>
          <w:color w:val="0C0C0C"/>
        </w:rPr>
        <w:t>值分别为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0.027、0.0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17、0.003。血浆容量是判断容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量负荷的一个标志</w:t>
      </w:r>
      <w:r>
        <w:rPr>
          <w:rFonts w:ascii="SimSun" w:hAnsi="SimSun" w:eastAsia="SimSun" w:cs="SimSun"/>
          <w:sz w:val="12"/>
          <w:szCs w:val="12"/>
          <w:color w:val="0C0C0C"/>
          <w:spacing w:val="-5"/>
          <w:position w:val="11"/>
        </w:rPr>
        <w:t>[22-23]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，其可通过</w:t>
      </w:r>
      <w:r>
        <w:rPr>
          <w:rFonts w:ascii="SimSun" w:hAnsi="SimSun" w:eastAsia="SimSun" w:cs="SimSun"/>
          <w:sz w:val="24"/>
          <w:szCs w:val="24"/>
          <w:color w:val="0C0C0C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Duarte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公式(基于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Hb</w:t>
      </w:r>
      <w:r>
        <w:rPr>
          <w:rFonts w:ascii="SimSun" w:hAnsi="SimSun" w:eastAsia="SimSun" w:cs="SimSun"/>
          <w:sz w:val="24"/>
          <w:szCs w:val="24"/>
          <w:spacing w:val="-5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HCT</w:t>
      </w:r>
      <w:r>
        <w:rPr>
          <w:rFonts w:ascii="SimSun" w:hAnsi="SimSun" w:eastAsia="SimSun" w:cs="SimSun"/>
          <w:sz w:val="24"/>
          <w:szCs w:val="24"/>
          <w:spacing w:val="-5"/>
        </w:rPr>
        <w:t>)来估算，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组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Hb</w:t>
      </w:r>
      <w:r>
        <w:rPr>
          <w:rFonts w:ascii="SimSun" w:hAnsi="SimSun" w:eastAsia="SimSun" w:cs="SimSun"/>
          <w:sz w:val="24"/>
          <w:szCs w:val="24"/>
          <w:spacing w:val="-5"/>
        </w:rPr>
        <w:t>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HCT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RBC </w:t>
      </w:r>
      <w:r>
        <w:rPr>
          <w:rFonts w:ascii="SimSun" w:hAnsi="SimSun" w:eastAsia="SimSun" w:cs="SimSun"/>
          <w:sz w:val="24"/>
          <w:szCs w:val="24"/>
          <w:spacing w:val="-3"/>
        </w:rPr>
        <w:t>值更高，考虑于患者脱水致血液浓缩更严重相关，这于胰腺炎组平均每日补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液量高于对照组的平均每日补液量结果相符，因此当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时，需要更关注患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者的容量状态，避免因补液不及时导致更多并</w:t>
      </w:r>
      <w:r>
        <w:rPr>
          <w:rFonts w:ascii="SimSun" w:hAnsi="SimSun" w:eastAsia="SimSun" w:cs="SimSun"/>
          <w:sz w:val="24"/>
          <w:szCs w:val="24"/>
          <w:spacing w:val="-1"/>
        </w:rPr>
        <w:t>发症的产生。</w:t>
      </w:r>
    </w:p>
    <w:p>
      <w:pPr>
        <w:ind w:left="996" w:firstLine="485"/>
        <w:spacing w:before="7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根据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的病理生理机制</w:t>
      </w:r>
      <w:r>
        <w:rPr>
          <w:rFonts w:ascii="SimSun" w:hAnsi="SimSun" w:eastAsia="SimSun" w:cs="SimSun"/>
          <w:sz w:val="24"/>
          <w:szCs w:val="24"/>
          <w:color w:val="0000FF"/>
          <w:spacing w:val="-4"/>
        </w:rPr>
        <w:t>，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脂肪组织分解产生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酮体，酮体中的乙酰乙酸、</w:t>
      </w:r>
      <w:r>
        <w:rPr>
          <w:rFonts w:ascii="SimSun" w:hAnsi="SimSun" w:eastAsia="SimSun" w:cs="SimSun"/>
          <w:sz w:val="24"/>
          <w:szCs w:val="24"/>
          <w:color w:val="0C0C0C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β-羟丁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是一类强有机酸，其生成过多将导致血清氢离子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升高，远超过了血清和组织的缓冲能力，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其结果就是代谢性酸中毒，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PH </w:t>
      </w:r>
      <w:r>
        <w:rPr>
          <w:rFonts w:ascii="SimSun" w:hAnsi="SimSun" w:eastAsia="SimSun" w:cs="SimSun"/>
          <w:sz w:val="24"/>
          <w:szCs w:val="24"/>
          <w:color w:val="0C0C0C"/>
        </w:rPr>
        <w:t>值、碳酸氢根值下降。本研究结果显示，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DKA-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组的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值、碳酸氢根值低于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组，两组比较有统计学意义，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  <w:spacing w:val="-1"/>
        </w:rPr>
        <w:t>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分别为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0.004、0.044。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组血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值更低可能与以下几个因素有关：首先，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患者的脂肪分解更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强，可释放出众多酮体，因此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值较低；其次，对于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患者来说，其发生全身炎症</w:t>
      </w:r>
    </w:p>
    <w:p>
      <w:pPr>
        <w:pStyle w:val="BodyText"/>
        <w:spacing w:line="363" w:lineRule="auto"/>
        <w:rPr/>
      </w:pPr>
      <w:r/>
    </w:p>
    <w:p>
      <w:pPr>
        <w:ind w:left="5452"/>
        <w:spacing w:before="55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17</w:t>
      </w:r>
    </w:p>
    <w:p>
      <w:pPr>
        <w:spacing w:line="179" w:lineRule="auto"/>
        <w:sectPr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2"/>
        <w:spacing w:before="176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反应综合征（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systemic inflammatory response syndrome,SIRS</w:t>
      </w:r>
      <w:r>
        <w:rPr>
          <w:rFonts w:ascii="SimSun" w:hAnsi="SimSun" w:eastAsia="SimSun" w:cs="SimSun"/>
          <w:sz w:val="24"/>
          <w:szCs w:val="24"/>
          <w:color w:val="0C0C0C"/>
        </w:rPr>
        <w:t>）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的风险较高，而后者会进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一步诱发毛细血管渗漏综合征（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capillary leak syndrome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CLS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）从而使血浆从血管渗漏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到组织间隙，造成血容量丢失与血液浓缩，因此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值更低。二氧化碳结合力（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CO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5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-CP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能够直接反映组织中碱的储备量，其降低则意味着出现代谢性酸中毒，也可能出现代偿</w:t>
      </w:r>
      <w:r>
        <w:rPr>
          <w:rFonts w:ascii="SimSun" w:hAnsi="SimSun" w:eastAsia="SimSun" w:cs="SimSun"/>
          <w:sz w:val="24"/>
          <w:szCs w:val="24"/>
          <w:color w:val="0C0C0C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后的呼吸性碱中毒，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</w:rPr>
        <w:t>组患者的二氧化碳结合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力低于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组，两组比较有统计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</w:rPr>
        <w:t>学差异，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C0C0C"/>
        </w:rPr>
        <w:t>P</w:t>
      </w:r>
      <w:r>
        <w:rPr>
          <w:rFonts w:ascii="SimSun" w:hAnsi="SimSun" w:eastAsia="SimSun" w:cs="SimSun"/>
          <w:sz w:val="24"/>
          <w:szCs w:val="24"/>
          <w:color w:val="0C0C0C"/>
        </w:rPr>
        <w:t>=0.027，提示患者酸中毒更厉害，这与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组患者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值更低相符合。</w:t>
      </w:r>
    </w:p>
    <w:p>
      <w:pPr>
        <w:ind w:left="996" w:right="37" w:firstLine="484"/>
        <w:spacing w:before="22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近几十年来，有部分学者对高甘油三酯血症、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和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三联症展开了相关研究和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探讨，它们也被称为“神秘三角</w:t>
      </w:r>
      <w:r>
        <w:rPr>
          <w:rFonts w:ascii="SimSun" w:hAnsi="SimSun" w:eastAsia="SimSun" w:cs="SimSun"/>
          <w:sz w:val="24"/>
          <w:szCs w:val="24"/>
          <w:color w:val="0C0C0C"/>
          <w:spacing w:val="-7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”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[24-25]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，但目前仍不清楚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和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的因果关系。高甘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油三酯血症是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的第三大病因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[3-4]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，当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TG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≥11.3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mmol/L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(1000mg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/dL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)时，可诊断为高甘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油三酯性胰腺炎（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HTGP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)或</w:t>
      </w:r>
      <w:r>
        <w:rPr>
          <w:rFonts w:ascii="SimSun" w:hAnsi="SimSun" w:eastAsia="SimSun" w:cs="SimSun"/>
          <w:sz w:val="24"/>
          <w:szCs w:val="24"/>
          <w:color w:val="0C0C0C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TG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在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5.6～11.3mmol/L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并且除外胆石症、酒精等因素，也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可诊断为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HTGP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。糖尿病是血脂异常的危险因素，而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HTGP-AP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的发作可使糖尿病失代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偿并导致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；另一方面，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患者因糖脂代谢失调患高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TG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风险性增加，实际上可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能最终导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[25]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TG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可能的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机制为：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患者脂肪分解增加，经过一系列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生化反应产生游离脂肪酸（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free fatty ac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2"/>
        </w:rPr>
        <w:t>id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FFA</w:t>
      </w:r>
      <w:r>
        <w:rPr>
          <w:rFonts w:ascii="SimSun" w:hAnsi="SimSun" w:eastAsia="SimSun" w:cs="SimSun"/>
          <w:sz w:val="24"/>
          <w:szCs w:val="24"/>
          <w:color w:val="0C0C0C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FFA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在肝脏中可以生成相应的极低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密度脂蛋白（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very low density lipoprotein,VLDL</w:t>
      </w:r>
      <w:r>
        <w:rPr>
          <w:rFonts w:ascii="SimSun" w:hAnsi="SimSun" w:eastAsia="SimSun" w:cs="SimSun"/>
          <w:sz w:val="24"/>
          <w:szCs w:val="24"/>
          <w:color w:val="0C0C0C"/>
          <w:spacing w:val="-20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但在这一过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程中，因组织中的脂蛋白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脂肪酶（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Lipoprteinlipase,LPL</w:t>
      </w:r>
      <w:r>
        <w:rPr>
          <w:rFonts w:ascii="SimSun" w:hAnsi="SimSun" w:eastAsia="SimSun" w:cs="SimSun"/>
          <w:sz w:val="24"/>
          <w:szCs w:val="24"/>
          <w:color w:val="0C0C0C"/>
        </w:rPr>
        <w:t>）含量较少，导致乳糜微粒（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Chylomicron,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CM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）和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VLDL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 </w:t>
      </w:r>
      <w:r>
        <w:rPr>
          <w:rFonts w:ascii="SimSun" w:hAnsi="SimSun" w:eastAsia="SimSun" w:cs="SimSun"/>
          <w:sz w:val="24"/>
          <w:szCs w:val="24"/>
          <w:color w:val="0C0C0C"/>
        </w:rPr>
        <w:t>无法被有效的清除，导致高甘油三酯血症</w:t>
      </w:r>
      <w:r>
        <w:rPr>
          <w:rFonts w:ascii="SimSun" w:hAnsi="SimSun" w:eastAsia="SimSun" w:cs="SimSun"/>
          <w:sz w:val="12"/>
          <w:szCs w:val="12"/>
          <w:color w:val="0C0C0C"/>
          <w:position w:val="11"/>
        </w:rPr>
        <w:t>[26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]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；高脂血症可激活血小板（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platelet,PLT)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,分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泌出众多能够强烈收缩血管的血栓素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A2</w:t>
      </w:r>
      <w:r>
        <w:rPr>
          <w:rFonts w:ascii="SimSun" w:hAnsi="SimSun" w:eastAsia="SimSun" w:cs="SimSun"/>
          <w:sz w:val="24"/>
          <w:szCs w:val="24"/>
          <w:color w:val="0C0C0C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TXA2</w:t>
      </w:r>
      <w:r>
        <w:rPr>
          <w:rFonts w:ascii="SimSun" w:hAnsi="SimSun" w:eastAsia="SimSun" w:cs="SimSun"/>
          <w:sz w:val="24"/>
          <w:szCs w:val="24"/>
          <w:color w:val="0C0C0C"/>
        </w:rPr>
        <w:t>）,在此期间，机体分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泌前列环素能力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</w:rPr>
        <w:t>降低,无法使血管正常扩张，这会直接导致胰腺微循环障碍加剧；在人体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组织中，游离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脂肪酸能够直接作用于胰腺腺泡细胞，并由此造成胰腺腺泡细胞受损；对于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来说，其有效血容量不足，导致血液粘稠度增加，最终诱发胰腺微循环障碍；除此之外，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患者常伴恶心呕吐等症状，当十二指肠压力增高到一定程度可引起胰液分泌不畅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</w:rPr>
        <w:t>可引起胰腺炎。本研究结果显示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DKA-AP </w:t>
      </w:r>
      <w:r>
        <w:rPr>
          <w:rFonts w:ascii="SimSun" w:hAnsi="SimSun" w:eastAsia="SimSun" w:cs="SimSun"/>
          <w:sz w:val="24"/>
          <w:szCs w:val="24"/>
          <w:color w:val="0C0C0C"/>
        </w:rPr>
        <w:t>组患者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TG </w:t>
      </w:r>
      <w:r>
        <w:rPr>
          <w:rFonts w:ascii="SimSun" w:hAnsi="SimSun" w:eastAsia="SimSun" w:cs="SimSun"/>
          <w:sz w:val="24"/>
          <w:szCs w:val="24"/>
          <w:color w:val="0C0C0C"/>
        </w:rPr>
        <w:t>平均水平为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11.</w:t>
      </w:r>
      <w:r>
        <w:rPr>
          <w:rFonts w:ascii="SimSun" w:hAnsi="SimSun" w:eastAsia="SimSun" w:cs="SimSun"/>
          <w:sz w:val="24"/>
          <w:szCs w:val="24"/>
          <w:spacing w:val="-1"/>
        </w:rPr>
        <w:t>97(4.71,15.84)，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组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TG </w:t>
      </w:r>
      <w:r>
        <w:rPr>
          <w:rFonts w:ascii="SimSun" w:hAnsi="SimSun" w:eastAsia="SimSun" w:cs="SimSun"/>
          <w:sz w:val="24"/>
          <w:szCs w:val="24"/>
          <w:spacing w:val="-2"/>
        </w:rPr>
        <w:t>平均水平为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1.60(0.89,3.64)，两组比较有统计学意义（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P</w:t>
      </w:r>
      <w:r>
        <w:rPr>
          <w:rFonts w:ascii="SimSun" w:hAnsi="SimSun" w:eastAsia="SimSun" w:cs="SimSun"/>
          <w:sz w:val="24"/>
          <w:szCs w:val="24"/>
          <w:spacing w:val="-2"/>
        </w:rPr>
        <w:t>＜</w:t>
      </w:r>
      <w:r>
        <w:rPr>
          <w:rFonts w:ascii="SimSun" w:hAnsi="SimSun" w:eastAsia="SimSun" w:cs="SimSun"/>
          <w:sz w:val="24"/>
          <w:szCs w:val="24"/>
          <w:spacing w:val="-3"/>
        </w:rPr>
        <w:t>0.001</w:t>
      </w:r>
      <w:r>
        <w:rPr>
          <w:rFonts w:ascii="SimSun" w:hAnsi="SimSun" w:eastAsia="SimSun" w:cs="SimSun"/>
          <w:sz w:val="24"/>
          <w:szCs w:val="24"/>
          <w:spacing w:val="-13"/>
        </w:rPr>
        <w:t>），</w:t>
      </w:r>
      <w:r>
        <w:rPr>
          <w:rFonts w:ascii="SimSun" w:hAnsi="SimSun" w:eastAsia="SimSun" w:cs="SimSun"/>
          <w:sz w:val="24"/>
          <w:szCs w:val="24"/>
          <w:spacing w:val="-3"/>
        </w:rPr>
        <w:t>行多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因素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回归分析结果提示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TG </w:t>
      </w:r>
      <w:r>
        <w:rPr>
          <w:rFonts w:ascii="SimSun" w:hAnsi="SimSun" w:eastAsia="SimSun" w:cs="SimSun"/>
          <w:sz w:val="24"/>
          <w:szCs w:val="24"/>
          <w:spacing w:val="-3"/>
        </w:rPr>
        <w:t>为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的独立</w:t>
      </w:r>
      <w:r>
        <w:rPr>
          <w:rFonts w:ascii="SimSun" w:hAnsi="SimSun" w:eastAsia="SimSun" w:cs="SimSun"/>
          <w:sz w:val="24"/>
          <w:szCs w:val="24"/>
          <w:spacing w:val="-4"/>
        </w:rPr>
        <w:t>危险因素，这提示高脂血症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可能是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的重要病理生理因素。因此，治疗过程中应尽快将血脂降至正常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范围。</w:t>
      </w:r>
    </w:p>
    <w:p>
      <w:pPr>
        <w:ind w:left="1004" w:right="98" w:firstLine="477"/>
        <w:spacing w:before="9" w:line="35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根据本研究结果显示，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DKA-AP </w:t>
      </w:r>
      <w:r>
        <w:rPr>
          <w:rFonts w:ascii="SimSun" w:hAnsi="SimSun" w:eastAsia="SimSun" w:cs="SimSun"/>
          <w:sz w:val="24"/>
          <w:szCs w:val="24"/>
          <w:spacing w:val="-4"/>
        </w:rPr>
        <w:t>组患者胆固醇平均水平为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7.71(5.60,11.66)，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组患者为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4.86(4.22,6.52)，两组比较有统</w:t>
      </w:r>
      <w:r>
        <w:rPr>
          <w:rFonts w:ascii="SimSun" w:hAnsi="SimSun" w:eastAsia="SimSun" w:cs="SimSun"/>
          <w:sz w:val="24"/>
          <w:szCs w:val="24"/>
          <w:spacing w:val="-1"/>
        </w:rPr>
        <w:t>计学意义（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SimSun" w:hAnsi="SimSun" w:eastAsia="SimSun" w:cs="SimSun"/>
          <w:sz w:val="24"/>
          <w:szCs w:val="24"/>
          <w:spacing w:val="-1"/>
        </w:rPr>
        <w:t>＜0.001）。行多因素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回归分析结果提示为胆固醇为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的独立危险因素，这与之前的研究结果一</w:t>
      </w:r>
    </w:p>
    <w:p>
      <w:pPr>
        <w:pStyle w:val="BodyText"/>
        <w:spacing w:line="377" w:lineRule="auto"/>
        <w:rPr/>
      </w:pPr>
      <w:r/>
    </w:p>
    <w:p>
      <w:pPr>
        <w:ind w:left="5452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18</w:t>
      </w:r>
    </w:p>
    <w:p>
      <w:pPr>
        <w:spacing w:line="181" w:lineRule="auto"/>
        <w:sectPr>
          <w:headerReference w:type="default" r:id="rId19"/>
          <w:footerReference w:type="default" r:id="rId20"/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1"/>
        <w:spacing w:before="160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  <w:position w:val="-5"/>
        </w:rPr>
        <w:t>致</w:t>
      </w:r>
      <w:r>
        <w:rPr>
          <w:rFonts w:ascii="SimSun" w:hAnsi="SimSun" w:eastAsia="SimSun" w:cs="SimSun"/>
          <w:sz w:val="12"/>
          <w:szCs w:val="12"/>
          <w:spacing w:val="-2"/>
          <w:position w:val="6"/>
        </w:rPr>
        <w:t>[27]</w:t>
      </w:r>
      <w:r>
        <w:rPr>
          <w:rFonts w:ascii="SimSun" w:hAnsi="SimSun" w:eastAsia="SimSun" w:cs="SimSun"/>
          <w:sz w:val="24"/>
          <w:szCs w:val="24"/>
          <w:spacing w:val="-2"/>
          <w:position w:val="-5"/>
        </w:rPr>
        <w:t>。</w:t>
      </w:r>
    </w:p>
    <w:p>
      <w:pPr>
        <w:ind w:left="1003" w:right="80" w:firstLine="479"/>
        <w:spacing w:before="182" w:line="358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4" w:id="14"/>
      <w:bookmarkEnd w:id="14"/>
      <w:r>
        <w:rPr>
          <w:rFonts w:ascii="SimSun" w:hAnsi="SimSun" w:eastAsia="SimSun" w:cs="SimSun"/>
          <w:sz w:val="24"/>
          <w:szCs w:val="24"/>
          <w:spacing w:val="-1"/>
        </w:rPr>
        <w:t>有研究称，有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40%-75%的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患者在发病的第一天内会出现血淀</w:t>
      </w:r>
      <w:r>
        <w:rPr>
          <w:rFonts w:ascii="SimSun" w:hAnsi="SimSun" w:eastAsia="SimSun" w:cs="SimSun"/>
          <w:sz w:val="24"/>
          <w:szCs w:val="24"/>
          <w:spacing w:val="-2"/>
        </w:rPr>
        <w:t>粉酶升高的，甚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至可达正常值的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倍，在无治疗情况下，其可在超过正常水平状态下持续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3～5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天甚至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更长时间</w:t>
      </w:r>
      <w:r>
        <w:rPr>
          <w:rFonts w:ascii="SimSun" w:hAnsi="SimSun" w:eastAsia="SimSun" w:cs="SimSun"/>
          <w:sz w:val="12"/>
          <w:szCs w:val="12"/>
          <w:spacing w:val="-2"/>
          <w:position w:val="11"/>
        </w:rPr>
        <w:t>[28]</w:t>
      </w:r>
      <w:r>
        <w:rPr>
          <w:rFonts w:ascii="SimSun" w:hAnsi="SimSun" w:eastAsia="SimSun" w:cs="SimSun"/>
          <w:sz w:val="12"/>
          <w:szCs w:val="12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。本研究对照组有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18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例（40%</w:t>
      </w:r>
      <w:r>
        <w:rPr>
          <w:rFonts w:ascii="SimSun" w:hAnsi="SimSun" w:eastAsia="SimSun" w:cs="SimSun"/>
          <w:sz w:val="24"/>
          <w:szCs w:val="24"/>
          <w:color w:val="0000FF"/>
          <w:spacing w:val="-2"/>
        </w:rPr>
        <w:t>）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患者出现血淀粉酶升高，该现象可能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与以下因素有关：血淀粉酶主要是由胰腺和唾液腺两个组织分泌而来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[29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，由此可将其划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分为胰腺型淀粉酶、唾液型淀粉酶，前者被称为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-淀粉酶，后者则被称为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S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-淀粉酶，</w:t>
      </w:r>
    </w:p>
    <w:p>
      <w:pPr>
        <w:ind w:left="1000" w:firstLine="2"/>
        <w:spacing w:before="5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人们又将其分为</w:t>
      </w:r>
      <w:r>
        <w:rPr>
          <w:rFonts w:ascii="SimSun" w:hAnsi="SimSun" w:eastAsia="SimSun" w:cs="SimSun"/>
          <w:sz w:val="24"/>
          <w:szCs w:val="24"/>
          <w:color w:val="0C0C0C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8"/>
        </w:rPr>
        <w:t>P,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8"/>
        </w:rPr>
        <w:t>P2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8"/>
        </w:rPr>
        <w:t>P3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8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。、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8"/>
        </w:rPr>
        <w:t>S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：等几个亚型，研究发现，健康个体可通过唾液腺、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胰腺等组织合成并分泌这些亚型的血清淀粉酶，但量非常少</w:t>
      </w:r>
      <w:r>
        <w:rPr>
          <w:rFonts w:ascii="SimSun" w:hAnsi="SimSun" w:eastAsia="SimSun" w:cs="SimSun"/>
          <w:sz w:val="24"/>
          <w:szCs w:val="24"/>
          <w:spacing w:val="-1"/>
        </w:rPr>
        <w:t>。当发生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spacing w:val="-1"/>
        </w:rPr>
        <w:t>等应激状态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时，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人体多个器官系统可直接合成并分泌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S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-淀粉酶，因此其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含量也显著增加</w:t>
      </w:r>
      <w:r>
        <w:rPr>
          <w:rFonts w:ascii="SimSun" w:hAnsi="SimSun" w:eastAsia="SimSun" w:cs="SimSun"/>
          <w:sz w:val="12"/>
          <w:szCs w:val="12"/>
          <w:spacing w:val="-3"/>
          <w:position w:val="11"/>
        </w:rPr>
        <w:t>[30]</w:t>
      </w:r>
      <w:r>
        <w:rPr>
          <w:rFonts w:ascii="SimSun" w:hAnsi="SimSun" w:eastAsia="SimSun" w:cs="SimSun"/>
          <w:sz w:val="12"/>
          <w:szCs w:val="12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。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同时，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由于患者胰腺微循环障碍及代谢产物对胰腺组织的破坏，导致渗漏到血循环的淀粉酶增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加</w:t>
      </w:r>
      <w:r>
        <w:rPr>
          <w:rFonts w:ascii="SimSun" w:hAnsi="SimSun" w:eastAsia="SimSun" w:cs="SimSun"/>
          <w:sz w:val="12"/>
          <w:szCs w:val="12"/>
          <w:spacing w:val="-2"/>
          <w:position w:val="11"/>
        </w:rPr>
        <w:t>[28、31-32]</w:t>
      </w:r>
      <w:r>
        <w:rPr>
          <w:rFonts w:ascii="SimSun" w:hAnsi="SimSun" w:eastAsia="SimSun" w:cs="SimSun"/>
          <w:sz w:val="24"/>
          <w:szCs w:val="24"/>
          <w:spacing w:val="-2"/>
        </w:rPr>
        <w:t>。另一方面，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spacing w:val="-2"/>
        </w:rPr>
        <w:t>脱水导致循环容量下降，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导致肾小球滤过率下降，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并由此进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一步引起血清淀粉酶清除下降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[33-34]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，由于以上因素的影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响，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患者血淀粉酶升高</w:t>
      </w:r>
      <w:r>
        <w:rPr>
          <w:rFonts w:ascii="SimSun" w:hAnsi="SimSun" w:eastAsia="SimSun" w:cs="SimSun"/>
          <w:sz w:val="24"/>
          <w:szCs w:val="24"/>
          <w:color w:val="0000FF"/>
          <w:spacing w:val="-4"/>
        </w:rPr>
        <w:t>。</w:t>
      </w:r>
      <w:r>
        <w:rPr>
          <w:rFonts w:ascii="SimSun" w:hAnsi="SimSun" w:eastAsia="SimSun" w:cs="SimSun"/>
          <w:sz w:val="24"/>
          <w:szCs w:val="24"/>
          <w:spacing w:val="-4"/>
        </w:rPr>
        <w:t>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是，在高甘油三酯导致的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中，血淀粉酶可以是正常的</w:t>
      </w:r>
      <w:r>
        <w:rPr>
          <w:rFonts w:ascii="SimSun" w:hAnsi="SimSun" w:eastAsia="SimSun" w:cs="SimSun"/>
          <w:sz w:val="12"/>
          <w:szCs w:val="12"/>
          <w:spacing w:val="-2"/>
          <w:position w:val="11"/>
        </w:rPr>
        <w:t>[35]</w:t>
      </w:r>
      <w:r>
        <w:rPr>
          <w:rFonts w:ascii="SimSun" w:hAnsi="SimSun" w:eastAsia="SimSun" w:cs="SimSun"/>
          <w:sz w:val="12"/>
          <w:szCs w:val="12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，具体机制尚不清楚，此种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情况易导致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的漏诊，需要临床医师格外警惕。本研究结果显示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DKA-AP </w:t>
      </w:r>
      <w:r>
        <w:rPr>
          <w:rFonts w:ascii="SimSun" w:hAnsi="SimSun" w:eastAsia="SimSun" w:cs="SimSun"/>
          <w:sz w:val="24"/>
          <w:szCs w:val="24"/>
          <w:spacing w:val="-3"/>
        </w:rPr>
        <w:t>组全部患者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行了腹部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CT </w:t>
      </w:r>
      <w:r>
        <w:rPr>
          <w:rFonts w:ascii="SimSun" w:hAnsi="SimSun" w:eastAsia="SimSun" w:cs="SimSun"/>
          <w:sz w:val="24"/>
          <w:szCs w:val="24"/>
          <w:spacing w:val="-4"/>
        </w:rPr>
        <w:t>检查，结果均符合胰腺炎表现，但其中有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10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例患者</w:t>
      </w:r>
      <w:r>
        <w:rPr>
          <w:rFonts w:ascii="SimSun" w:hAnsi="SimSun" w:eastAsia="SimSun" w:cs="SimSun"/>
          <w:sz w:val="24"/>
          <w:szCs w:val="24"/>
          <w:spacing w:val="-5"/>
        </w:rPr>
        <w:t>淀粉酶升高不明显，有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研究报道，血清胰酶升高与影像学异常之间没有明显的</w:t>
      </w:r>
      <w:r>
        <w:rPr>
          <w:rFonts w:ascii="SimSun" w:hAnsi="SimSun" w:eastAsia="SimSun" w:cs="SimSun"/>
          <w:sz w:val="24"/>
          <w:szCs w:val="24"/>
          <w:spacing w:val="-2"/>
        </w:rPr>
        <w:t>一致性</w:t>
      </w:r>
      <w:r>
        <w:rPr>
          <w:rFonts w:ascii="SimSun" w:hAnsi="SimSun" w:eastAsia="SimSun" w:cs="SimSun"/>
          <w:sz w:val="12"/>
          <w:szCs w:val="12"/>
          <w:spacing w:val="-2"/>
          <w:position w:val="11"/>
        </w:rPr>
        <w:t>[36]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如果按照传统诊断标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准诊断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，仅凭腹痛及血清淀粉酶升高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3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倍以上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即可诊断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，但在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中似乎有过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度诊断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6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的可能，</w:t>
      </w:r>
      <w:r>
        <w:rPr>
          <w:rFonts w:ascii="SimSun" w:hAnsi="SimSun" w:eastAsia="SimSun" w:cs="SimSun"/>
          <w:sz w:val="24"/>
          <w:szCs w:val="24"/>
          <w:color w:val="212121"/>
          <w:spacing w:val="-6"/>
        </w:rPr>
        <w:t>因此怀疑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6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6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6"/>
        </w:rPr>
        <w:t>AP</w:t>
      </w:r>
      <w:r>
        <w:rPr>
          <w:rFonts w:ascii="SimSun" w:hAnsi="SimSun" w:eastAsia="SimSun" w:cs="SimSun"/>
          <w:sz w:val="24"/>
          <w:szCs w:val="24"/>
          <w:color w:val="212121"/>
          <w:spacing w:val="-6"/>
        </w:rPr>
        <w:t>，最好行影像学检查进一步明确诊断。</w:t>
      </w:r>
      <w:r>
        <w:rPr>
          <w:rFonts w:ascii="SimSun" w:hAnsi="SimSun" w:eastAsia="SimSun" w:cs="SimSun"/>
          <w:sz w:val="24"/>
          <w:szCs w:val="24"/>
          <w:spacing w:val="-7"/>
        </w:rPr>
        <w:t>同时，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针对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的辅助检查即使有一两个阴性结果，尤其是只进行了初步检查如血淀粉</w:t>
      </w:r>
      <w:r>
        <w:rPr>
          <w:rFonts w:ascii="SimSun" w:hAnsi="SimSun" w:eastAsia="SimSun" w:cs="SimSun"/>
          <w:sz w:val="24"/>
          <w:szCs w:val="24"/>
          <w:spacing w:val="-2"/>
        </w:rPr>
        <w:t>酶、胰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腺彩超，也不应除外诊断，可进一步完善更加精密、特异性高的检查，如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 </w:t>
      </w:r>
      <w:r>
        <w:rPr>
          <w:rFonts w:ascii="SimSun" w:hAnsi="SimSun" w:eastAsia="SimSun" w:cs="SimSun"/>
          <w:sz w:val="24"/>
          <w:szCs w:val="24"/>
          <w:spacing w:val="-2"/>
        </w:rPr>
        <w:t>检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查，以提高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  </w:t>
      </w:r>
      <w:r>
        <w:rPr>
          <w:rFonts w:ascii="SimSun" w:hAnsi="SimSun" w:eastAsia="SimSun" w:cs="SimSun"/>
          <w:sz w:val="24"/>
          <w:szCs w:val="24"/>
          <w:spacing w:val="-2"/>
        </w:rPr>
        <w:t>的诊断率。</w:t>
      </w:r>
    </w:p>
    <w:p>
      <w:pPr>
        <w:ind w:left="1000" w:right="80" w:firstLine="481"/>
        <w:spacing w:before="10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本文经过前期研究，将筛选出的连续性独立危险因素绘制相应的工作特征</w:t>
      </w:r>
      <w:r>
        <w:rPr>
          <w:rFonts w:ascii="SimSun" w:hAnsi="SimSun" w:eastAsia="SimSun" w:cs="SimSun"/>
          <w:sz w:val="24"/>
          <w:szCs w:val="24"/>
          <w:color w:val="0C0C0C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ROC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)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曲线，然后对该曲线进行分析以评价危险因素的预测效果。结果显示：甘油三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酯的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6"/>
        </w:rPr>
        <w:t>AUC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值为 0.884，其对应的敏感度和特异度分别为</w:t>
      </w:r>
      <w:r>
        <w:rPr>
          <w:rFonts w:ascii="SimSun" w:hAnsi="SimSun" w:eastAsia="SimSun" w:cs="SimSun"/>
          <w:sz w:val="24"/>
          <w:szCs w:val="24"/>
          <w:color w:val="0C0C0C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84.4%、80%，约登指数为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0.644；胆固醇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指标的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AUC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值为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0.751，其对应的敏感度和特异度分别为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71.1%、75.6%，约登指数为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0.467</w:t>
      </w:r>
      <w:r>
        <w:rPr>
          <w:rFonts w:ascii="SimSun" w:hAnsi="SimSun" w:eastAsia="SimSun" w:cs="SimSun"/>
          <w:sz w:val="24"/>
          <w:szCs w:val="24"/>
        </w:rPr>
        <w:t>；腹痛持续时间的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AUC </w:t>
      </w:r>
      <w:r>
        <w:rPr>
          <w:rFonts w:ascii="SimSun" w:hAnsi="SimSun" w:eastAsia="SimSun" w:cs="SimSun"/>
          <w:sz w:val="24"/>
          <w:szCs w:val="24"/>
        </w:rPr>
        <w:t>值为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0.871，其对应的敏感度和特</w:t>
      </w:r>
      <w:r>
        <w:rPr>
          <w:rFonts w:ascii="SimSun" w:hAnsi="SimSun" w:eastAsia="SimSun" w:cs="SimSun"/>
          <w:sz w:val="24"/>
          <w:szCs w:val="24"/>
          <w:spacing w:val="-1"/>
        </w:rPr>
        <w:t>异度分别为为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77.8%、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86.7%，约登指数为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0.644；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上述指标联合预测的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AUC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值为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0.933，其对应的敏感性和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特异性分别为</w:t>
      </w:r>
      <w:r>
        <w:rPr>
          <w:rFonts w:ascii="SimSun" w:hAnsi="SimSun" w:eastAsia="SimSun" w:cs="SimSun"/>
          <w:sz w:val="24"/>
          <w:szCs w:val="24"/>
          <w:color w:val="0C0C0C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93.3%、73.3，约登指数为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0.667。由此可以看出，若以不同的指标联合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预测胰腺炎，则可在较大程度上提升准确性，优于单因素预测。虽然本研究血清淀粉酶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在多因素</w:t>
      </w:r>
      <w:r>
        <w:rPr>
          <w:rFonts w:ascii="SimSun" w:hAnsi="SimSun" w:eastAsia="SimSun" w:cs="SimSun"/>
          <w:sz w:val="24"/>
          <w:szCs w:val="24"/>
          <w:color w:val="0C0C0C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回归分析结果中为独立危险因素，但作者认为当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患者血清淀粉</w:t>
      </w:r>
    </w:p>
    <w:p>
      <w:pPr>
        <w:pStyle w:val="BodyText"/>
        <w:spacing w:line="364" w:lineRule="auto"/>
        <w:rPr/>
      </w:pPr>
      <w:r/>
    </w:p>
    <w:p>
      <w:pPr>
        <w:ind w:left="5452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8"/>
        </w:rPr>
        <w:t>19</w:t>
      </w:r>
    </w:p>
    <w:p>
      <w:pPr>
        <w:spacing w:line="181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1" w:right="350" w:firstLine="2"/>
        <w:spacing w:before="179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酶升高时，临床医师已经有足够的警觉警惕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的发生，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故未做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ROC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曲线、敏感度、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bookmarkStart w:name="bookmark35" w:id="15"/>
      <w:bookmarkEnd w:id="15"/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特异度分析。</w:t>
      </w:r>
    </w:p>
    <w:p>
      <w:pPr>
        <w:ind w:left="1023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四．临床评分及疾病严重程度</w:t>
      </w:r>
    </w:p>
    <w:p>
      <w:pPr>
        <w:ind w:left="1483"/>
        <w:spacing w:before="182" w:line="21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无论</w:t>
      </w:r>
      <w:r>
        <w:rPr>
          <w:rFonts w:ascii="SimSun" w:hAnsi="SimSun" w:eastAsia="SimSun" w:cs="SimSun"/>
          <w:sz w:val="24"/>
          <w:szCs w:val="24"/>
          <w:color w:val="0C0C0C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是否合并</w:t>
      </w:r>
      <w:r>
        <w:rPr>
          <w:rFonts w:ascii="SimSun" w:hAnsi="SimSun" w:eastAsia="SimSun" w:cs="SimSun"/>
          <w:sz w:val="24"/>
          <w:szCs w:val="24"/>
          <w:color w:val="0C0C0C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，均应根据临床标准进行评分，据之前研究显示，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Ranson</w:t>
      </w:r>
    </w:p>
    <w:p>
      <w:pPr>
        <w:ind w:left="986" w:firstLine="34"/>
        <w:spacing w:before="168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的评分标准不适用于评估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中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的严重程度，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Ranson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评分高估了疾病的严重程度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[35]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本研究选用了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aCCI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评分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GCS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评分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SOFA 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评分、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APACHE II 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评分、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LODS 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评价系统，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结果显示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组和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组上述评分只有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2"/>
        </w:rPr>
        <w:t>PACHE II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评分有统计学差异（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333333"/>
          <w:spacing w:val="-2"/>
        </w:rPr>
        <w:t>P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=0.035</w:t>
      </w:r>
      <w:r>
        <w:rPr>
          <w:rFonts w:ascii="SimSun" w:hAnsi="SimSun" w:eastAsia="SimSun" w:cs="SimSun"/>
          <w:sz w:val="24"/>
          <w:szCs w:val="24"/>
          <w:color w:val="333333"/>
          <w:spacing w:val="-46"/>
        </w:rPr>
        <w:t>），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余均无统计学差异（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333333"/>
          <w:spacing w:val="-3"/>
        </w:rPr>
        <w:t>P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＞0.05）。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3"/>
        </w:rPr>
        <w:t>APACHE II 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评分系统采用了</w:t>
      </w:r>
      <w:r>
        <w:rPr>
          <w:rFonts w:ascii="SimSun" w:hAnsi="SimSun" w:eastAsia="SimSun" w:cs="SimSun"/>
          <w:sz w:val="24"/>
          <w:szCs w:val="24"/>
          <w:color w:val="33333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3"/>
        </w:rPr>
        <w:t>PH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、</w:t>
      </w:r>
      <w:r>
        <w:rPr>
          <w:rFonts w:ascii="SimSun" w:hAnsi="SimSun" w:eastAsia="SimSun" w:cs="SimSun"/>
          <w:sz w:val="24"/>
          <w:szCs w:val="24"/>
          <w:color w:val="333333"/>
          <w:spacing w:val="-4"/>
        </w:rPr>
        <w:t>白细胞计数、红细胞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333333"/>
          <w:spacing w:val="-5"/>
        </w:rPr>
        <w:t>比容，肌酐等指标评分，其中在两组比较中，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5"/>
        </w:rPr>
        <w:t>PH</w:t>
      </w:r>
      <w:r>
        <w:rPr>
          <w:rFonts w:ascii="SimSun" w:hAnsi="SimSun" w:eastAsia="SimSun" w:cs="SimSun"/>
          <w:sz w:val="24"/>
          <w:szCs w:val="24"/>
          <w:color w:val="333333"/>
          <w:spacing w:val="-5"/>
        </w:rPr>
        <w:t>、红细胞比容各自都是有统计学差异</w:t>
      </w:r>
      <w:r>
        <w:rPr>
          <w:rFonts w:ascii="SimSun" w:hAnsi="SimSun" w:eastAsia="SimSun" w:cs="SimSun"/>
          <w:sz w:val="24"/>
          <w:szCs w:val="24"/>
          <w:color w:val="333333"/>
          <w:spacing w:val="-6"/>
        </w:rPr>
        <w:t>的，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333333"/>
          <w:spacing w:val="-2"/>
        </w:rPr>
        <w:t>P 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值分别为</w:t>
      </w:r>
      <w:r>
        <w:rPr>
          <w:rFonts w:ascii="SimSun" w:hAnsi="SimSun" w:eastAsia="SimSun" w:cs="SimSun"/>
          <w:sz w:val="24"/>
          <w:szCs w:val="24"/>
          <w:color w:val="333333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0.004、0.027，考虑出现评分差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异是因为评分标准不一样。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3"/>
        </w:rPr>
        <w:t>APACHE II </w:t>
      </w: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评分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越高，意味着患者病情越重，愈后越差，病死率越高，这与本研究的疾病</w:t>
      </w: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转归结果是相</w:t>
      </w:r>
      <w:r>
        <w:rPr>
          <w:rFonts w:ascii="SimSun" w:hAnsi="SimSun" w:eastAsia="SimSun" w:cs="SimSun"/>
          <w:sz w:val="24"/>
          <w:szCs w:val="24"/>
          <w:color w:val="333333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333333"/>
        </w:rPr>
        <w:t>统一。但与</w:t>
      </w:r>
      <w:r>
        <w:rPr>
          <w:rFonts w:ascii="SimSun" w:hAnsi="SimSun" w:eastAsia="SimSun" w:cs="SimSun"/>
          <w:sz w:val="24"/>
          <w:szCs w:val="24"/>
          <w:color w:val="33333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Ma LiPing </w:t>
      </w:r>
      <w:r>
        <w:rPr>
          <w:rFonts w:ascii="SimSun" w:hAnsi="SimSun" w:eastAsia="SimSun" w:cs="SimSun"/>
          <w:sz w:val="24"/>
          <w:szCs w:val="24"/>
          <w:color w:val="212121"/>
        </w:rPr>
        <w:t>等人</w:t>
      </w:r>
      <w:r>
        <w:rPr>
          <w:rFonts w:ascii="SimSun" w:hAnsi="SimSun" w:eastAsia="SimSun" w:cs="SimSun"/>
          <w:sz w:val="12"/>
          <w:szCs w:val="12"/>
          <w:color w:val="212121"/>
          <w:position w:val="11"/>
        </w:rPr>
        <w:t>[27]</w:t>
      </w:r>
      <w:r>
        <w:rPr>
          <w:rFonts w:ascii="SimSun" w:hAnsi="SimSun" w:eastAsia="SimSun" w:cs="SimSun"/>
          <w:sz w:val="24"/>
          <w:szCs w:val="24"/>
          <w:color w:val="212121"/>
        </w:rPr>
        <w:t>的研究结果稍有出入，其认为以上评分标准均无法准确评 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估疾病的其严重程度，这需要更大的样本量来进一步明确这种差异。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"/>
        </w:rPr>
        <w:t>DKA-AP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组比</w:t>
      </w:r>
      <w:r>
        <w:rPr>
          <w:rFonts w:ascii="SimSun" w:hAnsi="SimSun" w:eastAsia="SimSun" w:cs="SimSun"/>
          <w:sz w:val="24"/>
          <w:szCs w:val="24"/>
          <w:color w:val="2121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组有更长的住院日（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=0.001</w:t>
      </w:r>
      <w:r>
        <w:rPr>
          <w:rFonts w:ascii="SimSun" w:hAnsi="SimSun" w:eastAsia="SimSun" w:cs="SimSun"/>
          <w:sz w:val="24"/>
          <w:szCs w:val="24"/>
          <w:color w:val="212121"/>
          <w:spacing w:val="4"/>
        </w:rPr>
        <w:t>），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有更高的</w:t>
      </w:r>
      <w:r>
        <w:rPr>
          <w:rFonts w:ascii="SimSun" w:hAnsi="SimSun" w:eastAsia="SimSun" w:cs="SimSun"/>
          <w:sz w:val="24"/>
          <w:szCs w:val="24"/>
          <w:color w:val="212121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ICU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入住率（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=0.002)，平均住院费用更高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＜0.001</w:t>
      </w:r>
      <w:r>
        <w:rPr>
          <w:rFonts w:ascii="SimSun" w:hAnsi="SimSun" w:eastAsia="SimSun" w:cs="SimSun"/>
          <w:sz w:val="24"/>
          <w:szCs w:val="24"/>
          <w:color w:val="212121"/>
          <w:spacing w:val="10"/>
        </w:rPr>
        <w:t>），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患者愈后更差，经济负担更重。因此，对于</w:t>
      </w:r>
      <w:r>
        <w:rPr>
          <w:rFonts w:ascii="SimSun" w:hAnsi="SimSun" w:eastAsia="SimSun" w:cs="SimSun"/>
          <w:sz w:val="24"/>
          <w:szCs w:val="24"/>
          <w:color w:val="2121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患者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，尽早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  </w:t>
      </w:r>
      <w:r>
        <w:rPr>
          <w:rFonts w:ascii="SimSun" w:hAnsi="SimSun" w:eastAsia="SimSun" w:cs="SimSun"/>
          <w:sz w:val="24"/>
          <w:szCs w:val="24"/>
          <w:color w:val="212121"/>
        </w:rPr>
        <w:t>识别危险因素，给予患者及时诊治具有重要意义。</w:t>
      </w:r>
    </w:p>
    <w:p>
      <w:pPr>
        <w:ind w:left="1005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五．治疗措施</w:t>
      </w:r>
    </w:p>
    <w:p>
      <w:pPr>
        <w:ind w:left="993" w:right="138" w:firstLine="533"/>
        <w:spacing w:before="181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目前针对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的患者尚无统一治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疗标准，针对性治疗及综合治疗被视为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212121"/>
        </w:rPr>
        <w:t>较有效的措施，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</w:rPr>
        <w:t>在未合并严重的酸中毒情况下，一般经恰当治疗后不难以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纠正其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容量问题，一旦合并</w:t>
      </w:r>
      <w:r>
        <w:rPr>
          <w:rFonts w:ascii="SimSun" w:hAnsi="SimSun" w:eastAsia="SimSun" w:cs="SimSun"/>
          <w:sz w:val="24"/>
          <w:szCs w:val="24"/>
          <w:color w:val="2121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，其可能导致循环容量进一步减少，原因考虑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导致</w:t>
      </w:r>
      <w:r>
        <w:rPr>
          <w:rFonts w:ascii="SimSun" w:hAnsi="SimSun" w:eastAsia="SimSun" w:cs="SimSun"/>
          <w:sz w:val="24"/>
          <w:szCs w:val="24"/>
          <w:color w:val="2121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SIRS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，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SIRS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导致</w:t>
      </w:r>
      <w:r>
        <w:rPr>
          <w:rFonts w:ascii="SimSun" w:hAnsi="SimSun" w:eastAsia="SimSun" w:cs="SimSun"/>
          <w:sz w:val="24"/>
          <w:szCs w:val="24"/>
          <w:color w:val="212121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CLS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，因此患者对液体的需求进一步提高，根据本研究，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DKA-AP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组与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组相比平均每日补液量有统计学差异（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＜0.001</w:t>
      </w:r>
      <w:r>
        <w:rPr>
          <w:rFonts w:ascii="SimSun" w:hAnsi="SimSun" w:eastAsia="SimSun" w:cs="SimSun"/>
          <w:sz w:val="24"/>
          <w:szCs w:val="24"/>
          <w:color w:val="212121"/>
          <w:spacing w:val="16"/>
        </w:rPr>
        <w:t>），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因此，临床医师应给予</w:t>
      </w:r>
      <w:r>
        <w:rPr>
          <w:rFonts w:ascii="SimSun" w:hAnsi="SimSun" w:eastAsia="SimSun" w:cs="SimSun"/>
          <w:sz w:val="24"/>
          <w:szCs w:val="24"/>
          <w:color w:val="2121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患者更加充分的液体复苏。针对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的治疗，余治疗主要是胰岛素降糖、纠正内环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境紊乱、去除诱发因素如感染等；针对</w:t>
      </w:r>
      <w:r>
        <w:rPr>
          <w:rFonts w:ascii="SimSun" w:hAnsi="SimSun" w:eastAsia="SimSun" w:cs="SimSun"/>
          <w:sz w:val="24"/>
          <w:szCs w:val="24"/>
          <w:color w:val="2121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的治疗，余治疗主要是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禁食、胃肠减压、抑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制胰酶分泌、镇静阵痛、营养支持等对症治疗。</w:t>
      </w:r>
      <w:r>
        <w:rPr>
          <w:rFonts w:ascii="SimSun" w:hAnsi="SimSun" w:eastAsia="SimSun" w:cs="SimSun"/>
          <w:sz w:val="24"/>
          <w:szCs w:val="24"/>
          <w:color w:val="212121"/>
          <w:spacing w:val="-8"/>
        </w:rPr>
        <w:t>本研究</w:t>
      </w:r>
      <w:r>
        <w:rPr>
          <w:rFonts w:ascii="SimSun" w:hAnsi="SimSun" w:eastAsia="SimSun" w:cs="SimSun"/>
          <w:sz w:val="24"/>
          <w:szCs w:val="24"/>
          <w:color w:val="2121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8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8"/>
        </w:rPr>
        <w:t>组</w:t>
      </w:r>
      <w:r>
        <w:rPr>
          <w:rFonts w:ascii="SimSun" w:hAnsi="SimSun" w:eastAsia="SimSun" w:cs="SimSun"/>
          <w:sz w:val="24"/>
          <w:szCs w:val="24"/>
          <w:spacing w:val="-8"/>
        </w:rPr>
        <w:t>所有患者均予以禁食，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15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例进行了胃肠减压，所有患者均给予了质子泵抑</w:t>
      </w:r>
      <w:r>
        <w:rPr>
          <w:rFonts w:ascii="SimSun" w:hAnsi="SimSun" w:eastAsia="SimSun" w:cs="SimSun"/>
          <w:sz w:val="24"/>
          <w:szCs w:val="24"/>
          <w:spacing w:val="-1"/>
        </w:rPr>
        <w:t>制剂。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另外，本研究显示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DKA-AP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组和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组在</w:t>
      </w:r>
      <w:r>
        <w:rPr>
          <w:rFonts w:ascii="SimSun" w:hAnsi="SimSun" w:eastAsia="SimSun" w:cs="SimSun"/>
          <w:sz w:val="24"/>
          <w:szCs w:val="24"/>
          <w:color w:val="212121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CRRT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治疗方面有差异（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12121"/>
          <w:spacing w:val="-1"/>
        </w:rPr>
        <w:t>P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=0.044</w:t>
      </w:r>
      <w:r>
        <w:rPr>
          <w:rFonts w:ascii="SimSun" w:hAnsi="SimSun" w:eastAsia="SimSun" w:cs="SimSun"/>
          <w:sz w:val="24"/>
          <w:szCs w:val="24"/>
          <w:color w:val="212121"/>
          <w:spacing w:val="5"/>
        </w:rPr>
        <w:t>），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推断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导致持续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器官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功能恶化的几率较单纯</w:t>
      </w:r>
      <w:r>
        <w:rPr>
          <w:rFonts w:ascii="SimSun" w:hAnsi="SimSun" w:eastAsia="SimSun" w:cs="SimSun"/>
          <w:sz w:val="24"/>
          <w:szCs w:val="24"/>
          <w:color w:val="2121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更大。</w:t>
      </w:r>
    </w:p>
    <w:p>
      <w:pPr>
        <w:ind w:left="1003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六．转归</w:t>
      </w:r>
    </w:p>
    <w:p>
      <w:pPr>
        <w:ind w:left="1482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本研究</w:t>
      </w:r>
      <w:r>
        <w:rPr>
          <w:rFonts w:ascii="SimSun" w:hAnsi="SimSun" w:eastAsia="SimSun" w:cs="SimSun"/>
          <w:sz w:val="24"/>
          <w:szCs w:val="24"/>
          <w:color w:val="212121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45</w:t>
      </w:r>
      <w:r>
        <w:rPr>
          <w:rFonts w:ascii="SimSun" w:hAnsi="SimSun" w:eastAsia="SimSun" w:cs="SimSun"/>
          <w:sz w:val="24"/>
          <w:szCs w:val="24"/>
          <w:color w:val="212121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例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，其中有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例在院期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间死亡，有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3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例自动出院，1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446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20</w:t>
      </w:r>
    </w:p>
    <w:p>
      <w:pPr>
        <w:spacing w:line="181" w:lineRule="auto"/>
        <w:sectPr>
          <w:headerReference w:type="default" r:id="rId24"/>
          <w:footerReference w:type="default" r:id="rId25"/>
          <w:pgSz w:w="11906" w:h="16839"/>
          <w:pgMar w:top="1182" w:right="121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12" w:right="92" w:hanging="11"/>
        <w:spacing w:before="160" w:line="36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例转上级医院进一步治疗，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在院死亡率为</w:t>
      </w:r>
      <w:r>
        <w:rPr>
          <w:rFonts w:ascii="SimSun" w:hAnsi="SimSun" w:eastAsia="SimSun" w:cs="SimSun"/>
          <w:sz w:val="24"/>
          <w:szCs w:val="24"/>
          <w:color w:val="212121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2.22%，低于之前研究</w:t>
      </w:r>
      <w:r>
        <w:rPr>
          <w:rFonts w:ascii="SimSun" w:hAnsi="SimSun" w:eastAsia="SimSun" w:cs="SimSun"/>
          <w:sz w:val="12"/>
          <w:szCs w:val="12"/>
          <w:color w:val="212121"/>
          <w:spacing w:val="-1"/>
          <w:position w:val="11"/>
        </w:rPr>
        <w:t>[35]</w:t>
      </w:r>
      <w:r>
        <w:rPr>
          <w:rFonts w:ascii="SimSun" w:hAnsi="SimSun" w:eastAsia="SimSun" w:cs="SimSun"/>
          <w:sz w:val="12"/>
          <w:szCs w:val="12"/>
          <w:color w:val="212121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，考虑未把自动出院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患者的存活情况纳入计算和样本量较小相关，需进一步扩大样本量来完善研究。</w:t>
      </w:r>
    </w:p>
    <w:p>
      <w:pPr>
        <w:ind w:left="1000"/>
        <w:spacing w:before="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七．预防复发</w:t>
      </w:r>
    </w:p>
    <w:p>
      <w:pPr>
        <w:ind w:left="1000" w:firstLine="475"/>
        <w:spacing w:before="178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及</w:t>
      </w:r>
      <w:r>
        <w:rPr>
          <w:rFonts w:ascii="SimSun" w:hAnsi="SimSun" w:eastAsia="SimSun" w:cs="SimSun"/>
          <w:sz w:val="24"/>
          <w:szCs w:val="24"/>
          <w:color w:val="2121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是临床上常见的急危重症，感染、应激、饮食不当、治疗中断等因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素可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诱发，治愈后可能会再发。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当随机血糖超过</w:t>
      </w:r>
      <w:r>
        <w:rPr>
          <w:rFonts w:ascii="SimSun" w:hAnsi="SimSun" w:eastAsia="SimSun" w:cs="SimSun"/>
          <w:sz w:val="24"/>
          <w:szCs w:val="24"/>
          <w:color w:val="0C0C0C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19.05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时，血酮≥3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时，提示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患者存在较大的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发生风险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[15]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。根据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以往的实践经验来看，良好的血糖、血脂控制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能够在较大程度上降低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及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的复发率，尤其是将血糖控制在 11.1</w:t>
      </w:r>
      <w:r>
        <w:rPr>
          <w:rFonts w:ascii="SimSun" w:hAnsi="SimSun" w:eastAsia="SimSun" w:cs="SimSun"/>
          <w:sz w:val="24"/>
          <w:szCs w:val="24"/>
          <w:color w:val="0C0C0C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以下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时，有助于改善机体的血清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TG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水平 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[37]  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，另外，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HTGP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患者严格控制血糖，</w:t>
      </w:r>
      <w:r>
        <w:rPr>
          <w:rFonts w:ascii="SimSun" w:hAnsi="SimSun" w:eastAsia="SimSun" w:cs="SimSun"/>
          <w:sz w:val="24"/>
          <w:szCs w:val="24"/>
          <w:color w:val="0C0C0C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目标血糖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在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6.1～8.3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时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能够明显降低疾病复发率 </w:t>
      </w:r>
      <w:r>
        <w:rPr>
          <w:rFonts w:ascii="SimSun" w:hAnsi="SimSun" w:eastAsia="SimSun" w:cs="SimSun"/>
          <w:sz w:val="12"/>
          <w:szCs w:val="12"/>
          <w:color w:val="212121"/>
          <w:spacing w:val="-3"/>
          <w:position w:val="11"/>
        </w:rPr>
        <w:t>[38]</w:t>
      </w:r>
      <w:r>
        <w:rPr>
          <w:rFonts w:ascii="SimSun" w:hAnsi="SimSun" w:eastAsia="SimSun" w:cs="SimSun"/>
          <w:sz w:val="12"/>
          <w:szCs w:val="12"/>
          <w:color w:val="212121"/>
          <w:spacing w:val="32"/>
          <w:w w:val="10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3"/>
        </w:rPr>
        <w:t>。因此，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在日常，患者应健康饮食、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控制体重、控制血糖、预防感染等。</w:t>
      </w:r>
    </w:p>
    <w:p>
      <w:pPr>
        <w:ind w:left="1005"/>
        <w:spacing w:before="1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八．展望与不足</w:t>
      </w:r>
    </w:p>
    <w:p>
      <w:pPr>
        <w:ind w:left="999" w:firstLine="495"/>
        <w:spacing w:before="179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随着社会经济的发展，以及受西方饮食文化的影响，我国糖尿病患人数逐年增加，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这也加大了医疗负担。本文采用组间对照的方式，对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患者以及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进行了研究。同时采用单因素、多因素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回归分析方法，分析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的独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立预测因素。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当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患者就诊时，其存在腹痛且经过规范治疗后腹痛症状持</w:t>
      </w:r>
      <w:r>
        <w:rPr>
          <w:rFonts w:ascii="SimSun" w:hAnsi="SimSun" w:eastAsia="SimSun" w:cs="SimSun"/>
          <w:sz w:val="24"/>
          <w:szCs w:val="24"/>
          <w:color w:val="212121"/>
          <w:spacing w:val="-5"/>
        </w:rPr>
        <w:t>续不缓解、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高胆固醇及高甘油三酯血症时，需警惕</w:t>
      </w:r>
      <w:r>
        <w:rPr>
          <w:rFonts w:ascii="SimSun" w:hAnsi="SimSun" w:eastAsia="SimSun" w:cs="SimSun"/>
          <w:sz w:val="24"/>
          <w:szCs w:val="24"/>
          <w:color w:val="2121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的发生</w:t>
      </w:r>
      <w:r>
        <w:rPr>
          <w:rFonts w:ascii="SimSun" w:hAnsi="SimSun" w:eastAsia="SimSun" w:cs="SimSun"/>
          <w:sz w:val="24"/>
          <w:szCs w:val="24"/>
          <w:color w:val="212121"/>
          <w:spacing w:val="-5"/>
        </w:rPr>
        <w:t>，上述指标均为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5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5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5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5"/>
        </w:rPr>
        <w:t>的独立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危险因素，在诊断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中具有一定的预测价值。但当患者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存在高脂血症时，</w:t>
      </w:r>
    </w:p>
    <w:p>
      <w:pPr>
        <w:ind w:left="993" w:right="80" w:firstLine="8"/>
        <w:spacing w:before="2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其血清淀粉酶可不升高，其干扰机制尚不清楚，需要在未来的研究中进一步明确。</w:t>
      </w:r>
      <w:r>
        <w:rPr>
          <w:rFonts w:ascii="SimSun" w:hAnsi="SimSun" w:eastAsia="SimSun" w:cs="SimSun"/>
          <w:sz w:val="24"/>
          <w:szCs w:val="24"/>
          <w:spacing w:val="-2"/>
        </w:rPr>
        <w:t>针对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的辅助检查即使有一两个阴性结果，尤其是只进行了初步检查如血淀粉酶、胰腺彩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超，也不应除外诊断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，可行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CT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MRI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检查，以尽可能的提高诊断准确率，使患者得到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有效救治。</w:t>
      </w:r>
    </w:p>
    <w:p>
      <w:pPr>
        <w:ind w:left="1001" w:right="80" w:firstLine="480"/>
        <w:spacing w:before="6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本研究存在一定的局限性：本研究采用的是单中心回顾性分析，被纳入研究的受试</w:t>
      </w:r>
      <w:r>
        <w:rPr>
          <w:rFonts w:ascii="SimSun" w:hAnsi="SimSun" w:eastAsia="SimSun" w:cs="SimSun"/>
          <w:sz w:val="24"/>
          <w:szCs w:val="24"/>
          <w:color w:val="0C0C0C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者可能具有选择性偏倚；另外，该研究病例数较少，其全面性（敏感度、特异度等）无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法得到全面评估，需要更大的样本量验证，才能提高最终研究结果的可靠性；最后，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该</w:t>
      </w:r>
      <w:r>
        <w:rPr>
          <w:rFonts w:ascii="SimSun" w:hAnsi="SimSun" w:eastAsia="SimSun" w:cs="SimSun"/>
          <w:sz w:val="24"/>
          <w:szCs w:val="24"/>
          <w:color w:val="212121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研究有些临床资料尚不完整（如阴离子间隙、血清脂肪酶等</w:t>
      </w:r>
      <w:r>
        <w:rPr>
          <w:rFonts w:ascii="SimSun" w:hAnsi="SimSun" w:eastAsia="SimSun" w:cs="SimSun"/>
          <w:sz w:val="24"/>
          <w:szCs w:val="24"/>
          <w:color w:val="212121"/>
          <w:spacing w:val="-7"/>
        </w:rPr>
        <w:t>），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可能对结果造成潜在影</w:t>
      </w:r>
      <w:r>
        <w:rPr>
          <w:rFonts w:ascii="SimSun" w:hAnsi="SimSun" w:eastAsia="SimSun" w:cs="SimSun"/>
          <w:sz w:val="24"/>
          <w:szCs w:val="24"/>
          <w:color w:val="212121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响，所有这些都是重要的限制，需要进一步完善。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446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21</w:t>
      </w:r>
    </w:p>
    <w:p>
      <w:pPr>
        <w:spacing w:line="181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5217"/>
        <w:spacing w:before="218" w:line="23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color w:val="212121"/>
          <w:spacing w:val="1"/>
        </w:rPr>
        <w:t>结论</w:t>
      </w:r>
    </w:p>
    <w:p>
      <w:pPr>
        <w:ind w:left="1004" w:right="13" w:firstLine="14"/>
        <w:spacing w:before="196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color w:val="212121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本研究认为腹痛、腹痛持续时间、胆固醇、甘油三酯是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的独立危险因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素，监测上述指标以期及早识别</w:t>
      </w:r>
      <w:r>
        <w:rPr>
          <w:rFonts w:ascii="SimSun" w:hAnsi="SimSun" w:eastAsia="SimSun" w:cs="SimSun"/>
          <w:sz w:val="24"/>
          <w:szCs w:val="24"/>
          <w:color w:val="2121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并及时诊治。</w:t>
      </w:r>
    </w:p>
    <w:p>
      <w:pPr>
        <w:ind w:left="1004" w:right="13"/>
        <w:spacing w:before="181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color w:val="212121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腹痛、腹痛持续时间、胆固醇、甘油三酯联合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预测</w:t>
      </w:r>
      <w:r>
        <w:rPr>
          <w:rFonts w:ascii="SimSun" w:hAnsi="SimSun" w:eastAsia="SimSun" w:cs="SimSun"/>
          <w:sz w:val="24"/>
          <w:szCs w:val="24"/>
          <w:color w:val="2121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2"/>
        </w:rPr>
        <w:t>的准确性优于单因</w:t>
      </w:r>
      <w:r>
        <w:rPr>
          <w:rFonts w:ascii="SimSun" w:hAnsi="SimSun" w:eastAsia="SimSun" w:cs="SimSun"/>
          <w:sz w:val="24"/>
          <w:szCs w:val="24"/>
          <w:color w:val="2121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12121"/>
          <w:spacing w:val="-4"/>
        </w:rPr>
        <w:t>素预测。</w:t>
      </w:r>
    </w:p>
    <w:p>
      <w:pPr>
        <w:ind w:left="1006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color w:val="2121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血容量不足更明显，持续器官功能恶化的几率较单纯</w:t>
      </w:r>
      <w:r>
        <w:rPr>
          <w:rFonts w:ascii="SimSun" w:hAnsi="SimSun" w:eastAsia="SimSun" w:cs="SimSun"/>
          <w:sz w:val="24"/>
          <w:szCs w:val="24"/>
          <w:color w:val="2121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更大。</w:t>
      </w:r>
    </w:p>
    <w:p>
      <w:pPr>
        <w:ind w:left="1000"/>
        <w:spacing w:before="18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color w:val="2121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21212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212121"/>
          <w:spacing w:val="-1"/>
        </w:rPr>
        <w:t>住院时间更长、花费更高。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446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22</w:t>
      </w:r>
    </w:p>
    <w:p>
      <w:pPr>
        <w:spacing w:line="181" w:lineRule="auto"/>
        <w:sectPr>
          <w:headerReference w:type="default" r:id="rId17"/>
          <w:footerReference w:type="default" r:id="rId18"/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4916"/>
        <w:spacing w:before="217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</w:rPr>
        <w:t>参考文献</w:t>
      </w:r>
    </w:p>
    <w:p>
      <w:pPr>
        <w:ind w:left="991" w:right="1181" w:firstLine="20"/>
        <w:spacing w:before="24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[1]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Johnson DD,Palumbo PJ,Chu CP. Diabetic ketoacido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sis in a community-based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population[J].Mayo Clinic Proceedings.1980,55(2)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rFonts w:ascii="Times New Roman" w:hAnsi="Times New Roman" w:eastAsia="Times New Roman" w:cs="Times New Roman"/>
          <w:sz w:val="24"/>
          <w:szCs w:val="24"/>
        </w:rPr>
        <w:t>83-88.</w:t>
      </w:r>
    </w:p>
    <w:p>
      <w:pPr>
        <w:ind w:left="1011"/>
        <w:spacing w:before="22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[2]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Faich,Gerald A,Fishbein ,Howard A,Ellis,Susan E.The epidemiology 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iabetic</w:t>
      </w:r>
    </w:p>
    <w:p>
      <w:pPr>
        <w:ind w:left="1002" w:right="582" w:hanging="2"/>
        <w:spacing w:before="213" w:line="29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acidosis:A population-based study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[J].American Journal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Epidemi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ology.1983,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117(5)</w:t>
      </w:r>
      <w:r>
        <w:rPr>
          <w:rFonts w:ascii="SimSun" w:hAnsi="SimSun" w:eastAsia="SimSun" w:cs="SimSun"/>
          <w:sz w:val="24"/>
          <w:szCs w:val="24"/>
          <w:spacing w:val="-2"/>
        </w:rPr>
        <w:t>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551-558.</w:t>
      </w:r>
    </w:p>
    <w:p>
      <w:pPr>
        <w:ind w:left="1001" w:right="1" w:firstLine="9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[3]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Blank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SP, Blank RM, Ziegenfu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ss MD; Australian and New Zealand Intensive Care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Society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(ANZICS) Centre for Outcomes &amp; Reso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urce Evaluation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(CORE)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 ANZICS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aCORE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Committee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hyperosmolarity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diabetic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ketoacidosis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Diabet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</w:p>
    <w:p>
      <w:pPr>
        <w:ind w:left="997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2020 ,37(12):2001-2008.</w:t>
      </w:r>
    </w:p>
    <w:p>
      <w:pPr>
        <w:ind w:left="993" w:right="509" w:firstLine="17"/>
        <w:spacing w:before="249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[4]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Yu H, Huang Y, Chen L. Assessment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Computed Tomography-Defi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ned Muscle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Adipose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Tissue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Length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Hospital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Recurrence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</w:p>
    <w:p>
      <w:pPr>
        <w:ind w:left="996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Hypertriglyceridemic Pancreatitis. Int J Gen Med. 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021,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14:1709-1717.</w:t>
      </w:r>
    </w:p>
    <w:p>
      <w:pPr>
        <w:ind w:left="998" w:right="121" w:firstLine="12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[5]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Shen HN, Lu CL. Incidence, resource use, and outcome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pancreatitis with/without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intensive care: a nationwide populationb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ased study in Taiwan. Pancreas.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2011,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40(1):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10-15.</w:t>
      </w:r>
    </w:p>
    <w:p>
      <w:pPr>
        <w:ind w:left="1001" w:right="294" w:firstLine="10"/>
        <w:spacing w:before="249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[6]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Girman CJ, Kou TD, Cai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B, et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al. Patients with type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diabetes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mellitus have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 risk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acute pancreatitis compared with those without diabetes. Diabetes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Obes Metab.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2010,</w:t>
      </w:r>
    </w:p>
    <w:p>
      <w:pPr>
        <w:ind w:left="102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12(1):766-771.</w:t>
      </w:r>
    </w:p>
    <w:p>
      <w:pPr>
        <w:ind w:left="993" w:right="354" w:firstLine="18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[7]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Lai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SW, Muo CH, 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iao KF, et al. Risk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acute pancreatitis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diabetes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risk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reduction on anti-diabetic drugs: a population-based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ohort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study 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Taiwan. Am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Gastroenterol. 2011,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106(1):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1697-1704.</w:t>
      </w:r>
    </w:p>
    <w:p>
      <w:pPr>
        <w:ind w:left="1011"/>
        <w:spacing w:before="248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[8]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Chen Z, Huang X, Han N. Total cholesterol concentration predic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ts the effect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</w:p>
    <w:p>
      <w:pPr>
        <w:ind w:left="995" w:right="99" w:hanging="4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plasmapheresis on hypertriglyceridemic acute pancreatitis: a retrospective case-control 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udy.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BMC Gastroenterol. 2021,21(1):3.</w:t>
      </w:r>
    </w:p>
    <w:p>
      <w:pPr>
        <w:ind w:left="101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[9]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Lowenfels AB, Maisonneuve P, Sullivan T.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 changing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acute</w:t>
      </w:r>
    </w:p>
    <w:p>
      <w:pPr>
        <w:ind w:left="1001" w:right="536" w:hanging="10"/>
        <w:spacing w:before="249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pancreatitis:epidemiology, etiology, and prognosis. Curr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Gastroenterol Rep. 2009,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11(4):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97-103.</w:t>
      </w:r>
    </w:p>
    <w:p>
      <w:pPr>
        <w:ind w:left="997" w:right="113" w:firstLine="14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[10]Noel RA, Braun DK, Patterson RE,et al. Increased risk of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acute pancreatitis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biliary    </w:t>
      </w:r>
      <w:r>
        <w:rPr>
          <w:rFonts w:ascii="Times New Roman" w:hAnsi="Times New Roman" w:eastAsia="Times New Roman" w:cs="Times New Roman"/>
          <w:sz w:val="24"/>
          <w:szCs w:val="24"/>
        </w:rPr>
        <w:t>disease observed in patients with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type 2 diabetes: a retrospective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cohort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study. Diabetes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2009,32(1):834-838.</w:t>
      </w:r>
    </w:p>
    <w:p>
      <w:pPr>
        <w:pStyle w:val="BodyText"/>
        <w:spacing w:line="423" w:lineRule="auto"/>
        <w:rPr/>
      </w:pPr>
      <w:r/>
    </w:p>
    <w:p>
      <w:pPr>
        <w:ind w:left="5446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23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0" w:right="370" w:firstLine="11"/>
        <w:spacing w:before="215" w:line="299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36" w:id="16"/>
      <w:bookmarkEnd w:id="16"/>
      <w:r>
        <w:rPr>
          <w:rFonts w:ascii="Times New Roman" w:hAnsi="Times New Roman" w:eastAsia="Times New Roman" w:cs="Times New Roman"/>
          <w:sz w:val="24"/>
          <w:szCs w:val="24"/>
        </w:rPr>
        <w:t>[11]Umpierrez G, Freire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AX. Abdominal pain in patients with hyperglyc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emic crises. J Crit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Care. 2002,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17(1):63-7.</w:t>
      </w:r>
    </w:p>
    <w:p>
      <w:pPr>
        <w:ind w:left="999" w:right="147" w:firstLine="11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[12]Yadav D, Nair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S, Norkus EP, et al. Nonspecific hyperamylasemia and hy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perlipasemia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diabetic ketoacidosis: incidence and correlation with biochemical abnormalities.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 J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Gastroenterol. 2000;95: 3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123–3128.</w:t>
      </w:r>
    </w:p>
    <w:p>
      <w:pPr>
        <w:ind w:left="991" w:right="967" w:firstLine="20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[13]Nair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S, Yadav D, Pitchumoni CS.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Association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diabetic ketoacidosis and acute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pancreatitis: observations in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100 consecutive episodes 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DKA. Am J Gastroenterol.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2000 ,95(10):2795-800.</w:t>
      </w:r>
    </w:p>
    <w:p>
      <w:pPr>
        <w:ind w:left="991" w:right="127" w:firstLine="20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[14]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Gupta R, Wig JD, Bhasin DK,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Singh P, Suri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S, Kang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M, Rana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SS,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Rana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S.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Sev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pancreatitis: the life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after. J Gastrointest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Surg. 2009,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13(7):1328-36.</w:t>
      </w:r>
    </w:p>
    <w:p>
      <w:pPr>
        <w:ind w:left="1008" w:right="1213" w:firstLine="30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[15]   中国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型糖尿病防治指南（2020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年版</w:t>
      </w:r>
      <w:r>
        <w:rPr>
          <w:rFonts w:ascii="SimSun" w:hAnsi="SimSun" w:eastAsia="SimSun" w:cs="SimSun"/>
          <w:sz w:val="24"/>
          <w:szCs w:val="24"/>
          <w:spacing w:val="-18"/>
        </w:rPr>
        <w:t>）（</w:t>
      </w:r>
      <w:r>
        <w:rPr>
          <w:rFonts w:ascii="SimSun" w:hAnsi="SimSun" w:eastAsia="SimSun" w:cs="SimSun"/>
          <w:sz w:val="24"/>
          <w:szCs w:val="24"/>
          <w:spacing w:val="-2"/>
        </w:rPr>
        <w:t>上）[J].中国实用内科杂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志,2021,41(08):668-69</w:t>
      </w:r>
      <w:r>
        <w:rPr>
          <w:rFonts w:ascii="SimSun" w:hAnsi="SimSun" w:eastAsia="SimSun" w:cs="SimSun"/>
          <w:sz w:val="24"/>
          <w:szCs w:val="24"/>
          <w:spacing w:val="-1"/>
        </w:rPr>
        <w:t>5.</w:t>
      </w:r>
    </w:p>
    <w:p>
      <w:pPr>
        <w:ind w:left="991" w:right="34" w:firstLine="19"/>
        <w:spacing w:before="222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[16]Banks PA, Bollen TL, 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rvenis C,et al;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Acute Pancreatitis Classification Working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Classification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pancreatitis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--2012: </w:t>
      </w:r>
      <w:r>
        <w:rPr>
          <w:rFonts w:ascii="Times New Roman" w:hAnsi="Times New Roman" w:eastAsia="Times New Roman" w:cs="Times New Roman"/>
          <w:sz w:val="24"/>
          <w:szCs w:val="24"/>
        </w:rPr>
        <w:t>revision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Atlanta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classification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definitions </w:t>
      </w:r>
      <w:r>
        <w:rPr>
          <w:rFonts w:ascii="Times New Roman" w:hAnsi="Times New Roman" w:eastAsia="Times New Roman" w:cs="Times New Roman"/>
          <w:sz w:val="24"/>
          <w:szCs w:val="24"/>
        </w:rPr>
        <w:t>by international consensus. Gut. 2013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,62(1):1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02-11.</w:t>
      </w:r>
    </w:p>
    <w:p>
      <w:pPr>
        <w:ind w:left="993" w:right="430" w:firstLine="17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[17]Biczo G, Vegh ET, Shalbueva N, et al. Mitochondrial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Dysfunction,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Impaired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Autophagy, Leads to Endoplasmic Reticulum Stress, Deregulated 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ipid Metabolism,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Pancreatitis in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Animal Models. Gastro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enterology. 2018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154(3):689-703.</w:t>
      </w:r>
    </w:p>
    <w:p>
      <w:pPr>
        <w:ind w:left="998" w:right="15" w:firstLine="13"/>
        <w:spacing w:before="249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[18]Li X, Guo X, Ji H, et al. Relationships between Metabol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Comorbidities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Occurrence,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Severity, and Outcomes in Patients 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Acute Panc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reatitis: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Narrative Review. Biomed 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Int. 2019 Oct 7;2019:2645926.</w:t>
      </w:r>
    </w:p>
    <w:p>
      <w:pPr>
        <w:ind w:left="1003" w:right="73" w:firstLine="35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[19]   杜荣云.腹部手术后功能性胃排空障碍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30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例临床分析[J].中华实用诊断与治疗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杂志,2012,26(04):391-392.</w:t>
      </w:r>
    </w:p>
    <w:p>
      <w:pPr>
        <w:ind w:left="1000" w:right="118" w:firstLine="11"/>
        <w:spacing w:before="222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[20]Umpierrez G, Freire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AX. Abdominal pain in patients with hyperglyce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mic crises[J ].J Crit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Care. 2002,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17(1):63-7.</w:t>
      </w:r>
    </w:p>
    <w:p>
      <w:pPr>
        <w:ind w:left="1011" w:right="737"/>
        <w:spacing w:before="249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[21]Sara JD, Toya T, Taher R,et al.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Asymptomatic Left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Ventricle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Systolic Dysfunction.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[J ].Eur Cardiol. 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020 Apr 4;15:e13.</w:t>
      </w:r>
    </w:p>
    <w:p>
      <w:pPr>
        <w:ind w:left="996" w:right="99" w:firstLine="15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[22]Miller WL. Fluid Volume Ov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erload and Congestion in Heart Failure: Time to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Reconsider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Pathophysiology and 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 Volume Is Assessed.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 ].Circ Heart Fail. 2016,9(8):e002922.</w:t>
      </w:r>
    </w:p>
    <w:p>
      <w:pPr>
        <w:ind w:left="101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[23]Bouchaala K, Bahloul M, Bradii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S, et al. Acute Pa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ncreatitis Induced by Diabetic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446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24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6" w:right="363"/>
        <w:spacing w:before="215" w:line="3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Ketoacidosis with Major Hypertriglyceridemia: Report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Four Cases. Case Rep Crit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Care. </w:t>
      </w:r>
      <w:r>
        <w:rPr>
          <w:rFonts w:ascii="Times New Roman" w:hAnsi="Times New Roman" w:eastAsia="Times New Roman" w:cs="Times New Roman"/>
          <w:sz w:val="24"/>
          <w:szCs w:val="24"/>
        </w:rPr>
        <w:t>2020;2020:7653730.</w:t>
      </w:r>
    </w:p>
    <w:p>
      <w:pPr>
        <w:ind w:left="993" w:right="842" w:firstLine="18"/>
        <w:spacing w:before="43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[24]Mennecier D, Ceppa F, Le Berre JP, et al.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[Acute pancreatitis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condary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severe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hypertriglyceridemia major during a diabetic ketoacidosis]. Gastroenterol Clin Bi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ol.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2009,33(10-11):1052-4.</w:t>
      </w:r>
    </w:p>
    <w:p>
      <w:pPr>
        <w:ind w:left="996" w:right="48" w:firstLine="15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[25]Narala B, Al-Tkrit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A, David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S, et al. A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Fatal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ase 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Hypertriglyceridemia-Induced Acute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Pancreatitis in a Patient With Diabetic Ketoaci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dosis. Cureus. 2021,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13(5):e14968.</w:t>
      </w:r>
    </w:p>
    <w:p>
      <w:pPr>
        <w:ind w:left="101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[26]Kumar P, Sakwar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iya A,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Sultania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AR,et al. Hypertriglyceridemia-induced acute</w:t>
      </w:r>
    </w:p>
    <w:p>
      <w:pPr>
        <w:ind w:left="995" w:right="236" w:hanging="4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pancreatitis with diabetic ketoacidosis: A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rare presentation 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diabetes mellitus. J Lab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Physicians. 2017,9(4):329-331.</w:t>
      </w:r>
    </w:p>
    <w:p>
      <w:pPr>
        <w:ind w:left="995" w:right="332" w:firstLine="16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[27]Ma LP, Liu X, Cui BC, et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al. Diabetic Ketoacidosis With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Pancreatitis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Type 2 Diabetes in the Emergency Department: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Retrospective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Study. 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ront Med</w:t>
      </w:r>
    </w:p>
    <w:p>
      <w:pPr>
        <w:ind w:left="100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(Lausanne). 2022 ,9:813083.</w:t>
      </w:r>
    </w:p>
    <w:p>
      <w:pPr>
        <w:ind w:left="1011"/>
        <w:spacing w:before="248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[28]Johnson CD, Besselink MG, Carter R. Acute pancreatitis[J]. BMJ. 2014,349:g4859.</w:t>
      </w:r>
    </w:p>
    <w:p>
      <w:pPr>
        <w:ind w:left="1000" w:right="193" w:firstLine="11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[29]Lehrner LM, Ward JC, Karn RC, Ehrlich CE, Merritt D. An evaluation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usefulness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amylase isozyme differentiation in patients with hyperamylasemia[J].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 J Clin Pathol.    </w:t>
      </w:r>
      <w:r>
        <w:rPr>
          <w:rFonts w:ascii="Times New Roman" w:hAnsi="Times New Roman" w:eastAsia="Times New Roman" w:cs="Times New Roman"/>
          <w:sz w:val="24"/>
          <w:szCs w:val="24"/>
        </w:rPr>
        <w:t>1976,66(3):576-87.</w:t>
      </w:r>
    </w:p>
    <w:p>
      <w:pPr>
        <w:ind w:left="993" w:right="217" w:firstLine="18"/>
        <w:spacing w:before="246" w:line="3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[30]Nakajima M,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Shirokawa M, Nakano T, Goto H. Fulminant type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diabetes mellitus 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remarkable elevation of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serum pancreatic enzymes[J]. Am J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Emerg Med.</w:t>
      </w:r>
    </w:p>
    <w:p>
      <w:pPr>
        <w:ind w:left="997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2018,36(7):1326.e3-1326.e5.</w:t>
      </w:r>
    </w:p>
    <w:p>
      <w:pPr>
        <w:ind w:left="999" w:right="73" w:firstLine="39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[31]   陆泽元,邵豪,杨冀衡,等.六例糖尿病酮症酸中毒合并高脂血症和急</w:t>
      </w:r>
      <w:r>
        <w:rPr>
          <w:rFonts w:ascii="SimSun" w:hAnsi="SimSun" w:eastAsia="SimSun" w:cs="SimSun"/>
          <w:sz w:val="24"/>
          <w:szCs w:val="24"/>
          <w:spacing w:val="-2"/>
        </w:rPr>
        <w:t>性胰腺炎临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床分析[J].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中华内分泌代谢杂志, 2007, 023(001):81-84.</w:t>
      </w:r>
    </w:p>
    <w:p>
      <w:pPr>
        <w:ind w:left="994" w:right="145" w:firstLine="44"/>
        <w:spacing w:before="195" w:line="2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[32]</w:t>
      </w:r>
      <w:r>
        <w:rPr>
          <w:rFonts w:ascii="SimSun" w:hAnsi="SimSun" w:eastAsia="SimSun" w:cs="SimSun"/>
          <w:sz w:val="24"/>
          <w:szCs w:val="24"/>
          <w:spacing w:val="2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Dong 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 Liu L , Zhou Y , et al.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Sudden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death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15-year-old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fulminant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 diabetes mellitus—Diabetic ketoacidosis induced cerebral ed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ema?[J]. Journal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</w:p>
    <w:p>
      <w:pPr>
        <w:ind w:left="995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Forensic &amp; Legal Medicine, 2014, 26:5-9.</w:t>
      </w:r>
    </w:p>
    <w:p>
      <w:pPr>
        <w:ind w:left="1004" w:right="1" w:firstLine="34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[33]   张弛, 周智广, 张冬梅,等. 急骤起病伴胰酶增高的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型糖尿病临床和免疫</w:t>
      </w:r>
      <w:r>
        <w:rPr>
          <w:rFonts w:ascii="SimSun" w:hAnsi="SimSun" w:eastAsia="SimSun" w:cs="SimSun"/>
          <w:sz w:val="24"/>
          <w:szCs w:val="24"/>
          <w:spacing w:val="-3"/>
        </w:rPr>
        <w:t>学特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征[J].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中华医学杂志, 2005, 85(14):967-971.</w:t>
      </w:r>
    </w:p>
    <w:p>
      <w:pPr>
        <w:ind w:left="1000" w:right="193" w:firstLine="38"/>
        <w:spacing w:before="18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[34]   陈政, 陈娟.糖尿病酮症酸中毒血淀粉酶升高的相关危险因素分析[J]</w:t>
      </w:r>
      <w:r>
        <w:rPr>
          <w:rFonts w:ascii="SimSun" w:hAnsi="SimSun" w:eastAsia="SimSun" w:cs="SimSun"/>
          <w:sz w:val="24"/>
          <w:szCs w:val="24"/>
          <w:spacing w:val="-2"/>
        </w:rPr>
        <w:t>.中国糖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尿病杂志, 2017,25(9):812-816.</w:t>
      </w:r>
    </w:p>
    <w:p>
      <w:pPr>
        <w:ind w:left="1011"/>
        <w:spacing w:before="167" w:line="21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[35]Nair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, Yadav D , Pitchumoni C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sz w:val="24"/>
          <w:szCs w:val="24"/>
          <w:position w:val="-2"/>
        </w:rPr>
        <w:drawing>
          <wp:inline distT="0" distB="0" distL="0" distR="0">
            <wp:extent cx="30226" cy="17462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Association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diabetic ketoacidosis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acute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446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25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1"/>
        <w:spacing w:before="160" w:line="2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pancreatitis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 </w:t>
      </w:r>
      <w:r>
        <w:rPr>
          <w:rFonts w:ascii="Times New Roman" w:hAnsi="Times New Roman" w:eastAsia="Times New Roman" w:cs="Times New Roman"/>
          <w:sz w:val="24"/>
          <w:szCs w:val="24"/>
        </w:rPr>
        <w:t>observations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100 </w:t>
      </w:r>
      <w:r>
        <w:rPr>
          <w:rFonts w:ascii="Times New Roman" w:hAnsi="Times New Roman" w:eastAsia="Times New Roman" w:cs="Times New Roman"/>
          <w:sz w:val="24"/>
          <w:szCs w:val="24"/>
        </w:rPr>
        <w:t>consecutive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episodes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.[J].</w:t>
      </w:r>
      <w:r>
        <w:rPr>
          <w:sz w:val="24"/>
          <w:szCs w:val="24"/>
          <w:position w:val="-2"/>
        </w:rPr>
        <w:drawing>
          <wp:inline distT="0" distB="0" distL="0" distR="0">
            <wp:extent cx="29485" cy="17462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8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</w:p>
    <w:p>
      <w:pPr>
        <w:ind w:left="1000"/>
        <w:spacing w:before="246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Gastroenterology, 2000, 95(10):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2795-2800.</w:t>
      </w:r>
    </w:p>
    <w:p>
      <w:pPr>
        <w:ind w:left="991" w:right="115" w:firstLine="20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[36]Coffey MJ, Nightingale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 Ooi CY. Diagnosing acute pancreatitis in children: what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diagnostic yield and concordance for serum pancreatic enzymes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imagin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 within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96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presentation?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[J].Pancreatology. 2014,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14(4):251-6.</w:t>
      </w:r>
    </w:p>
    <w:p>
      <w:pPr>
        <w:ind w:left="993" w:right="24" w:firstLine="17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[37]Thuzar M,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Shenoy VV, Malabu UH,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Schrale R, Sangla KS. Extreme hypertriglyceridemia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managed with insulin. J Clin Lipidol. 2014,8(6):630-634.</w:t>
      </w:r>
    </w:p>
    <w:p>
      <w:pPr>
        <w:ind w:left="1038" w:right="73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[38]   宏欣,王立明,张正良,白郑海.高甘油三酯血症性急性胰腺炎诊治急</w:t>
      </w:r>
      <w:r>
        <w:rPr>
          <w:rFonts w:ascii="SimSun" w:hAnsi="SimSun" w:eastAsia="SimSun" w:cs="SimSun"/>
          <w:sz w:val="24"/>
          <w:szCs w:val="24"/>
          <w:spacing w:val="-2"/>
        </w:rPr>
        <w:t>诊专家共识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[J].中国全科医学,2021,24(30):3781-3793.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446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26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5218"/>
        <w:spacing w:before="217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综述</w:t>
      </w:r>
    </w:p>
    <w:p>
      <w:pPr>
        <w:ind w:left="2499"/>
        <w:spacing w:before="243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糖尿病酮症酸中毒合并急性胰腺的临床特征</w:t>
      </w:r>
    </w:p>
    <w:p>
      <w:pPr>
        <w:ind w:left="999" w:firstLine="481"/>
        <w:spacing w:before="180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根据国际相关权威机构统计，2015</w:t>
      </w:r>
      <w:r>
        <w:rPr>
          <w:rFonts w:ascii="SimSun" w:hAnsi="SimSun" w:eastAsia="SimSun" w:cs="SimSun"/>
          <w:sz w:val="24"/>
          <w:szCs w:val="24"/>
          <w:color w:val="0C0C0C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年时全球糖尿病患者人数超过四亿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[1]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。而国内的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相关统计资料显示，2015</w:t>
      </w:r>
      <w:r>
        <w:rPr>
          <w:rFonts w:ascii="SimSun" w:hAnsi="SimSun" w:eastAsia="SimSun" w:cs="SimSun"/>
          <w:sz w:val="24"/>
          <w:szCs w:val="24"/>
          <w:color w:val="0C0C0C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年至</w:t>
      </w:r>
      <w:r>
        <w:rPr>
          <w:rFonts w:ascii="SimSun" w:hAnsi="SimSun" w:eastAsia="SimSun" w:cs="SimSun"/>
          <w:sz w:val="24"/>
          <w:szCs w:val="24"/>
          <w:color w:val="0C0C0C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2017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年这一时间段内，我国成人患病率将近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11%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2"/>
        </w:rPr>
        <w:t>[2]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，本病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的发病率大致呈现出逐年上升趋势。其中不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乏检查不充分等因素被漏诊者。在临床实践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中，糖尿病酮症酸中毒（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DKA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）是一种发病率较高、治疗难度较大的糖尿病急性并发症，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其形成机制复杂，主要是以各种诱因引起的胰岛素绝对或相对缺乏及机体糖激素升高，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进而使机体组织中糖、脂肪和蛋白质代谢紊乱,患者通常会表现出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高血糖、高血酮及代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谢性酸中毒等病理特征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[3]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，既往的临床经验表明，本病好发于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1</w:t>
      </w:r>
      <w:r>
        <w:rPr>
          <w:rFonts w:ascii="SimSun" w:hAnsi="SimSun" w:eastAsia="SimSun" w:cs="SimSun"/>
          <w:sz w:val="24"/>
          <w:szCs w:val="24"/>
          <w:color w:val="0C0C0C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型糖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尿病患者。患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的病人，往往伴有恶心呕吐、腹痛等症状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[4]</w:t>
      </w:r>
      <w:r>
        <w:rPr>
          <w:rFonts w:ascii="SimSun" w:hAnsi="SimSun" w:eastAsia="SimSun" w:cs="SimSun"/>
          <w:sz w:val="12"/>
          <w:szCs w:val="12"/>
          <w:color w:val="0C0C0C"/>
          <w:spacing w:val="-29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，给患者带来严重困扰。有学者经过调查后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发现，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患者中有超过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40%的患者入院时有腹痛症状</w:t>
      </w:r>
      <w:r>
        <w:rPr>
          <w:rFonts w:ascii="SimSun" w:hAnsi="SimSun" w:eastAsia="SimSun" w:cs="SimSun"/>
          <w:sz w:val="12"/>
          <w:szCs w:val="12"/>
          <w:color w:val="0C0C0C"/>
          <w:position w:val="11"/>
        </w:rPr>
        <w:t>[5]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，且至少40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%的患者会出现淀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粉酶升高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[6]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，因此在临床上，本病易掩盖或延迟急性胰腺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炎（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）诊断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[7-8]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，不利于疾病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的控制和预后效果的改善。本文就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的临床特征展开分析，并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做出总结，</w:t>
      </w:r>
    </w:p>
    <w:p>
      <w:pPr>
        <w:ind w:left="1028"/>
        <w:spacing w:before="1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以期为临床治疗疾病提供参考。</w:t>
      </w:r>
    </w:p>
    <w:p>
      <w:pPr>
        <w:ind w:left="1005"/>
        <w:spacing w:before="1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发病机制</w:t>
      </w:r>
    </w:p>
    <w:p>
      <w:pPr>
        <w:ind w:left="996" w:firstLine="486"/>
        <w:spacing w:before="161" w:line="36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有学者经过大量的统计发现，至少有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10%的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AP</w:t>
      </w:r>
      <w:r>
        <w:rPr>
          <w:rFonts w:ascii="SimSun" w:hAnsi="SimSun" w:eastAsia="SimSun" w:cs="SimSun"/>
          <w:sz w:val="12"/>
          <w:szCs w:val="12"/>
          <w:color w:val="0C0C0C"/>
          <w:spacing w:val="-5"/>
          <w:position w:val="11"/>
        </w:rPr>
        <w:t>[9-10]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，然而截至目前，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学术界对二者之间的相关性尚未阐明，但它们均对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身体有严重的危害性，故临床医生接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诊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患者或</w:t>
      </w:r>
      <w:r>
        <w:rPr>
          <w:rFonts w:ascii="SimSun" w:hAnsi="SimSun" w:eastAsia="SimSun" w:cs="SimSun"/>
          <w:sz w:val="24"/>
          <w:szCs w:val="24"/>
          <w:color w:val="0C0C0C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患者时，需分析是否同时存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在两种病症，然后制定针对性的治疗方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</w:rPr>
        <w:t>案。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AP </w:t>
      </w:r>
      <w:r>
        <w:rPr>
          <w:rFonts w:ascii="SimSun" w:hAnsi="SimSun" w:eastAsia="SimSun" w:cs="SimSun"/>
          <w:sz w:val="24"/>
          <w:szCs w:val="24"/>
          <w:color w:val="0C0C0C"/>
        </w:rPr>
        <w:t>病机尚未完全清楚，现阶段，医学界对于其形成机制解释为</w:t>
      </w:r>
      <w:r>
        <w:rPr>
          <w:rFonts w:ascii="SimSun" w:hAnsi="SimSun" w:eastAsia="SimSun" w:cs="SimSun"/>
          <w:sz w:val="24"/>
          <w:szCs w:val="24"/>
          <w:color w:val="0C0C0C"/>
          <w:spacing w:val="-11"/>
        </w:rPr>
        <w:t>：（</w:t>
      </w:r>
      <w:r>
        <w:rPr>
          <w:rFonts w:ascii="SimSun" w:hAnsi="SimSun" w:eastAsia="SimSun" w:cs="SimSun"/>
          <w:sz w:val="24"/>
          <w:szCs w:val="24"/>
          <w:color w:val="0C0C0C"/>
        </w:rPr>
        <w:t>1） 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患者胰岛素缺乏，患病后会出现明显的脂肪分解，这种情况下，机体中血清甘油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三酯显著升高，同时伴随着众多卵磷脂在胰腺腺泡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附近聚集，这需要人体调动大量的胰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酶及磷脂酶对其进行消化分解，由此导致胰腺组织化学性损伤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[11-12]</w:t>
      </w:r>
      <w:r>
        <w:rPr>
          <w:rFonts w:ascii="SimSun" w:hAnsi="SimSun" w:eastAsia="SimSun" w:cs="SimSun"/>
          <w:sz w:val="12"/>
          <w:szCs w:val="12"/>
          <w:color w:val="0C0C0C"/>
          <w:spacing w:val="2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;除此之外，患病后由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于高脂血症使血液黏稠度增加，引起机体微循环受阻，胰腺供氧不足;在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此期间，胰腺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外的脂肪栓塞胰腺血管，或与其他因素共同作用下导致胰腺炎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[13]</w:t>
      </w:r>
      <w:r>
        <w:rPr>
          <w:rFonts w:ascii="SimSun" w:hAnsi="SimSun" w:eastAsia="SimSun" w:cs="SimSun"/>
          <w:sz w:val="12"/>
          <w:szCs w:val="12"/>
          <w:color w:val="0C0C0C"/>
          <w:spacing w:val="-10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。（2）对于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来说，其患病期间细胞内外脱水、胰液黏稠，这种情况下，机体胰液排除不畅及恶心、</w:t>
      </w:r>
      <w:r>
        <w:rPr>
          <w:rFonts w:ascii="SimSun" w:hAnsi="SimSun" w:eastAsia="SimSun" w:cs="SimSun"/>
          <w:sz w:val="24"/>
          <w:szCs w:val="24"/>
          <w:color w:val="0C0C0C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呕吐等，进一步引起十二指肠内压升高等问题，它们均有可能诱发胰腺炎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[14]</w:t>
      </w:r>
      <w:r>
        <w:rPr>
          <w:rFonts w:ascii="SimSun" w:hAnsi="SimSun" w:eastAsia="SimSun" w:cs="SimSun"/>
          <w:sz w:val="12"/>
          <w:szCs w:val="12"/>
          <w:color w:val="0C0C0C"/>
          <w:spacing w:val="-28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。(3）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高脂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血症激活血小板,分泌出众多能够强烈收缩血管的血栓素</w:t>
      </w:r>
      <w:r>
        <w:rPr>
          <w:rFonts w:ascii="SimSun" w:hAnsi="SimSun" w:eastAsia="SimSun" w:cs="SimSun"/>
          <w:sz w:val="24"/>
          <w:szCs w:val="24"/>
          <w:color w:val="0C0C0C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A2</w:t>
      </w:r>
      <w:r>
        <w:rPr>
          <w:rFonts w:ascii="SimSun" w:hAnsi="SimSun" w:eastAsia="SimSun" w:cs="SimSun"/>
          <w:sz w:val="24"/>
          <w:szCs w:val="24"/>
          <w:color w:val="0C0C0C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TXA2</w:t>
      </w:r>
      <w:r>
        <w:rPr>
          <w:rFonts w:ascii="SimSun" w:hAnsi="SimSun" w:eastAsia="SimSun" w:cs="SimSun"/>
          <w:sz w:val="24"/>
          <w:szCs w:val="24"/>
          <w:color w:val="0C0C0C"/>
        </w:rPr>
        <w:t>）,在这一过程中，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机体分泌前列环素能力降低,扩血管作用降低，进而使胰腺微循环障碍加剧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[15]</w:t>
      </w:r>
      <w:r>
        <w:rPr>
          <w:rFonts w:ascii="SimSun" w:hAnsi="SimSun" w:eastAsia="SimSun" w:cs="SimSun"/>
          <w:sz w:val="12"/>
          <w:szCs w:val="12"/>
          <w:color w:val="0C0C0C"/>
          <w:spacing w:val="-28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。（4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）机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体内长期出现蛋白质非酶糖化，造成组织缺氧，以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及其他一系列生理病变，如致植物神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经病变，胆囊收缩能力减弱等，进而导致胆汁淤积，形成结石，最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终引起感染。</w:t>
      </w:r>
    </w:p>
    <w:p>
      <w:pPr>
        <w:ind w:left="5446"/>
        <w:spacing w:before="11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27</w:t>
      </w:r>
    </w:p>
    <w:p>
      <w:pPr>
        <w:spacing w:line="181" w:lineRule="auto"/>
        <w:sectPr>
          <w:headerReference w:type="default" r:id="rId21"/>
          <w:footerReference w:type="default" r:id="rId22"/>
          <w:pgSz w:w="11906" w:h="16839"/>
          <w:pgMar w:top="1182" w:right="135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14"/>
        <w:spacing w:before="18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临床表现</w:t>
      </w:r>
    </w:p>
    <w:p>
      <w:pPr>
        <w:ind w:left="1476"/>
        <w:spacing w:before="1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常急性起病，发病前数日可出现较为明显的多饮、多尿烦渴等病症。另外，</w:t>
      </w:r>
    </w:p>
    <w:p>
      <w:pPr>
        <w:ind w:left="1001" w:firstLine="13"/>
        <w:spacing w:before="182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临床经验表明，酸中毒失代偿后可出现恶心、呕吐等情况，大多数患者可出现明显的呼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吸深快、呼出气有烂苹果味病症；如果上述症状得不到及时缓解，则引起严重脱水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情况，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此时患者多伴有皮肤粘膜干燥、眼球下陷等；在严重情况下，患者会伴有各种反射的迟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钝甚至消失。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常表现为持续性腹痛，可伴恶心呕吐、腹胀、黄疸、发热、神志改变，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严重时可并发多器官功能障碍。因为部分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也可有腹痛表现，很可能会导致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被漏诊。接诊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患者时，若存在以下情况则提示患者可能同时患有这两种疾病：①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伴腹痛者经治疗数小时后疼痛感仍存在甚至加重；②存在较为严重的高甘油三酯血症及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胆石症；③患者就诊时，同时伴有恶心、呕吐等消化道症状，通过干预改善酮症后上述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症状无法得到有效控制甚至持续加重；④合并多器官功能衰竭。</w:t>
      </w:r>
    </w:p>
    <w:p>
      <w:pPr>
        <w:ind w:left="1007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实验室检查</w:t>
      </w:r>
    </w:p>
    <w:p>
      <w:pPr>
        <w:ind w:left="996" w:firstLine="484"/>
        <w:spacing w:before="173" w:line="360" w:lineRule="auto"/>
        <w:tabs>
          <w:tab w:val="left" w:pos="10124"/>
        </w:tabs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在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患者中识别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通常是以患者表现出的病症、实验室检查及影像学检查结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果作为依据。检查时如果存在以下情况，则提示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接诊的病人可能合并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。（1）血糖及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值：大量的现代医学研究证实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[16]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，同时患有两种疾病与单纯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相比，前者的血糖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水平更高，且其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PH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值较低。（2）糖化血红蛋白：在临床上，该物质能够直观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的反映过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去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8～12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周平均血糖水平，但同时伴有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的患者其糖化血红蛋白水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平与仅有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患者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相比并无太大差别。（3）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 </w:t>
      </w:r>
      <w:r>
        <w:rPr>
          <w:rFonts w:ascii="SimSun" w:hAnsi="SimSun" w:eastAsia="SimSun" w:cs="SimSun"/>
          <w:sz w:val="24"/>
          <w:szCs w:val="24"/>
          <w:color w:val="0C0C0C"/>
        </w:rPr>
        <w:t>肽：在临床实践中，通常是以该物质水平评估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胰岛β细胞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功能，而根据相关的研究结果来看，同时患两种疾病者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C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肽水平更低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[10、17]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。（4）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血清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淀粉酶：在单纯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患者中，有至少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40%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患者伴有淀粉酶升高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[6]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，此种情况提示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患者可能伴有</w:t>
      </w:r>
      <w:r>
        <w:rPr>
          <w:rFonts w:ascii="SimSun" w:hAnsi="SimSun" w:eastAsia="SimSun" w:cs="SimSun"/>
          <w:sz w:val="24"/>
          <w:szCs w:val="24"/>
          <w:color w:val="0C0C0C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，该现象的形成或与病人应激状态下唾液淀粉酶（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S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-淀粉酶）大量分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</w:rPr>
        <w:t>泌有关</w:t>
      </w:r>
      <w:r>
        <w:rPr>
          <w:rFonts w:ascii="SimSun" w:hAnsi="SimSun" w:eastAsia="SimSun" w:cs="SimSun"/>
          <w:sz w:val="12"/>
          <w:szCs w:val="12"/>
          <w:color w:val="0C0C0C"/>
          <w:position w:val="11"/>
        </w:rPr>
        <w:t>[18]</w:t>
      </w:r>
      <w:r>
        <w:rPr>
          <w:rFonts w:ascii="SimSun" w:hAnsi="SimSun" w:eastAsia="SimSun" w:cs="SimSun"/>
          <w:sz w:val="24"/>
          <w:szCs w:val="24"/>
          <w:color w:val="0C0C0C"/>
        </w:rPr>
        <w:t>；除此之外，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发作后，由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于高渗透压及低灌注使血液黏稠度增加，进一</w:t>
      </w:r>
      <w:r>
        <w:rPr>
          <w:rFonts w:ascii="SimSun" w:hAnsi="SimSun" w:eastAsia="SimSun" w:cs="SimSun"/>
          <w:sz w:val="24"/>
          <w:szCs w:val="24"/>
        </w:rPr>
        <w:tab/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步引起机体胰腺血液循环受阻，进而引起胰腺腺泡渗漏到血循环的淀粉酶数量增加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[19-20]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；</w:t>
      </w:r>
      <w:r>
        <w:rPr>
          <w:rFonts w:ascii="SimSun" w:hAnsi="SimSun" w:eastAsia="SimSun" w:cs="SimSun"/>
          <w:sz w:val="24"/>
          <w:szCs w:val="24"/>
          <w:color w:val="0C0C0C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病人罹患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2"/>
        </w:rPr>
        <w:t>后会出现血容量减少，由此引起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机体的肾小球滤过率急慢性降低，不少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研究结果显示，其导致的淀粉酶清除下降也是淀粉酶升高的一大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影响因素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[21]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。对于同时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患有两种疾病的患者，往往血清淀粉酶呈升高趋势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，然而需要注意的是，如果患者还伴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有高脂血症，则血淀粉酶无异常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[16]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，但学术界对其原因并未阐明，因此很可能出现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漏诊的问题，使疾病得不到及时有效的干预。（5）血清脂肪酶：通常，在临床实践中，</w:t>
      </w:r>
      <w:r>
        <w:rPr>
          <w:rFonts w:ascii="SimSun" w:hAnsi="SimSun" w:eastAsia="SimSun" w:cs="SimSun"/>
          <w:sz w:val="24"/>
          <w:szCs w:val="24"/>
          <w:color w:val="0C0C0C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诊断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时，其特异性高于血淀粉酶。然而对于仅存在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的情况，病人的血清脂肪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酶也可非特异性升高。此时，病人的血清水平主要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受到两个因素的影响，首先是脂肪酶</w:t>
      </w:r>
    </w:p>
    <w:p>
      <w:pPr>
        <w:pStyle w:val="BodyText"/>
        <w:spacing w:line="376" w:lineRule="auto"/>
        <w:rPr/>
      </w:pPr>
      <w:r/>
    </w:p>
    <w:p>
      <w:pPr>
        <w:ind w:left="5446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28</w:t>
      </w:r>
    </w:p>
    <w:p>
      <w:pPr>
        <w:spacing w:line="181" w:lineRule="auto"/>
        <w:sectPr>
          <w:pgSz w:w="11906" w:h="16839"/>
          <w:pgMar w:top="1182" w:right="135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0" w:right="80" w:firstLine="3"/>
        <w:spacing w:before="162" w:line="362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7" w:id="17"/>
      <w:bookmarkEnd w:id="17"/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从胰腺腺泡进入血循环的速率，其次就是脂肪酶从肾脏清除率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[22-23]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。需要强调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的是，如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果伴有</w:t>
      </w:r>
      <w:r>
        <w:rPr>
          <w:rFonts w:ascii="SimSun" w:hAnsi="SimSun" w:eastAsia="SimSun" w:cs="SimSun"/>
          <w:sz w:val="24"/>
          <w:szCs w:val="24"/>
          <w:color w:val="0C0C0C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者同时出现脂肪酶升高，也要判断其是否患有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，否则会延误治疗，使疾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病加剧。（6）高甘油三酯血症：在临床医学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中，通常将糖尿病酮症酸中毒-高甘油三酯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血症-急性胰腺炎称作“神秘三角</w:t>
      </w:r>
      <w:r>
        <w:rPr>
          <w:rFonts w:ascii="SimSun" w:hAnsi="SimSun" w:eastAsia="SimSun" w:cs="SimSun"/>
          <w:sz w:val="24"/>
          <w:szCs w:val="24"/>
          <w:color w:val="0C0C0C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”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[24-25]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，因此对于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患者，如果同时存在较为严重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的高甘油三酯血症，则要判断其是否伴有</w:t>
      </w:r>
      <w:r>
        <w:rPr>
          <w:rFonts w:ascii="SimSun" w:hAnsi="SimSun" w:eastAsia="SimSun" w:cs="SimSun"/>
          <w:sz w:val="24"/>
          <w:szCs w:val="24"/>
          <w:color w:val="0C0C0C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，然后对症治疗。</w:t>
      </w:r>
    </w:p>
    <w:p>
      <w:pPr>
        <w:ind w:left="1002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诊断</w:t>
      </w:r>
    </w:p>
    <w:p>
      <w:pPr>
        <w:ind w:left="1001" w:right="18" w:firstLine="474"/>
        <w:spacing w:before="181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表现出的症状极易掩盖或延迟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诊断；此外也可能会引起明显的高血糖和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循环血量下降，使疾病的治疗难度增加，预后效果更差。怀疑</w:t>
      </w:r>
      <w:r>
        <w:rPr>
          <w:rFonts w:ascii="SimSun" w:hAnsi="SimSun" w:eastAsia="SimSun" w:cs="SimSun"/>
          <w:sz w:val="24"/>
          <w:szCs w:val="24"/>
          <w:color w:val="0C0C0C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时，若以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一般的方法诊断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，则可以将腹痛及血清淀粉酶作为诊断依据，另外也可将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机体脂肪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酶升高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3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倍以上作为评估依据，因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有其特殊之处，这似乎有过度诊断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的可能，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因此怀疑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，应以典型的临床表现、淀粉酶等进行综合评估，同时进一步采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用影像学检查证实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[26]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。如果患者同时伴有高脂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血症，并且机体中血清淀粉酶无任何异常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的，则需要采用影像学辅助诊断。</w:t>
      </w:r>
    </w:p>
    <w:p>
      <w:pPr>
        <w:ind w:left="1007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治疗方案</w:t>
      </w:r>
    </w:p>
    <w:p>
      <w:pPr>
        <w:ind w:left="1019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1.一般治疗</w:t>
      </w:r>
    </w:p>
    <w:p>
      <w:pPr>
        <w:ind w:left="1000" w:firstLine="492"/>
        <w:spacing w:before="182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患者被确诊为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的，可以采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取的干预措施主要有：第一时间给予补液、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控制血糖及对症支持治疗等，根据是否合并感染决定是否使用抗生素，根据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AP</w:t>
      </w:r>
      <w:r>
        <w:rPr>
          <w:rFonts w:ascii="SimSun" w:hAnsi="SimSun" w:eastAsia="SimSun" w:cs="SimSun"/>
          <w:sz w:val="24"/>
          <w:szCs w:val="24"/>
          <w:color w:val="0C0C0C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的病因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给予干预。</w:t>
      </w:r>
    </w:p>
    <w:p>
      <w:pPr>
        <w:ind w:left="100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2.液体复苏</w:t>
      </w:r>
    </w:p>
    <w:p>
      <w:pPr>
        <w:ind w:left="1003" w:right="80" w:firstLine="478"/>
        <w:spacing w:before="182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所有患者一经确诊应积极补液，尤其要注意在确诊的首日充分补足预先估计缺失的</w:t>
      </w:r>
      <w:r>
        <w:rPr>
          <w:rFonts w:ascii="SimSun" w:hAnsi="SimSun" w:eastAsia="SimSun" w:cs="SimSun"/>
          <w:sz w:val="24"/>
          <w:szCs w:val="24"/>
          <w:color w:val="0C0C0C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液体量，之后 根据患者症状的发展情况以及血流动力学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、实验室指标等调整补液量。</w:t>
      </w:r>
    </w:p>
    <w:p>
      <w:pPr>
        <w:ind w:left="1002" w:right="80" w:firstLine="2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如果患者合并心、肾功能不全，则应在干预的过程中实时观察、监测相关指标以防液体</w:t>
      </w:r>
      <w:r>
        <w:rPr>
          <w:rFonts w:ascii="SimSun" w:hAnsi="SimSun" w:eastAsia="SimSun" w:cs="SimSun"/>
          <w:sz w:val="24"/>
          <w:szCs w:val="24"/>
          <w:color w:val="0C0C0C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过负荷。</w:t>
      </w:r>
    </w:p>
    <w:p>
      <w:pPr>
        <w:ind w:left="1006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3.胰岛素</w:t>
      </w:r>
    </w:p>
    <w:p>
      <w:pPr>
        <w:ind w:left="1003" w:right="18" w:firstLine="491"/>
        <w:spacing w:before="183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临床经验表明，静脉输注小剂量胰岛素可以有效缓解和控制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，在实际治疗时，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可以血糖值及血糖下降速度作为参考指标，实时调整胰岛素用量。一般情况下，如果患</w:t>
      </w:r>
      <w:r>
        <w:rPr>
          <w:rFonts w:ascii="SimSun" w:hAnsi="SimSun" w:eastAsia="SimSun" w:cs="SimSun"/>
          <w:sz w:val="24"/>
          <w:szCs w:val="24"/>
          <w:color w:val="0C0C0C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者的血糖值降至</w:t>
      </w:r>
      <w:r>
        <w:rPr>
          <w:rFonts w:ascii="SimSun" w:hAnsi="SimSun" w:eastAsia="SimSun" w:cs="SimSun"/>
          <w:sz w:val="24"/>
          <w:szCs w:val="24"/>
          <w:color w:val="0C0C0C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11.1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，则应当采用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5%糖盐水输注的方式治疗，在这一过程中，</w:t>
      </w:r>
    </w:p>
    <w:p>
      <w:pPr>
        <w:ind w:left="1000" w:right="99"/>
        <w:spacing w:before="2" w:line="35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采用的胰岛素用量应为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0.02～0.05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U·kg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"/>
          <w:position w:val="8"/>
        </w:rPr>
        <w:t>-1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  <w:position w:val="2"/>
        </w:rPr>
        <w:t>·h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1"/>
          <w:position w:val="2"/>
        </w:rPr>
        <w:t>-1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。疾病得到明显控制或改善后，可转换为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胰岛素皮下注射，注意皮下和静脉胰岛素注射转换时可重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叠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1～2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h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</w:t>
      </w:r>
    </w:p>
    <w:p>
      <w:pPr>
        <w:ind w:left="1007"/>
        <w:spacing w:before="2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纠正电解质及酸碱平衡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446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6"/>
        </w:rPr>
        <w:t>29</w:t>
      </w:r>
    </w:p>
    <w:p>
      <w:pPr>
        <w:spacing w:line="181" w:lineRule="auto"/>
        <w:sectPr>
          <w:headerReference w:type="default" r:id="rId11"/>
          <w:footerReference w:type="default" r:id="rId12"/>
          <w:pgSz w:w="11906" w:h="16839"/>
          <w:pgMar w:top="1182" w:right="133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0" w:firstLine="480"/>
        <w:spacing w:before="160" w:line="36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在行补液及胰岛素治疗后，在后续的干预过程中，大多数病人可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能发生低钾 血症</w:t>
      </w:r>
      <w:r>
        <w:rPr>
          <w:rFonts w:ascii="SimSun" w:hAnsi="SimSun" w:eastAsia="SimSun" w:cs="SimSun"/>
          <w:sz w:val="12"/>
          <w:szCs w:val="12"/>
          <w:color w:val="0C0C0C"/>
          <w:spacing w:val="-6"/>
          <w:position w:val="11"/>
        </w:rPr>
        <w:t>[27]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若患者尿量无任何异常，同时存在血钾&lt;5.2</w:t>
      </w:r>
      <w:r>
        <w:rPr>
          <w:rFonts w:ascii="SimSun" w:hAnsi="SimSun" w:eastAsia="SimSun" w:cs="SimSun"/>
          <w:sz w:val="24"/>
          <w:szCs w:val="24"/>
          <w:color w:val="0C0C0C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mmol/L </w:t>
      </w:r>
      <w:r>
        <w:rPr>
          <w:rFonts w:ascii="SimSun" w:hAnsi="SimSun" w:eastAsia="SimSun" w:cs="SimSun"/>
          <w:sz w:val="24"/>
          <w:szCs w:val="24"/>
          <w:color w:val="0C0C0C"/>
        </w:rPr>
        <w:t>应第一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时间内予以静脉补钾，确保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机体内的血钾维持在4～5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mmol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"/>
        </w:rPr>
        <w:t>/l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；如果病人在接受干预前已伴有低钾血症，且尿量≥</w:t>
      </w:r>
    </w:p>
    <w:p>
      <w:pPr>
        <w:ind w:left="1000" w:right="196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40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ml/h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的，补液的过程中也要予以适量的补钾；尤其是对于血钾&lt;3.3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的患者，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要首先给予补钾干预，治疗一段时间后如果血钾升至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3.3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，则继续采用胰岛素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治疗，以防止出现心律失常、呼吸肌麻痹等，影响疾病的预后。有了胰岛素的治疗，在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后期阶段脂肪分解减少进而纠正酸中毒，然而如果酸中毒严重则极易诱发心肌受损、胃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肠道、甚至脑水肿并发症等，故病人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PH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≤6.9</w:t>
      </w:r>
      <w:r>
        <w:rPr>
          <w:rFonts w:ascii="SimSun" w:hAnsi="SimSun" w:eastAsia="SimSun" w:cs="SimSun"/>
          <w:sz w:val="24"/>
          <w:szCs w:val="24"/>
          <w:color w:val="0C0C0C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1"/>
        </w:rPr>
        <w:t>的</w:t>
      </w:r>
      <w:r>
        <w:rPr>
          <w:rFonts w:ascii="SimSun" w:hAnsi="SimSun" w:eastAsia="SimSun" w:cs="SimSun"/>
          <w:sz w:val="24"/>
          <w:szCs w:val="24"/>
          <w:color w:val="0C0C0C"/>
        </w:rPr>
        <w:t>情况下，应当及时进行补碱。</w:t>
      </w:r>
    </w:p>
    <w:p>
      <w:pPr>
        <w:ind w:left="100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4.抑制胰酶分泌</w:t>
      </w:r>
    </w:p>
    <w:p>
      <w:pPr>
        <w:ind w:left="1390"/>
        <w:spacing w:before="10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以生长抑素及其类似物、蛋白酶抑制剂对患者进行治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疗，以改善机体胰腺分泌水平。</w:t>
      </w:r>
    </w:p>
    <w:p>
      <w:pPr>
        <w:ind w:left="1006"/>
        <w:spacing w:before="10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5.营养支持</w:t>
      </w:r>
    </w:p>
    <w:p>
      <w:pPr>
        <w:ind w:left="1008" w:right="200" w:firstLine="475"/>
        <w:spacing w:before="181" w:line="35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若条件允许，合并</w:t>
      </w:r>
      <w:r>
        <w:rPr>
          <w:rFonts w:ascii="SimSun" w:hAnsi="SimSun" w:eastAsia="SimSun" w:cs="SimSun"/>
          <w:sz w:val="24"/>
          <w:szCs w:val="24"/>
          <w:color w:val="0C0C0C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的患者应尽早经口进食（通常</w:t>
      </w:r>
      <w:r>
        <w:rPr>
          <w:rFonts w:ascii="SimSun" w:hAnsi="SimSun" w:eastAsia="SimSun" w:cs="SimSun"/>
          <w:sz w:val="24"/>
          <w:szCs w:val="24"/>
          <w:color w:val="0C0C0C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24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内</w:t>
      </w:r>
      <w:r>
        <w:rPr>
          <w:rFonts w:ascii="SimSun" w:hAnsi="SimSun" w:eastAsia="SimSun" w:cs="SimSun"/>
          <w:sz w:val="24"/>
          <w:szCs w:val="24"/>
          <w:color w:val="0C0C0C"/>
          <w:spacing w:val="10"/>
        </w:rPr>
        <w:t>），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患者状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况较差的，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需在入院后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72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内给予肠内营养支持</w:t>
      </w:r>
      <w:r>
        <w:rPr>
          <w:rFonts w:ascii="SimSun" w:hAnsi="SimSun" w:eastAsia="SimSun" w:cs="SimSun"/>
          <w:sz w:val="12"/>
          <w:szCs w:val="12"/>
          <w:color w:val="0C0C0C"/>
          <w:spacing w:val="-3"/>
          <w:position w:val="11"/>
        </w:rPr>
        <w:t>[2</w:t>
      </w:r>
      <w:r>
        <w:rPr>
          <w:rFonts w:ascii="SimSun" w:hAnsi="SimSun" w:eastAsia="SimSun" w:cs="SimSun"/>
          <w:sz w:val="12"/>
          <w:szCs w:val="12"/>
          <w:color w:val="0C0C0C"/>
          <w:spacing w:val="-4"/>
          <w:position w:val="11"/>
        </w:rPr>
        <w:t>8]</w:t>
      </w:r>
      <w:r>
        <w:rPr>
          <w:rFonts w:ascii="SimSun" w:hAnsi="SimSun" w:eastAsia="SimSun" w:cs="SimSun"/>
          <w:sz w:val="12"/>
          <w:szCs w:val="12"/>
          <w:color w:val="0C0C0C"/>
          <w:spacing w:val="-31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，以防感染及肠道衰竭并发症，尽量避免全肠外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营养，期间注意血糖的控制。</w:t>
      </w:r>
    </w:p>
    <w:p>
      <w:pPr>
        <w:ind w:left="1003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6.高甘油三酯血症的治疗</w:t>
      </w:r>
    </w:p>
    <w:p>
      <w:pPr>
        <w:ind w:left="1000" w:right="200" w:firstLine="498"/>
        <w:spacing w:before="183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当诊断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后，存在以下情况的可诊断为高三酰甘油血症性胰腺炎：经检验血清甘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油三酯水平≥11.3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mmol/L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，或甘油三酯水平处于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5.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6～11.3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"/>
        </w:rPr>
        <w:t>mmol/L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，同时排除其他因素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引起的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AP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[29]</w:t>
      </w:r>
      <w:r>
        <w:rPr>
          <w:rFonts w:ascii="SimSun" w:hAnsi="SimSun" w:eastAsia="SimSun" w:cs="SimSun"/>
          <w:sz w:val="12"/>
          <w:szCs w:val="12"/>
          <w:color w:val="0C0C0C"/>
          <w:spacing w:val="-27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。由经验丰富的医师确诊后，发病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3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天内不得输注任何脂肪乳剂，并且要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在第一时间内将</w:t>
      </w:r>
      <w:r>
        <w:rPr>
          <w:rFonts w:ascii="SimSun" w:hAnsi="SimSun" w:eastAsia="SimSun" w:cs="SimSun"/>
          <w:sz w:val="24"/>
          <w:szCs w:val="24"/>
          <w:color w:val="0C0C0C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TG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降至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5.6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以下，若症状得以缓解，以及机体TG≤5.6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且血糖难以控制时，可选用输注短、中链脂肪乳</w:t>
      </w:r>
      <w:r>
        <w:rPr>
          <w:rFonts w:ascii="SimSun" w:hAnsi="SimSun" w:eastAsia="SimSun" w:cs="SimSun"/>
          <w:sz w:val="12"/>
          <w:szCs w:val="12"/>
          <w:color w:val="0C0C0C"/>
          <w:position w:val="11"/>
        </w:rPr>
        <w:t>[30]</w:t>
      </w:r>
      <w:r>
        <w:rPr>
          <w:rFonts w:ascii="SimSun" w:hAnsi="SimSun" w:eastAsia="SimSun" w:cs="SimSun"/>
          <w:sz w:val="12"/>
          <w:szCs w:val="12"/>
          <w:color w:val="0C0C0C"/>
          <w:spacing w:val="-26"/>
          <w:position w:val="1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。降脂方案如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下</w:t>
      </w:r>
      <w:r>
        <w:rPr>
          <w:rFonts w:ascii="SimSun" w:hAnsi="SimSun" w:eastAsia="SimSun" w:cs="SimSun"/>
          <w:sz w:val="24"/>
          <w:szCs w:val="24"/>
          <w:color w:val="0C0C0C"/>
          <w:spacing w:val="-18"/>
        </w:rPr>
        <w:t>：（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1）降脂药物：</w:t>
      </w:r>
    </w:p>
    <w:p>
      <w:pPr>
        <w:ind w:left="1004" w:right="200" w:firstLine="13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贝特类药物为临床首选，其能有效降低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TG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并提高高密度脂蛋白（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HDL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）水平</w:t>
      </w:r>
      <w:r>
        <w:rPr>
          <w:rFonts w:ascii="SimSun" w:hAnsi="SimSun" w:eastAsia="SimSun" w:cs="SimSun"/>
          <w:sz w:val="24"/>
          <w:szCs w:val="24"/>
          <w:color w:val="0C0C0C"/>
          <w:spacing w:val="-27"/>
        </w:rPr>
        <w:t>；（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2）肝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素和胰岛素：两者连用能有效降低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TG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、已被广泛用于临床</w:t>
      </w:r>
      <w:r>
        <w:rPr>
          <w:rFonts w:ascii="SimSun" w:hAnsi="SimSun" w:eastAsia="SimSun" w:cs="SimSun"/>
          <w:sz w:val="24"/>
          <w:szCs w:val="24"/>
          <w:color w:val="0C0C0C"/>
          <w:spacing w:val="-22"/>
        </w:rPr>
        <w:t>；（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3）血液净化：若患者住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院</w:t>
      </w:r>
      <w:r>
        <w:rPr>
          <w:rFonts w:ascii="SimSun" w:hAnsi="SimSun" w:eastAsia="SimSun" w:cs="SimSun"/>
          <w:sz w:val="24"/>
          <w:szCs w:val="24"/>
          <w:color w:val="0C0C0C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24-48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h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后</w:t>
      </w:r>
      <w:r>
        <w:rPr>
          <w:rFonts w:ascii="SimSun" w:hAnsi="SimSun" w:eastAsia="SimSun" w:cs="SimSun"/>
          <w:sz w:val="24"/>
          <w:szCs w:val="24"/>
          <w:color w:val="0C0C0C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TG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仍然不低于</w:t>
      </w:r>
      <w:r>
        <w:rPr>
          <w:rFonts w:ascii="SimSun" w:hAnsi="SimSun" w:eastAsia="SimSun" w:cs="SimSun"/>
          <w:sz w:val="24"/>
          <w:szCs w:val="24"/>
          <w:color w:val="0C0C0C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11.3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mmol/L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，此时应及时采用血液净化治疗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[31]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。</w:t>
      </w:r>
    </w:p>
    <w:p>
      <w:pPr>
        <w:ind w:left="1007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7.抗生素应用</w:t>
      </w:r>
    </w:p>
    <w:p>
      <w:pPr>
        <w:ind w:left="1007" w:right="231" w:firstLine="476"/>
        <w:spacing w:before="183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感染是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的首发诱因，因此要对患者及时予以相应的抗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感染治疗；这里需要注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意的是，合并</w:t>
      </w:r>
      <w:r>
        <w:rPr>
          <w:rFonts w:ascii="SimSun" w:hAnsi="SimSun" w:eastAsia="SimSun" w:cs="SimSun"/>
          <w:sz w:val="24"/>
          <w:szCs w:val="24"/>
          <w:color w:val="0C0C0C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且无明显感染征象的情况下，一般不采用抗生素预防。</w:t>
      </w:r>
    </w:p>
    <w:p>
      <w:pPr>
        <w:ind w:left="1002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8.对症和支持治疗</w:t>
      </w:r>
    </w:p>
    <w:p>
      <w:pPr>
        <w:ind w:left="1001" w:right="200" w:firstLine="486"/>
        <w:spacing w:before="182" w:line="36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发生急性肺损伤应给予氧疗，以尽可能的改善机体氧饱和度使其达</w:t>
      </w:r>
      <w:r>
        <w:rPr>
          <w:rFonts w:ascii="SimSun" w:hAnsi="SimSun" w:eastAsia="SimSun" w:cs="SimSun"/>
          <w:sz w:val="24"/>
          <w:szCs w:val="24"/>
          <w:color w:val="0C0C0C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95%以上，在患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者发生呼吸窘迫综合征时，需给予机械通气辅助干预；如果患者出现急性肾衰竭则首先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考虑稳定血流动力学，特殊情况下采用肾脏替代治疗；如果患者肝功能损伤明显，则采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用药物干预以保护肝脏器；对于易发脑水肿的高渗患者要逐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渐补充所丢失的盐及水分</w:t>
      </w:r>
    </w:p>
    <w:p>
      <w:pPr>
        <w:ind w:left="5445"/>
        <w:spacing w:before="108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30</w:t>
      </w:r>
    </w:p>
    <w:p>
      <w:pPr>
        <w:spacing w:line="181" w:lineRule="auto"/>
        <w:sectPr>
          <w:headerReference w:type="default" r:id="rId24"/>
          <w:footerReference w:type="default" r:id="rId25"/>
          <w:pgSz w:w="11906" w:h="16839"/>
          <w:pgMar w:top="1182" w:right="1217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7" w:right="99" w:firstLine="5"/>
        <w:spacing w:before="160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（渗透压下降速度 不得＞3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</w:rPr>
        <w:t>mmol·L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2"/>
          <w:position w:val="7"/>
        </w:rPr>
        <w:t>-1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2"/>
          <w:position w:val="2"/>
        </w:rPr>
        <w:t>·h</w:t>
      </w:r>
      <w:r>
        <w:rPr>
          <w:rFonts w:ascii="Times New Roman" w:hAnsi="Times New Roman" w:eastAsia="Times New Roman" w:cs="Times New Roman"/>
          <w:sz w:val="15"/>
          <w:szCs w:val="15"/>
          <w:color w:val="0C0C0C"/>
          <w:spacing w:val="-2"/>
          <w:position w:val="2"/>
        </w:rPr>
        <w:t>-1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）</w:t>
      </w:r>
      <w:r>
        <w:rPr>
          <w:rFonts w:ascii="SimSun" w:hAnsi="SimSun" w:eastAsia="SimSun" w:cs="SimSun"/>
          <w:sz w:val="12"/>
          <w:szCs w:val="12"/>
          <w:color w:val="0C0C0C"/>
          <w:spacing w:val="-2"/>
          <w:position w:val="11"/>
        </w:rPr>
        <w:t>[27]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；对于腹痛明显患者，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阿片类镇痛药及非阿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片类均可使用，因其对</w:t>
      </w:r>
      <w:r>
        <w:rPr>
          <w:rFonts w:ascii="SimSun" w:hAnsi="SimSun" w:eastAsia="SimSun" w:cs="SimSun"/>
          <w:sz w:val="24"/>
          <w:szCs w:val="24"/>
          <w:color w:val="0C0C0C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造成的不良影响无明显差异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[32]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</w:t>
      </w:r>
    </w:p>
    <w:p>
      <w:pPr>
        <w:ind w:left="1002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9.外科治疗</w:t>
      </w:r>
    </w:p>
    <w:p>
      <w:pPr>
        <w:ind w:left="1000" w:firstLine="475"/>
        <w:spacing w:before="183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以内科治疗为主，以下情况有外科手术干预指征：腹</w:t>
      </w:r>
      <w:r>
        <w:rPr>
          <w:rFonts w:ascii="SimSun" w:hAnsi="SimSun" w:eastAsia="SimSun" w:cs="SimSun"/>
          <w:sz w:val="24"/>
          <w:szCs w:val="24"/>
          <w:color w:val="0C0C0C"/>
          <w:spacing w:val="-8"/>
        </w:rPr>
        <w:t>腔间隔室综合征、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6"/>
        </w:rPr>
        <w:t>胰腺坏死继发感染等，但两种疾病同时存在时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，病人的</w:t>
      </w:r>
      <w:r>
        <w:rPr>
          <w:rFonts w:ascii="SimSun" w:hAnsi="SimSun" w:eastAsia="SimSun" w:cs="SimSun"/>
          <w:sz w:val="24"/>
          <w:szCs w:val="24"/>
          <w:color w:val="0C0C0C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SIRS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、多器官功能障碍（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7"/>
        </w:rPr>
        <w:t>MODS</w:t>
      </w:r>
      <w:r>
        <w:rPr>
          <w:rFonts w:ascii="SimSun" w:hAnsi="SimSun" w:eastAsia="SimSun" w:cs="SimSun"/>
          <w:sz w:val="24"/>
          <w:szCs w:val="24"/>
          <w:color w:val="0C0C0C"/>
          <w:spacing w:val="-7"/>
        </w:rPr>
        <w:t>）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等并发症发生率较高，早期外科手术干预可能造成器官负担的加重，一项对比研究结果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显示，推迟手术干预至发病</w:t>
      </w:r>
      <w:r>
        <w:rPr>
          <w:rFonts w:ascii="SimSun" w:hAnsi="SimSun" w:eastAsia="SimSun" w:cs="SimSun"/>
          <w:sz w:val="24"/>
          <w:szCs w:val="24"/>
          <w:color w:val="0C0C0C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4</w:t>
      </w:r>
      <w:r>
        <w:rPr>
          <w:rFonts w:ascii="SimSun" w:hAnsi="SimSun" w:eastAsia="SimSun" w:cs="SimSun"/>
          <w:sz w:val="24"/>
          <w:szCs w:val="24"/>
          <w:color w:val="0C0C0C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周后病人的存活率更高 </w:t>
      </w:r>
      <w:r>
        <w:rPr>
          <w:rFonts w:ascii="SimSun" w:hAnsi="SimSun" w:eastAsia="SimSun" w:cs="SimSun"/>
          <w:sz w:val="12"/>
          <w:szCs w:val="12"/>
          <w:color w:val="0C0C0C"/>
          <w:spacing w:val="-1"/>
          <w:position w:val="11"/>
        </w:rPr>
        <w:t>[33]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。</w:t>
      </w:r>
    </w:p>
    <w:p>
      <w:pPr>
        <w:ind w:left="1001" w:right="99" w:firstLine="525"/>
        <w:spacing w:before="1" w:line="36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目前，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与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的因果关系尚不明确，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DKA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AP </w:t>
      </w:r>
      <w:r>
        <w:rPr>
          <w:rFonts w:ascii="SimSun" w:hAnsi="SimSun" w:eastAsia="SimSun" w:cs="SimSun"/>
          <w:sz w:val="24"/>
          <w:szCs w:val="24"/>
          <w:color w:val="0C0C0C"/>
          <w:spacing w:val="-4"/>
        </w:rPr>
        <w:t>较单纯的</w:t>
      </w:r>
      <w:r>
        <w:rPr>
          <w:rFonts w:ascii="SimSun" w:hAnsi="SimSun" w:eastAsia="SimSun" w:cs="SimSun"/>
          <w:sz w:val="24"/>
          <w:szCs w:val="24"/>
          <w:color w:val="0C0C0C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5"/>
        </w:rPr>
        <w:t>KA </w:t>
      </w:r>
      <w:r>
        <w:rPr>
          <w:rFonts w:ascii="SimSun" w:hAnsi="SimSun" w:eastAsia="SimSun" w:cs="SimSun"/>
          <w:sz w:val="24"/>
          <w:szCs w:val="24"/>
          <w:color w:val="0C0C0C"/>
          <w:spacing w:val="-5"/>
        </w:rPr>
        <w:t>有其特殊之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处，国内外研究多以病例报道为主，随着我国糖尿病人数激增及肥胖率的增加，在发生</w:t>
      </w:r>
      <w:r>
        <w:rPr>
          <w:rFonts w:ascii="SimSun" w:hAnsi="SimSun" w:eastAsia="SimSun" w:cs="SimSun"/>
          <w:sz w:val="24"/>
          <w:szCs w:val="24"/>
          <w:color w:val="0C0C0C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糖尿病急性并发症时需关注是否合并</w:t>
      </w:r>
      <w:r>
        <w:rPr>
          <w:rFonts w:ascii="SimSun" w:hAnsi="SimSun" w:eastAsia="SimSun" w:cs="SimSun"/>
          <w:sz w:val="24"/>
          <w:szCs w:val="24"/>
          <w:color w:val="0C0C0C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AP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，以免诊治不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及时造成不良后果。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445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31</w:t>
      </w:r>
    </w:p>
    <w:p>
      <w:pPr>
        <w:spacing w:line="181" w:lineRule="auto"/>
        <w:sectPr>
          <w:headerReference w:type="default" r:id="rId19"/>
          <w:footerReference w:type="default" r:id="rId20"/>
          <w:pgSz w:w="11906" w:h="16839"/>
          <w:pgMar w:top="1182" w:right="1318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4902"/>
        <w:spacing w:before="217" w:line="227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8" w:id="18"/>
      <w:bookmarkEnd w:id="18"/>
      <w:r>
        <w:rPr>
          <w:rFonts w:ascii="SimHei" w:hAnsi="SimHei" w:eastAsia="SimHei" w:cs="SimHei"/>
          <w:sz w:val="31"/>
          <w:szCs w:val="31"/>
          <w:color w:val="231F20"/>
          <w:spacing w:val="6"/>
        </w:rPr>
        <w:t>参考文献</w:t>
      </w:r>
    </w:p>
    <w:p>
      <w:pPr>
        <w:ind w:left="998" w:right="810" w:firstLine="13"/>
        <w:spacing w:before="240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[1]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International Diabetes Federation. IDF Dia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betes Atlas, 7th edn. Brussels, Belgium: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International Diabetes Federation,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2015.</w:t>
      </w:r>
    </w:p>
    <w:p>
      <w:pPr>
        <w:ind w:left="1012" w:right="133" w:firstLine="25"/>
        <w:spacing w:before="211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[2]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杨文英.中国糖尿病的流行特点及变化趋势 [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J ]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.</w:t>
      </w:r>
      <w:r>
        <w:rPr>
          <w:rFonts w:ascii="SimSun" w:hAnsi="SimSun" w:eastAsia="SimSun" w:cs="SimSun"/>
          <w:sz w:val="24"/>
          <w:szCs w:val="24"/>
          <w:spacing w:val="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中国科学：生命科学,201</w:t>
      </w:r>
      <w:r>
        <w:rPr>
          <w:rFonts w:ascii="SimSun" w:hAnsi="SimSun" w:eastAsia="SimSun" w:cs="SimSun"/>
          <w:sz w:val="24"/>
          <w:szCs w:val="24"/>
          <w:spacing w:val="-7"/>
        </w:rPr>
        <w:t>8,48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（08</w:t>
      </w:r>
      <w:r>
        <w:rPr>
          <w:rFonts w:ascii="SimSun" w:hAnsi="SimSun" w:eastAsia="SimSun" w:cs="SimSun"/>
          <w:sz w:val="24"/>
          <w:szCs w:val="24"/>
          <w:spacing w:val="5"/>
        </w:rPr>
        <w:t>）：</w:t>
      </w:r>
      <w:r>
        <w:rPr>
          <w:rFonts w:ascii="SimSun" w:hAnsi="SimSun" w:eastAsia="SimSun" w:cs="SimSun"/>
          <w:sz w:val="24"/>
          <w:szCs w:val="24"/>
          <w:spacing w:val="-3"/>
        </w:rPr>
        <w:t>812-819.</w:t>
      </w:r>
    </w:p>
    <w:p>
      <w:pPr>
        <w:ind w:left="993" w:right="361" w:firstLine="18"/>
        <w:spacing w:before="203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[3]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Quintanilla-Flores DL1, Rendón-Ramírez EJ,Clinical course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diabetic keto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acidosis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hypertriglyceridemic pancreatitis Panc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reas. 2015,44(4)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: 615-8.</w:t>
      </w:r>
    </w:p>
    <w:p>
      <w:pPr>
        <w:ind w:left="1000" w:right="776" w:firstLine="11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[4]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Greco DS. Complicated diabet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es mellitus. In: Bonagura JD, Twedt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DC,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eds.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Kirk’s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Current Veterinary Therapy XIV.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St.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Louis: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Saunders Elsevier; 2009(1): 214–218.</w:t>
      </w:r>
    </w:p>
    <w:p>
      <w:pPr>
        <w:ind w:left="993" w:right="637" w:firstLine="17"/>
        <w:spacing w:before="248" w:line="30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[5]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Pant N, Kadaria D, Murillo LC, et al. Abdominal p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athology in patients with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diabetes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ketoacidosis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>. (2012) 344:341–4.</w:t>
      </w:r>
    </w:p>
    <w:p>
      <w:pPr>
        <w:ind w:left="1038"/>
        <w:spacing w:before="191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[6]</w:t>
      </w:r>
      <w:r>
        <w:rPr>
          <w:rFonts w:ascii="SimSun" w:hAnsi="SimSun" w:eastAsia="SimSun" w:cs="SimSun"/>
          <w:sz w:val="24"/>
          <w:szCs w:val="24"/>
          <w:color w:val="0C0C0C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叶任高,陆再英.</w:t>
      </w:r>
      <w:r>
        <w:rPr>
          <w:rFonts w:ascii="SimSun" w:hAnsi="SimSun" w:eastAsia="SimSun" w:cs="SimSun"/>
          <w:sz w:val="24"/>
          <w:szCs w:val="24"/>
          <w:color w:val="0C0C0C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3"/>
        </w:rPr>
        <w:t>内科学[M]. 北京:人民卫生出版社,2005. 810.</w:t>
      </w:r>
    </w:p>
    <w:p>
      <w:pPr>
        <w:ind w:left="1000" w:right="450" w:firstLine="11"/>
        <w:spacing w:before="222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[7]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Umpierrez G, Freire AX. Abdominal pain in patients with hypergl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ycemic crises. J Crit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Care. 2002;17:63–67.</w:t>
      </w:r>
    </w:p>
    <w:p>
      <w:pPr>
        <w:ind w:left="999" w:right="255" w:firstLine="11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[8]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Yadav D, Nair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S, Norkus EP, et al. Nonspecific 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yperamylasemia and hyperlipasemia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diabetic ketoacidosis: incidence and correlation with biochemical abnormalities.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 J</w:t>
      </w:r>
    </w:p>
    <w:p>
      <w:pPr>
        <w:ind w:left="1000"/>
        <w:spacing w:before="248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Gastroenterol. 2000;95: 3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123–3128.</w:t>
      </w:r>
    </w:p>
    <w:p>
      <w:pPr>
        <w:ind w:left="1000" w:right="382" w:firstLine="11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[9]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Pietrzak I, Mianowska B,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[Epidemiology and c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linical course 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diabetic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ketoacidosis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children and adolescents with type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1 diabet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es mellitus].Pediatr Endocrinol Diabetes</w:t>
      </w:r>
    </w:p>
    <w:p>
      <w:pPr>
        <w:ind w:left="996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Metab.2013;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19(4)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:137-42.</w:t>
      </w:r>
    </w:p>
    <w:p>
      <w:pPr>
        <w:ind w:left="1000" w:right="469" w:firstLine="11"/>
        <w:spacing w:before="249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[10]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Hahn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SJ, Park JH, Lee JH, et al.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Severe hy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pertriglyceridemia in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diabetic ketoacidosis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accompanied by acute pancreatitis: case report. J Korean Med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Sci. 2010 ,2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5(9):1375-8.</w:t>
      </w:r>
    </w:p>
    <w:p>
      <w:pPr>
        <w:ind w:left="998" w:right="361" w:firstLine="13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[11]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Havel RJ. Pathogenesis, differentiation and management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hypertriglyceridemia. Adv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Intern Med.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1969;15:117-5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4.</w:t>
      </w:r>
    </w:p>
    <w:p>
      <w:pPr>
        <w:ind w:left="998" w:right="234" w:firstLine="12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[12]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Nagai H, Henrich H, Wünsch PH, et al. Role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pancreatic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enzymes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and the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ir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substrates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in autodigestion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 pancreas. In vitro studies with isolated rat pancreatic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acini.</w:t>
      </w:r>
    </w:p>
    <w:p>
      <w:pPr>
        <w:ind w:left="1000"/>
        <w:spacing w:before="248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Gastroenterology.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1989,96(3):838-47.</w:t>
      </w:r>
    </w:p>
    <w:p>
      <w:pPr>
        <w:ind w:left="1007" w:right="176" w:firstLine="4"/>
        <w:spacing w:before="246" w:line="3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[13]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Warshaw AL, O'Hara PJ.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Susceptibility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the pan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creas to ischemic injury in shock. Ann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Surg.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1978,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"/>
        </w:rPr>
        <w:t>188(2):197-201.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445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32</w:t>
      </w:r>
    </w:p>
    <w:p>
      <w:pPr>
        <w:spacing w:line="181" w:lineRule="auto"/>
        <w:sectPr>
          <w:headerReference w:type="default" r:id="rId17"/>
          <w:footerReference w:type="default" r:id="rId18"/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993" w:right="264" w:firstLine="17"/>
        <w:spacing w:before="215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[14]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Lucchetti G, Granero AL, Almeida LG, et al. Hipertriglic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eridemia grave na cetoacidose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diabética: relato de caso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[Severe hypertriglyceridemia in diabetic ke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toacidosis: case report].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Arq Bras Endocrinol Metabol. 2009,53(7):880-3.</w:t>
      </w:r>
    </w:p>
    <w:p>
      <w:pPr>
        <w:ind w:left="1003" w:right="193" w:firstLine="35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[15]   王自法,潘承恩,刘绍诰.重症急性胰腺炎发病机理研究进展[J].中华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普通外科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</w:rPr>
        <w:t>杂志,1999(02):63-65.</w:t>
      </w:r>
    </w:p>
    <w:p>
      <w:pPr>
        <w:ind w:left="991" w:right="967" w:firstLine="20"/>
        <w:spacing w:before="222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[16]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Nair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S, Yadav D, Pitchumoni CS.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Association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diabetic ketoacidosis and acute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pancreatitis: observations in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100 consecutive episodes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DKA. Am J Gastroenterol.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2000 ,95(10):2795-800.</w:t>
      </w:r>
    </w:p>
    <w:p>
      <w:pPr>
        <w:ind w:left="997" w:right="530" w:firstLine="14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[17]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Pietrzak I, Mianowska B, Zmysłowska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A,et al.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[Epidemiology 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 xml:space="preserve"> clinical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course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diabetic ketoacidosis in children and adolescent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 with type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 diabetes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mellitus]. Pediatr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Endocrinol Diabetes Metab. 2013;19(4):137-42.</w:t>
      </w:r>
    </w:p>
    <w:p>
      <w:pPr>
        <w:ind w:left="993" w:right="329" w:firstLine="18"/>
        <w:spacing w:before="247" w:line="28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[18]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Nakajima M ,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Shirokawa M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, Nakano T , et al.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Fulminant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diabetes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mel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2"/>
        </w:rPr>
        <w:t>litus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remarkable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elevation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serum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pancreatic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enzymes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>[J].</w:t>
      </w:r>
      <w:r>
        <w:rPr>
          <w:sz w:val="24"/>
          <w:szCs w:val="24"/>
          <w:position w:val="-2"/>
        </w:rPr>
        <w:drawing>
          <wp:inline distT="0" distB="0" distL="0" distR="0">
            <wp:extent cx="28355" cy="17462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5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Emergency</w:t>
      </w:r>
    </w:p>
    <w:p>
      <w:pPr>
        <w:ind w:left="996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Medicine, 2018, 36(7):e3-1326.e5.</w:t>
      </w:r>
    </w:p>
    <w:p>
      <w:pPr>
        <w:ind w:left="1011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[19]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Johnson CD, Besselink MG, Carter R.Acute pancreatitis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[J]. BJM,2014,349: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g4859.</w:t>
      </w:r>
    </w:p>
    <w:p>
      <w:pPr>
        <w:ind w:left="999" w:right="73" w:firstLine="39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[20]   陆泽元,邵豪,杨冀衡,等.六例糖尿病酮症酸中毒合并高脂血症和急</w:t>
      </w:r>
      <w:r>
        <w:rPr>
          <w:rFonts w:ascii="SimSun" w:hAnsi="SimSun" w:eastAsia="SimSun" w:cs="SimSun"/>
          <w:sz w:val="24"/>
          <w:szCs w:val="24"/>
          <w:spacing w:val="-2"/>
        </w:rPr>
        <w:t>性胰腺炎临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床分析[J].中华内分泌代谢杂志,2007（01</w:t>
      </w:r>
      <w:r>
        <w:rPr>
          <w:rFonts w:ascii="SimSun" w:hAnsi="SimSun" w:eastAsia="SimSun" w:cs="SimSun"/>
          <w:sz w:val="24"/>
          <w:szCs w:val="24"/>
          <w:spacing w:val="10"/>
        </w:rPr>
        <w:t>）：</w:t>
      </w:r>
      <w:r>
        <w:rPr>
          <w:rFonts w:ascii="SimSun" w:hAnsi="SimSun" w:eastAsia="SimSun" w:cs="SimSun"/>
          <w:sz w:val="24"/>
          <w:szCs w:val="24"/>
          <w:spacing w:val="-1"/>
        </w:rPr>
        <w:t>81-84.</w:t>
      </w:r>
    </w:p>
    <w:p>
      <w:pPr>
        <w:ind w:left="1000" w:right="73" w:firstLine="38"/>
        <w:spacing w:before="18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[21]   陈政,陈娟.糖尿病酮症酸中毒血淀粉酶升高的相关危险因素分析[J].</w:t>
      </w:r>
      <w:r>
        <w:rPr>
          <w:rFonts w:ascii="SimSun" w:hAnsi="SimSun" w:eastAsia="SimSun" w:cs="SimSun"/>
          <w:sz w:val="24"/>
          <w:szCs w:val="24"/>
          <w:spacing w:val="-2"/>
        </w:rPr>
        <w:t>中国糖尿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病杂志,2017,25(09):812-816.</w:t>
      </w:r>
    </w:p>
    <w:p>
      <w:pPr>
        <w:ind w:left="991" w:right="191" w:firstLine="20"/>
        <w:spacing w:before="223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[22]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Warshaw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AL, Banks PA, Fernández-Del Castillo C.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AG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 technical review: treatment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pain in chronic pancreatitis. Gastroenterology.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1998,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115(3):765-76.</w:t>
      </w:r>
    </w:p>
    <w:p>
      <w:pPr>
        <w:ind w:left="998" w:right="246" w:firstLine="13"/>
        <w:spacing w:before="248" w:line="28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[23]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Levitt M D , Rapoport M , Cooperband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Renal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Clearance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of</w:t>
      </w:r>
      <w:r>
        <w:rPr>
          <w:shd w:val="clear" w:fill="FBFBFB"/>
          <w:rFonts w:ascii="Times New Roman" w:hAnsi="Times New Roman" w:eastAsia="Times New Roman" w:cs="Times New Roman"/>
          <w:sz w:val="24"/>
          <w:szCs w:val="24"/>
          <w:color w:val="222222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Amylase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Renal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Insufficiency,</w:t>
      </w:r>
      <w:r>
        <w:rPr>
          <w:sz w:val="24"/>
          <w:szCs w:val="24"/>
          <w:position w:val="-2"/>
        </w:rPr>
        <w:drawing>
          <wp:inline distT="0" distB="0" distL="0" distR="0">
            <wp:extent cx="27831" cy="17462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31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Acute Pancreatitis, and Macroamylasemia[J].</w:t>
      </w:r>
      <w:r>
        <w:rPr>
          <w:sz w:val="24"/>
          <w:szCs w:val="24"/>
          <w:position w:val="-2"/>
        </w:rPr>
        <w:drawing>
          <wp:inline distT="0" distB="0" distL="0" distR="0">
            <wp:extent cx="28436" cy="17462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6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Annals of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Internal Medi</w:t>
      </w: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cine,</w:t>
      </w:r>
    </w:p>
    <w:p>
      <w:pPr>
        <w:ind w:left="1020"/>
        <w:spacing w:before="246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22222"/>
          <w:spacing w:val="-1"/>
        </w:rPr>
        <w:t>1969, 71(5):919-925.</w:t>
      </w:r>
    </w:p>
    <w:p>
      <w:pPr>
        <w:ind w:left="1011"/>
        <w:spacing w:before="187" w:line="2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[24]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Bouchaala K</w:t>
      </w:r>
      <w:r>
        <w:rPr>
          <w:sz w:val="24"/>
          <w:szCs w:val="24"/>
          <w:position w:val="-3"/>
        </w:rPr>
        <w:drawing>
          <wp:inline distT="0" distB="0" distL="0" distR="0">
            <wp:extent cx="0" cy="18288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, Bahlo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ul M, Bradii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S, et al. Acute Pancreatitis Induced by Diabetic</w:t>
      </w:r>
    </w:p>
    <w:p>
      <w:pPr>
        <w:ind w:left="1001" w:right="363" w:hanging="5"/>
        <w:spacing w:before="239" w:line="3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Ketoacidosis with Major Hypertriglyceridemia: Report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Four Cases. Case Rep Crit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Care.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(2020);2020:7653730.</w:t>
      </w:r>
    </w:p>
    <w:p>
      <w:pPr>
        <w:ind w:left="993" w:right="902" w:firstLine="18"/>
        <w:spacing w:before="248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[25]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Mennecier D, Ceppa F, Le Berre JP, et al.[Acute pancreatitis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secondary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severe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hypertriglyceridemia major during a diabetic ketoacidosis]. Gastroenterol Clin Bi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ol.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2009,33(10-11):1052-4.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445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33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11"/>
        <w:spacing w:before="214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[26]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Timilsina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S, Timil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sina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S, Mandal A, et al. Triad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Diabetic Ketoacidosis,</w:t>
      </w:r>
    </w:p>
    <w:p>
      <w:pPr>
        <w:ind w:left="993" w:right="305" w:firstLine="2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Hypertriglyceridemia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Pancreatitis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>: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Severity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Pancreatitis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Correlate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with the Level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Hypertriglyceridemia. Cureus. 2019,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11(6):e493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0.</w:t>
      </w:r>
    </w:p>
    <w:p>
      <w:pPr>
        <w:ind w:left="1008" w:right="193" w:firstLine="30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[27]   中华医学会糖尿病学分会.中国高血糖危象诊断与治疗指南[J].中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华糖尿病杂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志, 2013,</w:t>
      </w:r>
      <w:r>
        <w:rPr>
          <w:rFonts w:ascii="SimSun" w:hAnsi="SimSun" w:eastAsia="SimSun" w:cs="SimSun"/>
          <w:sz w:val="24"/>
          <w:szCs w:val="24"/>
          <w:color w:val="0C0C0C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5(8):449-46.</w:t>
      </w:r>
    </w:p>
    <w:p>
      <w:pPr>
        <w:ind w:left="1000" w:right="61" w:firstLine="11"/>
        <w:spacing w:before="222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[28]</w:t>
      </w:r>
      <w:r>
        <w:rPr>
          <w:rFonts w:ascii="Times New Roman" w:hAnsi="Times New Roman" w:eastAsia="Times New Roman" w:cs="Times New Roman"/>
          <w:sz w:val="24"/>
          <w:szCs w:val="24"/>
          <w:color w:val="222222"/>
        </w:rPr>
        <w:t>Ar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vanitakis M, Ockenga J, Bezmarevic M, et al. ESPEN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guideline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nutrition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acute and chronic panc reatitis[J]. Clin Nut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r, 2020, 39(3):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612-631.</w:t>
      </w:r>
    </w:p>
    <w:p>
      <w:pPr>
        <w:ind w:left="1000" w:right="565" w:firstLine="11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[29]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Tenner S, Baillie J, DeWitt J,et al.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America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n College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Gastroenterology.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College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Gastroenterology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guideline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>: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acute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pancreatitis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Am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J</w:t>
      </w:r>
    </w:p>
    <w:p>
      <w:pPr>
        <w:ind w:left="1000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Gastroenterol. 2013,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108(9):1400-15;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"/>
        </w:rPr>
        <w:t>1416.</w:t>
      </w:r>
    </w:p>
    <w:p>
      <w:pPr>
        <w:ind w:left="998" w:right="218" w:firstLine="12"/>
        <w:spacing w:before="248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[30]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Schaefer EW, Leung A, Kravarusic J, et al. Management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evere hypertriglyceridemia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in the hospital: a review. J Hosp Med. 2012,7(5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):431-8.</w:t>
      </w:r>
    </w:p>
    <w:p>
      <w:pPr>
        <w:ind w:left="1023" w:right="73" w:firstLine="14"/>
        <w:spacing w:before="21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[31]   宏欣,王立明,张正良,等.高甘油三酯血症性急性胰腺炎诊治急诊专家共识[</w:t>
      </w:r>
      <w:r>
        <w:rPr>
          <w:rFonts w:ascii="SimSun" w:hAnsi="SimSun" w:eastAsia="SimSun" w:cs="SimSun"/>
          <w:sz w:val="24"/>
          <w:szCs w:val="24"/>
          <w:color w:val="0C0C0C"/>
          <w:spacing w:val="-2"/>
        </w:rPr>
        <w:t>J].</w:t>
      </w:r>
      <w:r>
        <w:rPr>
          <w:rFonts w:ascii="SimSun" w:hAnsi="SimSun" w:eastAsia="SimSun" w:cs="SimSun"/>
          <w:sz w:val="24"/>
          <w:szCs w:val="24"/>
          <w:color w:val="0C0C0C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中国全科医学,2021,24(30):3781-3793.</w:t>
      </w:r>
    </w:p>
    <w:p>
      <w:pPr>
        <w:ind w:left="1000" w:right="773" w:firstLine="11"/>
        <w:spacing w:before="222" w:line="2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[32]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Basurto Ona X, Rigau Comas D, Urrútia G. Opioids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acute pancr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eatitis pain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Cochrane Database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Sys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 Rev. 2013,(7):CD009179.</w:t>
      </w:r>
    </w:p>
    <w:p>
      <w:pPr>
        <w:ind w:left="993" w:right="52" w:firstLine="17"/>
        <w:spacing w:before="249" w:line="33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[33]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Mowery NT, Bruns BR, MacNew HG, et al.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Surgical management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ncreatic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necrosis: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practice management guideline from the Eastern Association for the Surger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y of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Trauma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J Trauma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Acute Care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1212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color w:val="212121"/>
          <w:spacing w:val="-1"/>
        </w:rPr>
        <w:t>urg. 2017,83(2):316-327.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445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34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5316"/>
        <w:spacing w:before="100" w:line="219" w:lineRule="auto"/>
        <w:outlineLvl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附录</w:t>
      </w:r>
    </w:p>
    <w:p>
      <w:pPr>
        <w:ind w:left="998" w:right="4" w:firstLine="10"/>
        <w:spacing w:before="29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急性生理和慢性健康评分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II</w:t>
      </w:r>
      <w:r>
        <w:rPr>
          <w:rFonts w:ascii="SimSun" w:hAnsi="SimSun" w:eastAsia="SimSun" w:cs="SimSun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</w:rPr>
        <w:t>acute physiolo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gy and chronic health evaluation scoring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color w:val="3333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0"/>
        </w:rPr>
        <w:t>Ⅱ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333333"/>
          <w:spacing w:val="-10"/>
        </w:rPr>
        <w:t>,</w:t>
      </w:r>
      <w:r>
        <w:rPr>
          <w:rFonts w:ascii="SimSun" w:hAnsi="SimSun" w:eastAsia="SimSun" w:cs="SimSun"/>
          <w:sz w:val="24"/>
          <w:szCs w:val="24"/>
          <w:color w:val="333333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0"/>
        </w:rPr>
        <w:t>APACHE II</w:t>
      </w:r>
      <w:r>
        <w:rPr>
          <w:rFonts w:ascii="SimSun" w:hAnsi="SimSun" w:eastAsia="SimSun" w:cs="SimSun"/>
          <w:sz w:val="24"/>
          <w:szCs w:val="24"/>
          <w:color w:val="333333"/>
          <w:spacing w:val="-10"/>
        </w:rPr>
        <w:t>）</w:t>
      </w:r>
    </w:p>
    <w:p>
      <w:pPr>
        <w:ind w:left="1005"/>
        <w:spacing w:before="14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一、急性生理评分</w:t>
      </w:r>
    </w:p>
    <w:tbl>
      <w:tblPr>
        <w:tblStyle w:val="TableNormal"/>
        <w:tblW w:w="8293" w:type="dxa"/>
        <w:tblInd w:w="138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99"/>
        <w:gridCol w:w="1343"/>
        <w:gridCol w:w="1295"/>
        <w:gridCol w:w="1185"/>
        <w:gridCol w:w="1236"/>
        <w:gridCol w:w="868"/>
        <w:gridCol w:w="467"/>
      </w:tblGrid>
      <w:tr>
        <w:trPr>
          <w:trHeight w:val="633" w:hRule="atLeast"/>
        </w:trPr>
        <w:tc>
          <w:tcPr>
            <w:tcW w:w="1899" w:type="dxa"/>
            <w:vAlign w:val="top"/>
          </w:tcPr>
          <w:p>
            <w:pPr>
              <w:ind w:left="743"/>
              <w:spacing w:before="213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4"/>
              </w:rPr>
              <w:t>变量</w:t>
            </w:r>
          </w:p>
        </w:tc>
        <w:tc>
          <w:tcPr>
            <w:tcW w:w="1343" w:type="dxa"/>
            <w:vAlign w:val="top"/>
          </w:tcPr>
          <w:p>
            <w:pPr>
              <w:ind w:left="625"/>
              <w:spacing w:before="21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0</w:t>
            </w:r>
          </w:p>
        </w:tc>
        <w:tc>
          <w:tcPr>
            <w:tcW w:w="1295" w:type="dxa"/>
            <w:vAlign w:val="top"/>
          </w:tcPr>
          <w:p>
            <w:pPr>
              <w:ind w:left="615"/>
              <w:spacing w:before="213" w:line="27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1</w:t>
            </w:r>
          </w:p>
        </w:tc>
        <w:tc>
          <w:tcPr>
            <w:tcW w:w="1185" w:type="dxa"/>
            <w:vAlign w:val="top"/>
          </w:tcPr>
          <w:p>
            <w:pPr>
              <w:ind w:left="548"/>
              <w:spacing w:before="213" w:line="27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2</w:t>
            </w:r>
          </w:p>
        </w:tc>
        <w:tc>
          <w:tcPr>
            <w:tcW w:w="1236" w:type="dxa"/>
            <w:vAlign w:val="top"/>
          </w:tcPr>
          <w:p>
            <w:pPr>
              <w:ind w:left="577"/>
              <w:spacing w:before="21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3</w:t>
            </w:r>
          </w:p>
        </w:tc>
        <w:tc>
          <w:tcPr>
            <w:tcW w:w="868" w:type="dxa"/>
            <w:vAlign w:val="top"/>
          </w:tcPr>
          <w:p>
            <w:pPr>
              <w:ind w:left="389"/>
              <w:spacing w:before="213" w:line="27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4</w:t>
            </w:r>
          </w:p>
        </w:tc>
        <w:tc>
          <w:tcPr>
            <w:tcW w:w="467" w:type="dxa"/>
            <w:vAlign w:val="top"/>
            <w:textDirection w:val="tbRlV"/>
          </w:tcPr>
          <w:p>
            <w:pPr>
              <w:ind w:left="57"/>
              <w:spacing w:before="126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6"/>
              </w:rPr>
              <w:t>得 分</w:t>
            </w:r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30"/>
              <w:spacing w:before="208" w:line="23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333333"/>
              </w:rPr>
              <w:t>1.肛温</w:t>
            </w:r>
            <w:r>
              <w:rPr>
                <w:rFonts w:ascii="SimSun" w:hAnsi="SimSun" w:eastAsia="SimSun" w:cs="SimSun"/>
                <w:color w:val="333333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</w:rPr>
              <w:t>(</w:t>
            </w:r>
            <w:r>
              <w:rPr>
                <w:color w:val="333333"/>
              </w:rPr>
              <w:t>℃</w:t>
            </w:r>
            <w:r>
              <w:rPr>
                <w:rFonts w:ascii="SimSun" w:hAnsi="SimSun" w:eastAsia="SimSun" w:cs="SimSun"/>
                <w:color w:val="333333"/>
              </w:rPr>
              <w:t>)</w:t>
            </w:r>
          </w:p>
        </w:tc>
        <w:tc>
          <w:tcPr>
            <w:tcW w:w="1343" w:type="dxa"/>
            <w:vAlign w:val="top"/>
          </w:tcPr>
          <w:p>
            <w:pPr>
              <w:ind w:left="207"/>
              <w:spacing w:before="209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36.0-38.4</w:t>
            </w:r>
          </w:p>
        </w:tc>
        <w:tc>
          <w:tcPr>
            <w:tcW w:w="1295" w:type="dxa"/>
            <w:vAlign w:val="top"/>
          </w:tcPr>
          <w:p>
            <w:pPr>
              <w:ind w:left="184"/>
              <w:spacing w:before="53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34.0-35.9</w:t>
            </w:r>
          </w:p>
          <w:p>
            <w:pPr>
              <w:ind w:left="184"/>
              <w:spacing w:before="44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38.5-38.9</w:t>
            </w:r>
          </w:p>
        </w:tc>
        <w:tc>
          <w:tcPr>
            <w:tcW w:w="1185" w:type="dxa"/>
            <w:vAlign w:val="top"/>
          </w:tcPr>
          <w:p>
            <w:pPr>
              <w:ind w:left="130"/>
              <w:spacing w:before="209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32.0-33.9</w:t>
            </w:r>
          </w:p>
        </w:tc>
        <w:tc>
          <w:tcPr>
            <w:tcW w:w="1236" w:type="dxa"/>
            <w:vAlign w:val="top"/>
          </w:tcPr>
          <w:p>
            <w:pPr>
              <w:ind w:left="157"/>
              <w:spacing w:before="53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30.0-31.9</w:t>
            </w:r>
          </w:p>
          <w:p>
            <w:pPr>
              <w:ind w:left="157"/>
              <w:spacing w:before="44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39.0-40.9</w:t>
            </w:r>
          </w:p>
        </w:tc>
        <w:tc>
          <w:tcPr>
            <w:tcW w:w="868" w:type="dxa"/>
            <w:vAlign w:val="top"/>
          </w:tcPr>
          <w:p>
            <w:pPr>
              <w:ind w:left="141"/>
              <w:spacing w:before="53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≤29.9</w:t>
            </w:r>
          </w:p>
          <w:p>
            <w:pPr>
              <w:ind w:left="252"/>
              <w:spacing w:before="47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4"/>
              </w:rPr>
              <w:t>≥41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08" w:right="526" w:firstLine="8"/>
              <w:spacing w:before="52" w:line="277" w:lineRule="auto"/>
              <w:rPr/>
            </w:pPr>
            <w:r>
              <w:rPr>
                <w:rFonts w:ascii="SimSun" w:hAnsi="SimSun" w:eastAsia="SimSun" w:cs="SimSun"/>
                <w:color w:val="333333"/>
                <w:spacing w:val="7"/>
              </w:rPr>
              <w:t>2.平均动脉压</w:t>
            </w:r>
            <w:r>
              <w:rPr>
                <w:rFonts w:ascii="SimSun" w:hAnsi="SimSun" w:eastAsia="SimSun" w:cs="SimSun"/>
                <w:color w:val="333333"/>
              </w:rPr>
              <w:t xml:space="preserve"> </w:t>
            </w:r>
            <w:r>
              <w:rPr>
                <w:color w:val="333333"/>
                <w:spacing w:val="6"/>
              </w:rPr>
              <w:t>mmHg</w:t>
            </w:r>
          </w:p>
        </w:tc>
        <w:tc>
          <w:tcPr>
            <w:tcW w:w="1343" w:type="dxa"/>
            <w:vAlign w:val="top"/>
          </w:tcPr>
          <w:p>
            <w:pPr>
              <w:ind w:left="366"/>
              <w:spacing w:before="208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70-109</w:t>
            </w:r>
          </w:p>
        </w:tc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</w:tcPr>
          <w:p>
            <w:pPr>
              <w:ind w:left="339"/>
              <w:spacing w:before="52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50-69</w:t>
            </w:r>
          </w:p>
          <w:p>
            <w:pPr>
              <w:ind w:left="247"/>
              <w:spacing w:before="4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</w:rPr>
              <w:t>110-129</w:t>
            </w:r>
          </w:p>
        </w:tc>
        <w:tc>
          <w:tcPr>
            <w:tcW w:w="1236" w:type="dxa"/>
            <w:vAlign w:val="top"/>
          </w:tcPr>
          <w:p>
            <w:pPr>
              <w:ind w:left="274"/>
              <w:spacing w:before="208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130-159</w:t>
            </w:r>
          </w:p>
        </w:tc>
        <w:tc>
          <w:tcPr>
            <w:tcW w:w="868" w:type="dxa"/>
            <w:vAlign w:val="top"/>
          </w:tcPr>
          <w:p>
            <w:pPr>
              <w:ind w:left="246"/>
              <w:spacing w:before="52" w:line="26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2"/>
                <w:position w:val="1"/>
              </w:rPr>
              <w:t>≤49</w:t>
            </w:r>
          </w:p>
          <w:p>
            <w:pPr>
              <w:ind w:left="200"/>
              <w:spacing w:before="47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1"/>
              </w:rPr>
              <w:t>≥160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19"/>
              <w:spacing w:before="209" w:line="221" w:lineRule="auto"/>
              <w:rPr/>
            </w:pPr>
            <w:r>
              <w:rPr>
                <w:rFonts w:ascii="SimSun" w:hAnsi="SimSun" w:eastAsia="SimSun" w:cs="SimSun"/>
                <w:color w:val="333333"/>
                <w:spacing w:val="9"/>
              </w:rPr>
              <w:t>3.心室率</w:t>
            </w:r>
            <w:r>
              <w:rPr>
                <w:rFonts w:ascii="SimSun" w:hAnsi="SimSun" w:eastAsia="SimSun" w:cs="SimSun"/>
                <w:color w:val="333333"/>
                <w:spacing w:val="-48"/>
              </w:rPr>
              <w:t xml:space="preserve"> </w:t>
            </w:r>
            <w:r>
              <w:rPr>
                <w:color w:val="333333"/>
              </w:rPr>
              <w:t>bpm</w:t>
            </w:r>
          </w:p>
        </w:tc>
        <w:tc>
          <w:tcPr>
            <w:tcW w:w="1343" w:type="dxa"/>
            <w:vAlign w:val="top"/>
          </w:tcPr>
          <w:p>
            <w:pPr>
              <w:ind w:left="366"/>
              <w:spacing w:before="209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70-109</w:t>
            </w:r>
          </w:p>
        </w:tc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</w:tcPr>
          <w:p>
            <w:pPr>
              <w:ind w:left="339"/>
              <w:spacing w:before="5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55-69</w:t>
            </w:r>
          </w:p>
          <w:p>
            <w:pPr>
              <w:ind w:left="247"/>
              <w:spacing w:before="4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</w:rPr>
              <w:t>110-139</w:t>
            </w:r>
          </w:p>
        </w:tc>
        <w:tc>
          <w:tcPr>
            <w:tcW w:w="1236" w:type="dxa"/>
            <w:vAlign w:val="top"/>
          </w:tcPr>
          <w:p>
            <w:pPr>
              <w:ind w:left="361"/>
              <w:spacing w:before="53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40-54</w:t>
            </w:r>
          </w:p>
          <w:p>
            <w:pPr>
              <w:ind w:left="274"/>
              <w:spacing w:before="4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</w:rPr>
              <w:t>140-179</w:t>
            </w:r>
          </w:p>
        </w:tc>
        <w:tc>
          <w:tcPr>
            <w:tcW w:w="868" w:type="dxa"/>
            <w:vAlign w:val="top"/>
          </w:tcPr>
          <w:p>
            <w:pPr>
              <w:ind w:left="246"/>
              <w:spacing w:before="53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2"/>
                <w:position w:val="1"/>
              </w:rPr>
              <w:t>≤39</w:t>
            </w:r>
          </w:p>
          <w:p>
            <w:pPr>
              <w:ind w:left="200"/>
              <w:spacing w:before="47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1"/>
              </w:rPr>
              <w:t>≥180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ind w:left="114"/>
              <w:spacing w:before="20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7"/>
              </w:rPr>
              <w:t>4.呼吸频率次/分</w:t>
            </w:r>
          </w:p>
        </w:tc>
        <w:tc>
          <w:tcPr>
            <w:tcW w:w="1343" w:type="dxa"/>
            <w:vAlign w:val="top"/>
          </w:tcPr>
          <w:p>
            <w:pPr>
              <w:ind w:left="427"/>
              <w:spacing w:before="208" w:line="27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12-24</w:t>
            </w:r>
          </w:p>
        </w:tc>
        <w:tc>
          <w:tcPr>
            <w:tcW w:w="1295" w:type="dxa"/>
            <w:vAlign w:val="top"/>
          </w:tcPr>
          <w:p>
            <w:pPr>
              <w:ind w:left="404"/>
              <w:spacing w:before="52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10-11</w:t>
            </w:r>
          </w:p>
          <w:p>
            <w:pPr>
              <w:ind w:left="391"/>
              <w:spacing w:before="43" w:line="23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</w:rPr>
              <w:t>25-34</w:t>
            </w:r>
          </w:p>
        </w:tc>
        <w:tc>
          <w:tcPr>
            <w:tcW w:w="1185" w:type="dxa"/>
            <w:vAlign w:val="top"/>
          </w:tcPr>
          <w:p>
            <w:pPr>
              <w:ind w:left="442"/>
              <w:spacing w:before="208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6-9</w:t>
            </w:r>
          </w:p>
        </w:tc>
        <w:tc>
          <w:tcPr>
            <w:tcW w:w="1236" w:type="dxa"/>
            <w:vAlign w:val="top"/>
          </w:tcPr>
          <w:p>
            <w:pPr>
              <w:ind w:left="366"/>
              <w:spacing w:before="208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35-49</w:t>
            </w:r>
          </w:p>
        </w:tc>
        <w:tc>
          <w:tcPr>
            <w:tcW w:w="868" w:type="dxa"/>
            <w:vAlign w:val="top"/>
          </w:tcPr>
          <w:p>
            <w:pPr>
              <w:ind w:left="299"/>
              <w:spacing w:before="52" w:line="26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5"/>
                <w:position w:val="1"/>
              </w:rPr>
              <w:t>≤5</w:t>
            </w:r>
          </w:p>
          <w:p>
            <w:pPr>
              <w:ind w:left="252"/>
              <w:spacing w:before="46" w:line="23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4"/>
              </w:rPr>
              <w:t>≥50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19" w:right="254"/>
              <w:spacing w:before="53" w:line="26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333333"/>
                <w:spacing w:val="12"/>
              </w:rPr>
              <w:t>5.</w:t>
            </w:r>
            <w:r>
              <w:rPr>
                <w:color w:val="333333"/>
              </w:rPr>
              <w:t>PaO</w:t>
            </w:r>
            <w:r>
              <w:rPr>
                <w:sz w:val="13"/>
                <w:szCs w:val="13"/>
                <w:color w:val="333333"/>
                <w:spacing w:val="12"/>
                <w:position w:val="-1"/>
              </w:rPr>
              <w:t>2   </w:t>
            </w:r>
            <w:r>
              <w:rPr>
                <w:rFonts w:ascii="SimSun" w:hAnsi="SimSun" w:eastAsia="SimSun" w:cs="SimSun"/>
                <w:color w:val="333333"/>
                <w:spacing w:val="12"/>
              </w:rPr>
              <w:t>（</w:t>
            </w:r>
            <w:r>
              <w:rPr>
                <w:color w:val="333333"/>
              </w:rPr>
              <w:t>FiO</w:t>
            </w:r>
            <w:r>
              <w:rPr>
                <w:sz w:val="13"/>
                <w:szCs w:val="13"/>
                <w:color w:val="333333"/>
                <w:spacing w:val="12"/>
                <w:position w:val="-1"/>
              </w:rPr>
              <w:t>2</w:t>
            </w:r>
            <w:r>
              <w:rPr>
                <w:sz w:val="13"/>
                <w:szCs w:val="13"/>
                <w:color w:val="333333"/>
                <w:spacing w:val="-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  <w:spacing w:val="12"/>
              </w:rPr>
              <w:t>&lt;</w:t>
            </w:r>
            <w:r>
              <w:rPr>
                <w:rFonts w:ascii="SimSun" w:hAnsi="SimSun" w:eastAsia="SimSun" w:cs="SimSun"/>
                <w:color w:val="333333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</w:rPr>
              <w:t>50%）</w:t>
            </w:r>
          </w:p>
        </w:tc>
        <w:tc>
          <w:tcPr>
            <w:tcW w:w="1343" w:type="dxa"/>
            <w:vAlign w:val="top"/>
          </w:tcPr>
          <w:p>
            <w:pPr>
              <w:ind w:left="483"/>
              <w:spacing w:before="20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2"/>
                <w:w w:val="109"/>
                <w:position w:val="1"/>
              </w:rPr>
              <w:t>&gt;70</w:t>
            </w:r>
          </w:p>
        </w:tc>
        <w:tc>
          <w:tcPr>
            <w:tcW w:w="1295" w:type="dxa"/>
            <w:vAlign w:val="top"/>
          </w:tcPr>
          <w:p>
            <w:pPr>
              <w:ind w:left="390"/>
              <w:spacing w:before="20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61-70</w:t>
            </w:r>
          </w:p>
        </w:tc>
        <w:tc>
          <w:tcPr>
            <w:tcW w:w="11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6" w:type="dxa"/>
            <w:vAlign w:val="top"/>
          </w:tcPr>
          <w:p>
            <w:pPr>
              <w:ind w:left="366"/>
              <w:spacing w:before="208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55-60</w:t>
            </w:r>
          </w:p>
        </w:tc>
        <w:tc>
          <w:tcPr>
            <w:tcW w:w="868" w:type="dxa"/>
            <w:vAlign w:val="top"/>
          </w:tcPr>
          <w:p>
            <w:pPr>
              <w:ind w:left="246"/>
              <w:spacing w:before="208" w:line="26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2"/>
                <w:position w:val="1"/>
              </w:rPr>
              <w:t>≤55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17" w:right="109" w:hanging="1"/>
              <w:spacing w:before="55" w:line="269" w:lineRule="auto"/>
              <w:jc w:val="both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333333"/>
              </w:rPr>
              <w:t>6.</w:t>
            </w:r>
            <w:r>
              <w:rPr>
                <w:color w:val="333333"/>
              </w:rPr>
              <w:t>A-aDO</w:t>
            </w:r>
            <w:r>
              <w:rPr>
                <w:sz w:val="13"/>
                <w:szCs w:val="13"/>
                <w:color w:val="333333"/>
                <w:position w:val="-1"/>
              </w:rPr>
              <w:t>2</w:t>
            </w:r>
            <w:r>
              <w:rPr>
                <w:rFonts w:ascii="SimSun" w:hAnsi="SimSun" w:eastAsia="SimSun" w:cs="SimSun"/>
                <w:color w:val="333333"/>
              </w:rPr>
              <w:t>（</w:t>
            </w:r>
            <w:r>
              <w:rPr>
                <w:color w:val="333333"/>
              </w:rPr>
              <w:t>FiO</w:t>
            </w:r>
            <w:r>
              <w:rPr>
                <w:sz w:val="13"/>
                <w:szCs w:val="13"/>
                <w:color w:val="333333"/>
                <w:position w:val="-1"/>
              </w:rPr>
              <w:t>2 </w:t>
            </w:r>
            <w:r>
              <w:rPr>
                <w:rFonts w:ascii="SimSun" w:hAnsi="SimSun" w:eastAsia="SimSun" w:cs="SimSun"/>
                <w:color w:val="333333"/>
              </w:rPr>
              <w:t>≥</w:t>
            </w:r>
            <w:r>
              <w:rPr>
                <w:rFonts w:ascii="SimSun" w:hAnsi="SimSun" w:eastAsia="SimSun" w:cs="SimSun"/>
                <w:color w:val="33333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  <w:spacing w:val="8"/>
              </w:rPr>
              <w:t>50%</w:t>
            </w:r>
            <w:r>
              <w:rPr>
                <w:rFonts w:ascii="SimSun" w:hAnsi="SimSun" w:eastAsia="SimSun" w:cs="SimSun"/>
                <w:color w:val="333333"/>
                <w:spacing w:val="-6"/>
              </w:rPr>
              <w:t>）（</w:t>
            </w:r>
            <w:r>
              <w:rPr>
                <w:rFonts w:ascii="SimSun" w:hAnsi="SimSun" w:eastAsia="SimSun" w:cs="SimSun"/>
                <w:color w:val="333333"/>
                <w:spacing w:val="8"/>
              </w:rPr>
              <w:t>5、6</w:t>
            </w:r>
            <w:r>
              <w:rPr>
                <w:rFonts w:ascii="SimSun" w:hAnsi="SimSun" w:eastAsia="SimSun" w:cs="SimSun"/>
                <w:color w:val="333333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  <w:spacing w:val="8"/>
              </w:rPr>
              <w:t>任性</w:t>
            </w:r>
            <w:r>
              <w:rPr>
                <w:rFonts w:ascii="SimSun" w:hAnsi="SimSun" w:eastAsia="SimSun" w:cs="SimSun"/>
                <w:color w:val="333333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  <w:spacing w:val="2"/>
              </w:rPr>
              <w:t>一项）</w:t>
            </w:r>
          </w:p>
        </w:tc>
        <w:tc>
          <w:tcPr>
            <w:tcW w:w="134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427"/>
              <w:spacing w:before="65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0"/>
                <w:w w:val="105"/>
                <w:position w:val="1"/>
              </w:rPr>
              <w:t>&lt;200</w:t>
            </w:r>
          </w:p>
        </w:tc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34"/>
              <w:spacing w:before="65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200-349</w:t>
            </w:r>
          </w:p>
        </w:tc>
        <w:tc>
          <w:tcPr>
            <w:tcW w:w="1236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5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350-499</w:t>
            </w:r>
          </w:p>
        </w:tc>
        <w:tc>
          <w:tcPr>
            <w:tcW w:w="86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266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1"/>
                <w:position w:val="1"/>
              </w:rPr>
              <w:t>≥500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20"/>
              <w:spacing w:before="210" w:line="22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333333"/>
                <w:spacing w:val="5"/>
              </w:rPr>
              <w:t>7.动脉血</w:t>
            </w:r>
            <w:r>
              <w:rPr>
                <w:rFonts w:ascii="SimSun" w:hAnsi="SimSun" w:eastAsia="SimSun" w:cs="SimSun"/>
                <w:color w:val="333333"/>
                <w:spacing w:val="-41"/>
              </w:rPr>
              <w:t xml:space="preserve"> </w:t>
            </w:r>
            <w:r>
              <w:rPr>
                <w:color w:val="333333"/>
              </w:rPr>
              <w:t>PH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  <w:spacing w:val="5"/>
              </w:rPr>
              <w:t>值</w:t>
            </w:r>
          </w:p>
        </w:tc>
        <w:tc>
          <w:tcPr>
            <w:tcW w:w="1343" w:type="dxa"/>
            <w:vAlign w:val="top"/>
          </w:tcPr>
          <w:p>
            <w:pPr>
              <w:ind w:left="208"/>
              <w:spacing w:before="21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7.33-7.49</w:t>
            </w:r>
          </w:p>
        </w:tc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</w:tcPr>
          <w:p>
            <w:pPr>
              <w:ind w:left="131"/>
              <w:spacing w:before="5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7.25-7.32</w:t>
            </w:r>
          </w:p>
          <w:p>
            <w:pPr>
              <w:ind w:left="131"/>
              <w:spacing w:before="43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7.50-7.59</w:t>
            </w:r>
          </w:p>
        </w:tc>
        <w:tc>
          <w:tcPr>
            <w:tcW w:w="1236" w:type="dxa"/>
            <w:vAlign w:val="top"/>
          </w:tcPr>
          <w:p>
            <w:pPr>
              <w:ind w:left="158"/>
              <w:spacing w:before="5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7.15-7.24</w:t>
            </w:r>
          </w:p>
          <w:p>
            <w:pPr>
              <w:ind w:left="158"/>
              <w:spacing w:before="43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7.60-7.69</w:t>
            </w:r>
          </w:p>
        </w:tc>
        <w:tc>
          <w:tcPr>
            <w:tcW w:w="868" w:type="dxa"/>
            <w:vAlign w:val="top"/>
          </w:tcPr>
          <w:p>
            <w:pPr>
              <w:ind w:left="141"/>
              <w:spacing w:before="55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≤7.15</w:t>
            </w:r>
          </w:p>
          <w:p>
            <w:pPr>
              <w:ind w:left="200"/>
              <w:spacing w:before="46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1"/>
              </w:rPr>
              <w:t>≥7.7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7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15"/>
              <w:spacing w:before="63" w:line="22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333333"/>
                <w:spacing w:val="6"/>
              </w:rPr>
              <w:t>8.血浆</w:t>
            </w:r>
            <w:r>
              <w:rPr>
                <w:rFonts w:ascii="SimSun" w:hAnsi="SimSun" w:eastAsia="SimSun" w:cs="SimSun"/>
                <w:color w:val="333333"/>
                <w:spacing w:val="-41"/>
              </w:rPr>
              <w:t xml:space="preserve"> </w:t>
            </w:r>
            <w:r>
              <w:rPr>
                <w:color w:val="333333"/>
              </w:rPr>
              <w:t>HCO</w:t>
            </w:r>
            <w:r>
              <w:rPr>
                <w:sz w:val="13"/>
                <w:szCs w:val="13"/>
                <w:color w:val="333333"/>
                <w:spacing w:val="6"/>
                <w:position w:val="-1"/>
              </w:rPr>
              <w:t>3</w:t>
            </w:r>
            <w:r>
              <w:rPr>
                <w:sz w:val="13"/>
                <w:szCs w:val="13"/>
                <w:color w:val="333333"/>
                <w:spacing w:val="6"/>
                <w:position w:val="7"/>
              </w:rPr>
              <w:t>-</w:t>
            </w:r>
            <w:r>
              <w:rPr>
                <w:rFonts w:ascii="SimSun" w:hAnsi="SimSun" w:eastAsia="SimSun" w:cs="SimSun"/>
                <w:color w:val="333333"/>
                <w:spacing w:val="6"/>
              </w:rPr>
              <w:t>（7、</w:t>
            </w:r>
          </w:p>
          <w:p>
            <w:pPr>
              <w:ind w:left="115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4"/>
              </w:rPr>
              <w:t>8</w:t>
            </w: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4"/>
              </w:rPr>
              <w:t>任选一项）</w:t>
            </w:r>
          </w:p>
        </w:tc>
        <w:tc>
          <w:tcPr>
            <w:tcW w:w="1343" w:type="dxa"/>
            <w:vAlign w:val="top"/>
          </w:tcPr>
          <w:p>
            <w:pPr>
              <w:ind w:left="205"/>
              <w:spacing w:before="220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21.3-31.9</w:t>
            </w:r>
          </w:p>
        </w:tc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</w:tcPr>
          <w:p>
            <w:pPr>
              <w:ind w:left="247"/>
              <w:spacing w:before="64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18-21.9</w:t>
            </w:r>
          </w:p>
          <w:p>
            <w:pPr>
              <w:ind w:left="235"/>
              <w:spacing w:before="43" w:line="24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32-40.9</w:t>
            </w:r>
          </w:p>
        </w:tc>
        <w:tc>
          <w:tcPr>
            <w:tcW w:w="1236" w:type="dxa"/>
            <w:vAlign w:val="top"/>
          </w:tcPr>
          <w:p>
            <w:pPr>
              <w:ind w:left="274"/>
              <w:spacing w:before="64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15-17.9</w:t>
            </w:r>
          </w:p>
          <w:p>
            <w:pPr>
              <w:ind w:left="152"/>
              <w:spacing w:before="43" w:line="24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4"/>
              </w:rPr>
              <w:t>41.0-51.9</w:t>
            </w:r>
          </w:p>
        </w:tc>
        <w:tc>
          <w:tcPr>
            <w:tcW w:w="868" w:type="dxa"/>
            <w:vAlign w:val="top"/>
          </w:tcPr>
          <w:p>
            <w:pPr>
              <w:ind w:left="246"/>
              <w:spacing w:before="220" w:line="26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2"/>
                <w:position w:val="1"/>
              </w:rPr>
              <w:t>≤15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15"/>
              <w:spacing w:before="211" w:line="228" w:lineRule="auto"/>
              <w:rPr/>
            </w:pPr>
            <w:r>
              <w:rPr>
                <w:rFonts w:ascii="SimSun" w:hAnsi="SimSun" w:eastAsia="SimSun" w:cs="SimSun"/>
                <w:color w:val="333333"/>
                <w:spacing w:val="8"/>
              </w:rPr>
              <w:t>9.血浆钠</w:t>
            </w:r>
            <w:r>
              <w:rPr>
                <w:rFonts w:ascii="SimSun" w:hAnsi="SimSun" w:eastAsia="SimSun" w:cs="SimSun"/>
                <w:color w:val="333333"/>
                <w:spacing w:val="-43"/>
              </w:rPr>
              <w:t xml:space="preserve"> </w:t>
            </w:r>
            <w:r>
              <w:rPr>
                <w:color w:val="333333"/>
              </w:rPr>
              <w:t>mmol</w:t>
            </w:r>
            <w:r>
              <w:rPr>
                <w:color w:val="333333"/>
                <w:spacing w:val="8"/>
              </w:rPr>
              <w:t>/L</w:t>
            </w:r>
          </w:p>
        </w:tc>
        <w:tc>
          <w:tcPr>
            <w:tcW w:w="1343" w:type="dxa"/>
            <w:vAlign w:val="top"/>
          </w:tcPr>
          <w:p>
            <w:pPr>
              <w:ind w:left="324"/>
              <w:spacing w:before="21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130-149</w:t>
            </w:r>
          </w:p>
        </w:tc>
        <w:tc>
          <w:tcPr>
            <w:tcW w:w="1295" w:type="dxa"/>
            <w:vAlign w:val="top"/>
          </w:tcPr>
          <w:p>
            <w:pPr>
              <w:ind w:left="301"/>
              <w:spacing w:before="211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150-154</w:t>
            </w:r>
          </w:p>
        </w:tc>
        <w:tc>
          <w:tcPr>
            <w:tcW w:w="1185" w:type="dxa"/>
            <w:vAlign w:val="top"/>
          </w:tcPr>
          <w:p>
            <w:pPr>
              <w:ind w:left="247"/>
              <w:spacing w:before="5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120-129</w:t>
            </w:r>
          </w:p>
          <w:p>
            <w:pPr>
              <w:ind w:left="247"/>
              <w:spacing w:before="4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</w:rPr>
              <w:t>155-159</w:t>
            </w:r>
          </w:p>
        </w:tc>
        <w:tc>
          <w:tcPr>
            <w:tcW w:w="1236" w:type="dxa"/>
            <w:vAlign w:val="top"/>
          </w:tcPr>
          <w:p>
            <w:pPr>
              <w:ind w:left="274"/>
              <w:spacing w:before="5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111-119</w:t>
            </w:r>
          </w:p>
          <w:p>
            <w:pPr>
              <w:ind w:left="274"/>
              <w:spacing w:before="4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</w:rPr>
              <w:t>160-179</w:t>
            </w:r>
          </w:p>
        </w:tc>
        <w:tc>
          <w:tcPr>
            <w:tcW w:w="868" w:type="dxa"/>
            <w:vAlign w:val="top"/>
          </w:tcPr>
          <w:p>
            <w:pPr>
              <w:ind w:left="194"/>
              <w:spacing w:before="55" w:line="26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≤110</w:t>
            </w:r>
          </w:p>
          <w:p>
            <w:pPr>
              <w:ind w:left="200"/>
              <w:spacing w:before="4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1"/>
              </w:rPr>
              <w:t>≥180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30"/>
              <w:spacing w:before="210" w:line="228" w:lineRule="auto"/>
              <w:rPr/>
            </w:pPr>
            <w:r>
              <w:rPr>
                <w:rFonts w:ascii="SimSun" w:hAnsi="SimSun" w:eastAsia="SimSun" w:cs="SimSun"/>
                <w:color w:val="333333"/>
                <w:spacing w:val="6"/>
              </w:rPr>
              <w:t>10.血浆钾</w:t>
            </w:r>
            <w:r>
              <w:rPr>
                <w:rFonts w:ascii="SimSun" w:hAnsi="SimSun" w:eastAsia="SimSun" w:cs="SimSun"/>
                <w:color w:val="333333"/>
                <w:spacing w:val="-44"/>
              </w:rPr>
              <w:t xml:space="preserve"> </w:t>
            </w:r>
            <w:r>
              <w:rPr>
                <w:color w:val="333333"/>
              </w:rPr>
              <w:t>mmol</w:t>
            </w:r>
            <w:r>
              <w:rPr>
                <w:color w:val="333333"/>
                <w:spacing w:val="6"/>
              </w:rPr>
              <w:t>/L</w:t>
            </w:r>
          </w:p>
        </w:tc>
        <w:tc>
          <w:tcPr>
            <w:tcW w:w="1343" w:type="dxa"/>
            <w:vAlign w:val="top"/>
          </w:tcPr>
          <w:p>
            <w:pPr>
              <w:ind w:left="313"/>
              <w:spacing w:before="21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3.5-5.4</w:t>
            </w:r>
          </w:p>
        </w:tc>
        <w:tc>
          <w:tcPr>
            <w:tcW w:w="1295" w:type="dxa"/>
            <w:vAlign w:val="top"/>
          </w:tcPr>
          <w:p>
            <w:pPr>
              <w:ind w:left="290"/>
              <w:spacing w:before="5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3.0-3.4</w:t>
            </w:r>
          </w:p>
          <w:p>
            <w:pPr>
              <w:ind w:left="290"/>
              <w:spacing w:before="43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5.5-5.9</w:t>
            </w:r>
          </w:p>
        </w:tc>
        <w:tc>
          <w:tcPr>
            <w:tcW w:w="1185" w:type="dxa"/>
            <w:vAlign w:val="top"/>
          </w:tcPr>
          <w:p>
            <w:pPr>
              <w:ind w:left="234"/>
              <w:spacing w:before="21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2.5-2.9</w:t>
            </w:r>
          </w:p>
        </w:tc>
        <w:tc>
          <w:tcPr>
            <w:tcW w:w="1236" w:type="dxa"/>
            <w:vAlign w:val="top"/>
          </w:tcPr>
          <w:p>
            <w:pPr>
              <w:ind w:left="260"/>
              <w:spacing w:before="211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6.0-6.9</w:t>
            </w:r>
          </w:p>
        </w:tc>
        <w:tc>
          <w:tcPr>
            <w:tcW w:w="868" w:type="dxa"/>
            <w:vAlign w:val="top"/>
          </w:tcPr>
          <w:p>
            <w:pPr>
              <w:ind w:left="195"/>
              <w:spacing w:before="55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4"/>
                <w:w w:val="101"/>
                <w:position w:val="1"/>
              </w:rPr>
              <w:t>&lt;2.5</w:t>
            </w:r>
          </w:p>
          <w:p>
            <w:pPr>
              <w:ind w:left="305"/>
              <w:spacing w:before="43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8"/>
              </w:rPr>
              <w:t>≥7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17" w:right="318" w:firstLine="12"/>
              <w:spacing w:before="55" w:line="26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333333"/>
                <w:spacing w:val="4"/>
              </w:rPr>
              <w:t>11. 肌酐</w:t>
            </w:r>
            <w:r>
              <w:rPr>
                <w:rFonts w:ascii="SimSun" w:hAnsi="SimSun" w:eastAsia="SimSun" w:cs="SimSun"/>
                <w:color w:val="333333"/>
                <w:spacing w:val="-44"/>
              </w:rPr>
              <w:t xml:space="preserve"> </w:t>
            </w:r>
            <w:r>
              <w:rPr>
                <w:color w:val="333333"/>
              </w:rPr>
              <w:t>mg</w:t>
            </w:r>
            <w:r>
              <w:rPr>
                <w:color w:val="333333"/>
                <w:spacing w:val="4"/>
              </w:rPr>
              <w:t>/L</w:t>
            </w:r>
            <w:r>
              <w:rPr>
                <w:color w:val="333333"/>
              </w:rPr>
              <w:t xml:space="preserve">   </w:t>
            </w:r>
            <w:r>
              <w:rPr>
                <w:rFonts w:ascii="SimSun" w:hAnsi="SimSun" w:eastAsia="SimSun" w:cs="SimSun"/>
                <w:color w:val="333333"/>
                <w:spacing w:val="8"/>
              </w:rPr>
              <w:t>（急性肾衰时评</w:t>
            </w:r>
            <w:r>
              <w:rPr>
                <w:rFonts w:ascii="SimSun" w:hAnsi="SimSun" w:eastAsia="SimSun" w:cs="SimSun"/>
                <w:color w:val="33333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color w:val="333333"/>
                <w:spacing w:val="4"/>
              </w:rPr>
              <w:t>分加倍）</w:t>
            </w:r>
          </w:p>
        </w:tc>
        <w:tc>
          <w:tcPr>
            <w:tcW w:w="134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310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0.6-1.4</w:t>
            </w:r>
          </w:p>
        </w:tc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</w:tcPr>
          <w:p>
            <w:pPr>
              <w:ind w:left="350"/>
              <w:spacing w:before="210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2"/>
                <w:w w:val="103"/>
                <w:position w:val="1"/>
              </w:rPr>
              <w:t>&lt;0.6</w:t>
            </w:r>
          </w:p>
          <w:p>
            <w:pPr>
              <w:ind w:left="247"/>
              <w:spacing w:before="44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1.5-1.9</w:t>
            </w:r>
          </w:p>
        </w:tc>
        <w:tc>
          <w:tcPr>
            <w:tcW w:w="1236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61"/>
              <w:spacing w:before="65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  <w:position w:val="1"/>
              </w:rPr>
              <w:t>2.0-3.4</w:t>
            </w:r>
          </w:p>
        </w:tc>
        <w:tc>
          <w:tcPr>
            <w:tcW w:w="86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266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1"/>
                <w:position w:val="1"/>
              </w:rPr>
              <w:t>≥3.5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30"/>
              <w:spacing w:before="55" w:line="232" w:lineRule="auto"/>
              <w:rPr/>
            </w:pPr>
            <w:r>
              <w:rPr>
                <w:rFonts w:ascii="SimSun" w:hAnsi="SimSun" w:eastAsia="SimSun" w:cs="SimSun"/>
                <w:color w:val="333333"/>
                <w:spacing w:val="4"/>
              </w:rPr>
              <w:t>12.</w:t>
            </w:r>
            <w:r>
              <w:rPr>
                <w:color w:val="333333"/>
              </w:rPr>
              <w:t>HCT</w:t>
            </w:r>
            <w:r>
              <w:rPr>
                <w:color w:val="333333"/>
                <w:spacing w:val="4"/>
              </w:rPr>
              <w:t>%</w:t>
            </w:r>
          </w:p>
        </w:tc>
        <w:tc>
          <w:tcPr>
            <w:tcW w:w="1343" w:type="dxa"/>
            <w:vAlign w:val="top"/>
          </w:tcPr>
          <w:p>
            <w:pPr>
              <w:ind w:left="313"/>
              <w:spacing w:before="5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30-45.9</w:t>
            </w:r>
          </w:p>
        </w:tc>
        <w:tc>
          <w:tcPr>
            <w:tcW w:w="1295" w:type="dxa"/>
            <w:vAlign w:val="top"/>
          </w:tcPr>
          <w:p>
            <w:pPr>
              <w:ind w:left="285"/>
              <w:spacing w:before="5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4"/>
              </w:rPr>
              <w:t>46-49.9</w:t>
            </w:r>
          </w:p>
        </w:tc>
        <w:tc>
          <w:tcPr>
            <w:tcW w:w="1185" w:type="dxa"/>
            <w:vAlign w:val="top"/>
          </w:tcPr>
          <w:p>
            <w:pPr>
              <w:ind w:left="234"/>
              <w:spacing w:before="5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20-29.9</w:t>
            </w:r>
          </w:p>
        </w:tc>
        <w:tc>
          <w:tcPr>
            <w:tcW w:w="12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</w:tcPr>
          <w:p>
            <w:pPr>
              <w:ind w:left="247"/>
              <w:spacing w:before="5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1"/>
                <w:w w:val="110"/>
              </w:rPr>
              <w:t>&lt;20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130"/>
              <w:spacing w:before="213" w:line="264" w:lineRule="exact"/>
              <w:rPr/>
            </w:pPr>
            <w:r>
              <w:rPr>
                <w:rFonts w:ascii="SimSun" w:hAnsi="SimSun" w:eastAsia="SimSun" w:cs="SimSun"/>
                <w:color w:val="333333"/>
                <w:spacing w:val="4"/>
                <w:position w:val="1"/>
              </w:rPr>
              <w:t>13.</w:t>
            </w:r>
            <w:r>
              <w:rPr>
                <w:color w:val="333333"/>
                <w:position w:val="1"/>
              </w:rPr>
              <w:t>WBC</w:t>
            </w:r>
          </w:p>
        </w:tc>
        <w:tc>
          <w:tcPr>
            <w:tcW w:w="1343" w:type="dxa"/>
            <w:vAlign w:val="top"/>
          </w:tcPr>
          <w:p>
            <w:pPr>
              <w:ind w:left="365"/>
              <w:spacing w:before="213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2"/>
                <w:position w:val="1"/>
              </w:rPr>
              <w:t>3-14.9</w:t>
            </w:r>
          </w:p>
        </w:tc>
        <w:tc>
          <w:tcPr>
            <w:tcW w:w="1295" w:type="dxa"/>
            <w:vAlign w:val="top"/>
          </w:tcPr>
          <w:p>
            <w:pPr>
              <w:ind w:left="301"/>
              <w:spacing w:before="213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1"/>
                <w:position w:val="1"/>
              </w:rPr>
              <w:t>15-19.9</w:t>
            </w:r>
          </w:p>
        </w:tc>
        <w:tc>
          <w:tcPr>
            <w:tcW w:w="1185" w:type="dxa"/>
            <w:vAlign w:val="top"/>
          </w:tcPr>
          <w:p>
            <w:pPr>
              <w:ind w:left="350"/>
              <w:spacing w:before="57" w:line="26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position w:val="1"/>
              </w:rPr>
              <w:t>1-2.9</w:t>
            </w:r>
          </w:p>
          <w:p>
            <w:pPr>
              <w:ind w:left="234"/>
              <w:spacing w:before="43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"/>
              </w:rPr>
              <w:t>20-39.9</w:t>
            </w:r>
          </w:p>
        </w:tc>
        <w:tc>
          <w:tcPr>
            <w:tcW w:w="12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</w:tcPr>
          <w:p>
            <w:pPr>
              <w:ind w:left="300"/>
              <w:spacing w:before="57"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33"/>
                <w:w w:val="111"/>
                <w:position w:val="1"/>
              </w:rPr>
              <w:t>&lt;1</w:t>
            </w:r>
          </w:p>
          <w:p>
            <w:pPr>
              <w:ind w:left="252"/>
              <w:spacing w:before="42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4"/>
              </w:rPr>
              <w:t>≥40</w:t>
            </w:r>
          </w:p>
        </w:tc>
        <w:tc>
          <w:tcPr>
            <w:tcW w:w="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1899" w:type="dxa"/>
            <w:vAlign w:val="top"/>
          </w:tcPr>
          <w:p>
            <w:pPr>
              <w:ind w:left="130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4"/>
              </w:rPr>
              <w:t>14.神经功能</w:t>
            </w:r>
          </w:p>
        </w:tc>
        <w:tc>
          <w:tcPr>
            <w:tcW w:w="6394" w:type="dxa"/>
            <w:vAlign w:val="top"/>
            <w:gridSpan w:val="6"/>
          </w:tcPr>
          <w:p>
            <w:pPr>
              <w:ind w:left="2388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7"/>
              </w:rPr>
              <w:t>得分=15-</w:t>
            </w:r>
            <w:r>
              <w:rPr>
                <w:rFonts w:ascii="SimSun" w:hAnsi="SimSun" w:eastAsia="SimSun" w:cs="SimSun"/>
                <w:sz w:val="20"/>
                <w:szCs w:val="20"/>
                <w:color w:val="333333"/>
              </w:rPr>
              <w:t>GCS</w:t>
            </w: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333333"/>
                <w:spacing w:val="7"/>
              </w:rPr>
              <w:t>评分</w:t>
            </w:r>
          </w:p>
        </w:tc>
      </w:tr>
    </w:tbl>
    <w:p>
      <w:pPr>
        <w:ind w:left="1005"/>
        <w:spacing w:before="1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33333"/>
          <w:spacing w:val="-3"/>
        </w:rPr>
        <w:t>二、年龄评分</w:t>
      </w:r>
    </w:p>
    <w:p>
      <w:pPr>
        <w:spacing w:line="69" w:lineRule="exact"/>
        <w:rPr/>
      </w:pPr>
      <w:r/>
    </w:p>
    <w:tbl>
      <w:tblPr>
        <w:tblStyle w:val="TableNormal"/>
        <w:tblW w:w="8526" w:type="dxa"/>
        <w:tblInd w:w="8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4"/>
        <w:gridCol w:w="1419"/>
        <w:gridCol w:w="1419"/>
        <w:gridCol w:w="1419"/>
        <w:gridCol w:w="1420"/>
        <w:gridCol w:w="1425"/>
      </w:tblGrid>
      <w:tr>
        <w:trPr>
          <w:trHeight w:val="475" w:hRule="atLeast"/>
        </w:trPr>
        <w:tc>
          <w:tcPr>
            <w:tcW w:w="1424" w:type="dxa"/>
            <w:vAlign w:val="top"/>
          </w:tcPr>
          <w:p>
            <w:pPr>
              <w:ind w:left="119"/>
              <w:spacing w:before="12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年龄（岁）</w:t>
            </w:r>
          </w:p>
        </w:tc>
        <w:tc>
          <w:tcPr>
            <w:tcW w:w="1419" w:type="dxa"/>
            <w:vAlign w:val="top"/>
          </w:tcPr>
          <w:p>
            <w:pPr>
              <w:ind w:left="492"/>
              <w:spacing w:before="120" w:line="23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≤44</w:t>
            </w:r>
          </w:p>
        </w:tc>
        <w:tc>
          <w:tcPr>
            <w:tcW w:w="1419" w:type="dxa"/>
            <w:vAlign w:val="top"/>
          </w:tcPr>
          <w:p>
            <w:pPr>
              <w:ind w:left="416"/>
              <w:spacing w:before="12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45-54</w:t>
            </w:r>
          </w:p>
        </w:tc>
        <w:tc>
          <w:tcPr>
            <w:tcW w:w="1419" w:type="dxa"/>
            <w:vAlign w:val="top"/>
          </w:tcPr>
          <w:p>
            <w:pPr>
              <w:ind w:left="421"/>
              <w:spacing w:before="12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55-64</w:t>
            </w:r>
          </w:p>
        </w:tc>
        <w:tc>
          <w:tcPr>
            <w:tcW w:w="1420" w:type="dxa"/>
            <w:vAlign w:val="top"/>
          </w:tcPr>
          <w:p>
            <w:pPr>
              <w:ind w:left="420"/>
              <w:spacing w:before="12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65-74</w:t>
            </w:r>
          </w:p>
        </w:tc>
        <w:tc>
          <w:tcPr>
            <w:tcW w:w="1425" w:type="dxa"/>
            <w:vAlign w:val="top"/>
          </w:tcPr>
          <w:p>
            <w:pPr>
              <w:ind w:left="502"/>
              <w:spacing w:before="121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≥75</w:t>
            </w:r>
          </w:p>
        </w:tc>
      </w:tr>
      <w:tr>
        <w:trPr>
          <w:trHeight w:val="475" w:hRule="atLeast"/>
        </w:trPr>
        <w:tc>
          <w:tcPr>
            <w:tcW w:w="1424" w:type="dxa"/>
            <w:vAlign w:val="top"/>
          </w:tcPr>
          <w:p>
            <w:pPr>
              <w:ind w:left="481"/>
              <w:spacing w:before="11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分值</w:t>
            </w:r>
          </w:p>
        </w:tc>
        <w:tc>
          <w:tcPr>
            <w:tcW w:w="1419" w:type="dxa"/>
            <w:vAlign w:val="top"/>
          </w:tcPr>
          <w:p>
            <w:pPr>
              <w:ind w:left="657"/>
              <w:spacing w:before="11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0</w:t>
            </w:r>
          </w:p>
        </w:tc>
        <w:tc>
          <w:tcPr>
            <w:tcW w:w="1419" w:type="dxa"/>
            <w:vAlign w:val="top"/>
          </w:tcPr>
          <w:p>
            <w:pPr>
              <w:ind w:left="660"/>
              <w:spacing w:before="118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2</w:t>
            </w:r>
          </w:p>
        </w:tc>
        <w:tc>
          <w:tcPr>
            <w:tcW w:w="1419" w:type="dxa"/>
            <w:vAlign w:val="top"/>
          </w:tcPr>
          <w:p>
            <w:pPr>
              <w:ind w:left="661"/>
              <w:spacing w:before="11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3</w:t>
            </w:r>
          </w:p>
        </w:tc>
        <w:tc>
          <w:tcPr>
            <w:tcW w:w="1420" w:type="dxa"/>
            <w:vAlign w:val="top"/>
          </w:tcPr>
          <w:p>
            <w:pPr>
              <w:ind w:left="663"/>
              <w:spacing w:before="11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5</w:t>
            </w:r>
          </w:p>
        </w:tc>
        <w:tc>
          <w:tcPr>
            <w:tcW w:w="1425" w:type="dxa"/>
            <w:vAlign w:val="top"/>
          </w:tcPr>
          <w:p>
            <w:pPr>
              <w:ind w:left="661"/>
              <w:spacing w:before="11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6</w:t>
            </w:r>
          </w:p>
        </w:tc>
      </w:tr>
    </w:tbl>
    <w:p>
      <w:pPr>
        <w:ind w:left="1001"/>
        <w:spacing w:before="1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33333"/>
          <w:spacing w:val="-2"/>
        </w:rPr>
        <w:t>三、慢性健康评分</w:t>
      </w:r>
    </w:p>
    <w:p>
      <w:pPr>
        <w:ind w:left="1002" w:right="10" w:hanging="1"/>
        <w:spacing w:before="183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22222"/>
          <w:spacing w:val="6"/>
        </w:rPr>
        <w:t>器官功能严重不足或免疫力低下者患者的评分：择期手术后入</w:t>
      </w:r>
      <w:r>
        <w:rPr>
          <w:rFonts w:ascii="SimSun" w:hAnsi="SimSun" w:eastAsia="SimSun" w:cs="SimSun"/>
          <w:sz w:val="24"/>
          <w:szCs w:val="24"/>
          <w:color w:val="222222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</w:rPr>
        <w:t>ICU</w:t>
      </w:r>
      <w:r>
        <w:rPr>
          <w:rFonts w:ascii="SimSun" w:hAnsi="SimSun" w:eastAsia="SimSun" w:cs="SimSun"/>
          <w:sz w:val="24"/>
          <w:szCs w:val="24"/>
          <w:color w:val="222222"/>
          <w:spacing w:val="6"/>
        </w:rPr>
        <w:t>，为</w:t>
      </w:r>
      <w:r>
        <w:rPr>
          <w:rFonts w:ascii="SimSun" w:hAnsi="SimSun" w:eastAsia="SimSun" w:cs="SimSun"/>
          <w:sz w:val="24"/>
          <w:szCs w:val="24"/>
          <w:color w:val="222222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6"/>
        </w:rPr>
        <w:t>2</w:t>
      </w:r>
      <w:r>
        <w:rPr>
          <w:rFonts w:ascii="SimSun" w:hAnsi="SimSun" w:eastAsia="SimSun" w:cs="SimSun"/>
          <w:sz w:val="24"/>
          <w:szCs w:val="24"/>
          <w:color w:val="222222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6"/>
        </w:rPr>
        <w:t>分</w:t>
      </w:r>
      <w:r>
        <w:rPr>
          <w:rFonts w:ascii="SimSun" w:hAnsi="SimSun" w:eastAsia="SimSun" w:cs="SimSun"/>
          <w:sz w:val="24"/>
          <w:szCs w:val="24"/>
          <w:color w:val="222222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6"/>
        </w:rPr>
        <w:t>;急诊手</w:t>
      </w:r>
      <w:r>
        <w:rPr>
          <w:rFonts w:ascii="SimSun" w:hAnsi="SimSun" w:eastAsia="SimSun" w:cs="SimSun"/>
          <w:sz w:val="24"/>
          <w:szCs w:val="24"/>
          <w:color w:val="22222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2"/>
        </w:rPr>
        <w:t>术或非手术后入</w:t>
      </w:r>
      <w:r>
        <w:rPr>
          <w:rFonts w:ascii="SimSun" w:hAnsi="SimSun" w:eastAsia="SimSun" w:cs="SimSun"/>
          <w:sz w:val="24"/>
          <w:szCs w:val="24"/>
          <w:color w:val="222222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</w:rPr>
        <w:t>ICU</w:t>
      </w:r>
      <w:r>
        <w:rPr>
          <w:rFonts w:ascii="SimSun" w:hAnsi="SimSun" w:eastAsia="SimSun" w:cs="SimSun"/>
          <w:sz w:val="24"/>
          <w:szCs w:val="24"/>
          <w:color w:val="222222"/>
          <w:spacing w:val="2"/>
        </w:rPr>
        <w:t>，为</w:t>
      </w:r>
      <w:r>
        <w:rPr>
          <w:rFonts w:ascii="SimSun" w:hAnsi="SimSun" w:eastAsia="SimSun" w:cs="SimSun"/>
          <w:sz w:val="24"/>
          <w:szCs w:val="24"/>
          <w:color w:val="222222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2"/>
        </w:rPr>
        <w:t>5</w:t>
      </w:r>
      <w:r>
        <w:rPr>
          <w:rFonts w:ascii="SimSun" w:hAnsi="SimSun" w:eastAsia="SimSun" w:cs="SimSun"/>
          <w:sz w:val="24"/>
          <w:szCs w:val="24"/>
          <w:color w:val="222222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2"/>
        </w:rPr>
        <w:t>分。</w:t>
      </w:r>
    </w:p>
    <w:p>
      <w:pPr>
        <w:ind w:left="100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22222"/>
          <w:spacing w:val="7"/>
        </w:rPr>
        <w:t>最终</w:t>
      </w:r>
      <w:r>
        <w:rPr>
          <w:rFonts w:ascii="SimSun" w:hAnsi="SimSun" w:eastAsia="SimSun" w:cs="SimSun"/>
          <w:sz w:val="24"/>
          <w:szCs w:val="24"/>
          <w:color w:val="222222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</w:rPr>
        <w:t>APACHE</w:t>
      </w:r>
      <w:r>
        <w:rPr>
          <w:rFonts w:ascii="SimSun" w:hAnsi="SimSun" w:eastAsia="SimSun" w:cs="SimSun"/>
          <w:sz w:val="24"/>
          <w:szCs w:val="24"/>
          <w:color w:val="222222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</w:rPr>
        <w:t>II</w:t>
      </w:r>
      <w:r>
        <w:rPr>
          <w:rFonts w:ascii="SimSun" w:hAnsi="SimSun" w:eastAsia="SimSun" w:cs="SimSun"/>
          <w:sz w:val="24"/>
          <w:szCs w:val="24"/>
          <w:color w:val="222222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22222"/>
          <w:spacing w:val="7"/>
        </w:rPr>
        <w:t>评分=急性生理评分+年龄评分+慢性健康评分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445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36</w:t>
      </w:r>
    </w:p>
    <w:p>
      <w:pPr>
        <w:spacing w:line="181" w:lineRule="auto"/>
        <w:sectPr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pStyle w:val="BodyText"/>
        <w:spacing w:line="332" w:lineRule="auto"/>
        <w:rPr/>
      </w:pPr>
      <w:r/>
    </w:p>
    <w:p>
      <w:pPr>
        <w:ind w:left="1001"/>
        <w:spacing w:before="78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格拉斯哥昏迷评分法（</w:t>
      </w:r>
      <w:r>
        <w:rPr>
          <w:rFonts w:ascii="Times New Roman" w:hAnsi="Times New Roman" w:eastAsia="Times New Roman" w:cs="Times New Roman"/>
          <w:sz w:val="24"/>
          <w:szCs w:val="24"/>
        </w:rPr>
        <w:t>Glasgow Coma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Scale,</w:t>
      </w:r>
      <w:r>
        <w:rPr>
          <w:rFonts w:ascii="Times New Roman" w:hAnsi="Times New Roman" w:eastAsia="Times New Roman" w:cs="Times New Roman"/>
          <w:sz w:val="24"/>
          <w:szCs w:val="24"/>
          <w:color w:val="0C0C0C"/>
          <w:spacing w:val="-1"/>
        </w:rPr>
        <w:t>GCS</w:t>
      </w: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）</w:t>
      </w:r>
    </w:p>
    <w:tbl>
      <w:tblPr>
        <w:tblStyle w:val="TableNormal"/>
        <w:tblW w:w="8526" w:type="dxa"/>
        <w:tblInd w:w="8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3"/>
        <w:gridCol w:w="2129"/>
        <w:gridCol w:w="2130"/>
        <w:gridCol w:w="2134"/>
      </w:tblGrid>
      <w:tr>
        <w:trPr>
          <w:trHeight w:val="633" w:hRule="atLeast"/>
        </w:trPr>
        <w:tc>
          <w:tcPr>
            <w:tcW w:w="2133" w:type="dxa"/>
            <w:vAlign w:val="top"/>
          </w:tcPr>
          <w:p>
            <w:pPr>
              <w:ind w:left="846"/>
              <w:spacing w:before="19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11"/>
              </w:rPr>
              <w:t>睁眼</w:t>
            </w:r>
          </w:p>
        </w:tc>
        <w:tc>
          <w:tcPr>
            <w:tcW w:w="2129" w:type="dxa"/>
            <w:vAlign w:val="top"/>
          </w:tcPr>
          <w:p>
            <w:pPr>
              <w:ind w:left="831"/>
              <w:spacing w:before="19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5"/>
              </w:rPr>
              <w:t>语言</w:t>
            </w:r>
          </w:p>
        </w:tc>
        <w:tc>
          <w:tcPr>
            <w:tcW w:w="2130" w:type="dxa"/>
            <w:vAlign w:val="top"/>
          </w:tcPr>
          <w:p>
            <w:pPr>
              <w:ind w:left="831"/>
              <w:spacing w:before="19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5"/>
              </w:rPr>
              <w:t>运动</w:t>
            </w:r>
          </w:p>
        </w:tc>
        <w:tc>
          <w:tcPr>
            <w:tcW w:w="2134" w:type="dxa"/>
            <w:vAlign w:val="top"/>
          </w:tcPr>
          <w:p>
            <w:pPr>
              <w:ind w:left="722" w:right="225" w:hanging="488"/>
              <w:spacing w:before="43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人工气道患者语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7"/>
              </w:rPr>
              <w:t>言评分</w:t>
            </w:r>
          </w:p>
        </w:tc>
      </w:tr>
      <w:tr>
        <w:trPr>
          <w:trHeight w:val="316" w:hRule="atLeast"/>
        </w:trPr>
        <w:tc>
          <w:tcPr>
            <w:tcW w:w="2133" w:type="dxa"/>
            <w:vAlign w:val="top"/>
          </w:tcPr>
          <w:p>
            <w:pPr>
              <w:ind w:left="544"/>
              <w:spacing w:before="3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2"/>
              </w:rPr>
              <w:t>自主睁眼4</w:t>
            </w:r>
          </w:p>
        </w:tc>
        <w:tc>
          <w:tcPr>
            <w:tcW w:w="2129" w:type="dxa"/>
            <w:vAlign w:val="top"/>
          </w:tcPr>
          <w:p>
            <w:pPr>
              <w:ind w:left="411"/>
              <w:spacing w:before="3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语言正常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5</w:t>
            </w:r>
          </w:p>
        </w:tc>
        <w:tc>
          <w:tcPr>
            <w:tcW w:w="2130" w:type="dxa"/>
            <w:vAlign w:val="top"/>
          </w:tcPr>
          <w:p>
            <w:pPr>
              <w:ind w:left="502"/>
              <w:spacing w:before="3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10"/>
              </w:rPr>
              <w:t>遵嘱运动6</w:t>
            </w:r>
          </w:p>
        </w:tc>
        <w:tc>
          <w:tcPr>
            <w:tcW w:w="2134" w:type="dxa"/>
            <w:vAlign w:val="top"/>
          </w:tcPr>
          <w:p>
            <w:pPr>
              <w:ind w:left="509"/>
              <w:spacing w:before="3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"/>
              </w:rPr>
              <w:t>定向力好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"/>
              </w:rPr>
              <w:t>5</w:t>
            </w:r>
          </w:p>
        </w:tc>
      </w:tr>
      <w:tr>
        <w:trPr>
          <w:trHeight w:val="316" w:hRule="atLeast"/>
        </w:trPr>
        <w:tc>
          <w:tcPr>
            <w:tcW w:w="2133" w:type="dxa"/>
            <w:vAlign w:val="top"/>
          </w:tcPr>
          <w:p>
            <w:pPr>
              <w:ind w:left="507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指令睁眼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3</w:t>
            </w:r>
          </w:p>
        </w:tc>
        <w:tc>
          <w:tcPr>
            <w:tcW w:w="2129" w:type="dxa"/>
            <w:vAlign w:val="top"/>
          </w:tcPr>
          <w:p>
            <w:pPr>
              <w:ind w:left="499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10"/>
              </w:rPr>
              <w:t>对答错误4</w:t>
            </w:r>
          </w:p>
        </w:tc>
        <w:tc>
          <w:tcPr>
            <w:tcW w:w="2130" w:type="dxa"/>
            <w:vAlign w:val="top"/>
          </w:tcPr>
          <w:p>
            <w:pPr>
              <w:ind w:left="505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疼痛定位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5</w:t>
            </w:r>
          </w:p>
        </w:tc>
        <w:tc>
          <w:tcPr>
            <w:tcW w:w="2134" w:type="dxa"/>
            <w:vAlign w:val="top"/>
          </w:tcPr>
          <w:p>
            <w:pPr>
              <w:ind w:left="264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介于两者之间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3</w:t>
            </w:r>
          </w:p>
        </w:tc>
      </w:tr>
      <w:tr>
        <w:trPr>
          <w:trHeight w:val="317" w:hRule="atLeast"/>
        </w:trPr>
        <w:tc>
          <w:tcPr>
            <w:tcW w:w="2133" w:type="dxa"/>
            <w:vAlign w:val="top"/>
          </w:tcPr>
          <w:p>
            <w:pPr>
              <w:ind w:left="503"/>
              <w:spacing w:before="39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刺激睁眼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2"/>
              </w:rPr>
              <w:t>2</w:t>
            </w:r>
          </w:p>
        </w:tc>
        <w:tc>
          <w:tcPr>
            <w:tcW w:w="2129" w:type="dxa"/>
            <w:vAlign w:val="top"/>
          </w:tcPr>
          <w:p>
            <w:pPr>
              <w:ind w:left="274"/>
              <w:spacing w:before="39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"/>
              </w:rPr>
              <w:t>只能说出单词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"/>
              </w:rPr>
              <w:t>3</w:t>
            </w:r>
          </w:p>
        </w:tc>
        <w:tc>
          <w:tcPr>
            <w:tcW w:w="2130" w:type="dxa"/>
            <w:vAlign w:val="top"/>
          </w:tcPr>
          <w:p>
            <w:pPr>
              <w:ind w:left="265"/>
              <w:spacing w:before="39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6"/>
              </w:rPr>
              <w:t>疼痛刺激屈曲4</w:t>
            </w:r>
          </w:p>
        </w:tc>
        <w:tc>
          <w:tcPr>
            <w:tcW w:w="2134" w:type="dxa"/>
            <w:vAlign w:val="top"/>
          </w:tcPr>
          <w:p>
            <w:pPr>
              <w:ind w:left="626"/>
              <w:spacing w:before="39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无反应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1</w:t>
            </w:r>
          </w:p>
        </w:tc>
      </w:tr>
      <w:tr>
        <w:trPr>
          <w:trHeight w:val="316" w:hRule="atLeast"/>
        </w:trPr>
        <w:tc>
          <w:tcPr>
            <w:tcW w:w="2133" w:type="dxa"/>
            <w:vAlign w:val="top"/>
          </w:tcPr>
          <w:p>
            <w:pPr>
              <w:ind w:left="628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"/>
              </w:rPr>
              <w:t>不睁眼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"/>
              </w:rPr>
              <w:t>1</w:t>
            </w:r>
          </w:p>
        </w:tc>
        <w:tc>
          <w:tcPr>
            <w:tcW w:w="2129" w:type="dxa"/>
            <w:vAlign w:val="top"/>
          </w:tcPr>
          <w:p>
            <w:pPr>
              <w:ind w:left="501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有音无语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2</w:t>
            </w:r>
          </w:p>
        </w:tc>
        <w:tc>
          <w:tcPr>
            <w:tcW w:w="2130" w:type="dxa"/>
            <w:vAlign w:val="top"/>
          </w:tcPr>
          <w:p>
            <w:pPr>
              <w:ind w:left="505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异常屈曲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3</w:t>
            </w:r>
          </w:p>
        </w:tc>
        <w:tc>
          <w:tcPr>
            <w:tcW w:w="2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2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9" w:type="dxa"/>
            <w:vAlign w:val="top"/>
          </w:tcPr>
          <w:p>
            <w:pPr>
              <w:ind w:left="622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无发音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1</w:t>
            </w:r>
          </w:p>
        </w:tc>
        <w:tc>
          <w:tcPr>
            <w:tcW w:w="2130" w:type="dxa"/>
            <w:vAlign w:val="top"/>
          </w:tcPr>
          <w:p>
            <w:pPr>
              <w:ind w:left="505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异常伸直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2</w:t>
            </w:r>
          </w:p>
        </w:tc>
        <w:tc>
          <w:tcPr>
            <w:tcW w:w="2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2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0" w:type="dxa"/>
            <w:vAlign w:val="top"/>
          </w:tcPr>
          <w:p>
            <w:pPr>
              <w:ind w:left="624"/>
              <w:spacing w:before="43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无反应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0C0C0C"/>
                <w:spacing w:val="-3"/>
              </w:rPr>
              <w:t>1</w:t>
            </w:r>
          </w:p>
        </w:tc>
        <w:tc>
          <w:tcPr>
            <w:tcW w:w="2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70" w:lineRule="auto"/>
        <w:rPr/>
      </w:pPr>
      <w:r/>
    </w:p>
    <w:p>
      <w:pPr>
        <w:ind w:left="1000"/>
        <w:spacing w:before="78" w:line="2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  <w:spacing w:val="-1"/>
        </w:rPr>
        <w:t>序贯器官衰竭评估（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>sequential Organ Failure Assessment,SOFA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）</w:t>
      </w:r>
    </w:p>
    <w:tbl>
      <w:tblPr>
        <w:tblStyle w:val="TableNormal"/>
        <w:tblW w:w="9197" w:type="dxa"/>
        <w:tblInd w:w="8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42"/>
        <w:gridCol w:w="2050"/>
        <w:gridCol w:w="1021"/>
        <w:gridCol w:w="1055"/>
        <w:gridCol w:w="1055"/>
        <w:gridCol w:w="1175"/>
        <w:gridCol w:w="956"/>
        <w:gridCol w:w="943"/>
      </w:tblGrid>
      <w:tr>
        <w:trPr>
          <w:trHeight w:val="633" w:hRule="atLeast"/>
        </w:trPr>
        <w:tc>
          <w:tcPr>
            <w:tcW w:w="942" w:type="dxa"/>
            <w:vAlign w:val="top"/>
          </w:tcPr>
          <w:p>
            <w:pPr>
              <w:ind w:left="118"/>
              <w:spacing w:before="4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器官系</w:t>
            </w:r>
          </w:p>
          <w:p>
            <w:pPr>
              <w:ind w:left="364"/>
              <w:spacing w:before="24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统</w:t>
            </w:r>
          </w:p>
        </w:tc>
        <w:tc>
          <w:tcPr>
            <w:tcW w:w="2050" w:type="dxa"/>
            <w:vAlign w:val="top"/>
          </w:tcPr>
          <w:p>
            <w:pPr>
              <w:ind w:left="549"/>
              <w:spacing w:before="19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检测项目</w:t>
            </w:r>
          </w:p>
        </w:tc>
        <w:tc>
          <w:tcPr>
            <w:tcW w:w="1021" w:type="dxa"/>
            <w:vAlign w:val="top"/>
          </w:tcPr>
          <w:p>
            <w:pPr>
              <w:ind w:left="457"/>
              <w:spacing w:before="19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0</w:t>
            </w:r>
          </w:p>
        </w:tc>
        <w:tc>
          <w:tcPr>
            <w:tcW w:w="1055" w:type="dxa"/>
            <w:vAlign w:val="top"/>
          </w:tcPr>
          <w:p>
            <w:pPr>
              <w:ind w:left="491"/>
              <w:spacing w:before="197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ind w:left="477"/>
              <w:spacing w:before="197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ind w:left="540"/>
              <w:spacing w:before="19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3</w:t>
            </w:r>
          </w:p>
        </w:tc>
        <w:tc>
          <w:tcPr>
            <w:tcW w:w="956" w:type="dxa"/>
            <w:vAlign w:val="top"/>
          </w:tcPr>
          <w:p>
            <w:pPr>
              <w:ind w:left="425"/>
              <w:spacing w:before="197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4</w:t>
            </w:r>
          </w:p>
        </w:tc>
        <w:tc>
          <w:tcPr>
            <w:tcW w:w="943" w:type="dxa"/>
            <w:vAlign w:val="top"/>
          </w:tcPr>
          <w:p>
            <w:pPr>
              <w:ind w:left="239"/>
              <w:spacing w:before="19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得分</w:t>
            </w:r>
          </w:p>
        </w:tc>
      </w:tr>
      <w:tr>
        <w:trPr>
          <w:trHeight w:val="628" w:hRule="atLeast"/>
        </w:trPr>
        <w:tc>
          <w:tcPr>
            <w:tcW w:w="942" w:type="dxa"/>
            <w:vAlign w:val="top"/>
          </w:tcPr>
          <w:p>
            <w:pPr>
              <w:ind w:left="363" w:right="107" w:hanging="232"/>
              <w:spacing w:before="38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呼吸系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统</w:t>
            </w:r>
          </w:p>
        </w:tc>
        <w:tc>
          <w:tcPr>
            <w:tcW w:w="2050" w:type="dxa"/>
            <w:vAlign w:val="top"/>
          </w:tcPr>
          <w:p>
            <w:pPr>
              <w:pStyle w:val="TableText"/>
              <w:ind w:left="107"/>
              <w:spacing w:before="230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PaO</w:t>
            </w:r>
            <w:r>
              <w:rPr>
                <w:sz w:val="15"/>
                <w:szCs w:val="15"/>
                <w:color w:val="333333"/>
                <w:position w:val="-1"/>
              </w:rPr>
              <w:t>2</w:t>
            </w:r>
            <w:r>
              <w:rPr>
                <w:sz w:val="24"/>
                <w:szCs w:val="24"/>
                <w:color w:val="333333"/>
              </w:rPr>
              <w:t>/FiO</w:t>
            </w:r>
            <w:r>
              <w:rPr>
                <w:sz w:val="15"/>
                <w:szCs w:val="15"/>
                <w:color w:val="333333"/>
                <w:position w:val="-1"/>
              </w:rPr>
              <w:t>2</w:t>
            </w:r>
            <w:r>
              <w:rPr>
                <w:sz w:val="24"/>
                <w:szCs w:val="24"/>
                <w:color w:val="333333"/>
              </w:rPr>
              <w:t>(mmHg)</w:t>
            </w:r>
          </w:p>
        </w:tc>
        <w:tc>
          <w:tcPr>
            <w:tcW w:w="1021" w:type="dxa"/>
            <w:vAlign w:val="top"/>
          </w:tcPr>
          <w:p>
            <w:pPr>
              <w:ind w:left="238"/>
              <w:spacing w:before="194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≥400</w:t>
            </w:r>
          </w:p>
        </w:tc>
        <w:tc>
          <w:tcPr>
            <w:tcW w:w="1055" w:type="dxa"/>
            <w:vAlign w:val="top"/>
          </w:tcPr>
          <w:p>
            <w:pPr>
              <w:ind w:left="251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&lt;400</w:t>
            </w:r>
          </w:p>
        </w:tc>
        <w:tc>
          <w:tcPr>
            <w:tcW w:w="1055" w:type="dxa"/>
            <w:vAlign w:val="top"/>
          </w:tcPr>
          <w:p>
            <w:pPr>
              <w:ind w:left="252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&lt;300</w:t>
            </w:r>
          </w:p>
        </w:tc>
        <w:tc>
          <w:tcPr>
            <w:tcW w:w="1175" w:type="dxa"/>
            <w:vAlign w:val="top"/>
          </w:tcPr>
          <w:p>
            <w:pPr>
              <w:ind w:left="313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&lt;200</w:t>
            </w:r>
          </w:p>
        </w:tc>
        <w:tc>
          <w:tcPr>
            <w:tcW w:w="956" w:type="dxa"/>
            <w:vAlign w:val="top"/>
          </w:tcPr>
          <w:p>
            <w:pPr>
              <w:ind w:left="203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&lt;100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0" w:type="dxa"/>
            <w:vAlign w:val="top"/>
          </w:tcPr>
          <w:p>
            <w:pPr>
              <w:spacing w:before="37" w:line="207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5"/>
              </w:rPr>
              <w:t>呼吸支持（是/否）</w:t>
            </w:r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5" w:type="dxa"/>
            <w:vAlign w:val="top"/>
          </w:tcPr>
          <w:p>
            <w:pPr>
              <w:ind w:left="479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是</w:t>
            </w:r>
          </w:p>
        </w:tc>
        <w:tc>
          <w:tcPr>
            <w:tcW w:w="956" w:type="dxa"/>
            <w:vAlign w:val="top"/>
          </w:tcPr>
          <w:p>
            <w:pPr>
              <w:ind w:left="370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是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942" w:type="dxa"/>
            <w:vAlign w:val="top"/>
          </w:tcPr>
          <w:p>
            <w:pPr>
              <w:ind w:left="120"/>
              <w:spacing w:before="3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血液系</w:t>
            </w:r>
          </w:p>
          <w:p>
            <w:pPr>
              <w:ind w:left="364"/>
              <w:spacing w:before="26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统</w:t>
            </w:r>
          </w:p>
        </w:tc>
        <w:tc>
          <w:tcPr>
            <w:tcW w:w="2050" w:type="dxa"/>
            <w:vAlign w:val="top"/>
          </w:tcPr>
          <w:p>
            <w:pPr>
              <w:ind w:left="114"/>
              <w:spacing w:before="176" w:line="23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血小板（*10</w:t>
            </w:r>
            <w:r>
              <w:rPr>
                <w:rFonts w:ascii="SimSun" w:hAnsi="SimSun" w:eastAsia="SimSun" w:cs="SimSun"/>
                <w:sz w:val="12"/>
                <w:szCs w:val="12"/>
                <w:color w:val="333333"/>
                <w:spacing w:val="-2"/>
                <w:position w:val="11"/>
              </w:rPr>
              <w:t>9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/L）</w:t>
            </w:r>
          </w:p>
        </w:tc>
        <w:tc>
          <w:tcPr>
            <w:tcW w:w="1021" w:type="dxa"/>
            <w:vAlign w:val="top"/>
          </w:tcPr>
          <w:p>
            <w:pPr>
              <w:ind w:left="238"/>
              <w:spacing w:before="194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≥150</w:t>
            </w:r>
          </w:p>
        </w:tc>
        <w:tc>
          <w:tcPr>
            <w:tcW w:w="1055" w:type="dxa"/>
            <w:vAlign w:val="top"/>
          </w:tcPr>
          <w:p>
            <w:pPr>
              <w:ind w:left="251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&lt;150</w:t>
            </w:r>
          </w:p>
        </w:tc>
        <w:tc>
          <w:tcPr>
            <w:tcW w:w="1055" w:type="dxa"/>
            <w:vAlign w:val="top"/>
          </w:tcPr>
          <w:p>
            <w:pPr>
              <w:ind w:left="252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&lt;100</w:t>
            </w:r>
          </w:p>
        </w:tc>
        <w:tc>
          <w:tcPr>
            <w:tcW w:w="1175" w:type="dxa"/>
            <w:vAlign w:val="top"/>
          </w:tcPr>
          <w:p>
            <w:pPr>
              <w:ind w:left="373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7"/>
                <w:w w:val="103"/>
              </w:rPr>
              <w:t>&lt;50</w:t>
            </w:r>
          </w:p>
        </w:tc>
        <w:tc>
          <w:tcPr>
            <w:tcW w:w="956" w:type="dxa"/>
            <w:vAlign w:val="top"/>
          </w:tcPr>
          <w:p>
            <w:pPr>
              <w:ind w:left="263"/>
              <w:spacing w:before="19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6"/>
                <w:w w:val="104"/>
              </w:rPr>
              <w:t>&lt;20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942" w:type="dxa"/>
            <w:vAlign w:val="top"/>
          </w:tcPr>
          <w:p>
            <w:pPr>
              <w:ind w:left="239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肝脏</w:t>
            </w:r>
          </w:p>
        </w:tc>
        <w:tc>
          <w:tcPr>
            <w:tcW w:w="2050" w:type="dxa"/>
            <w:vAlign w:val="top"/>
          </w:tcPr>
          <w:p>
            <w:pPr>
              <w:pStyle w:val="TableText"/>
              <w:ind w:left="112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胆红素（</w:t>
            </w:r>
            <w:r>
              <w:rPr>
                <w:sz w:val="24"/>
                <w:szCs w:val="24"/>
                <w:color w:val="333333"/>
                <w:spacing w:val="-2"/>
              </w:rPr>
              <w:t>mg/dL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）</w:t>
            </w:r>
          </w:p>
        </w:tc>
        <w:tc>
          <w:tcPr>
            <w:tcW w:w="1021" w:type="dxa"/>
            <w:vAlign w:val="top"/>
          </w:tcPr>
          <w:p>
            <w:pPr>
              <w:ind w:left="233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&lt;1.2</w:t>
            </w:r>
          </w:p>
        </w:tc>
        <w:tc>
          <w:tcPr>
            <w:tcW w:w="1055" w:type="dxa"/>
            <w:vAlign w:val="top"/>
          </w:tcPr>
          <w:p>
            <w:pPr>
              <w:ind w:left="131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1.2-1.9</w:t>
            </w:r>
          </w:p>
        </w:tc>
        <w:tc>
          <w:tcPr>
            <w:tcW w:w="1055" w:type="dxa"/>
            <w:vAlign w:val="top"/>
          </w:tcPr>
          <w:p>
            <w:pPr>
              <w:ind w:left="117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2.0-5.9</w:t>
            </w:r>
          </w:p>
        </w:tc>
        <w:tc>
          <w:tcPr>
            <w:tcW w:w="1175" w:type="dxa"/>
            <w:vAlign w:val="top"/>
          </w:tcPr>
          <w:p>
            <w:pPr>
              <w:ind w:left="117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6.0-11.9</w:t>
            </w:r>
          </w:p>
        </w:tc>
        <w:tc>
          <w:tcPr>
            <w:tcW w:w="956" w:type="dxa"/>
            <w:vAlign w:val="top"/>
          </w:tcPr>
          <w:p>
            <w:pPr>
              <w:ind w:left="147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7"/>
              </w:rPr>
              <w:t>&gt;12.0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942" w:type="dxa"/>
            <w:vAlign w:val="top"/>
          </w:tcPr>
          <w:p>
            <w:pPr>
              <w:ind w:left="242" w:right="107" w:hanging="116"/>
              <w:spacing w:before="39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心血管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系统</w:t>
            </w:r>
          </w:p>
        </w:tc>
        <w:tc>
          <w:tcPr>
            <w:tcW w:w="2050" w:type="dxa"/>
            <w:vAlign w:val="top"/>
          </w:tcPr>
          <w:p>
            <w:pPr>
              <w:ind w:left="428"/>
              <w:spacing w:before="4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平均动脉压</w:t>
            </w:r>
          </w:p>
          <w:p>
            <w:pPr>
              <w:pStyle w:val="TableText"/>
              <w:ind w:left="690"/>
              <w:spacing w:before="68" w:line="1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mmHg</w:t>
            </w:r>
          </w:p>
        </w:tc>
        <w:tc>
          <w:tcPr>
            <w:tcW w:w="1021" w:type="dxa"/>
            <w:vAlign w:val="top"/>
          </w:tcPr>
          <w:p>
            <w:pPr>
              <w:ind w:left="298"/>
              <w:spacing w:before="196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≥70</w:t>
            </w:r>
          </w:p>
        </w:tc>
        <w:tc>
          <w:tcPr>
            <w:tcW w:w="1055" w:type="dxa"/>
            <w:vAlign w:val="top"/>
          </w:tcPr>
          <w:p>
            <w:pPr>
              <w:ind w:left="311"/>
              <w:spacing w:before="195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7"/>
                <w:w w:val="103"/>
              </w:rPr>
              <w:t>&lt;70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0" w:type="dxa"/>
            <w:vAlign w:val="top"/>
          </w:tcPr>
          <w:p>
            <w:pPr>
              <w:ind w:left="680"/>
              <w:spacing w:before="39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多巴胺</w:t>
            </w:r>
          </w:p>
          <w:p>
            <w:pPr>
              <w:pStyle w:val="TableText"/>
              <w:ind w:left="371"/>
              <w:spacing w:before="24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sz w:val="24"/>
                <w:szCs w:val="24"/>
                <w:color w:val="333333"/>
                <w:spacing w:val="-2"/>
              </w:rPr>
              <w:t>ug/kg.min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)</w:t>
            </w:r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ind w:left="371"/>
              <w:spacing w:before="195" w:line="23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4"/>
              </w:rPr>
              <w:t>≤5</w:t>
            </w:r>
          </w:p>
        </w:tc>
        <w:tc>
          <w:tcPr>
            <w:tcW w:w="1175" w:type="dxa"/>
            <w:vAlign w:val="top"/>
          </w:tcPr>
          <w:p>
            <w:pPr>
              <w:ind w:left="437"/>
              <w:spacing w:before="195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30"/>
                <w:w w:val="112"/>
              </w:rPr>
              <w:t>&gt;5</w:t>
            </w:r>
          </w:p>
        </w:tc>
        <w:tc>
          <w:tcPr>
            <w:tcW w:w="956" w:type="dxa"/>
            <w:vAlign w:val="top"/>
          </w:tcPr>
          <w:p>
            <w:pPr>
              <w:ind w:left="267"/>
              <w:spacing w:before="195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9"/>
              </w:rPr>
              <w:t>&gt;15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0" w:type="dxa"/>
            <w:vAlign w:val="top"/>
          </w:tcPr>
          <w:p>
            <w:pPr>
              <w:ind w:left="440"/>
              <w:spacing w:before="40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"/>
              </w:rPr>
              <w:t>多巴酚丁胺</w:t>
            </w:r>
          </w:p>
          <w:p>
            <w:pPr>
              <w:pStyle w:val="TableText"/>
              <w:ind w:left="371"/>
              <w:spacing w:before="24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sz w:val="24"/>
                <w:szCs w:val="24"/>
                <w:color w:val="333333"/>
                <w:spacing w:val="-2"/>
              </w:rPr>
              <w:t>ug/kg.min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)</w:t>
            </w:r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ind w:left="173"/>
              <w:spacing w:before="4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任何剂</w:t>
            </w:r>
          </w:p>
          <w:p>
            <w:pPr>
              <w:ind w:left="414"/>
              <w:spacing w:before="27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量</w:t>
            </w:r>
          </w:p>
        </w:tc>
        <w:tc>
          <w:tcPr>
            <w:tcW w:w="11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0" w:type="dxa"/>
            <w:vAlign w:val="top"/>
          </w:tcPr>
          <w:p>
            <w:pPr>
              <w:ind w:left="569"/>
              <w:spacing w:before="4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肾上腺素</w:t>
            </w:r>
          </w:p>
          <w:p>
            <w:pPr>
              <w:pStyle w:val="TableText"/>
              <w:ind w:left="371"/>
              <w:spacing w:before="27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sz w:val="24"/>
                <w:szCs w:val="24"/>
                <w:color w:val="333333"/>
                <w:spacing w:val="-2"/>
              </w:rPr>
              <w:t>ug/kg.min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)</w:t>
            </w:r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5" w:type="dxa"/>
            <w:vAlign w:val="top"/>
          </w:tcPr>
          <w:p>
            <w:pPr>
              <w:ind w:left="312"/>
              <w:spacing w:before="196" w:line="23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≤0.1</w:t>
            </w:r>
          </w:p>
        </w:tc>
        <w:tc>
          <w:tcPr>
            <w:tcW w:w="956" w:type="dxa"/>
            <w:vAlign w:val="top"/>
          </w:tcPr>
          <w:p>
            <w:pPr>
              <w:ind w:left="207"/>
              <w:spacing w:before="195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2"/>
              </w:rPr>
              <w:t>&gt;0.1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0" w:type="dxa"/>
            <w:vAlign w:val="top"/>
          </w:tcPr>
          <w:p>
            <w:pPr>
              <w:ind w:left="313"/>
              <w:spacing w:before="4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去甲肾上腺素</w:t>
            </w:r>
          </w:p>
          <w:p>
            <w:pPr>
              <w:pStyle w:val="TableText"/>
              <w:ind w:left="311"/>
              <w:spacing w:before="26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sz w:val="24"/>
                <w:szCs w:val="24"/>
                <w:color w:val="333333"/>
                <w:spacing w:val="-2"/>
              </w:rPr>
              <w:t>ug/kg.min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）</w:t>
            </w:r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5" w:type="dxa"/>
            <w:vAlign w:val="top"/>
          </w:tcPr>
          <w:p>
            <w:pPr>
              <w:ind w:left="312"/>
              <w:spacing w:before="196" w:line="23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≤0.1</w:t>
            </w:r>
          </w:p>
        </w:tc>
        <w:tc>
          <w:tcPr>
            <w:tcW w:w="956" w:type="dxa"/>
            <w:vAlign w:val="top"/>
          </w:tcPr>
          <w:p>
            <w:pPr>
              <w:ind w:left="207"/>
              <w:spacing w:before="196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2"/>
              </w:rPr>
              <w:t>&gt;0.1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942" w:type="dxa"/>
            <w:vAlign w:val="top"/>
          </w:tcPr>
          <w:p>
            <w:pPr>
              <w:ind w:left="118"/>
              <w:spacing w:before="43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神经系</w:t>
            </w:r>
          </w:p>
          <w:p>
            <w:pPr>
              <w:ind w:left="364"/>
              <w:spacing w:before="27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统</w:t>
            </w:r>
          </w:p>
        </w:tc>
        <w:tc>
          <w:tcPr>
            <w:tcW w:w="2050" w:type="dxa"/>
            <w:vAlign w:val="top"/>
          </w:tcPr>
          <w:p>
            <w:pPr>
              <w:pStyle w:val="TableText"/>
              <w:ind w:left="526"/>
              <w:spacing w:before="19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2"/>
              </w:rPr>
              <w:t>GCS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评分</w:t>
            </w:r>
          </w:p>
        </w:tc>
        <w:tc>
          <w:tcPr>
            <w:tcW w:w="1021" w:type="dxa"/>
            <w:vAlign w:val="top"/>
          </w:tcPr>
          <w:p>
            <w:pPr>
              <w:ind w:left="413"/>
              <w:spacing w:before="19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4"/>
              </w:rPr>
              <w:t>15</w:t>
            </w:r>
          </w:p>
        </w:tc>
        <w:tc>
          <w:tcPr>
            <w:tcW w:w="1055" w:type="dxa"/>
            <w:vAlign w:val="top"/>
          </w:tcPr>
          <w:p>
            <w:pPr>
              <w:ind w:left="251"/>
              <w:spacing w:before="19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13-14</w:t>
            </w:r>
          </w:p>
        </w:tc>
        <w:tc>
          <w:tcPr>
            <w:tcW w:w="1055" w:type="dxa"/>
            <w:vAlign w:val="top"/>
          </w:tcPr>
          <w:p>
            <w:pPr>
              <w:ind w:left="252"/>
              <w:spacing w:before="19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10-12</w:t>
            </w:r>
          </w:p>
        </w:tc>
        <w:tc>
          <w:tcPr>
            <w:tcW w:w="1175" w:type="dxa"/>
            <w:vAlign w:val="top"/>
          </w:tcPr>
          <w:p>
            <w:pPr>
              <w:ind w:left="417"/>
              <w:spacing w:before="19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6-9</w:t>
            </w:r>
          </w:p>
        </w:tc>
        <w:tc>
          <w:tcPr>
            <w:tcW w:w="956" w:type="dxa"/>
            <w:vAlign w:val="top"/>
          </w:tcPr>
          <w:p>
            <w:pPr>
              <w:ind w:left="323"/>
              <w:spacing w:before="19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6"/>
                <w:w w:val="117"/>
              </w:rPr>
              <w:t>&lt;6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942" w:type="dxa"/>
            <w:vAlign w:val="top"/>
          </w:tcPr>
          <w:p>
            <w:pPr>
              <w:ind w:left="259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5"/>
              </w:rPr>
              <w:t>肾脏</w:t>
            </w:r>
          </w:p>
        </w:tc>
        <w:tc>
          <w:tcPr>
            <w:tcW w:w="2050" w:type="dxa"/>
            <w:vAlign w:val="top"/>
          </w:tcPr>
          <w:p>
            <w:pPr>
              <w:pStyle w:val="TableText"/>
              <w:ind w:left="228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肌酐（</w:t>
            </w:r>
            <w:r>
              <w:rPr>
                <w:sz w:val="24"/>
                <w:szCs w:val="24"/>
                <w:color w:val="333333"/>
                <w:spacing w:val="-2"/>
              </w:rPr>
              <w:t>mg/dL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）</w:t>
            </w:r>
          </w:p>
        </w:tc>
        <w:tc>
          <w:tcPr>
            <w:tcW w:w="1021" w:type="dxa"/>
            <w:vAlign w:val="top"/>
          </w:tcPr>
          <w:p>
            <w:pPr>
              <w:ind w:left="233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&lt;1.2</w:t>
            </w:r>
          </w:p>
        </w:tc>
        <w:tc>
          <w:tcPr>
            <w:tcW w:w="1055" w:type="dxa"/>
            <w:vAlign w:val="top"/>
          </w:tcPr>
          <w:p>
            <w:pPr>
              <w:ind w:left="131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1.2-1.9</w:t>
            </w:r>
          </w:p>
        </w:tc>
        <w:tc>
          <w:tcPr>
            <w:tcW w:w="1055" w:type="dxa"/>
            <w:vAlign w:val="top"/>
          </w:tcPr>
          <w:p>
            <w:pPr>
              <w:ind w:left="117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2.0-3.4</w:t>
            </w:r>
          </w:p>
        </w:tc>
        <w:tc>
          <w:tcPr>
            <w:tcW w:w="1175" w:type="dxa"/>
            <w:vAlign w:val="top"/>
          </w:tcPr>
          <w:p>
            <w:pPr>
              <w:ind w:left="180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3.5-4.9</w:t>
            </w:r>
          </w:p>
        </w:tc>
        <w:tc>
          <w:tcPr>
            <w:tcW w:w="956" w:type="dxa"/>
            <w:vAlign w:val="top"/>
          </w:tcPr>
          <w:p>
            <w:pPr>
              <w:ind w:left="209"/>
              <w:spacing w:before="41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≥5.0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3" w:hRule="atLeast"/>
        </w:trPr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0" w:type="dxa"/>
            <w:vAlign w:val="top"/>
          </w:tcPr>
          <w:p>
            <w:pPr>
              <w:ind w:left="583"/>
              <w:spacing w:before="4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"/>
              </w:rPr>
              <w:t>24h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"/>
              </w:rPr>
              <w:t>尿量</w:t>
            </w:r>
          </w:p>
          <w:p>
            <w:pPr>
              <w:ind w:left="380"/>
              <w:spacing w:before="24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（ml/24hr）</w:t>
            </w:r>
          </w:p>
        </w:tc>
        <w:tc>
          <w:tcPr>
            <w:tcW w:w="1021" w:type="dxa"/>
            <w:vAlign w:val="top"/>
          </w:tcPr>
          <w:p>
            <w:pPr>
              <w:ind w:left="238"/>
              <w:spacing w:before="198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≥500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5" w:type="dxa"/>
            <w:vAlign w:val="top"/>
          </w:tcPr>
          <w:p>
            <w:pPr>
              <w:ind w:left="313"/>
              <w:spacing w:before="19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&lt;500</w:t>
            </w:r>
          </w:p>
        </w:tc>
        <w:tc>
          <w:tcPr>
            <w:tcW w:w="956" w:type="dxa"/>
            <w:vAlign w:val="top"/>
          </w:tcPr>
          <w:p>
            <w:pPr>
              <w:ind w:left="203"/>
              <w:spacing w:before="19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&lt;200</w:t>
            </w:r>
          </w:p>
        </w:tc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445"/>
        <w:spacing w:before="56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37</w:t>
      </w:r>
    </w:p>
    <w:p>
      <w:pPr>
        <w:spacing w:line="181" w:lineRule="auto"/>
        <w:sectPr>
          <w:headerReference w:type="default" r:id="rId32"/>
          <w:footerReference w:type="default" r:id="rId33"/>
          <w:pgSz w:w="11906" w:h="16839"/>
          <w:pgMar w:top="1182" w:right="1399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00"/>
        <w:spacing w:before="100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逻辑器官功能障碍系统（</w:t>
      </w:r>
      <w:r>
        <w:rPr>
          <w:rFonts w:ascii="Times New Roman" w:hAnsi="Times New Roman" w:eastAsia="Times New Roman" w:cs="Times New Roman"/>
          <w:sz w:val="24"/>
          <w:szCs w:val="24"/>
          <w:color w:val="333333"/>
        </w:rPr>
        <w:t>logistic organ dysfunction</w:t>
      </w:r>
      <w:r>
        <w:rPr>
          <w:rFonts w:ascii="Times New Roman" w:hAnsi="Times New Roman" w:eastAsia="Times New Roman" w:cs="Times New Roman"/>
          <w:sz w:val="24"/>
          <w:szCs w:val="24"/>
          <w:color w:val="333333"/>
          <w:spacing w:val="-1"/>
        </w:rPr>
        <w:t xml:space="preserve"> system,LODS</w:t>
      </w:r>
      <w:r>
        <w:rPr>
          <w:rFonts w:ascii="SimSun" w:hAnsi="SimSun" w:eastAsia="SimSun" w:cs="SimSun"/>
          <w:sz w:val="24"/>
          <w:szCs w:val="24"/>
          <w:color w:val="333333"/>
          <w:spacing w:val="-1"/>
        </w:rPr>
        <w:t>)</w:t>
      </w:r>
    </w:p>
    <w:tbl>
      <w:tblPr>
        <w:tblStyle w:val="TableNormal"/>
        <w:tblW w:w="9058" w:type="dxa"/>
        <w:tblInd w:w="8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4"/>
        <w:gridCol w:w="1951"/>
        <w:gridCol w:w="1419"/>
        <w:gridCol w:w="1419"/>
        <w:gridCol w:w="1420"/>
        <w:gridCol w:w="1425"/>
      </w:tblGrid>
      <w:tr>
        <w:trPr>
          <w:trHeight w:val="322" w:hRule="atLeast"/>
        </w:trPr>
        <w:tc>
          <w:tcPr>
            <w:tcW w:w="1424" w:type="dxa"/>
            <w:vAlign w:val="top"/>
          </w:tcPr>
          <w:p>
            <w:pPr>
              <w:ind w:left="238"/>
              <w:spacing w:before="42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器官衰竭</w:t>
            </w:r>
          </w:p>
        </w:tc>
        <w:tc>
          <w:tcPr>
            <w:tcW w:w="1951" w:type="dxa"/>
            <w:vAlign w:val="top"/>
          </w:tcPr>
          <w:p>
            <w:pPr>
              <w:ind w:left="741"/>
              <w:spacing w:before="42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"/>
              </w:rPr>
              <w:t>变量</w:t>
            </w:r>
          </w:p>
        </w:tc>
        <w:tc>
          <w:tcPr>
            <w:tcW w:w="1419" w:type="dxa"/>
            <w:vAlign w:val="top"/>
          </w:tcPr>
          <w:p>
            <w:pPr>
              <w:ind w:left="508"/>
              <w:spacing w:before="42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0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分</w:t>
            </w:r>
          </w:p>
        </w:tc>
        <w:tc>
          <w:tcPr>
            <w:tcW w:w="1419" w:type="dxa"/>
            <w:vAlign w:val="top"/>
          </w:tcPr>
          <w:p>
            <w:pPr>
              <w:ind w:left="523"/>
              <w:spacing w:before="42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4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4"/>
              </w:rPr>
              <w:t>分</w:t>
            </w:r>
          </w:p>
        </w:tc>
        <w:tc>
          <w:tcPr>
            <w:tcW w:w="1420" w:type="dxa"/>
            <w:vAlign w:val="top"/>
          </w:tcPr>
          <w:p>
            <w:pPr>
              <w:ind w:left="512"/>
              <w:spacing w:before="42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3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分</w:t>
            </w:r>
          </w:p>
        </w:tc>
        <w:tc>
          <w:tcPr>
            <w:tcW w:w="1425" w:type="dxa"/>
            <w:vAlign w:val="top"/>
          </w:tcPr>
          <w:p>
            <w:pPr>
              <w:ind w:left="513"/>
              <w:spacing w:before="42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5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8"/>
              </w:rPr>
              <w:t>分</w:t>
            </w:r>
          </w:p>
        </w:tc>
      </w:tr>
      <w:tr>
        <w:trPr>
          <w:trHeight w:val="1252" w:hRule="atLeast"/>
        </w:trPr>
        <w:tc>
          <w:tcPr>
            <w:tcW w:w="1424" w:type="dxa"/>
            <w:vAlign w:val="top"/>
          </w:tcPr>
          <w:p>
            <w:pPr>
              <w:ind w:left="251"/>
              <w:spacing w:before="3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呼吸系统</w:t>
            </w:r>
          </w:p>
        </w:tc>
        <w:tc>
          <w:tcPr>
            <w:tcW w:w="1951" w:type="dxa"/>
            <w:vAlign w:val="top"/>
          </w:tcPr>
          <w:p>
            <w:pPr>
              <w:pStyle w:val="TableText"/>
              <w:ind w:left="107"/>
              <w:spacing w:before="72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PaO</w:t>
            </w:r>
            <w:r>
              <w:rPr>
                <w:sz w:val="15"/>
                <w:szCs w:val="15"/>
                <w:color w:val="333333"/>
                <w:position w:val="-1"/>
              </w:rPr>
              <w:t>2</w:t>
            </w:r>
            <w:r>
              <w:rPr>
                <w:sz w:val="24"/>
                <w:szCs w:val="24"/>
                <w:color w:val="333333"/>
              </w:rPr>
              <w:t>/FiO</w:t>
            </w:r>
            <w:r>
              <w:rPr>
                <w:sz w:val="15"/>
                <w:szCs w:val="15"/>
                <w:color w:val="333333"/>
                <w:position w:val="-1"/>
              </w:rPr>
              <w:t>2</w:t>
            </w:r>
            <w:r>
              <w:rPr>
                <w:sz w:val="24"/>
                <w:szCs w:val="24"/>
                <w:color w:val="333333"/>
              </w:rPr>
              <w:t>,mmHg</w:t>
            </w:r>
          </w:p>
          <w:p>
            <w:pPr>
              <w:pStyle w:val="TableText"/>
              <w:ind w:left="107"/>
              <w:spacing w:before="5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3"/>
              </w:rPr>
              <w:t>MV</w:t>
            </w:r>
            <w:r>
              <w:rPr>
                <w:sz w:val="24"/>
                <w:szCs w:val="24"/>
                <w:color w:val="33333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3"/>
              </w:rPr>
              <w:t>或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1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13"/>
              </w:rPr>
              <w:t>CPAP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3"/>
              </w:rPr>
              <w:t>（机</w:t>
            </w:r>
          </w:p>
          <w:p>
            <w:pPr>
              <w:ind w:left="140"/>
              <w:spacing w:before="2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械通气或持续气</w:t>
            </w:r>
          </w:p>
          <w:p>
            <w:pPr>
              <w:ind w:left="260"/>
              <w:spacing w:before="26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道正压通气）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223"/>
              <w:spacing w:before="3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无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6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MV</w:t>
            </w:r>
            <w:r>
              <w:rPr>
                <w:sz w:val="24"/>
                <w:szCs w:val="24"/>
                <w:color w:val="33333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或</w:t>
            </w:r>
          </w:p>
          <w:p>
            <w:pPr>
              <w:pStyle w:val="TableText"/>
              <w:ind w:left="426"/>
              <w:spacing w:before="6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8"/>
              </w:rPr>
              <w:t>CPAP</w:t>
            </w:r>
          </w:p>
        </w:tc>
        <w:tc>
          <w:tcPr>
            <w:tcW w:w="1419" w:type="dxa"/>
            <w:vAlign w:val="top"/>
          </w:tcPr>
          <w:p>
            <w:pPr>
              <w:ind w:left="440"/>
              <w:spacing w:before="37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≥150</w:t>
            </w:r>
          </w:p>
        </w:tc>
        <w:tc>
          <w:tcPr>
            <w:tcW w:w="1420" w:type="dxa"/>
            <w:vAlign w:val="top"/>
          </w:tcPr>
          <w:p>
            <w:pPr>
              <w:ind w:left="436"/>
              <w:spacing w:before="3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&lt;150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424" w:type="dxa"/>
            <w:vAlign w:val="top"/>
          </w:tcPr>
          <w:p>
            <w:pPr>
              <w:ind w:left="240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血液系统</w:t>
            </w:r>
          </w:p>
        </w:tc>
        <w:tc>
          <w:tcPr>
            <w:tcW w:w="1951" w:type="dxa"/>
            <w:vAlign w:val="top"/>
          </w:tcPr>
          <w:p>
            <w:pPr>
              <w:spacing w:before="18" w:line="222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血小板（*10</w:t>
            </w:r>
            <w:r>
              <w:rPr>
                <w:rFonts w:ascii="SimSun" w:hAnsi="SimSun" w:eastAsia="SimSun" w:cs="SimSun"/>
                <w:sz w:val="12"/>
                <w:szCs w:val="12"/>
                <w:color w:val="333333"/>
                <w:spacing w:val="-4"/>
                <w:position w:val="11"/>
              </w:rPr>
              <w:t>9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/L）</w:t>
            </w:r>
          </w:p>
        </w:tc>
        <w:tc>
          <w:tcPr>
            <w:tcW w:w="1419" w:type="dxa"/>
            <w:vAlign w:val="top"/>
          </w:tcPr>
          <w:p>
            <w:pPr>
              <w:ind w:left="499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≥50</w:t>
            </w:r>
          </w:p>
        </w:tc>
        <w:tc>
          <w:tcPr>
            <w:tcW w:w="1419" w:type="dxa"/>
            <w:vAlign w:val="top"/>
          </w:tcPr>
          <w:p>
            <w:pPr>
              <w:ind w:left="495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7"/>
                <w:w w:val="103"/>
              </w:rPr>
              <w:t>&lt;50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1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1" w:type="dxa"/>
            <w:vAlign w:val="top"/>
          </w:tcPr>
          <w:p>
            <w:pPr>
              <w:spacing w:before="20" w:line="23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白细胞（*10</w:t>
            </w:r>
            <w:r>
              <w:rPr>
                <w:rFonts w:ascii="SimSun" w:hAnsi="SimSun" w:eastAsia="SimSun" w:cs="SimSun"/>
                <w:sz w:val="12"/>
                <w:szCs w:val="12"/>
                <w:color w:val="333333"/>
                <w:spacing w:val="-7"/>
                <w:position w:val="11"/>
              </w:rPr>
              <w:t>9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/L）</w:t>
            </w:r>
          </w:p>
        </w:tc>
        <w:tc>
          <w:tcPr>
            <w:tcW w:w="1419" w:type="dxa"/>
            <w:vAlign w:val="top"/>
          </w:tcPr>
          <w:p>
            <w:pPr>
              <w:ind w:left="238"/>
              <w:spacing w:before="37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2.5-49.9</w:t>
            </w:r>
          </w:p>
        </w:tc>
        <w:tc>
          <w:tcPr>
            <w:tcW w:w="1419" w:type="dxa"/>
            <w:vAlign w:val="top"/>
          </w:tcPr>
          <w:p>
            <w:pPr>
              <w:ind w:left="435"/>
              <w:spacing w:before="37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1-2.4</w:t>
            </w:r>
          </w:p>
          <w:p>
            <w:pPr>
              <w:ind w:left="500"/>
              <w:spacing w:before="2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≥50</w:t>
            </w:r>
          </w:p>
        </w:tc>
        <w:tc>
          <w:tcPr>
            <w:tcW w:w="1420" w:type="dxa"/>
            <w:vAlign w:val="top"/>
          </w:tcPr>
          <w:p>
            <w:pPr>
              <w:ind w:left="556"/>
              <w:spacing w:before="3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39"/>
                <w:w w:val="106"/>
              </w:rPr>
              <w:t>&lt;1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424" w:type="dxa"/>
            <w:vAlign w:val="top"/>
          </w:tcPr>
          <w:p>
            <w:pPr>
              <w:ind w:left="479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肝脏</w:t>
            </w:r>
          </w:p>
        </w:tc>
        <w:tc>
          <w:tcPr>
            <w:tcW w:w="1951" w:type="dxa"/>
            <w:vAlign w:val="top"/>
          </w:tcPr>
          <w:p>
            <w:pPr>
              <w:ind w:left="201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"/>
              </w:rPr>
              <w:t>胆红素(mg/dL)</w:t>
            </w:r>
          </w:p>
        </w:tc>
        <w:tc>
          <w:tcPr>
            <w:tcW w:w="1419" w:type="dxa"/>
            <w:vAlign w:val="top"/>
          </w:tcPr>
          <w:p>
            <w:pPr>
              <w:ind w:left="373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8"/>
              </w:rPr>
              <w:t>&lt;34.2</w:t>
            </w:r>
          </w:p>
        </w:tc>
        <w:tc>
          <w:tcPr>
            <w:tcW w:w="1419" w:type="dxa"/>
            <w:vAlign w:val="top"/>
          </w:tcPr>
          <w:p>
            <w:pPr>
              <w:ind w:left="380"/>
              <w:spacing w:before="37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≥34.2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1" w:type="dxa"/>
            <w:vAlign w:val="top"/>
          </w:tcPr>
          <w:p>
            <w:pPr>
              <w:pStyle w:val="TableText"/>
              <w:ind w:left="153" w:right="133" w:firstLine="52"/>
              <w:spacing w:before="36" w:line="22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PT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"/>
              </w:rPr>
              <w:t>超过标准值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（秒）或百分比</w:t>
            </w:r>
          </w:p>
        </w:tc>
        <w:tc>
          <w:tcPr>
            <w:tcW w:w="1419" w:type="dxa"/>
            <w:vAlign w:val="top"/>
          </w:tcPr>
          <w:p>
            <w:pPr>
              <w:ind w:left="163"/>
              <w:spacing w:before="3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≤3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秒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(≥</w:t>
            </w:r>
          </w:p>
          <w:p>
            <w:pPr>
              <w:ind w:left="418"/>
              <w:spacing w:before="25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25%）</w:t>
            </w:r>
          </w:p>
        </w:tc>
        <w:tc>
          <w:tcPr>
            <w:tcW w:w="1419" w:type="dxa"/>
            <w:vAlign w:val="top"/>
          </w:tcPr>
          <w:p>
            <w:pPr>
              <w:ind w:left="167"/>
              <w:spacing w:before="3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8"/>
              </w:rPr>
              <w:t>&gt;3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8"/>
              </w:rPr>
              <w:t>秒 (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8"/>
              </w:rPr>
              <w:t>&lt;</w:t>
            </w:r>
          </w:p>
          <w:p>
            <w:pPr>
              <w:ind w:left="420"/>
              <w:spacing w:before="25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25%）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1424" w:type="dxa"/>
            <w:vAlign w:val="top"/>
          </w:tcPr>
          <w:p>
            <w:pPr>
              <w:ind w:left="126"/>
              <w:spacing w:before="4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心血管系统</w:t>
            </w:r>
          </w:p>
        </w:tc>
        <w:tc>
          <w:tcPr>
            <w:tcW w:w="1951" w:type="dxa"/>
            <w:vAlign w:val="top"/>
          </w:tcPr>
          <w:p>
            <w:pPr>
              <w:pStyle w:val="TableText"/>
              <w:ind w:left="265"/>
              <w:spacing w:before="40" w:line="210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4"/>
              </w:rPr>
              <w:t>收缩压</w:t>
            </w:r>
            <w:r>
              <w:rPr>
                <w:sz w:val="24"/>
                <w:szCs w:val="24"/>
                <w:color w:val="333333"/>
              </w:rPr>
              <w:t>mmHg</w:t>
            </w:r>
          </w:p>
        </w:tc>
        <w:tc>
          <w:tcPr>
            <w:tcW w:w="1419" w:type="dxa"/>
            <w:vAlign w:val="top"/>
          </w:tcPr>
          <w:p>
            <w:pPr>
              <w:ind w:left="356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90-239</w:t>
            </w:r>
          </w:p>
        </w:tc>
        <w:tc>
          <w:tcPr>
            <w:tcW w:w="1419" w:type="dxa"/>
            <w:vAlign w:val="top"/>
          </w:tcPr>
          <w:p>
            <w:pPr>
              <w:ind w:left="423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70-89</w:t>
            </w:r>
          </w:p>
          <w:p>
            <w:pPr>
              <w:ind w:left="300"/>
              <w:spacing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240-269</w:t>
            </w:r>
          </w:p>
        </w:tc>
        <w:tc>
          <w:tcPr>
            <w:tcW w:w="1420" w:type="dxa"/>
            <w:vAlign w:val="top"/>
          </w:tcPr>
          <w:p>
            <w:pPr>
              <w:ind w:left="418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40-69</w:t>
            </w:r>
          </w:p>
          <w:p>
            <w:pPr>
              <w:ind w:left="442"/>
              <w:spacing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≥270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1" w:type="dxa"/>
            <w:vAlign w:val="top"/>
          </w:tcPr>
          <w:p>
            <w:pPr>
              <w:pStyle w:val="TableText"/>
              <w:ind w:left="505"/>
              <w:spacing w:before="40" w:line="205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心率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9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bpm</w:t>
            </w:r>
          </w:p>
        </w:tc>
        <w:tc>
          <w:tcPr>
            <w:tcW w:w="1419" w:type="dxa"/>
            <w:vAlign w:val="top"/>
          </w:tcPr>
          <w:p>
            <w:pPr>
              <w:ind w:left="360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30-139</w:t>
            </w:r>
          </w:p>
        </w:tc>
        <w:tc>
          <w:tcPr>
            <w:tcW w:w="1419" w:type="dxa"/>
            <w:vAlign w:val="top"/>
          </w:tcPr>
          <w:p>
            <w:pPr>
              <w:ind w:left="440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≥140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5" w:type="dxa"/>
            <w:vAlign w:val="top"/>
          </w:tcPr>
          <w:p>
            <w:pPr>
              <w:ind w:left="497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7"/>
                <w:w w:val="103"/>
              </w:rPr>
              <w:t>&lt;30</w:t>
            </w:r>
          </w:p>
        </w:tc>
      </w:tr>
      <w:tr>
        <w:trPr>
          <w:trHeight w:val="628" w:hRule="atLeast"/>
        </w:trPr>
        <w:tc>
          <w:tcPr>
            <w:tcW w:w="1424" w:type="dxa"/>
            <w:vAlign w:val="top"/>
          </w:tcPr>
          <w:p>
            <w:pPr>
              <w:ind w:left="141"/>
              <w:spacing w:before="4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7"/>
              </w:rPr>
              <w:t>中枢神经系</w:t>
            </w:r>
          </w:p>
          <w:p>
            <w:pPr>
              <w:ind w:left="604"/>
              <w:spacing w:before="26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</w:rPr>
              <w:t>统</w:t>
            </w:r>
          </w:p>
        </w:tc>
        <w:tc>
          <w:tcPr>
            <w:tcW w:w="1951" w:type="dxa"/>
            <w:vAlign w:val="top"/>
          </w:tcPr>
          <w:p>
            <w:pPr>
              <w:pStyle w:val="TableText"/>
              <w:ind w:left="476"/>
              <w:spacing w:before="4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2"/>
              </w:rPr>
              <w:t>GCS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评分</w:t>
            </w:r>
          </w:p>
        </w:tc>
        <w:tc>
          <w:tcPr>
            <w:tcW w:w="1419" w:type="dxa"/>
            <w:vAlign w:val="top"/>
          </w:tcPr>
          <w:p>
            <w:pPr>
              <w:ind w:left="433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6"/>
              </w:rPr>
              <w:t>14-15</w:t>
            </w:r>
          </w:p>
        </w:tc>
        <w:tc>
          <w:tcPr>
            <w:tcW w:w="1419" w:type="dxa"/>
            <w:vAlign w:val="top"/>
          </w:tcPr>
          <w:p>
            <w:pPr>
              <w:ind w:left="478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9-13</w:t>
            </w:r>
          </w:p>
        </w:tc>
        <w:tc>
          <w:tcPr>
            <w:tcW w:w="1420" w:type="dxa"/>
            <w:vAlign w:val="top"/>
          </w:tcPr>
          <w:p>
            <w:pPr>
              <w:ind w:left="541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6-8</w:t>
            </w:r>
          </w:p>
        </w:tc>
        <w:tc>
          <w:tcPr>
            <w:tcW w:w="1425" w:type="dxa"/>
            <w:vAlign w:val="top"/>
          </w:tcPr>
          <w:p>
            <w:pPr>
              <w:ind w:left="557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6"/>
                <w:w w:val="117"/>
              </w:rPr>
              <w:t>&lt;6</w:t>
            </w:r>
          </w:p>
        </w:tc>
      </w:tr>
      <w:tr>
        <w:trPr>
          <w:trHeight w:val="317" w:hRule="atLeast"/>
        </w:trPr>
        <w:tc>
          <w:tcPr>
            <w:tcW w:w="1424" w:type="dxa"/>
            <w:vAlign w:val="top"/>
          </w:tcPr>
          <w:p>
            <w:pPr>
              <w:ind w:left="499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5"/>
              </w:rPr>
              <w:t>肾脏</w:t>
            </w:r>
          </w:p>
        </w:tc>
        <w:tc>
          <w:tcPr>
            <w:tcW w:w="1951" w:type="dxa"/>
            <w:vAlign w:val="top"/>
          </w:tcPr>
          <w:p>
            <w:pPr>
              <w:pStyle w:val="TableText"/>
              <w:ind w:left="355"/>
              <w:spacing w:before="40" w:line="205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"/>
              </w:rPr>
              <w:t>肌酐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9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1"/>
              </w:rPr>
              <w:t>umol/L</w:t>
            </w:r>
          </w:p>
        </w:tc>
        <w:tc>
          <w:tcPr>
            <w:tcW w:w="1419" w:type="dxa"/>
            <w:vAlign w:val="top"/>
          </w:tcPr>
          <w:p>
            <w:pPr>
              <w:ind w:left="433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&lt;106</w:t>
            </w:r>
          </w:p>
        </w:tc>
        <w:tc>
          <w:tcPr>
            <w:tcW w:w="1419" w:type="dxa"/>
            <w:vAlign w:val="top"/>
          </w:tcPr>
          <w:p>
            <w:pPr>
              <w:ind w:left="315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4"/>
              </w:rPr>
              <w:t>106-140</w:t>
            </w:r>
          </w:p>
        </w:tc>
        <w:tc>
          <w:tcPr>
            <w:tcW w:w="1420" w:type="dxa"/>
            <w:vAlign w:val="top"/>
          </w:tcPr>
          <w:p>
            <w:pPr>
              <w:ind w:left="442"/>
              <w:spacing w:before="40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9"/>
              </w:rPr>
              <w:t>≥141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1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1" w:type="dxa"/>
            <w:vAlign w:val="top"/>
          </w:tcPr>
          <w:p>
            <w:pPr>
              <w:pStyle w:val="TableText"/>
              <w:ind w:left="441" w:right="133" w:hanging="298"/>
              <w:spacing w:before="40" w:line="222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血清尿素或尿素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氮</w:t>
            </w: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2"/>
              </w:rPr>
              <w:t>mmol/L</w:t>
            </w:r>
          </w:p>
        </w:tc>
        <w:tc>
          <w:tcPr>
            <w:tcW w:w="1419" w:type="dxa"/>
            <w:vAlign w:val="top"/>
          </w:tcPr>
          <w:p>
            <w:pPr>
              <w:ind w:left="553"/>
              <w:spacing w:before="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6"/>
                <w:w w:val="117"/>
              </w:rPr>
              <w:t>&lt;6</w:t>
            </w:r>
          </w:p>
        </w:tc>
        <w:tc>
          <w:tcPr>
            <w:tcW w:w="1419" w:type="dxa"/>
            <w:vAlign w:val="top"/>
          </w:tcPr>
          <w:p>
            <w:pPr>
              <w:ind w:left="419"/>
              <w:spacing w:before="39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6-6.9</w:t>
            </w:r>
          </w:p>
        </w:tc>
        <w:tc>
          <w:tcPr>
            <w:tcW w:w="1420" w:type="dxa"/>
            <w:vAlign w:val="top"/>
          </w:tcPr>
          <w:p>
            <w:pPr>
              <w:ind w:left="364"/>
              <w:spacing w:before="39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3"/>
              </w:rPr>
              <w:t>7-19.9</w:t>
            </w:r>
          </w:p>
        </w:tc>
        <w:tc>
          <w:tcPr>
            <w:tcW w:w="1425" w:type="dxa"/>
            <w:vAlign w:val="top"/>
          </w:tcPr>
          <w:p>
            <w:pPr>
              <w:ind w:left="503"/>
              <w:spacing w:before="40" w:line="23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≥20</w:t>
            </w:r>
          </w:p>
        </w:tc>
      </w:tr>
      <w:tr>
        <w:trPr>
          <w:trHeight w:val="633" w:hRule="atLeast"/>
        </w:trPr>
        <w:tc>
          <w:tcPr>
            <w:tcW w:w="1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1" w:type="dxa"/>
            <w:vAlign w:val="top"/>
          </w:tcPr>
          <w:p>
            <w:pPr>
              <w:pStyle w:val="TableText"/>
              <w:ind w:left="452"/>
              <w:spacing w:before="40" w:line="221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尿量，</w:t>
            </w:r>
            <w:r>
              <w:rPr>
                <w:sz w:val="24"/>
                <w:szCs w:val="24"/>
                <w:color w:val="333333"/>
                <w:spacing w:val="-2"/>
              </w:rPr>
              <w:t>L/d</w:t>
            </w:r>
          </w:p>
        </w:tc>
        <w:tc>
          <w:tcPr>
            <w:tcW w:w="1419" w:type="dxa"/>
            <w:vAlign w:val="top"/>
          </w:tcPr>
          <w:p>
            <w:pPr>
              <w:ind w:left="177"/>
              <w:spacing w:before="40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0.75-9.99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ind w:left="301"/>
              <w:spacing w:before="40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2"/>
              </w:rPr>
              <w:t>0.5-0.7</w:t>
            </w:r>
          </w:p>
          <w:p>
            <w:pPr>
              <w:ind w:left="502"/>
              <w:spacing w:before="1" w:line="2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-11"/>
              </w:rPr>
              <w:t>≥10</w:t>
            </w:r>
          </w:p>
        </w:tc>
        <w:tc>
          <w:tcPr>
            <w:tcW w:w="1425" w:type="dxa"/>
            <w:vAlign w:val="top"/>
          </w:tcPr>
          <w:p>
            <w:pPr>
              <w:ind w:left="437"/>
              <w:spacing w:before="40" w:line="23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33333"/>
                <w:spacing w:val="23"/>
              </w:rPr>
              <w:t>&lt;0.5</w:t>
            </w:r>
          </w:p>
        </w:tc>
      </w:tr>
    </w:tbl>
    <w:p>
      <w:pPr>
        <w:pStyle w:val="BodyText"/>
        <w:spacing w:line="270" w:lineRule="auto"/>
        <w:rPr/>
      </w:pPr>
      <w:r/>
    </w:p>
    <w:p>
      <w:pPr>
        <w:ind w:left="1002"/>
        <w:spacing w:before="78" w:line="2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C0C0C"/>
        </w:rPr>
        <w:t>年龄校正</w:t>
      </w:r>
      <w:r>
        <w:rPr>
          <w:rFonts w:ascii="SimSun" w:hAnsi="SimSun" w:eastAsia="SimSun" w:cs="SimSun"/>
          <w:sz w:val="24"/>
          <w:szCs w:val="24"/>
          <w:color w:val="0C0C0C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C0C0C"/>
        </w:rPr>
        <w:t>Charlson </w:t>
      </w:r>
      <w:r>
        <w:rPr>
          <w:rFonts w:ascii="SimSun" w:hAnsi="SimSun" w:eastAsia="SimSun" w:cs="SimSun"/>
          <w:sz w:val="24"/>
          <w:szCs w:val="24"/>
          <w:color w:val="0C0C0C"/>
        </w:rPr>
        <w:t>合并症指数（</w:t>
      </w:r>
      <w:r>
        <w:rPr>
          <w:rFonts w:ascii="Times New Roman" w:hAnsi="Times New Roman" w:eastAsia="Times New Roman" w:cs="Times New Roman"/>
          <w:sz w:val="24"/>
          <w:szCs w:val="24"/>
        </w:rPr>
        <w:t>age-adjusted Charlson Comor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bidity Index,aCCI</w:t>
      </w:r>
      <w:r>
        <w:rPr>
          <w:rFonts w:ascii="SimSun" w:hAnsi="SimSun" w:eastAsia="SimSun" w:cs="SimSun"/>
          <w:sz w:val="24"/>
          <w:szCs w:val="24"/>
          <w:spacing w:val="-1"/>
        </w:rPr>
        <w:t>)</w:t>
      </w:r>
    </w:p>
    <w:p>
      <w:pPr>
        <w:pStyle w:val="BodyText"/>
        <w:spacing w:line="271" w:lineRule="auto"/>
        <w:rPr/>
      </w:pPr>
      <w:r/>
    </w:p>
    <w:p>
      <w:pPr>
        <w:ind w:left="1028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以下项目计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1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分：</w:t>
      </w:r>
    </w:p>
    <w:p>
      <w:pPr>
        <w:ind w:left="1009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心肌梗死</w:t>
      </w:r>
    </w:p>
    <w:p>
      <w:pPr>
        <w:ind w:left="1004"/>
        <w:spacing w:before="2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充血性心衰</w:t>
      </w:r>
    </w:p>
    <w:p>
      <w:pPr>
        <w:ind w:left="1000" w:right="7393" w:firstLine="1"/>
        <w:spacing w:before="26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周围性血管病变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脑血管疾病</w:t>
      </w:r>
    </w:p>
    <w:p>
      <w:pPr>
        <w:ind w:left="998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痴呆症</w:t>
      </w:r>
    </w:p>
    <w:p>
      <w:pPr>
        <w:ind w:left="1006" w:right="7393" w:hanging="4"/>
        <w:spacing w:before="25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慢性阻塞性肺部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结缔组织病</w:t>
      </w:r>
    </w:p>
    <w:p>
      <w:pPr>
        <w:ind w:left="1006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消化性溃疡</w:t>
      </w:r>
    </w:p>
    <w:p>
      <w:pPr>
        <w:ind w:left="1001" w:right="7393"/>
        <w:spacing w:before="27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轻微的肝脏疾病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糖尿病</w:t>
      </w:r>
    </w:p>
    <w:p>
      <w:pPr>
        <w:ind w:left="1028"/>
        <w:spacing w:before="30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以下项目计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2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分：</w:t>
      </w:r>
    </w:p>
    <w:p>
      <w:pPr>
        <w:ind w:left="1001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偏瘫</w:t>
      </w:r>
    </w:p>
    <w:p>
      <w:pPr>
        <w:ind w:left="1023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中/重度肾病</w:t>
      </w:r>
    </w:p>
    <w:p>
      <w:pPr>
        <w:ind w:left="1001"/>
        <w:spacing w:before="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糖尿病伴器官损害</w:t>
      </w:r>
    </w:p>
    <w:p>
      <w:pPr>
        <w:ind w:left="1000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任何肿瘤</w:t>
      </w:r>
    </w:p>
    <w:p>
      <w:pPr>
        <w:ind w:left="1036"/>
        <w:spacing w:before="27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白血病</w:t>
      </w:r>
    </w:p>
    <w:p>
      <w:pPr>
        <w:ind w:left="1003"/>
        <w:spacing w:before="25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淋巴瘤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5445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38</w:t>
      </w:r>
    </w:p>
    <w:p>
      <w:pPr>
        <w:spacing w:line="181" w:lineRule="auto"/>
        <w:sectPr>
          <w:headerReference w:type="default" r:id="rId17"/>
          <w:footerReference w:type="default" r:id="rId18"/>
          <w:pgSz w:w="11906" w:h="16839"/>
          <w:pgMar w:top="1182" w:right="1416" w:bottom="604" w:left="424" w:header="849" w:footer="354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left="1023" w:right="7213" w:firstLine="4"/>
        <w:spacing w:before="10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以下项目计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3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分：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中/重度肝病</w:t>
      </w:r>
    </w:p>
    <w:p>
      <w:pPr>
        <w:ind w:left="1002" w:right="7213" w:firstLine="26"/>
        <w:spacing w:before="305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以下项目计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6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分：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转移性实体瘤</w:t>
      </w:r>
    </w:p>
    <w:p>
      <w:pPr>
        <w:ind w:left="1004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艾滋病</w:t>
      </w:r>
    </w:p>
    <w:p>
      <w:pPr>
        <w:ind w:left="1000"/>
        <w:spacing w:before="25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u w:val="dotted" w:color="auto"/>
          <w:spacing w:val="-2"/>
        </w:rPr>
        <w:t>对应年龄组评分：</w:t>
      </w:r>
    </w:p>
    <w:tbl>
      <w:tblPr>
        <w:tblStyle w:val="TableNormal"/>
        <w:tblW w:w="8526" w:type="dxa"/>
        <w:tblInd w:w="8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3"/>
      </w:tblGrid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ind w:left="1900"/>
              <w:spacing w:before="43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年龄</w:t>
            </w:r>
          </w:p>
        </w:tc>
        <w:tc>
          <w:tcPr>
            <w:tcW w:w="4263" w:type="dxa"/>
            <w:vAlign w:val="top"/>
          </w:tcPr>
          <w:p>
            <w:pPr>
              <w:ind w:left="1895"/>
              <w:spacing w:before="43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5"/>
              </w:rPr>
              <w:t>评分</w:t>
            </w:r>
          </w:p>
        </w:tc>
      </w:tr>
      <w:tr>
        <w:trPr>
          <w:trHeight w:val="316" w:hRule="atLeast"/>
        </w:trPr>
        <w:tc>
          <w:tcPr>
            <w:tcW w:w="4263" w:type="dxa"/>
            <w:vAlign w:val="top"/>
          </w:tcPr>
          <w:p>
            <w:pPr>
              <w:ind w:left="1764"/>
              <w:spacing w:before="3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≤40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岁</w:t>
            </w:r>
          </w:p>
        </w:tc>
        <w:tc>
          <w:tcPr>
            <w:tcW w:w="4263" w:type="dxa"/>
            <w:vAlign w:val="top"/>
          </w:tcPr>
          <w:p>
            <w:pPr>
              <w:ind w:left="1929"/>
              <w:spacing w:before="3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0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分</w:t>
            </w:r>
          </w:p>
        </w:tc>
      </w:tr>
      <w:tr>
        <w:trPr>
          <w:trHeight w:val="316" w:hRule="atLeast"/>
        </w:trPr>
        <w:tc>
          <w:tcPr>
            <w:tcW w:w="4263" w:type="dxa"/>
            <w:vAlign w:val="top"/>
          </w:tcPr>
          <w:p>
            <w:pPr>
              <w:ind w:left="1567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41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至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50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岁</w:t>
            </w:r>
          </w:p>
        </w:tc>
        <w:tc>
          <w:tcPr>
            <w:tcW w:w="4263" w:type="dxa"/>
            <w:vAlign w:val="top"/>
          </w:tcPr>
          <w:p>
            <w:pPr>
              <w:ind w:left="1945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14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14"/>
              </w:rPr>
              <w:t>分</w:t>
            </w:r>
          </w:p>
        </w:tc>
      </w:tr>
      <w:tr>
        <w:trPr>
          <w:trHeight w:val="316" w:hRule="atLeast"/>
        </w:trPr>
        <w:tc>
          <w:tcPr>
            <w:tcW w:w="4263" w:type="dxa"/>
            <w:vAlign w:val="top"/>
          </w:tcPr>
          <w:p>
            <w:pPr>
              <w:ind w:left="1572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51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至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60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岁</w:t>
            </w:r>
          </w:p>
        </w:tc>
        <w:tc>
          <w:tcPr>
            <w:tcW w:w="4263" w:type="dxa"/>
            <w:vAlign w:val="top"/>
          </w:tcPr>
          <w:p>
            <w:pPr>
              <w:ind w:left="1930"/>
              <w:spacing w:before="39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分</w:t>
            </w:r>
          </w:p>
        </w:tc>
      </w:tr>
      <w:tr>
        <w:trPr>
          <w:trHeight w:val="316" w:hRule="atLeast"/>
        </w:trPr>
        <w:tc>
          <w:tcPr>
            <w:tcW w:w="4263" w:type="dxa"/>
            <w:vAlign w:val="top"/>
          </w:tcPr>
          <w:p>
            <w:pPr>
              <w:ind w:left="1570"/>
              <w:spacing w:before="40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61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至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70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7"/>
              </w:rPr>
              <w:t>岁</w:t>
            </w:r>
          </w:p>
        </w:tc>
        <w:tc>
          <w:tcPr>
            <w:tcW w:w="4263" w:type="dxa"/>
            <w:vAlign w:val="top"/>
          </w:tcPr>
          <w:p>
            <w:pPr>
              <w:ind w:left="1932"/>
              <w:spacing w:before="40" w:line="20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8"/>
              </w:rPr>
              <w:t>3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8"/>
              </w:rPr>
              <w:t>分</w:t>
            </w:r>
          </w:p>
        </w:tc>
      </w:tr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ind w:left="1513"/>
              <w:spacing w:before="40" w:line="2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71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6"/>
              </w:rPr>
              <w:t>岁或以上</w:t>
            </w:r>
          </w:p>
        </w:tc>
        <w:tc>
          <w:tcPr>
            <w:tcW w:w="4263" w:type="dxa"/>
            <w:vAlign w:val="top"/>
          </w:tcPr>
          <w:p>
            <w:pPr>
              <w:ind w:left="1926"/>
              <w:spacing w:before="40" w:line="2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5"/>
              </w:rPr>
              <w:t>4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u w:val="dotted" w:color="auto"/>
                <w:spacing w:val="-5"/>
              </w:rPr>
              <w:t>分</w:t>
            </w:r>
          </w:p>
        </w:tc>
      </w:tr>
    </w:tbl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445"/>
        <w:spacing w:before="55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5"/>
        </w:rPr>
        <w:t>39</w:t>
      </w:r>
    </w:p>
    <w:sectPr>
      <w:pgSz w:w="11906" w:h="16839"/>
      <w:pgMar w:top="1182" w:right="1416" w:bottom="604" w:left="424" w:header="849" w:footer="35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中国</w:t>
    </w:r>
    <w:r>
      <w:rPr>
        <w:sz w:val="22"/>
        <w:szCs w:val="22"/>
        <w:position w:val="-3"/>
      </w:rPr>
      <w:drawing>
        <wp:inline distT="0" distB="0" distL="0" distR="0">
          <wp:extent cx="147022" cy="140207"/>
          <wp:effectExtent l="0" t="0" r="0" b="0"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022" cy="14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E6E6E6"/>
        <w:spacing w:val="16"/>
        <w:position w:val="1"/>
      </w:rPr>
      <w:t>网</w:t>
    </w:r>
    <w:r>
      <w:rPr>
        <w:rFonts w:ascii="Microsoft YaHei" w:hAnsi="Microsoft YaHei" w:eastAsia="Microsoft YaHei" w:cs="Microsoft YaHei"/>
        <w:sz w:val="22"/>
        <w:szCs w:val="22"/>
        <w:color w:val="E6E6E6"/>
        <w:position w:val="1"/>
      </w:rPr>
      <w:t xml:space="preserve">     </w:t>
    </w:r>
    <w:r>
      <w:rPr>
        <w:sz w:val="22"/>
        <w:szCs w:val="22"/>
        <w:color w:val="E6E6E6"/>
        <w:position w:val="2"/>
      </w:rPr>
      <w:t>htt</w:t>
    </w:r>
    <w:r>
      <w:rPr>
        <w:sz w:val="22"/>
        <w:szCs w:val="22"/>
        <w:position w:val="-4"/>
      </w:rPr>
      <w:drawing>
        <wp:inline distT="0" distB="0" distL="0" distR="0">
          <wp:extent cx="163510" cy="109727"/>
          <wp:effectExtent l="0" t="0" r="0" b="0"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3510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27"/>
        <w:position w:val="2"/>
      </w:rPr>
      <w:t xml:space="preserve"> </w:t>
    </w:r>
    <w:r>
      <w:rPr>
        <w:sz w:val="22"/>
        <w:szCs w:val="22"/>
        <w:color w:val="E6E6E6"/>
        <w:spacing w:val="16"/>
        <w:position w:val="2"/>
      </w:rPr>
      <w:t>:</w:t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8091" cy="109727"/>
          <wp:effectExtent l="0" t="0" r="0" b="0"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8091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2"/>
      </w:rPr>
      <w:t>Www</w:t>
    </w:r>
    <w:r>
      <w:rPr>
        <w:sz w:val="22"/>
        <w:szCs w:val="22"/>
        <w:color w:val="E6E6E6"/>
        <w:spacing w:val="-34"/>
        <w:position w:val="2"/>
      </w:rPr>
      <w:t xml:space="preserve"> </w:t>
    </w:r>
    <w:r>
      <w:rPr>
        <w:sz w:val="22"/>
        <w:szCs w:val="22"/>
      </w:rPr>
      <w:drawing>
        <wp:inline distT="0" distB="0" distL="0" distR="0">
          <wp:extent cx="17862" cy="14630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7862" cy="14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spacing w:val="-41"/>
        <w:position w:val="2"/>
      </w:rPr>
      <w:t xml:space="preserve"> </w:t>
    </w:r>
    <w:r>
      <w:rPr>
        <w:sz w:val="22"/>
        <w:szCs w:val="22"/>
        <w:color w:val="E6E6E6"/>
        <w:position w:val="2"/>
      </w:rPr>
      <w:t>cnk</w:t>
    </w:r>
    <w:r>
      <w:rPr>
        <w:sz w:val="22"/>
        <w:szCs w:val="22"/>
      </w:rPr>
      <w:drawing>
        <wp:inline distT="0" distB="0" distL="0" distR="0">
          <wp:extent cx="61831" cy="102412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1831" cy="102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E6E6E6"/>
        <w:position w:val="3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7896" cy="10691748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7896" cy="10691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2" style="position:absolute;margin-left:70.85pt;margin-top:56.2pt;mso-position-vertical-relative:page;mso-position-horizontal-relative:page;width:453.65pt;height:0.5pt;z-index:251659264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4" style="position:absolute;margin-left:70.85pt;margin-top:56.2pt;mso-position-vertical-relative:page;mso-position-horizontal-relative:page;width:453.65pt;height:0.5pt;z-index:251661312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6" style="position:absolute;margin-left:70.85pt;margin-top:56.2pt;mso-position-vertical-relative:page;mso-position-horizontal-relative:page;width:453.65pt;height:0.5pt;z-index:251662336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8" style="position:absolute;margin-left:70.85pt;margin-top:56.2pt;mso-position-vertical-relative:page;mso-position-horizontal-relative:page;width:453.65pt;height:0.5pt;z-index:251663360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0" style="position:absolute;margin-left:70.85pt;margin-top:56.2pt;mso-position-vertical-relative:page;mso-position-horizontal-relative:page;width:453.65pt;height:0.5pt;z-index:251666432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2" style="position:absolute;margin-left:70.85pt;margin-top:56.2pt;mso-position-vertical-relative:page;mso-position-horizontal-relative:page;width:453.65pt;height:0.5pt;z-index:251669504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4" style="position:absolute;margin-left:70.85pt;margin-top:56.2pt;mso-position-vertical-relative:page;mso-position-horizontal-relative:page;width:453.65pt;height:0.5pt;z-index:251678720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6" style="position:absolute;margin-left:70.85pt;margin-top:56.2pt;mso-position-vertical-relative:page;mso-position-horizontal-relative:page;width:453.65pt;height:0.5pt;z-index:251695104;" o:allowincell="f" fillcolor="#000000" filled="true" stroked="false" coordsize="9072,10" coordorigin="0,0" path="m,l9072,0l9072,9l0,9l0,0xe"/>
      </w:pict>
    </w:r>
    <w:r>
      <w:rPr>
        <w:rFonts w:ascii="SimSun" w:hAnsi="SimSun" w:eastAsia="SimSun" w:cs="SimSun"/>
        <w:sz w:val="18"/>
        <w:szCs w:val="18"/>
        <w:color w:val="0C0C0C"/>
        <w:spacing w:val="-1"/>
      </w:rPr>
      <w:t>大连医科大学硕士学位论文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footer" Target="footer10.xml"/><Relationship Id="rId32" Type="http://schemas.openxmlformats.org/officeDocument/2006/relationships/header" Target="header10.xml"/><Relationship Id="rId31" Type="http://schemas.openxmlformats.org/officeDocument/2006/relationships/image" Target="media/image68.png"/><Relationship Id="rId30" Type="http://schemas.openxmlformats.org/officeDocument/2006/relationships/image" Target="media/image67.jpeg"/><Relationship Id="rId3" Type="http://schemas.openxmlformats.org/officeDocument/2006/relationships/image" Target="media/image3.png"/><Relationship Id="rId29" Type="http://schemas.openxmlformats.org/officeDocument/2006/relationships/image" Target="media/image66.jpeg"/><Relationship Id="rId28" Type="http://schemas.openxmlformats.org/officeDocument/2006/relationships/image" Target="media/image65.jpeg"/><Relationship Id="rId27" Type="http://schemas.openxmlformats.org/officeDocument/2006/relationships/image" Target="media/image64.jpeg"/><Relationship Id="rId26" Type="http://schemas.openxmlformats.org/officeDocument/2006/relationships/image" Target="media/image63.jpeg"/><Relationship Id="rId25" Type="http://schemas.openxmlformats.org/officeDocument/2006/relationships/footer" Target="footer9.xml"/><Relationship Id="rId24" Type="http://schemas.openxmlformats.org/officeDocument/2006/relationships/header" Target="header9.xml"/><Relationship Id="rId23" Type="http://schemas.openxmlformats.org/officeDocument/2006/relationships/image" Target="media/image56.jpeg"/><Relationship Id="rId22" Type="http://schemas.openxmlformats.org/officeDocument/2006/relationships/footer" Target="footer8.xml"/><Relationship Id="rId21" Type="http://schemas.openxmlformats.org/officeDocument/2006/relationships/header" Target="header8.xml"/><Relationship Id="rId20" Type="http://schemas.openxmlformats.org/officeDocument/2006/relationships/footer" Target="footer7.xml"/><Relationship Id="rId2" Type="http://schemas.openxmlformats.org/officeDocument/2006/relationships/image" Target="media/image2.png"/><Relationship Id="rId19" Type="http://schemas.openxmlformats.org/officeDocument/2006/relationships/header" Target="header7.xml"/><Relationship Id="rId18" Type="http://schemas.openxmlformats.org/officeDocument/2006/relationships/footer" Target="footer6.xml"/><Relationship Id="rId17" Type="http://schemas.openxmlformats.org/officeDocument/2006/relationships/header" Target="header6.xml"/><Relationship Id="rId16" Type="http://schemas.openxmlformats.org/officeDocument/2006/relationships/footer" Target="footer5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6" Type="http://schemas.openxmlformats.org/officeDocument/2006/relationships/image" Target="media/image19.png"/><Relationship Id="rId5" Type="http://schemas.openxmlformats.org/officeDocument/2006/relationships/image" Target="media/image18.png"/><Relationship Id="rId4" Type="http://schemas.openxmlformats.org/officeDocument/2006/relationships/image" Target="media/image17.png"/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6" Type="http://schemas.openxmlformats.org/officeDocument/2006/relationships/image" Target="media/image25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22.png"/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footer4.xml.rels><?xml version="1.0" encoding="UTF-8" standalone="yes"?>
<Relationships xmlns="http://schemas.openxmlformats.org/package/2006/relationships"><Relationship Id="rId6" Type="http://schemas.openxmlformats.org/officeDocument/2006/relationships/image" Target="media/image31.png"/><Relationship Id="rId5" Type="http://schemas.openxmlformats.org/officeDocument/2006/relationships/image" Target="media/image30.png"/><Relationship Id="rId4" Type="http://schemas.openxmlformats.org/officeDocument/2006/relationships/image" Target="media/image29.png"/><Relationship Id="rId3" Type="http://schemas.openxmlformats.org/officeDocument/2006/relationships/image" Target="media/image28.png"/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footer5.xml.rels><?xml version="1.0" encoding="UTF-8" standalone="yes"?>
<Relationships xmlns="http://schemas.openxmlformats.org/package/2006/relationships"><Relationship Id="rId6" Type="http://schemas.openxmlformats.org/officeDocument/2006/relationships/image" Target="media/image37.png"/><Relationship Id="rId5" Type="http://schemas.openxmlformats.org/officeDocument/2006/relationships/image" Target="media/image36.png"/><Relationship Id="rId4" Type="http://schemas.openxmlformats.org/officeDocument/2006/relationships/image" Target="media/image35.png"/><Relationship Id="rId3" Type="http://schemas.openxmlformats.org/officeDocument/2006/relationships/image" Target="media/image34.png"/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footer6.xml.rels><?xml version="1.0" encoding="UTF-8" standalone="yes"?>
<Relationships xmlns="http://schemas.openxmlformats.org/package/2006/relationships"><Relationship Id="rId6" Type="http://schemas.openxmlformats.org/officeDocument/2006/relationships/image" Target="media/image43.png"/><Relationship Id="rId5" Type="http://schemas.openxmlformats.org/officeDocument/2006/relationships/image" Target="media/image42.png"/><Relationship Id="rId4" Type="http://schemas.openxmlformats.org/officeDocument/2006/relationships/image" Target="media/image41.png"/><Relationship Id="rId3" Type="http://schemas.openxmlformats.org/officeDocument/2006/relationships/image" Target="media/image40.png"/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footer7.xml.rels><?xml version="1.0" encoding="UTF-8" standalone="yes"?>
<Relationships xmlns="http://schemas.openxmlformats.org/package/2006/relationships"><Relationship Id="rId6" Type="http://schemas.openxmlformats.org/officeDocument/2006/relationships/image" Target="media/image49.png"/><Relationship Id="rId5" Type="http://schemas.openxmlformats.org/officeDocument/2006/relationships/image" Target="media/image48.png"/><Relationship Id="rId4" Type="http://schemas.openxmlformats.org/officeDocument/2006/relationships/image" Target="media/image47.png"/><Relationship Id="rId3" Type="http://schemas.openxmlformats.org/officeDocument/2006/relationships/image" Target="media/image46.png"/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footer8.xml.rels><?xml version="1.0" encoding="UTF-8" standalone="yes"?>
<Relationships xmlns="http://schemas.openxmlformats.org/package/2006/relationships"><Relationship Id="rId6" Type="http://schemas.openxmlformats.org/officeDocument/2006/relationships/image" Target="media/image55.png"/><Relationship Id="rId5" Type="http://schemas.openxmlformats.org/officeDocument/2006/relationships/image" Target="media/image54.png"/><Relationship Id="rId4" Type="http://schemas.openxmlformats.org/officeDocument/2006/relationships/image" Target="media/image53.png"/><Relationship Id="rId3" Type="http://schemas.openxmlformats.org/officeDocument/2006/relationships/image" Target="media/image52.png"/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_rels/footer9.xml.rels><?xml version="1.0" encoding="UTF-8" standalone="yes"?>
<Relationships xmlns="http://schemas.openxmlformats.org/package/2006/relationships"><Relationship Id="rId6" Type="http://schemas.openxmlformats.org/officeDocument/2006/relationships/image" Target="media/image62.png"/><Relationship Id="rId5" Type="http://schemas.openxmlformats.org/officeDocument/2006/relationships/image" Target="media/image61.png"/><Relationship Id="rId4" Type="http://schemas.openxmlformats.org/officeDocument/2006/relationships/image" Target="media/image60.png"/><Relationship Id="rId3" Type="http://schemas.openxmlformats.org/officeDocument/2006/relationships/image" Target="media/image59.png"/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footer10.xml.rels><?xml version="1.0" encoding="UTF-8" standalone="yes"?>
<Relationships xmlns="http://schemas.openxmlformats.org/package/2006/relationships"><Relationship Id="rId6" Type="http://schemas.openxmlformats.org/officeDocument/2006/relationships/image" Target="media/image74.png"/><Relationship Id="rId5" Type="http://schemas.openxmlformats.org/officeDocument/2006/relationships/image" Target="media/image73.png"/><Relationship Id="rId4" Type="http://schemas.openxmlformats.org/officeDocument/2006/relationships/image" Target="media/image72.png"/><Relationship Id="rId3" Type="http://schemas.openxmlformats.org/officeDocument/2006/relationships/image" Target="media/image71.png"/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2.4.0 Build 4053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2024-02-21T05:50:41Z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2025-10-28T21:35:14</vt:filetime>
  </property>
</Properties>
</file>