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47" w:right="75" w:firstLine="42"/>
        <w:spacing w:before="302" w:line="339" w:lineRule="auto"/>
        <w:rPr>
          <w:sz w:val="17"/>
          <w:szCs w:val="17"/>
        </w:rPr>
      </w:pPr>
      <w:r>
        <w:rPr>
          <w:sz w:val="31"/>
          <w:szCs w:val="31"/>
          <w:color w:val="231F20"/>
          <w:spacing w:val="1"/>
        </w:rPr>
        <w:t>·</w:t>
      </w:r>
      <w:r>
        <w:rPr>
          <w:sz w:val="31"/>
          <w:szCs w:val="31"/>
          <w:color w:val="231F20"/>
          <w:spacing w:val="104"/>
          <w:w w:val="101"/>
        </w:rPr>
        <w:t xml:space="preserve"> </w:t>
      </w:r>
      <w:r>
        <w:rPr>
          <w:sz w:val="31"/>
          <w:szCs w:val="31"/>
          <w:color w:val="231F20"/>
          <w:spacing w:val="1"/>
        </w:rPr>
        <w:t>临床研究</w:t>
      </w:r>
      <w:r>
        <w:rPr>
          <w:sz w:val="31"/>
          <w:szCs w:val="31"/>
          <w:color w:val="231F20"/>
          <w:spacing w:val="65"/>
        </w:rPr>
        <w:t xml:space="preserve"> </w:t>
      </w:r>
      <w:r>
        <w:rPr>
          <w:sz w:val="31"/>
          <w:szCs w:val="31"/>
          <w:color w:val="231F20"/>
          <w:spacing w:val="1"/>
        </w:rPr>
        <w:t>·       </w:t>
      </w:r>
      <w:r>
        <w:rPr>
          <w:sz w:val="31"/>
          <w:szCs w:val="31"/>
          <w:strike/>
          <w:color w:val="231F20"/>
        </w:rPr>
        <w:t xml:space="preserve">                                                         </w:t>
      </w:r>
      <w:r>
        <w:rPr>
          <w:sz w:val="31"/>
          <w:szCs w:val="31"/>
          <w:color w:val="231F20"/>
          <w:spacing w:val="18"/>
        </w:rPr>
        <w:t xml:space="preserve">    </w:t>
      </w:r>
      <w:r>
        <w:rPr>
          <w:sz w:val="16"/>
          <w:szCs w:val="16"/>
          <w:color w:val="231F20"/>
          <w:spacing w:val="1"/>
        </w:rPr>
        <w:t>糖尿病新世界   </w:t>
      </w:r>
      <w:r>
        <w:rPr>
          <w:sz w:val="17"/>
          <w:szCs w:val="17"/>
          <w:color w:val="231F20"/>
          <w:spacing w:val="1"/>
          <w:position w:val="-1"/>
        </w:rPr>
        <w:t>2019 </w:t>
      </w:r>
      <w:r>
        <w:rPr>
          <w:sz w:val="16"/>
          <w:szCs w:val="16"/>
          <w:color w:val="231F20"/>
          <w:spacing w:val="1"/>
        </w:rPr>
        <w:t>年 </w:t>
      </w:r>
      <w:r>
        <w:rPr>
          <w:sz w:val="17"/>
          <w:szCs w:val="17"/>
          <w:color w:val="231F20"/>
          <w:spacing w:val="1"/>
          <w:position w:val="-1"/>
        </w:rPr>
        <w:t>9 </w:t>
      </w:r>
      <w:r>
        <w:rPr>
          <w:sz w:val="16"/>
          <w:szCs w:val="16"/>
          <w:color w:val="231F20"/>
          <w:spacing w:val="1"/>
        </w:rPr>
        <w:t>月</w:t>
      </w:r>
      <w:r>
        <w:rPr>
          <w:sz w:val="16"/>
          <w:szCs w:val="16"/>
          <w:color w:val="231F20"/>
        </w:rPr>
        <w:t xml:space="preserve"> </w:t>
      </w:r>
      <w:r>
        <w:rPr>
          <w:sz w:val="17"/>
          <w:szCs w:val="17"/>
          <w:color w:val="231F20"/>
          <w:spacing w:val="-8"/>
        </w:rPr>
        <w:t>DOI</w:t>
      </w:r>
      <w:r>
        <w:rPr>
          <w:sz w:val="16"/>
          <w:szCs w:val="16"/>
          <w:color w:val="231F20"/>
          <w:spacing w:val="-8"/>
        </w:rPr>
        <w:t>：</w:t>
      </w:r>
      <w:r>
        <w:rPr>
          <w:sz w:val="17"/>
          <w:szCs w:val="17"/>
          <w:color w:val="231F20"/>
          <w:spacing w:val="-8"/>
        </w:rPr>
        <w:t>10.16658/j.cnki.1672-406</w:t>
      </w:r>
      <w:r>
        <w:rPr>
          <w:sz w:val="17"/>
          <w:szCs w:val="17"/>
          <w:color w:val="231F20"/>
          <w:spacing w:val="-9"/>
        </w:rPr>
        <w:t>2.2019.17.016</w:t>
      </w:r>
    </w:p>
    <w:p>
      <w:pPr>
        <w:pStyle w:val="BodyText"/>
        <w:ind w:left="1183"/>
        <w:spacing w:before="156" w:line="191" w:lineRule="auto"/>
        <w:rPr>
          <w:sz w:val="45"/>
          <w:szCs w:val="45"/>
        </w:rPr>
      </w:pPr>
      <w:r>
        <w:rPr>
          <w:sz w:val="45"/>
          <w:szCs w:val="45"/>
          <w:color w:val="231F20"/>
          <w:spacing w:val="9"/>
        </w:rPr>
        <w:t>糖尿病酮症酸中毒患者的急诊治疗措施研究</w:t>
      </w:r>
    </w:p>
    <w:p>
      <w:pPr>
        <w:pStyle w:val="BodyText"/>
        <w:ind w:left="5378"/>
        <w:spacing w:before="281" w:line="19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苏欣</w:t>
      </w:r>
    </w:p>
    <w:p>
      <w:pPr>
        <w:pStyle w:val="BodyText"/>
        <w:ind w:left="3803"/>
        <w:spacing w:before="76" w:line="197" w:lineRule="auto"/>
        <w:rPr>
          <w:sz w:val="18"/>
          <w:szCs w:val="18"/>
        </w:rPr>
      </w:pPr>
      <w:r>
        <w:rPr>
          <w:sz w:val="17"/>
          <w:szCs w:val="17"/>
          <w:color w:val="231F20"/>
          <w:spacing w:val="4"/>
        </w:rPr>
        <w:t>铁岭市中心医院急诊科，辽宁铁岭    </w:t>
      </w:r>
      <w:r>
        <w:rPr>
          <w:sz w:val="18"/>
          <w:szCs w:val="18"/>
          <w:color w:val="231F20"/>
          <w:spacing w:val="4"/>
        </w:rPr>
        <w:t>112000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844" w:right="476" w:firstLine="3"/>
        <w:spacing w:before="78" w:line="243" w:lineRule="auto"/>
        <w:jc w:val="both"/>
        <w:rPr>
          <w:sz w:val="17"/>
          <w:szCs w:val="17"/>
        </w:rPr>
      </w:pPr>
      <w:r>
        <w:rPr>
          <w:sz w:val="18"/>
          <w:szCs w:val="18"/>
          <w:color w:val="231F20"/>
          <w:spacing w:val="9"/>
        </w:rPr>
        <w:t>[</w:t>
      </w:r>
      <w:r>
        <w:rPr>
          <w:sz w:val="17"/>
          <w:szCs w:val="17"/>
          <w:color w:val="231F20"/>
          <w:spacing w:val="9"/>
        </w:rPr>
        <w:t>摘要</w:t>
      </w:r>
      <w:r>
        <w:rPr>
          <w:sz w:val="18"/>
          <w:szCs w:val="18"/>
          <w:color w:val="231F20"/>
          <w:spacing w:val="9"/>
        </w:rPr>
        <w:t>]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7"/>
          <w:szCs w:val="17"/>
          <w:color w:val="231F20"/>
          <w:spacing w:val="9"/>
        </w:rPr>
        <w:t>目的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9"/>
        </w:rPr>
        <w:t>探究分析糖尿病酮症酸中毒的急诊救治方法及其临床效</w:t>
      </w:r>
      <w:r>
        <w:rPr>
          <w:sz w:val="17"/>
          <w:szCs w:val="17"/>
          <w:color w:val="231F20"/>
          <w:spacing w:val="8"/>
        </w:rPr>
        <w:t>果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8"/>
        </w:rPr>
        <w:t>。方法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8"/>
        </w:rPr>
        <w:t>选取 </w:t>
      </w:r>
      <w:r>
        <w:rPr>
          <w:sz w:val="18"/>
          <w:szCs w:val="18"/>
          <w:color w:val="231F20"/>
          <w:spacing w:val="8"/>
        </w:rPr>
        <w:t>2018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8"/>
        </w:rPr>
        <w:t>年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8"/>
        </w:rPr>
        <w:t>1 </w:t>
      </w:r>
      <w:r>
        <w:rPr>
          <w:sz w:val="17"/>
          <w:szCs w:val="17"/>
          <w:color w:val="231F20"/>
          <w:spacing w:val="8"/>
        </w:rPr>
        <w:t>月—</w:t>
      </w:r>
      <w:r>
        <w:rPr>
          <w:sz w:val="18"/>
          <w:szCs w:val="18"/>
          <w:color w:val="231F20"/>
          <w:spacing w:val="8"/>
        </w:rPr>
        <w:t>2019 </w:t>
      </w:r>
      <w:r>
        <w:rPr>
          <w:sz w:val="17"/>
          <w:szCs w:val="17"/>
          <w:color w:val="231F20"/>
          <w:spacing w:val="8"/>
        </w:rPr>
        <w:t>年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8"/>
        </w:rPr>
        <w:t>1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8"/>
        </w:rPr>
        <w:t>月在该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7"/>
        </w:rPr>
        <w:t>院急诊救治的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7"/>
        </w:rPr>
        <w:t>40 </w:t>
      </w:r>
      <w:r>
        <w:rPr>
          <w:sz w:val="17"/>
          <w:szCs w:val="17"/>
          <w:color w:val="231F20"/>
          <w:spacing w:val="17"/>
        </w:rPr>
        <w:t>例糖尿病酮症酸中毒患者作为分析对象</w:t>
      </w:r>
      <w:r>
        <w:rPr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  <w:spacing w:val="17"/>
        </w:rPr>
        <w:t>，对其临床资料进行分析与探究</w:t>
      </w:r>
      <w:r>
        <w:rPr>
          <w:sz w:val="17"/>
          <w:szCs w:val="17"/>
          <w:color w:val="231F20"/>
          <w:spacing w:val="16"/>
        </w:rPr>
        <w:t>其急诊治疗方法及治疗效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果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3"/>
        </w:rPr>
        <w:t>。结果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3"/>
        </w:rPr>
        <w:t>对照组 </w:t>
      </w:r>
      <w:r>
        <w:rPr>
          <w:sz w:val="18"/>
          <w:szCs w:val="18"/>
          <w:color w:val="231F20"/>
          <w:spacing w:val="3"/>
        </w:rPr>
        <w:t>20 </w:t>
      </w:r>
      <w:r>
        <w:rPr>
          <w:sz w:val="17"/>
          <w:szCs w:val="17"/>
          <w:color w:val="231F20"/>
          <w:spacing w:val="3"/>
        </w:rPr>
        <w:t>例患者中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11 </w:t>
      </w:r>
      <w:r>
        <w:rPr>
          <w:sz w:val="17"/>
          <w:szCs w:val="17"/>
          <w:color w:val="231F20"/>
          <w:spacing w:val="3"/>
        </w:rPr>
        <w:t>例患者治疗有效，治疗后有效占比为 </w:t>
      </w:r>
      <w:r>
        <w:rPr>
          <w:sz w:val="18"/>
          <w:szCs w:val="18"/>
          <w:color w:val="231F20"/>
          <w:spacing w:val="3"/>
        </w:rPr>
        <w:t>55%</w:t>
      </w:r>
      <w:r>
        <w:rPr>
          <w:sz w:val="17"/>
          <w:szCs w:val="17"/>
          <w:color w:val="231F20"/>
          <w:spacing w:val="3"/>
        </w:rPr>
        <w:t>；</w:t>
      </w:r>
      <w:r>
        <w:rPr>
          <w:sz w:val="18"/>
          <w:szCs w:val="18"/>
          <w:color w:val="231F20"/>
          <w:spacing w:val="3"/>
        </w:rPr>
        <w:t>7 </w:t>
      </w:r>
      <w:r>
        <w:rPr>
          <w:sz w:val="17"/>
          <w:szCs w:val="17"/>
          <w:color w:val="231F20"/>
          <w:spacing w:val="3"/>
        </w:rPr>
        <w:t>例患者治疗</w:t>
      </w:r>
      <w:r>
        <w:rPr>
          <w:sz w:val="17"/>
          <w:szCs w:val="17"/>
          <w:color w:val="231F20"/>
          <w:spacing w:val="2"/>
        </w:rPr>
        <w:t>无效，占比为 </w:t>
      </w:r>
      <w:r>
        <w:rPr>
          <w:sz w:val="18"/>
          <w:szCs w:val="18"/>
          <w:color w:val="231F20"/>
          <w:spacing w:val="2"/>
        </w:rPr>
        <w:t>25%</w:t>
      </w:r>
      <w:r>
        <w:rPr>
          <w:sz w:val="17"/>
          <w:szCs w:val="17"/>
          <w:color w:val="231F20"/>
          <w:spacing w:val="2"/>
        </w:rPr>
        <w:t>；</w:t>
      </w:r>
      <w:r>
        <w:rPr>
          <w:sz w:val="18"/>
          <w:szCs w:val="18"/>
          <w:color w:val="231F20"/>
          <w:spacing w:val="2"/>
        </w:rPr>
        <w:t>2 </w:t>
      </w:r>
      <w:r>
        <w:rPr>
          <w:sz w:val="17"/>
          <w:szCs w:val="17"/>
          <w:color w:val="231F20"/>
          <w:spacing w:val="2"/>
        </w:rPr>
        <w:t>例患者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死亡，死亡率占比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6"/>
        </w:rPr>
        <w:t>10%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6"/>
        </w:rPr>
        <w:t>。观察组 </w:t>
      </w:r>
      <w:r>
        <w:rPr>
          <w:sz w:val="18"/>
          <w:szCs w:val="18"/>
          <w:color w:val="231F20"/>
          <w:spacing w:val="6"/>
        </w:rPr>
        <w:t>20 </w:t>
      </w:r>
      <w:r>
        <w:rPr>
          <w:sz w:val="17"/>
          <w:szCs w:val="17"/>
          <w:color w:val="231F20"/>
          <w:spacing w:val="6"/>
        </w:rPr>
        <w:t>例患者中经治疗后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18 </w:t>
      </w:r>
      <w:r>
        <w:rPr>
          <w:sz w:val="17"/>
          <w:szCs w:val="17"/>
          <w:color w:val="231F20"/>
          <w:spacing w:val="6"/>
        </w:rPr>
        <w:t>例患者治疗有效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6"/>
        </w:rPr>
        <w:t>，治疗后有效占比为 </w:t>
      </w:r>
      <w:r>
        <w:rPr>
          <w:sz w:val="18"/>
          <w:szCs w:val="18"/>
          <w:color w:val="231F20"/>
          <w:spacing w:val="6"/>
        </w:rPr>
        <w:t>90%</w:t>
      </w:r>
      <w:r>
        <w:rPr>
          <w:sz w:val="17"/>
          <w:szCs w:val="17"/>
          <w:color w:val="231F20"/>
          <w:spacing w:val="6"/>
        </w:rPr>
        <w:t>；</w:t>
      </w:r>
      <w:r>
        <w:rPr>
          <w:sz w:val="18"/>
          <w:szCs w:val="18"/>
          <w:color w:val="231F20"/>
          <w:spacing w:val="6"/>
        </w:rPr>
        <w:t>1 </w:t>
      </w:r>
      <w:r>
        <w:rPr>
          <w:sz w:val="17"/>
          <w:szCs w:val="17"/>
          <w:color w:val="231F20"/>
          <w:spacing w:val="6"/>
        </w:rPr>
        <w:t>例患者治疗无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9"/>
        </w:rPr>
        <w:t>效，占比为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9"/>
        </w:rPr>
        <w:t>5%</w:t>
      </w:r>
      <w:r>
        <w:rPr>
          <w:sz w:val="17"/>
          <w:szCs w:val="17"/>
          <w:color w:val="231F20"/>
          <w:spacing w:val="9"/>
        </w:rPr>
        <w:t>；</w:t>
      </w:r>
      <w:r>
        <w:rPr>
          <w:sz w:val="18"/>
          <w:szCs w:val="18"/>
          <w:color w:val="231F20"/>
          <w:spacing w:val="9"/>
        </w:rPr>
        <w:t>1 </w:t>
      </w:r>
      <w:r>
        <w:rPr>
          <w:sz w:val="17"/>
          <w:szCs w:val="17"/>
          <w:color w:val="231F20"/>
          <w:spacing w:val="9"/>
        </w:rPr>
        <w:t>例患者死亡，死亡率占比 </w:t>
      </w:r>
      <w:r>
        <w:rPr>
          <w:sz w:val="18"/>
          <w:szCs w:val="18"/>
          <w:color w:val="231F20"/>
          <w:spacing w:val="9"/>
        </w:rPr>
        <w:t>5%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9"/>
        </w:rPr>
        <w:t>。结论</w:t>
      </w:r>
      <w:r>
        <w:rPr>
          <w:sz w:val="17"/>
          <w:szCs w:val="17"/>
          <w:color w:val="231F20"/>
          <w:spacing w:val="35"/>
          <w:w w:val="101"/>
        </w:rPr>
        <w:t xml:space="preserve"> </w:t>
      </w:r>
      <w:r>
        <w:rPr>
          <w:sz w:val="17"/>
          <w:szCs w:val="17"/>
          <w:color w:val="231F20"/>
          <w:spacing w:val="9"/>
        </w:rPr>
        <w:t>给予糖尿病酮症酸中毒患者常规急诊救治方法基础</w:t>
      </w:r>
      <w:r>
        <w:rPr>
          <w:sz w:val="17"/>
          <w:szCs w:val="17"/>
          <w:color w:val="231F20"/>
          <w:spacing w:val="8"/>
        </w:rPr>
        <w:t>上再进行针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4"/>
        </w:rPr>
        <w:t>对性急诊治疗方案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14"/>
        </w:rPr>
        <w:t>、及时进行生命监测与避免并发症的处理，对保障患者的生命安全意义重</w:t>
      </w:r>
      <w:r>
        <w:rPr>
          <w:sz w:val="17"/>
          <w:szCs w:val="17"/>
          <w:color w:val="231F20"/>
          <w:spacing w:val="13"/>
        </w:rPr>
        <w:t>大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13"/>
        </w:rPr>
        <w:t>。</w:t>
      </w:r>
    </w:p>
    <w:p>
      <w:pPr>
        <w:pStyle w:val="BodyText"/>
        <w:ind w:left="848"/>
        <w:spacing w:line="188" w:lineRule="auto"/>
        <w:rPr>
          <w:sz w:val="17"/>
          <w:szCs w:val="17"/>
        </w:rPr>
      </w:pPr>
      <w:r>
        <w:rPr>
          <w:sz w:val="18"/>
          <w:szCs w:val="18"/>
          <w:color w:val="231F20"/>
          <w:spacing w:val="6"/>
        </w:rPr>
        <w:t>[</w:t>
      </w:r>
      <w:r>
        <w:rPr>
          <w:sz w:val="17"/>
          <w:szCs w:val="17"/>
          <w:color w:val="231F20"/>
          <w:spacing w:val="6"/>
        </w:rPr>
        <w:t>关键词</w:t>
      </w:r>
      <w:r>
        <w:rPr>
          <w:sz w:val="18"/>
          <w:szCs w:val="18"/>
          <w:color w:val="231F20"/>
          <w:spacing w:val="6"/>
        </w:rPr>
        <w:t>]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7"/>
          <w:szCs w:val="17"/>
          <w:color w:val="231F20"/>
          <w:spacing w:val="6"/>
        </w:rPr>
        <w:t>糖尿病酮症酸中毒；急诊救治；探究</w:t>
      </w:r>
    </w:p>
    <w:p>
      <w:pPr>
        <w:pStyle w:val="BodyText"/>
        <w:ind w:left="848"/>
        <w:spacing w:before="73" w:line="18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</w:t>
      </w:r>
      <w:r>
        <w:rPr>
          <w:sz w:val="17"/>
          <w:szCs w:val="17"/>
          <w:color w:val="231F20"/>
          <w:spacing w:val="-1"/>
        </w:rPr>
        <w:t>中图分类号</w:t>
      </w:r>
      <w:r>
        <w:rPr>
          <w:sz w:val="18"/>
          <w:szCs w:val="18"/>
          <w:color w:val="231F20"/>
          <w:spacing w:val="-1"/>
        </w:rPr>
        <w:t>]  R587.1            [</w:t>
      </w:r>
      <w:r>
        <w:rPr>
          <w:sz w:val="17"/>
          <w:szCs w:val="17"/>
          <w:color w:val="231F20"/>
          <w:spacing w:val="-1"/>
        </w:rPr>
        <w:t>文献标识码</w:t>
      </w:r>
      <w:r>
        <w:rPr>
          <w:sz w:val="18"/>
          <w:szCs w:val="18"/>
          <w:color w:val="231F20"/>
          <w:spacing w:val="-1"/>
        </w:rPr>
        <w:t>]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-1"/>
        </w:rPr>
        <w:t>A            [</w:t>
      </w:r>
      <w:r>
        <w:rPr>
          <w:sz w:val="17"/>
          <w:szCs w:val="17"/>
          <w:color w:val="231F20"/>
          <w:spacing w:val="-1"/>
        </w:rPr>
        <w:t>文章编号</w:t>
      </w:r>
      <w:r>
        <w:rPr>
          <w:sz w:val="18"/>
          <w:szCs w:val="18"/>
          <w:color w:val="231F20"/>
          <w:spacing w:val="-1"/>
        </w:rPr>
        <w:t>]  1672-4062</w:t>
      </w:r>
      <w:r>
        <w:rPr>
          <w:sz w:val="17"/>
          <w:szCs w:val="17"/>
          <w:color w:val="231F20"/>
          <w:spacing w:val="-1"/>
        </w:rPr>
        <w:t>（</w:t>
      </w:r>
      <w:r>
        <w:rPr>
          <w:sz w:val="18"/>
          <w:szCs w:val="18"/>
          <w:color w:val="231F20"/>
          <w:spacing w:val="-1"/>
        </w:rPr>
        <w:t>2019</w:t>
      </w:r>
      <w:r>
        <w:rPr>
          <w:sz w:val="17"/>
          <w:szCs w:val="17"/>
          <w:color w:val="231F20"/>
          <w:spacing w:val="-1"/>
        </w:rPr>
        <w:t>）</w:t>
      </w:r>
      <w:r>
        <w:rPr>
          <w:sz w:val="18"/>
          <w:szCs w:val="18"/>
          <w:color w:val="231F20"/>
          <w:spacing w:val="-1"/>
        </w:rPr>
        <w:t>09</w:t>
      </w:r>
      <w:r>
        <w:rPr>
          <w:sz w:val="17"/>
          <w:szCs w:val="17"/>
          <w:color w:val="231F20"/>
          <w:spacing w:val="-1"/>
        </w:rPr>
        <w:t>（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7"/>
          <w:szCs w:val="17"/>
          <w:color w:val="231F20"/>
          <w:spacing w:val="-60"/>
        </w:rPr>
        <w:t>）</w:t>
      </w:r>
      <w:r>
        <w:rPr>
          <w:sz w:val="18"/>
          <w:szCs w:val="18"/>
          <w:color w:val="231F20"/>
          <w:spacing w:val="-60"/>
        </w:rPr>
        <w:t>－</w:t>
      </w:r>
      <w:r>
        <w:rPr>
          <w:sz w:val="18"/>
          <w:szCs w:val="18"/>
          <w:color w:val="231F20"/>
          <w:spacing w:val="-1"/>
        </w:rPr>
        <w:t>0016-02</w:t>
      </w:r>
    </w:p>
    <w:p>
      <w:pPr>
        <w:spacing w:line="201" w:lineRule="exact"/>
        <w:rPr/>
      </w:pPr>
      <w:r/>
    </w:p>
    <w:p>
      <w:pPr>
        <w:spacing w:line="201" w:lineRule="exact"/>
        <w:sectPr>
          <w:headerReference w:type="default" r:id="rId1"/>
          <w:pgSz w:w="11905" w:h="16836"/>
          <w:pgMar w:top="400" w:right="776" w:bottom="0" w:left="407" w:header="0" w:footer="0" w:gutter="0"/>
          <w:cols w:equalWidth="0" w:num="1">
            <w:col w:w="10720" w:space="0"/>
          </w:cols>
        </w:sectPr>
        <w:rPr/>
      </w:pPr>
    </w:p>
    <w:p>
      <w:pPr>
        <w:pStyle w:val="BodyText"/>
        <w:ind w:left="447" w:right="119" w:firstLine="429"/>
        <w:spacing w:before="52" w:line="230" w:lineRule="auto"/>
        <w:jc w:val="both"/>
        <w:rPr/>
      </w:pPr>
      <w:r>
        <w:rPr>
          <w:color w:val="231F20"/>
          <w:spacing w:val="-1"/>
        </w:rPr>
        <w:t>糖尿病</w:t>
      </w:r>
      <w:r>
        <w:rPr>
          <w:sz w:val="20"/>
          <w:szCs w:val="20"/>
          <w:color w:val="231F20"/>
          <w:spacing w:val="-1"/>
        </w:rPr>
        <w:t>(diabetes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"/>
        </w:rPr>
        <w:t>mellitu</w:t>
      </w:r>
      <w:r>
        <w:rPr>
          <w:color w:val="231F20"/>
          <w:spacing w:val="-1"/>
        </w:rPr>
        <w:t>，</w:t>
      </w:r>
      <w:r>
        <w:rPr>
          <w:sz w:val="20"/>
          <w:szCs w:val="20"/>
          <w:color w:val="231F20"/>
          <w:spacing w:val="-1"/>
        </w:rPr>
        <w:t>DM)</w:t>
      </w:r>
      <w:r>
        <w:rPr>
          <w:color w:val="231F20"/>
          <w:spacing w:val="-1"/>
        </w:rPr>
        <w:t>是由遗传和环境因素</w:t>
      </w:r>
      <w:r>
        <w:rPr>
          <w:color w:val="231F20"/>
        </w:rPr>
        <w:t xml:space="preserve">  </w:t>
      </w:r>
      <w:r>
        <w:rPr>
          <w:color w:val="231F20"/>
          <w:spacing w:val="23"/>
        </w:rPr>
        <w:t>的共同作用而引起的一组以慢性高血糖为主要特征的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代谢性疾病。因胰岛素分泌和</w:t>
      </w:r>
      <w:r>
        <w:rPr>
          <w:sz w:val="20"/>
          <w:szCs w:val="20"/>
          <w:color w:val="231F20"/>
          <w:spacing w:val="8"/>
        </w:rPr>
        <w:t>(</w:t>
      </w:r>
      <w:r>
        <w:rPr>
          <w:color w:val="231F20"/>
          <w:spacing w:val="8"/>
        </w:rPr>
        <w:t>或</w:t>
      </w:r>
      <w:r>
        <w:rPr>
          <w:sz w:val="20"/>
          <w:szCs w:val="20"/>
          <w:color w:val="231F20"/>
          <w:spacing w:val="8"/>
        </w:rPr>
        <w:t>)</w:t>
      </w:r>
      <w:r>
        <w:rPr>
          <w:color w:val="231F20"/>
          <w:spacing w:val="8"/>
        </w:rPr>
        <w:t>作用缺陷导致碳水化合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物、蛋白质、脂肪、水和电解质等代谢紊乱。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color w:val="231F20"/>
          <w:spacing w:val="2"/>
        </w:rPr>
        <w:t>则是糖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8"/>
        </w:rPr>
        <w:t>尿病的一种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8"/>
        </w:rPr>
        <w:t>急性并发症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8"/>
        </w:rPr>
        <w:t>。糖尿病酮症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8"/>
        </w:rPr>
        <w:t>酸中毒</w:t>
      </w:r>
      <w:r>
        <w:rPr>
          <w:sz w:val="20"/>
          <w:szCs w:val="20"/>
          <w:color w:val="231F20"/>
          <w:spacing w:val="18"/>
        </w:rPr>
        <w:t>(</w:t>
      </w:r>
      <w:r>
        <w:rPr>
          <w:sz w:val="20"/>
          <w:szCs w:val="20"/>
          <w:color w:val="231F20"/>
        </w:rPr>
        <w:t>diabetic  </w:t>
      </w:r>
      <w:r>
        <w:rPr>
          <w:sz w:val="20"/>
          <w:szCs w:val="20"/>
          <w:color w:val="231F20"/>
        </w:rPr>
        <w:t>ketoacidosis</w:t>
      </w:r>
      <w:r>
        <w:rPr>
          <w:color w:val="231F20"/>
          <w:spacing w:val="10"/>
        </w:rPr>
        <w:t>，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0"/>
        </w:rPr>
        <w:t>)</w:t>
      </w:r>
      <w:r>
        <w:rPr>
          <w:color w:val="231F20"/>
          <w:spacing w:val="10"/>
        </w:rPr>
        <w:t>是由于胰岛素不足和升糖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激素不适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当升高引起的糖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6"/>
        </w:rPr>
        <w:t>、脂肪和蛋白质严重代谢紊乱综合</w:t>
      </w:r>
      <w:r>
        <w:rPr>
          <w:color w:val="231F20"/>
          <w:spacing w:val="15"/>
        </w:rPr>
        <w:t>征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临床以高血糖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、高血酮和代谢性酸中毒为主要表现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2"/>
        </w:rPr>
        <w:t>，为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内科急症之一。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是在不同诱因作用下，胰</w:t>
      </w:r>
      <w:r>
        <w:rPr>
          <w:color w:val="231F20"/>
          <w:spacing w:val="10"/>
        </w:rPr>
        <w:t>岛素绝对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或相对缺乏以及拮抗激素增多，表现血糖浓度明显升高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酮血症和酮尿症、低碳酸氢盐血症和代谢性酸中毒的一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4"/>
        </w:rPr>
        <w:t>组临床综合征，是糖尿病控制不良的一种急性致命性并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发症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。</w:t>
      </w:r>
      <w:r>
        <w:rPr>
          <w:sz w:val="20"/>
          <w:szCs w:val="20"/>
          <w:color w:val="231F20"/>
          <w:spacing w:val="1"/>
        </w:rPr>
        <w:t>Ⅰ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型糖尿病患者有自发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color w:val="231F20"/>
          <w:spacing w:val="1"/>
        </w:rPr>
        <w:t>倾向</w:t>
      </w:r>
      <w:r>
        <w:rPr>
          <w:sz w:val="20"/>
          <w:szCs w:val="20"/>
          <w:color w:val="231F20"/>
          <w:spacing w:val="1"/>
        </w:rPr>
        <w:t>,2 </w:t>
      </w:r>
      <w:r>
        <w:rPr>
          <w:color w:val="231F20"/>
          <w:spacing w:val="1"/>
        </w:rPr>
        <w:t>型糖尿病患者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在一定诱因作用下也可发生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color w:val="231F20"/>
          <w:spacing w:val="8"/>
        </w:rPr>
        <w:t>。例如：急性感染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、胰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岛素不适当减量或突然中断治疗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0"/>
        </w:rPr>
        <w:t>、饮食不当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0"/>
        </w:rPr>
        <w:t>、胃肠疾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、脑卒中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、心肌梗死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、妊娠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、分娩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、创伤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、手术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、</w:t>
      </w:r>
      <w:r>
        <w:rPr>
          <w:color w:val="231F20"/>
          <w:spacing w:val="-10"/>
        </w:rPr>
        <w:t>精神刺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激等。若当患者发生糖尿病酮症酸中毒时，没有给予及时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4"/>
        </w:rPr>
        <w:t>的处理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，就会给患者带来严重的伤害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4"/>
        </w:rPr>
        <w:t>，甚至导致死亡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因此及时给予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color w:val="231F20"/>
          <w:spacing w:val="19"/>
        </w:rPr>
        <w:t>患者有效的治疗就是至关重</w:t>
      </w:r>
      <w:r>
        <w:rPr>
          <w:color w:val="231F20"/>
          <w:spacing w:val="18"/>
        </w:rPr>
        <w:t>要的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该文以 </w:t>
      </w:r>
      <w:r>
        <w:rPr>
          <w:sz w:val="20"/>
          <w:szCs w:val="20"/>
          <w:color w:val="231F20"/>
          <w:spacing w:val="6"/>
        </w:rPr>
        <w:t>2018 </w:t>
      </w:r>
      <w:r>
        <w:rPr>
          <w:color w:val="231F20"/>
          <w:spacing w:val="6"/>
        </w:rPr>
        <w:t>年</w:t>
      </w:r>
      <w:r>
        <w:rPr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6"/>
        </w:rPr>
        <w:t>1 </w:t>
      </w:r>
      <w:r>
        <w:rPr>
          <w:color w:val="231F20"/>
          <w:spacing w:val="6"/>
        </w:rPr>
        <w:t>月—</w:t>
      </w:r>
      <w:r>
        <w:rPr>
          <w:sz w:val="20"/>
          <w:szCs w:val="20"/>
          <w:color w:val="231F20"/>
          <w:spacing w:val="6"/>
        </w:rPr>
        <w:t>2019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color w:val="231F20"/>
          <w:spacing w:val="6"/>
        </w:rPr>
        <w:t>年</w:t>
      </w:r>
      <w:r>
        <w:rPr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6"/>
        </w:rPr>
        <w:t>1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月在该院急诊治疗的</w:t>
      </w:r>
    </w:p>
    <w:p>
      <w:pPr>
        <w:pStyle w:val="BodyText"/>
        <w:ind w:left="455" w:right="199" w:hanging="12"/>
        <w:spacing w:before="1" w:line="210" w:lineRule="auto"/>
        <w:rPr/>
      </w:pPr>
      <w:r>
        <w:rPr>
          <w:sz w:val="20"/>
          <w:szCs w:val="20"/>
          <w:color w:val="231F20"/>
          <w:spacing w:val="5"/>
        </w:rPr>
        <w:t>40 </w:t>
      </w:r>
      <w:r>
        <w:rPr>
          <w:color w:val="231F20"/>
          <w:spacing w:val="5"/>
        </w:rPr>
        <w:t>例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color w:val="231F20"/>
          <w:spacing w:val="5"/>
        </w:rPr>
        <w:t>患者作为研究对象，对急诊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color w:val="231F20"/>
          <w:spacing w:val="5"/>
        </w:rPr>
        <w:t>患者的治疗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与研究进行分析，现报道如下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</w:t>
      </w:r>
    </w:p>
    <w:p>
      <w:pPr>
        <w:pStyle w:val="BodyText"/>
        <w:ind w:left="462"/>
        <w:spacing w:before="54" w:line="192" w:lineRule="auto"/>
        <w:rPr/>
      </w:pPr>
      <w:r>
        <w:rPr>
          <w:sz w:val="20"/>
          <w:szCs w:val="20"/>
          <w:color w:val="231F20"/>
          <w:spacing w:val="8"/>
        </w:rPr>
        <w:t>1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color w:val="231F20"/>
          <w:spacing w:val="8"/>
        </w:rPr>
        <w:t>资料与方法</w:t>
      </w:r>
    </w:p>
    <w:p>
      <w:pPr>
        <w:pStyle w:val="BodyText"/>
        <w:ind w:left="460"/>
        <w:spacing w:before="40" w:line="186" w:lineRule="auto"/>
        <w:rPr/>
      </w:pPr>
      <w:r>
        <w:rPr>
          <w:sz w:val="20"/>
          <w:szCs w:val="20"/>
          <w:color w:val="231F20"/>
          <w:spacing w:val="1"/>
        </w:rPr>
        <w:t>1.1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color w:val="231F20"/>
          <w:spacing w:val="1"/>
        </w:rPr>
        <w:t>一般资料</w:t>
      </w:r>
    </w:p>
    <w:p>
      <w:pPr>
        <w:pStyle w:val="BodyText"/>
        <w:ind w:left="453" w:right="119" w:firstLine="420"/>
        <w:spacing w:before="54" w:line="247" w:lineRule="auto"/>
        <w:jc w:val="both"/>
        <w:rPr>
          <w:sz w:val="17"/>
          <w:szCs w:val="17"/>
        </w:rPr>
      </w:pPr>
      <w:r>
        <w:rPr>
          <w:color w:val="231F20"/>
          <w:spacing w:val="16"/>
        </w:rPr>
        <w:t>选取在该院急诊治疗的 </w:t>
      </w:r>
      <w:r>
        <w:rPr>
          <w:sz w:val="20"/>
          <w:szCs w:val="20"/>
          <w:color w:val="231F20"/>
          <w:spacing w:val="16"/>
        </w:rPr>
        <w:t>40 </w:t>
      </w:r>
      <w:r>
        <w:rPr>
          <w:color w:val="231F20"/>
          <w:spacing w:val="16"/>
        </w:rPr>
        <w:t>例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color w:val="231F20"/>
          <w:spacing w:val="16"/>
        </w:rPr>
        <w:t>毒患者作为分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析对象，对其临床资料进行分析与研究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。所有</w:t>
      </w:r>
      <w:r>
        <w:rPr>
          <w:color w:val="231F20"/>
          <w:spacing w:val="12"/>
        </w:rPr>
        <w:t>患者在该</w:t>
      </w:r>
      <w:r>
        <w:rPr>
          <w:color w:val="231F20"/>
        </w:rPr>
        <w:t xml:space="preserve">  </w:t>
      </w:r>
      <w:r>
        <w:rPr>
          <w:u w:val="single" w:color="auto"/>
          <w:color w:val="231F20"/>
          <w:spacing w:val="8"/>
        </w:rPr>
        <w:t>院急诊救治时均神志不清，临床表现为昏迷、四肢厥冷</w:t>
      </w:r>
      <w:r>
        <w:rPr>
          <w:u w:val="single" w:color="auto"/>
          <w:color w:val="231F20"/>
          <w:spacing w:val="-22"/>
        </w:rPr>
        <w:t xml:space="preserve"> </w:t>
      </w:r>
      <w:r>
        <w:rPr>
          <w:u w:val="single" w:color="auto"/>
          <w:color w:val="231F20"/>
          <w:spacing w:val="8"/>
        </w:rPr>
        <w:t>、</w:t>
      </w:r>
      <w:r>
        <w:rPr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[</w:t>
      </w:r>
      <w:r>
        <w:rPr>
          <w:sz w:val="17"/>
          <w:szCs w:val="17"/>
          <w:color w:val="231F20"/>
          <w:spacing w:val="-1"/>
        </w:rPr>
        <w:t>作者简介</w:t>
      </w:r>
      <w:r>
        <w:rPr>
          <w:sz w:val="18"/>
          <w:szCs w:val="18"/>
          <w:color w:val="231F20"/>
          <w:spacing w:val="-1"/>
        </w:rPr>
        <w:t>]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苏欣（</w:t>
      </w:r>
      <w:r>
        <w:rPr>
          <w:sz w:val="18"/>
          <w:szCs w:val="18"/>
          <w:color w:val="231F20"/>
          <w:spacing w:val="-1"/>
        </w:rPr>
        <w:t>1981-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-1"/>
        </w:rPr>
        <w:t>男，满族，辽宁铁岭人，本科，主治医</w:t>
      </w:r>
      <w:r>
        <w:rPr>
          <w:sz w:val="17"/>
          <w:szCs w:val="17"/>
          <w:color w:val="231F20"/>
        </w:rPr>
        <w:t xml:space="preserve">   </w:t>
      </w:r>
      <w:r>
        <w:rPr>
          <w:sz w:val="17"/>
          <w:szCs w:val="17"/>
          <w:color w:val="231F20"/>
          <w:spacing w:val="-4"/>
        </w:rPr>
        <w:t>师，研究方向：急诊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4"/>
        </w:rPr>
        <w:t>。</w:t>
      </w:r>
    </w:p>
    <w:p>
      <w:pPr>
        <w:pStyle w:val="BodyText"/>
        <w:ind w:left="781"/>
        <w:spacing w:before="205" w:line="167" w:lineRule="exact"/>
        <w:rPr>
          <w:sz w:val="15"/>
          <w:szCs w:val="15"/>
        </w:rPr>
      </w:pPr>
      <w:r>
        <w:rPr>
          <w:sz w:val="17"/>
          <w:szCs w:val="17"/>
          <w:color w:val="231F20"/>
          <w:spacing w:val="11"/>
          <w:position w:val="-1"/>
        </w:rPr>
        <w:t>16     </w:t>
      </w:r>
      <w:r>
        <w:rPr>
          <w:sz w:val="14"/>
          <w:szCs w:val="14"/>
          <w:color w:val="231F20"/>
          <w:spacing w:val="11"/>
          <w:position w:val="-1"/>
        </w:rPr>
        <w:t>糖尿病新世界     </w:t>
      </w:r>
      <w:r>
        <w:rPr>
          <w:sz w:val="15"/>
          <w:szCs w:val="15"/>
          <w:color w:val="231F20"/>
          <w:position w:val="-1"/>
        </w:rPr>
        <w:t>DIABETES</w:t>
      </w:r>
      <w:r>
        <w:rPr>
          <w:sz w:val="15"/>
          <w:szCs w:val="15"/>
          <w:color w:val="231F20"/>
          <w:spacing w:val="32"/>
          <w:position w:val="-1"/>
        </w:rPr>
        <w:t xml:space="preserve"> </w:t>
      </w:r>
      <w:r>
        <w:rPr>
          <w:sz w:val="15"/>
          <w:szCs w:val="15"/>
          <w:color w:val="231F20"/>
          <w:position w:val="-1"/>
        </w:rPr>
        <w:t>NEW</w:t>
      </w:r>
      <w:r>
        <w:rPr>
          <w:sz w:val="15"/>
          <w:szCs w:val="15"/>
          <w:color w:val="231F20"/>
          <w:spacing w:val="10"/>
          <w:position w:val="-1"/>
        </w:rPr>
        <w:t xml:space="preserve"> </w:t>
      </w:r>
      <w:r>
        <w:rPr>
          <w:sz w:val="15"/>
          <w:szCs w:val="15"/>
          <w:color w:val="231F20"/>
          <w:position w:val="-1"/>
        </w:rPr>
        <w:t>WORLD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5" w:right="72" w:firstLine="1"/>
        <w:spacing w:before="40" w:line="223" w:lineRule="auto"/>
        <w:jc w:val="both"/>
        <w:rPr/>
      </w:pPr>
      <w:r>
        <w:rPr>
          <w:color w:val="231F20"/>
          <w:spacing w:val="8"/>
        </w:rPr>
        <w:t>深快呼吸等表现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。现将</w:t>
      </w:r>
      <w:r>
        <w:rPr>
          <w:sz w:val="20"/>
          <w:szCs w:val="20"/>
          <w:color w:val="231F20"/>
          <w:spacing w:val="8"/>
        </w:rPr>
        <w:t>40 </w:t>
      </w:r>
      <w:r>
        <w:rPr>
          <w:color w:val="231F20"/>
          <w:spacing w:val="8"/>
        </w:rPr>
        <w:t>例患者分为两组，分别为对照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组和观察组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。对照组患者 </w:t>
      </w:r>
      <w:r>
        <w:rPr>
          <w:sz w:val="20"/>
          <w:szCs w:val="20"/>
          <w:color w:val="231F20"/>
          <w:spacing w:val="-1"/>
        </w:rPr>
        <w:t>20 </w:t>
      </w:r>
      <w:r>
        <w:rPr>
          <w:color w:val="231F20"/>
          <w:spacing w:val="-1"/>
        </w:rPr>
        <w:t>例，男患者</w:t>
      </w:r>
      <w:r>
        <w:rPr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"/>
        </w:rPr>
        <w:t>12 </w:t>
      </w:r>
      <w:r>
        <w:rPr>
          <w:color w:val="231F20"/>
          <w:spacing w:val="-1"/>
        </w:rPr>
        <w:t>例，</w:t>
      </w:r>
      <w:r>
        <w:rPr>
          <w:color w:val="231F20"/>
          <w:spacing w:val="-2"/>
        </w:rPr>
        <w:t>女患者</w:t>
      </w:r>
      <w:r>
        <w:rPr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8</w:t>
      </w:r>
      <w:r>
        <w:rPr>
          <w:sz w:val="20"/>
          <w:szCs w:val="20"/>
          <w:color w:val="231F20"/>
        </w:rPr>
        <w:t xml:space="preserve"> </w:t>
      </w:r>
      <w:r>
        <w:rPr>
          <w:color w:val="231F20"/>
          <w:spacing w:val="-10"/>
        </w:rPr>
        <w:t>例；年龄范围</w:t>
      </w:r>
      <w:r>
        <w:rPr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32~70 </w:t>
      </w:r>
      <w:r>
        <w:rPr>
          <w:color w:val="231F20"/>
          <w:spacing w:val="-10"/>
        </w:rPr>
        <w:t>岁，平均年龄（</w:t>
      </w:r>
      <w:r>
        <w:rPr>
          <w:sz w:val="20"/>
          <w:szCs w:val="20"/>
          <w:color w:val="231F20"/>
          <w:spacing w:val="-10"/>
        </w:rPr>
        <w:t>52.5±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0"/>
        </w:rPr>
        <w:t>1.9</w:t>
      </w:r>
      <w:r>
        <w:rPr>
          <w:color w:val="231F20"/>
          <w:spacing w:val="-11"/>
        </w:rPr>
        <w:t>）岁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。观察组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患者 </w:t>
      </w:r>
      <w:r>
        <w:rPr>
          <w:sz w:val="20"/>
          <w:szCs w:val="20"/>
          <w:color w:val="231F20"/>
          <w:spacing w:val="-6"/>
        </w:rPr>
        <w:t>20 </w:t>
      </w:r>
      <w:r>
        <w:rPr>
          <w:color w:val="231F20"/>
          <w:spacing w:val="-6"/>
        </w:rPr>
        <w:t>例，男患者</w:t>
      </w:r>
      <w:r>
        <w:rPr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11 </w:t>
      </w:r>
      <w:r>
        <w:rPr>
          <w:color w:val="231F20"/>
          <w:spacing w:val="-6"/>
        </w:rPr>
        <w:t>例，女患者 </w:t>
      </w:r>
      <w:r>
        <w:rPr>
          <w:sz w:val="20"/>
          <w:szCs w:val="20"/>
          <w:color w:val="231F20"/>
          <w:spacing w:val="-6"/>
        </w:rPr>
        <w:t>9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color w:val="231F20"/>
          <w:spacing w:val="-6"/>
        </w:rPr>
        <w:t>例；年龄范围  </w:t>
      </w:r>
      <w:r>
        <w:rPr>
          <w:sz w:val="20"/>
          <w:szCs w:val="20"/>
          <w:color w:val="231F20"/>
          <w:spacing w:val="-6"/>
        </w:rPr>
        <w:t>33~70</w:t>
      </w:r>
      <w:r>
        <w:rPr>
          <w:sz w:val="20"/>
          <w:szCs w:val="20"/>
          <w:color w:val="231F20"/>
        </w:rPr>
        <w:t xml:space="preserve"> </w:t>
      </w:r>
      <w:r>
        <w:rPr>
          <w:color w:val="231F20"/>
          <w:spacing w:val="1"/>
        </w:rPr>
        <w:t>岁，平均年龄（</w:t>
      </w:r>
      <w:r>
        <w:rPr>
          <w:sz w:val="20"/>
          <w:szCs w:val="20"/>
          <w:color w:val="231F20"/>
          <w:spacing w:val="1"/>
        </w:rPr>
        <w:t>52.7±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1"/>
        </w:rPr>
        <w:t>1.8</w:t>
      </w:r>
      <w:r>
        <w:rPr>
          <w:color w:val="231F20"/>
          <w:spacing w:val="1"/>
        </w:rPr>
        <w:t>）岁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。两组患者差异</w:t>
      </w:r>
      <w:r>
        <w:rPr>
          <w:color w:val="231F20"/>
        </w:rPr>
        <w:t>无统计学意 </w:t>
      </w:r>
      <w:r>
        <w:rPr>
          <w:color w:val="231F20"/>
        </w:rPr>
        <w:t>义（</w:t>
      </w:r>
      <w:r>
        <w:rPr>
          <w:sz w:val="20"/>
          <w:szCs w:val="20"/>
          <w:color w:val="231F20"/>
        </w:rPr>
        <w:t>P&gt;0.05</w:t>
      </w:r>
      <w:r>
        <w:rPr>
          <w:color w:val="231F20"/>
          <w:spacing w:val="-27"/>
          <w:w w:val="60"/>
        </w:rPr>
        <w:t>），</w:t>
      </w:r>
      <w:r>
        <w:rPr>
          <w:color w:val="231F20"/>
        </w:rPr>
        <w:t>具有可比性。</w:t>
      </w:r>
    </w:p>
    <w:p>
      <w:pPr>
        <w:pStyle w:val="BodyText"/>
        <w:ind w:left="84"/>
        <w:spacing w:line="186" w:lineRule="auto"/>
        <w:rPr/>
      </w:pPr>
      <w:r>
        <w:rPr>
          <w:sz w:val="20"/>
          <w:szCs w:val="20"/>
          <w:color w:val="231F20"/>
          <w:spacing w:val="-6"/>
        </w:rPr>
        <w:t>1.2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color w:val="231F20"/>
          <w:spacing w:val="-6"/>
        </w:rPr>
        <w:t>方法</w:t>
      </w:r>
    </w:p>
    <w:p>
      <w:pPr>
        <w:pStyle w:val="BodyText"/>
        <w:ind w:left="72" w:firstLine="415"/>
        <w:spacing w:before="52" w:line="230" w:lineRule="auto"/>
        <w:jc w:val="both"/>
        <w:rPr/>
      </w:pPr>
      <w:r>
        <w:rPr>
          <w:color w:val="231F20"/>
          <w:spacing w:val="13"/>
        </w:rPr>
        <w:t>对照组患者采用常规急诊治疗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3"/>
        </w:rPr>
        <w:t>。观察组患者</w:t>
      </w:r>
      <w:r>
        <w:rPr>
          <w:color w:val="231F20"/>
          <w:spacing w:val="12"/>
        </w:rPr>
        <w:t>在常规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急诊治疗基础上进行针对性急诊治疗</w:t>
      </w:r>
      <w:r>
        <w:rPr>
          <w:sz w:val="11"/>
          <w:szCs w:val="11"/>
          <w:color w:val="231F20"/>
          <w:spacing w:val="14"/>
          <w:position w:val="7"/>
        </w:rPr>
        <w:t>[1]</w:t>
      </w:r>
      <w:r>
        <w:rPr>
          <w:sz w:val="11"/>
          <w:szCs w:val="11"/>
          <w:color w:val="231F20"/>
          <w:spacing w:val="5"/>
          <w:position w:val="7"/>
        </w:rPr>
        <w:t xml:space="preserve"> </w:t>
      </w:r>
      <w:r>
        <w:rPr>
          <w:color w:val="231F20"/>
          <w:spacing w:val="14"/>
        </w:rPr>
        <w:t>。患者入院后根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据患者的病情给予其心电监测、生命体征密切观察吸氧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3"/>
        </w:rPr>
        <w:t>等基础救治方法，全面检查患者的身体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，对患者点的临</w:t>
      </w:r>
      <w:r>
        <w:rPr>
          <w:color w:val="231F20"/>
        </w:rPr>
        <w:t xml:space="preserve">  </w:t>
      </w:r>
      <w:r>
        <w:rPr>
          <w:color w:val="231F20"/>
          <w:spacing w:val="23"/>
        </w:rPr>
        <w:t>床症状表现及体征进行综合观察对其血糖值选择适合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4"/>
        </w:rPr>
        <w:t>的方法进行精准测定</w:t>
      </w:r>
      <w:r>
        <w:rPr>
          <w:sz w:val="11"/>
          <w:szCs w:val="11"/>
          <w:color w:val="231F20"/>
          <w:spacing w:val="14"/>
          <w:position w:val="7"/>
        </w:rPr>
        <w:t>[2]</w:t>
      </w:r>
      <w:r>
        <w:rPr>
          <w:sz w:val="11"/>
          <w:szCs w:val="11"/>
          <w:color w:val="231F20"/>
          <w:spacing w:val="5"/>
          <w:position w:val="7"/>
        </w:rPr>
        <w:t xml:space="preserve"> </w:t>
      </w:r>
      <w:r>
        <w:rPr>
          <w:color w:val="231F20"/>
          <w:spacing w:val="14"/>
        </w:rPr>
        <w:t>。综合内外因素判断患者昏迷的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诱因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，并给予针对性的救治方案</w:t>
      </w:r>
      <w:r>
        <w:rPr>
          <w:sz w:val="20"/>
          <w:szCs w:val="20"/>
          <w:color w:val="231F20"/>
          <w:spacing w:val="6"/>
        </w:rPr>
        <w:t>:</w:t>
      </w:r>
      <w:r>
        <w:rPr>
          <w:color w:val="231F20"/>
          <w:spacing w:val="6"/>
        </w:rPr>
        <w:t>（</w:t>
      </w:r>
      <w:r>
        <w:rPr>
          <w:sz w:val="20"/>
          <w:szCs w:val="20"/>
          <w:color w:val="231F20"/>
          <w:spacing w:val="6"/>
        </w:rPr>
        <w:t>1</w:t>
      </w:r>
      <w:r>
        <w:rPr>
          <w:color w:val="231F20"/>
          <w:spacing w:val="6"/>
        </w:rPr>
        <w:t>）保持通气：昏迷患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者，要保证气道通畅；给予吸氧。（</w:t>
      </w:r>
      <w:r>
        <w:rPr>
          <w:sz w:val="20"/>
          <w:szCs w:val="20"/>
          <w:color w:val="231F20"/>
          <w:spacing w:val="-7"/>
        </w:rPr>
        <w:t>2</w:t>
      </w:r>
      <w:r>
        <w:rPr>
          <w:color w:val="231F20"/>
          <w:spacing w:val="-7"/>
        </w:rPr>
        <w:t>）建立静脉通路：</w:t>
      </w:r>
      <w:r>
        <w:rPr>
          <w:sz w:val="20"/>
          <w:szCs w:val="20"/>
          <w:color w:val="231F20"/>
          <w:spacing w:val="-7"/>
        </w:rPr>
        <w:t>DKA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color w:val="231F20"/>
          <w:spacing w:val="14"/>
        </w:rPr>
        <w:t>患者输液时间长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，输液量较多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，应保持静脉通道通畅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为患者迅速建立</w:t>
      </w:r>
      <w:r>
        <w:rPr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10"/>
        </w:rPr>
        <w:t>2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color w:val="231F20"/>
          <w:spacing w:val="10"/>
        </w:rPr>
        <w:t>条静脉通道，进行快速的补液，及时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纠正患者水、电解质和酸碱失衡。小剂量持续泵注</w:t>
      </w:r>
      <w:r>
        <w:rPr>
          <w:color w:val="231F20"/>
          <w:spacing w:val="1"/>
        </w:rPr>
        <w:t>胰岛素，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监测血糖水平并同时调整胰岛素的用量。及时给予患者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补钾治疗。（</w:t>
      </w:r>
      <w:r>
        <w:rPr>
          <w:sz w:val="20"/>
          <w:szCs w:val="20"/>
          <w:color w:val="231F20"/>
          <w:spacing w:val="11"/>
        </w:rPr>
        <w:t>3</w:t>
      </w:r>
      <w:r>
        <w:rPr>
          <w:color w:val="231F20"/>
          <w:spacing w:val="11"/>
        </w:rPr>
        <w:t>）去除诱因：合并脓毒症时应用抗生素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</w:t>
      </w:r>
    </w:p>
    <w:p>
      <w:pPr>
        <w:pStyle w:val="BodyText"/>
        <w:ind w:left="74" w:right="72" w:hanging="74"/>
        <w:spacing w:before="10" w:line="224" w:lineRule="auto"/>
        <w:jc w:val="both"/>
        <w:rPr/>
      </w:pPr>
      <w:r>
        <w:rPr>
          <w:color w:val="231F20"/>
          <w:spacing w:val="5"/>
        </w:rPr>
        <w:t>（</w:t>
      </w:r>
      <w:r>
        <w:rPr>
          <w:sz w:val="20"/>
          <w:szCs w:val="20"/>
          <w:color w:val="231F20"/>
          <w:spacing w:val="5"/>
        </w:rPr>
        <w:t>4</w:t>
      </w:r>
      <w:r>
        <w:rPr>
          <w:color w:val="231F20"/>
          <w:spacing w:val="5"/>
        </w:rPr>
        <w:t>）监测：应定时检测</w:t>
      </w:r>
      <w:r>
        <w:rPr>
          <w:sz w:val="20"/>
          <w:szCs w:val="20"/>
          <w:color w:val="231F20"/>
          <w:spacing w:val="5"/>
        </w:rPr>
        <w:t>①</w:t>
      </w:r>
      <w:r>
        <w:rPr>
          <w:color w:val="231F20"/>
          <w:spacing w:val="5"/>
        </w:rPr>
        <w:t>血糖：通常</w:t>
      </w:r>
      <w:r>
        <w:rPr>
          <w:color w:val="231F20"/>
          <w:spacing w:val="19"/>
        </w:rPr>
        <w:t xml:space="preserve">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color w:val="231F20"/>
          <w:spacing w:val="5"/>
        </w:rPr>
        <w:t>患者血糖浓度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超过</w:t>
      </w:r>
      <w:r>
        <w:rPr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1"/>
        </w:rPr>
        <w:t>13.9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mmol/L</w:t>
      </w:r>
      <w:r>
        <w:rPr>
          <w:color w:val="231F20"/>
          <w:spacing w:val="-11"/>
        </w:rPr>
        <w:t>。</w:t>
      </w:r>
      <w:r>
        <w:rPr>
          <w:sz w:val="20"/>
          <w:szCs w:val="20"/>
          <w:color w:val="231F20"/>
          <w:spacing w:val="-11"/>
        </w:rPr>
        <w:t>DKA </w:t>
      </w:r>
      <w:r>
        <w:rPr>
          <w:color w:val="231F20"/>
          <w:spacing w:val="-11"/>
        </w:rPr>
        <w:t>患者血糖低于</w:t>
      </w:r>
      <w:r>
        <w:rPr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19.44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mmol/L</w:t>
      </w:r>
      <w:r>
        <w:rPr>
          <w:color w:val="231F20"/>
          <w:spacing w:val="-11"/>
        </w:rPr>
        <w:t>。中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度 </w:t>
      </w:r>
      <w:r>
        <w:rPr>
          <w:sz w:val="20"/>
          <w:szCs w:val="20"/>
          <w:color w:val="231F20"/>
          <w:spacing w:val="-4"/>
        </w:rPr>
        <w:t>DKA </w:t>
      </w:r>
      <w:r>
        <w:rPr>
          <w:color w:val="231F20"/>
          <w:spacing w:val="-4"/>
        </w:rPr>
        <w:t>患者血糖为</w:t>
      </w:r>
      <w:r>
        <w:rPr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19.44～50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mmol/</w:t>
      </w:r>
      <w:r>
        <w:rPr>
          <w:sz w:val="20"/>
          <w:szCs w:val="20"/>
          <w:color w:val="231F20"/>
          <w:spacing w:val="-5"/>
        </w:rPr>
        <w:t>L</w:t>
      </w:r>
      <w:r>
        <w:rPr>
          <w:color w:val="231F20"/>
          <w:spacing w:val="-5"/>
        </w:rPr>
        <w:t>。血糖浓度明显升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高者，提示脱水严重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。</w:t>
      </w:r>
      <w:r>
        <w:rPr>
          <w:sz w:val="20"/>
          <w:szCs w:val="20"/>
          <w:color w:val="231F20"/>
          <w:spacing w:val="5"/>
        </w:rPr>
        <w:t>②</w:t>
      </w:r>
      <w:r>
        <w:rPr>
          <w:color w:val="231F20"/>
          <w:spacing w:val="5"/>
        </w:rPr>
        <w:t>血酮体：定性呈强阳性</w:t>
      </w:r>
      <w:r>
        <w:rPr>
          <w:color w:val="231F20"/>
          <w:spacing w:val="4"/>
        </w:rPr>
        <w:t>。定量测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定血酮体正常时低于 </w:t>
      </w:r>
      <w:r>
        <w:rPr>
          <w:sz w:val="20"/>
          <w:szCs w:val="20"/>
          <w:color w:val="231F20"/>
          <w:spacing w:val="-4"/>
        </w:rPr>
        <w:t>0.6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mmol/L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color w:val="231F20"/>
          <w:spacing w:val="-4"/>
        </w:rPr>
        <w:t>。如果超过</w:t>
      </w:r>
      <w:r>
        <w:rPr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1.0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mmol/L</w:t>
      </w:r>
      <w:r>
        <w:rPr>
          <w:sz w:val="20"/>
          <w:szCs w:val="20"/>
          <w:color w:val="231F20"/>
        </w:rPr>
        <w:t xml:space="preserve"> </w:t>
      </w:r>
      <w:r>
        <w:rPr>
          <w:color w:val="231F20"/>
          <w:spacing w:val="2"/>
        </w:rPr>
        <w:t>为血酮体升高；血酮体超过 </w:t>
      </w:r>
      <w:r>
        <w:rPr>
          <w:sz w:val="20"/>
          <w:szCs w:val="20"/>
          <w:color w:val="231F20"/>
          <w:spacing w:val="2"/>
        </w:rPr>
        <w:t>4.8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2"/>
        </w:rPr>
        <w:t>/L </w:t>
      </w:r>
      <w:r>
        <w:rPr>
          <w:color w:val="231F20"/>
          <w:spacing w:val="2"/>
        </w:rPr>
        <w:t>有诊断意义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"/>
        </w:rPr>
        <w:t>。血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酮体测定能提示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color w:val="231F20"/>
          <w:spacing w:val="24"/>
        </w:rPr>
        <w:t>患者的病情严重程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4"/>
        </w:rPr>
        <w:t>度和对治疗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的反应。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昏迷者都应立即进行血酮体测定，每</w:t>
      </w:r>
      <w:r>
        <w:rPr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4"/>
        </w:rPr>
        <w:t>12 h</w:t>
      </w:r>
      <w:r>
        <w:rPr>
          <w:sz w:val="20"/>
          <w:szCs w:val="20"/>
          <w:color w:val="231F20"/>
        </w:rPr>
        <w:t xml:space="preserve"> </w:t>
      </w:r>
      <w:r>
        <w:rPr>
          <w:color w:val="231F20"/>
          <w:spacing w:val="5"/>
        </w:rPr>
        <w:t>重复测定</w:t>
      </w:r>
      <w:r>
        <w:rPr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5"/>
        </w:rPr>
        <w:t>1 </w:t>
      </w:r>
      <w:r>
        <w:rPr>
          <w:color w:val="231F20"/>
          <w:spacing w:val="5"/>
        </w:rPr>
        <w:t>次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。</w:t>
      </w:r>
      <w:r>
        <w:rPr>
          <w:sz w:val="20"/>
          <w:szCs w:val="20"/>
          <w:color w:val="231F20"/>
          <w:spacing w:val="5"/>
        </w:rPr>
        <w:t>③</w:t>
      </w:r>
      <w:r>
        <w:rPr>
          <w:color w:val="231F20"/>
          <w:spacing w:val="5"/>
        </w:rPr>
        <w:t>电解质：血钠，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color w:val="231F20"/>
          <w:spacing w:val="5"/>
        </w:rPr>
        <w:t>患者由于渗透性</w:t>
      </w:r>
    </w:p>
    <w:p>
      <w:pPr>
        <w:spacing w:line="224" w:lineRule="auto"/>
        <w:sectPr>
          <w:type w:val="continuous"/>
          <w:pgSz w:w="11905" w:h="16836"/>
          <w:pgMar w:top="400" w:right="776" w:bottom="0" w:left="407" w:header="0" w:footer="0" w:gutter="0"/>
          <w:cols w:equalWidth="0" w:num="2">
            <w:col w:w="5559" w:space="100"/>
            <w:col w:w="5062" w:space="0"/>
          </w:cols>
        </w:sectPr>
        <w:rPr/>
      </w:pPr>
    </w:p>
    <w:p>
      <w:pPr>
        <w:pStyle w:val="BodyText"/>
        <w:ind w:left="449"/>
        <w:spacing w:before="303" w:line="191" w:lineRule="auto"/>
        <w:rPr>
          <w:sz w:val="31"/>
          <w:szCs w:val="31"/>
        </w:rPr>
      </w:pPr>
      <w:r>
        <w:rPr>
          <w:sz w:val="16"/>
          <w:szCs w:val="16"/>
          <w:color w:val="231F20"/>
          <w:spacing w:val="1"/>
        </w:rPr>
        <w:t>糖尿病新世界</w:t>
      </w:r>
      <w:r>
        <w:rPr>
          <w:sz w:val="16"/>
          <w:szCs w:val="16"/>
          <w:color w:val="231F20"/>
          <w:spacing w:val="18"/>
          <w:w w:val="101"/>
        </w:rPr>
        <w:t xml:space="preserve">  </w:t>
      </w:r>
      <w:r>
        <w:rPr>
          <w:sz w:val="17"/>
          <w:szCs w:val="17"/>
          <w:color w:val="231F20"/>
          <w:spacing w:val="1"/>
          <w:position w:val="-1"/>
        </w:rPr>
        <w:t>2019 </w:t>
      </w:r>
      <w:r>
        <w:rPr>
          <w:sz w:val="16"/>
          <w:szCs w:val="16"/>
          <w:color w:val="231F20"/>
          <w:spacing w:val="1"/>
        </w:rPr>
        <w:t>年 </w:t>
      </w:r>
      <w:r>
        <w:rPr>
          <w:sz w:val="17"/>
          <w:szCs w:val="17"/>
          <w:color w:val="231F20"/>
          <w:spacing w:val="1"/>
          <w:position w:val="-1"/>
        </w:rPr>
        <w:t>9 </w:t>
      </w:r>
      <w:r>
        <w:rPr>
          <w:sz w:val="16"/>
          <w:szCs w:val="16"/>
          <w:color w:val="231F20"/>
          <w:spacing w:val="1"/>
        </w:rPr>
        <w:t>月        </w:t>
      </w:r>
      <w:r>
        <w:rPr>
          <w:sz w:val="16"/>
          <w:szCs w:val="16"/>
          <w:strike/>
          <w:color w:val="231F20"/>
          <w:spacing w:val="1"/>
        </w:rPr>
        <w:t xml:space="preserve">                                                                                                  </w:t>
      </w:r>
      <w:r>
        <w:rPr>
          <w:sz w:val="16"/>
          <w:szCs w:val="16"/>
          <w:strike/>
          <w:color w:val="231F20"/>
        </w:rPr>
        <w:t xml:space="preserve">          </w:t>
      </w:r>
      <w:r>
        <w:rPr>
          <w:sz w:val="16"/>
          <w:szCs w:val="16"/>
          <w:color w:val="231F20"/>
        </w:rPr>
        <w:t xml:space="preserve">                </w:t>
      </w:r>
      <w:r>
        <w:rPr>
          <w:sz w:val="31"/>
          <w:szCs w:val="31"/>
          <w:color w:val="231F20"/>
        </w:rPr>
        <w:t>·  临床研究</w:t>
      </w:r>
      <w:r>
        <w:rPr>
          <w:sz w:val="31"/>
          <w:szCs w:val="31"/>
          <w:color w:val="231F20"/>
          <w:spacing w:val="65"/>
        </w:rPr>
        <w:t xml:space="preserve"> </w:t>
      </w:r>
      <w:r>
        <w:rPr>
          <w:sz w:val="31"/>
          <w:szCs w:val="31"/>
          <w:color w:val="231F20"/>
        </w:rPr>
        <w:t>·</w:t>
      </w:r>
    </w:p>
    <w:p>
      <w:pPr>
        <w:spacing w:before="9"/>
        <w:rPr/>
      </w:pPr>
      <w:r/>
    </w:p>
    <w:p>
      <w:pPr>
        <w:sectPr>
          <w:headerReference w:type="default" r:id="rId2"/>
          <w:pgSz w:w="11905" w:h="16836"/>
          <w:pgMar w:top="400" w:right="774" w:bottom="0" w:left="407" w:header="0" w:footer="0" w:gutter="0"/>
          <w:cols w:equalWidth="0" w:num="1">
            <w:col w:w="10722" w:space="0"/>
          </w:cols>
        </w:sectPr>
        <w:rPr/>
      </w:pPr>
    </w:p>
    <w:p>
      <w:pPr>
        <w:pStyle w:val="BodyText"/>
        <w:ind w:left="449" w:right="194" w:firstLine="2"/>
        <w:spacing w:before="31" w:line="236" w:lineRule="auto"/>
        <w:jc w:val="both"/>
        <w:rPr/>
      </w:pPr>
      <w:r>
        <w:rPr>
          <w:color w:val="231F20"/>
          <w:spacing w:val="2"/>
        </w:rPr>
        <w:t>利尿，体内钠大量丢失。严重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color w:val="231F20"/>
          <w:spacing w:val="2"/>
        </w:rPr>
        <w:t>患者，钠缺乏可达 </w:t>
      </w:r>
      <w:r>
        <w:rPr>
          <w:sz w:val="20"/>
          <w:szCs w:val="20"/>
          <w:color w:val="231F20"/>
          <w:spacing w:val="2"/>
        </w:rPr>
        <w:t>7~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2"/>
        </w:rPr>
        <w:t>10 mmol/kg</w:t>
      </w:r>
      <w:r>
        <w:rPr>
          <w:color w:val="231F20"/>
          <w:spacing w:val="-2"/>
        </w:rPr>
        <w:t>。高血糖渗透作用可引起假性低钠血症</w:t>
      </w:r>
      <w:r>
        <w:rPr>
          <w:color w:val="231F20"/>
          <w:spacing w:val="-3"/>
        </w:rPr>
        <w:t>，血糖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每升高</w:t>
      </w:r>
      <w:r>
        <w:rPr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4"/>
        </w:rPr>
        <w:t>5.56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mmol/L(100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4"/>
        </w:rPr>
        <w:t>mg/d)</w:t>
      </w:r>
      <w:r>
        <w:rPr>
          <w:color w:val="231F20"/>
          <w:spacing w:val="-14"/>
        </w:rPr>
        <w:t>，血钠降低</w:t>
      </w:r>
      <w:r>
        <w:rPr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4"/>
        </w:rPr>
        <w:t>1.5~2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4"/>
        </w:rPr>
        <w:t>mmol/L</w:t>
      </w:r>
      <w:r>
        <w:rPr>
          <w:color w:val="231F20"/>
          <w:spacing w:val="-1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高三酰甘油血症也可引起假性血钠降低，三酰甘油每增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4"/>
        </w:rPr>
        <w:t>加</w:t>
      </w:r>
      <w:r>
        <w:rPr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4"/>
        </w:rPr>
        <w:t>1 000 mg/dl</w:t>
      </w:r>
      <w:r>
        <w:rPr>
          <w:color w:val="231F20"/>
          <w:spacing w:val="-14"/>
        </w:rPr>
        <w:t>，血钠降低</w:t>
      </w:r>
      <w:r>
        <w:rPr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1.5~2 mmol/L</w:t>
      </w:r>
      <w:r>
        <w:rPr>
          <w:color w:val="231F20"/>
          <w:spacing w:val="-14"/>
        </w:rPr>
        <w:t>。</w:t>
      </w:r>
      <w:r>
        <w:rPr>
          <w:sz w:val="20"/>
          <w:szCs w:val="20"/>
          <w:color w:val="231F20"/>
          <w:spacing w:val="-14"/>
        </w:rPr>
        <w:t>DKA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-14"/>
        </w:rPr>
        <w:t>患者伴血三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酰甘油明显升高时，血钠下降程度较单纯高血糖引起者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"/>
        </w:rPr>
        <w:t>严重，当高血糖和高三酰甘油改善时，可能出现高</w:t>
      </w:r>
      <w:r>
        <w:rPr>
          <w:color w:val="231F20"/>
        </w:rPr>
        <w:t>钠血症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。 </w:t>
      </w:r>
      <w:r>
        <w:rPr>
          <w:color w:val="231F20"/>
          <w:spacing w:val="11"/>
        </w:rPr>
        <w:t>血氯浓度对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诊断并无帮助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。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患者恢复期，可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出现高氯性酸中毒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。血钾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，通常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患者血钾升高</w:t>
      </w:r>
      <w:r>
        <w:rPr>
          <w:sz w:val="20"/>
          <w:szCs w:val="20"/>
          <w:color w:val="231F20"/>
          <w:spacing w:val="11"/>
        </w:rPr>
        <w:t>(</w:t>
      </w:r>
      <w:r>
        <w:rPr>
          <w:color w:val="231F20"/>
          <w:spacing w:val="11"/>
        </w:rPr>
        <w:t>平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均为 </w:t>
      </w:r>
      <w:r>
        <w:rPr>
          <w:sz w:val="20"/>
          <w:szCs w:val="20"/>
          <w:color w:val="231F20"/>
          <w:spacing w:val="1"/>
        </w:rPr>
        <w:t>5.2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1"/>
        </w:rPr>
        <w:t>/L)</w:t>
      </w:r>
      <w:r>
        <w:rPr>
          <w:color w:val="231F20"/>
          <w:spacing w:val="1"/>
        </w:rPr>
        <w:t>，可能与严重脱水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、肾功能不全或酸中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毒有关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。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3"/>
        </w:rPr>
        <w:t>患者体内钾缺乏可达</w:t>
      </w:r>
      <w:r>
        <w:rPr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200~700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color w:val="231F20"/>
          <w:spacing w:val="3"/>
        </w:rPr>
        <w:t>或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</w:rPr>
        <w:t>3~5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</w:rPr>
        <w:t>mmol/kg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color w:val="231F20"/>
        </w:rPr>
        <w:t>。</w:t>
      </w:r>
      <w:r>
        <w:rPr>
          <w:sz w:val="20"/>
          <w:szCs w:val="20"/>
          <w:color w:val="231F20"/>
        </w:rPr>
        <w:t>DKA </w:t>
      </w:r>
      <w:r>
        <w:rPr>
          <w:color w:val="231F20"/>
        </w:rPr>
        <w:t>患者治疗过程中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，特</w:t>
      </w:r>
      <w:r>
        <w:rPr>
          <w:color w:val="231F20"/>
          <w:spacing w:val="-1"/>
        </w:rPr>
        <w:t>别是代谢性酸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中毒纠正后常可发生致命性低钾血症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21"/>
        </w:rPr>
        <w:t>，应严密监测血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钾变化并及时补钾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。血镁，未治疗的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color w:val="231F20"/>
          <w:spacing w:val="15"/>
        </w:rPr>
        <w:t>患者血镁浓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度升高，随着血容量恢复可逐渐下降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。血磷，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治疗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前血磷升高 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治疗后可逐渐下降 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常出现低磷血症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DKA </w:t>
      </w:r>
      <w:r>
        <w:rPr>
          <w:color w:val="231F20"/>
          <w:spacing w:val="-10"/>
        </w:rPr>
        <w:t>治疗期间，磷丢失约</w:t>
      </w:r>
      <w:r>
        <w:rPr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1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mmol/kg</w:t>
      </w:r>
      <w:r>
        <w:rPr>
          <w:color w:val="231F20"/>
          <w:spacing w:val="-10"/>
        </w:rPr>
        <w:t>。</w:t>
      </w:r>
      <w:r>
        <w:rPr>
          <w:sz w:val="20"/>
          <w:szCs w:val="20"/>
          <w:color w:val="231F20"/>
          <w:spacing w:val="-10"/>
        </w:rPr>
        <w:t>HCO</w:t>
      </w:r>
      <w:r>
        <w:rPr>
          <w:sz w:val="11"/>
          <w:szCs w:val="11"/>
          <w:color w:val="231F20"/>
          <w:spacing w:val="-11"/>
          <w:position w:val="-2"/>
        </w:rPr>
        <w:t>3</w:t>
      </w:r>
      <w:r>
        <w:rPr>
          <w:sz w:val="11"/>
          <w:szCs w:val="11"/>
          <w:color w:val="231F20"/>
          <w:spacing w:val="-11"/>
          <w:position w:val="7"/>
        </w:rPr>
        <w:t>-</w:t>
      </w:r>
      <w:r>
        <w:rPr>
          <w:color w:val="231F20"/>
          <w:spacing w:val="-24"/>
        </w:rPr>
        <w:t>，</w:t>
      </w:r>
      <w:r>
        <w:rPr>
          <w:sz w:val="20"/>
          <w:szCs w:val="20"/>
          <w:color w:val="231F20"/>
          <w:spacing w:val="-24"/>
        </w:rPr>
        <w:t>DKA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color w:val="231F20"/>
          <w:spacing w:val="-24"/>
        </w:rPr>
        <w:t>时，血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  <w:spacing w:val="-15"/>
        </w:rPr>
        <w:t>HCO</w:t>
      </w:r>
      <w:r>
        <w:rPr>
          <w:sz w:val="11"/>
          <w:szCs w:val="11"/>
          <w:color w:val="231F20"/>
          <w:spacing w:val="14"/>
          <w:position w:val="-3"/>
        </w:rPr>
        <w:t>3</w:t>
      </w:r>
      <w:r>
        <w:rPr>
          <w:sz w:val="11"/>
          <w:szCs w:val="11"/>
          <w:color w:val="231F20"/>
          <w:spacing w:val="14"/>
        </w:rPr>
        <w:t>-</w:t>
      </w:r>
      <w:r>
        <w:rPr>
          <w:color w:val="231F20"/>
          <w:spacing w:val="14"/>
        </w:rPr>
        <w:t>中和酮体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4"/>
        </w:rPr>
        <w:t>，使其血浓度降低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4"/>
        </w:rPr>
        <w:t>。</w:t>
      </w:r>
      <w:r>
        <w:rPr>
          <w:sz w:val="20"/>
          <w:szCs w:val="20"/>
          <w:color w:val="231F20"/>
          <w:spacing w:val="14"/>
        </w:rPr>
        <w:t>④</w:t>
      </w:r>
      <w:r>
        <w:rPr>
          <w:color w:val="231F20"/>
          <w:spacing w:val="14"/>
        </w:rPr>
        <w:t>动脉血气：</w:t>
      </w:r>
      <w:r>
        <w:rPr>
          <w:color w:val="231F20"/>
          <w:spacing w:val="13"/>
        </w:rPr>
        <w:t>严重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color w:val="231F20"/>
          <w:spacing w:val="17"/>
        </w:rPr>
        <w:t>患者治疗前应进行动脉血气和血 </w:t>
      </w:r>
      <w:r>
        <w:rPr>
          <w:sz w:val="20"/>
          <w:szCs w:val="20"/>
          <w:color w:val="231F20"/>
        </w:rPr>
        <w:t>pH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color w:val="231F20"/>
          <w:spacing w:val="17"/>
        </w:rPr>
        <w:t>测定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7"/>
        </w:rPr>
        <w:t>。严重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代谢性酸中毒时 ，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9"/>
        </w:rPr>
        <w:t>由于呼吸代偿出现过度通气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9"/>
        </w:rPr>
        <w:t>，</w:t>
      </w:r>
      <w:r>
        <w:rPr>
          <w:sz w:val="20"/>
          <w:szCs w:val="20"/>
          <w:color w:val="231F20"/>
        </w:rPr>
        <w:t>PaCO</w:t>
      </w:r>
      <w:r>
        <w:rPr>
          <w:sz w:val="11"/>
          <w:szCs w:val="11"/>
          <w:color w:val="231F20"/>
          <w:spacing w:val="9"/>
          <w:position w:val="-3"/>
        </w:rPr>
        <w:t>2</w:t>
      </w:r>
      <w:r>
        <w:rPr>
          <w:sz w:val="11"/>
          <w:szCs w:val="11"/>
          <w:color w:val="231F20"/>
          <w:position w:val="-3"/>
        </w:rPr>
        <w:t xml:space="preserve">   </w:t>
      </w:r>
      <w:r>
        <w:rPr>
          <w:color w:val="231F20"/>
          <w:spacing w:val="1"/>
        </w:rPr>
        <w:t>可降低到</w:t>
      </w:r>
      <w:r>
        <w:rPr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1"/>
        </w:rPr>
        <w:t>10~20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</w:rPr>
        <w:t>mmHg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color w:val="231F20"/>
          <w:spacing w:val="1"/>
        </w:rPr>
        <w:t>。每小时测定血糖和血钾，至少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每 </w:t>
      </w:r>
      <w:r>
        <w:rPr>
          <w:sz w:val="20"/>
          <w:szCs w:val="20"/>
          <w:color w:val="231F20"/>
          <w:spacing w:val="-2"/>
        </w:rPr>
        <w:t>2～3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h </w:t>
      </w:r>
      <w:r>
        <w:rPr>
          <w:color w:val="231F20"/>
          <w:spacing w:val="-2"/>
        </w:rPr>
        <w:t>测</w:t>
      </w:r>
      <w:r>
        <w:rPr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2"/>
        </w:rPr>
        <w:t>1 </w:t>
      </w:r>
      <w:r>
        <w:rPr>
          <w:color w:val="231F20"/>
          <w:spacing w:val="-2"/>
        </w:rPr>
        <w:t>次电解质和动脉血 </w:t>
      </w:r>
      <w:r>
        <w:rPr>
          <w:sz w:val="20"/>
          <w:szCs w:val="20"/>
          <w:color w:val="231F20"/>
          <w:spacing w:val="-2"/>
        </w:rPr>
        <w:t>pH</w:t>
      </w:r>
      <w:r>
        <w:rPr>
          <w:color w:val="231F20"/>
          <w:spacing w:val="-2"/>
        </w:rPr>
        <w:t>。记录出入量，并将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上述结果记入流程表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。不能自行排尿者可行导尿，同时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留取尿液进行相关检查，如尿培养等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。</w:t>
      </w:r>
    </w:p>
    <w:p>
      <w:pPr>
        <w:pStyle w:val="BodyText"/>
        <w:ind w:left="460"/>
        <w:spacing w:line="187" w:lineRule="auto"/>
        <w:rPr/>
      </w:pPr>
      <w:r>
        <w:rPr>
          <w:sz w:val="20"/>
          <w:szCs w:val="20"/>
          <w:color w:val="231F20"/>
          <w:spacing w:val="11"/>
        </w:rPr>
        <w:t>1.3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color w:val="231F20"/>
          <w:spacing w:val="11"/>
        </w:rPr>
        <w:t>观察指标及效果评价标准</w:t>
      </w:r>
    </w:p>
    <w:p>
      <w:pPr>
        <w:pStyle w:val="BodyText"/>
        <w:ind w:left="452" w:right="272" w:firstLine="419"/>
        <w:spacing w:before="66" w:line="241" w:lineRule="auto"/>
        <w:rPr/>
      </w:pPr>
      <w:r>
        <w:rPr>
          <w:color w:val="231F20"/>
          <w:spacing w:val="14"/>
        </w:rPr>
        <w:t>观察两组患者治疗后的效果，同时观察检测</w:t>
      </w:r>
      <w:r>
        <w:rPr>
          <w:color w:val="231F20"/>
          <w:spacing w:val="13"/>
        </w:rPr>
        <w:t>记录患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者的临床指标，观察记录患者的情况。</w:t>
      </w:r>
    </w:p>
    <w:p>
      <w:pPr>
        <w:pStyle w:val="BodyText"/>
        <w:ind w:left="446"/>
        <w:spacing w:line="192" w:lineRule="auto"/>
        <w:outlineLvl w:val="0"/>
        <w:rPr/>
      </w:pPr>
      <w:r>
        <w:rPr>
          <w:sz w:val="20"/>
          <w:szCs w:val="20"/>
          <w:color w:val="231F20"/>
          <w:spacing w:val="2"/>
        </w:rPr>
        <w:t>2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color w:val="231F20"/>
          <w:spacing w:val="2"/>
        </w:rPr>
        <w:t>结果</w:t>
      </w:r>
    </w:p>
    <w:p>
      <w:pPr>
        <w:pStyle w:val="BodyText"/>
        <w:ind w:left="452" w:right="194" w:firstLine="411"/>
        <w:spacing w:before="41" w:line="226" w:lineRule="auto"/>
        <w:jc w:val="both"/>
        <w:rPr/>
      </w:pPr>
      <w:r>
        <w:rPr>
          <w:color w:val="231F20"/>
          <w:spacing w:val="6"/>
        </w:rPr>
        <w:t>两组患者临床指标比较见表</w:t>
      </w:r>
      <w:r>
        <w:rPr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6"/>
        </w:rPr>
        <w:t>1</w:t>
      </w:r>
      <w:r>
        <w:rPr>
          <w:color w:val="231F20"/>
          <w:spacing w:val="6"/>
        </w:rPr>
        <w:t>。对照组 </w:t>
      </w:r>
      <w:r>
        <w:rPr>
          <w:sz w:val="20"/>
          <w:szCs w:val="20"/>
          <w:color w:val="231F20"/>
          <w:spacing w:val="6"/>
        </w:rPr>
        <w:t>20 </w:t>
      </w:r>
      <w:r>
        <w:rPr>
          <w:color w:val="231F20"/>
          <w:spacing w:val="6"/>
        </w:rPr>
        <w:t>例患者中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  <w:spacing w:val="6"/>
        </w:rPr>
        <w:t>11 </w:t>
      </w:r>
      <w:r>
        <w:rPr>
          <w:color w:val="231F20"/>
          <w:spacing w:val="6"/>
        </w:rPr>
        <w:t>例患者治疗有效，治疗后有效占比为 </w:t>
      </w:r>
      <w:r>
        <w:rPr>
          <w:sz w:val="20"/>
          <w:szCs w:val="20"/>
          <w:color w:val="231F20"/>
          <w:spacing w:val="6"/>
        </w:rPr>
        <w:t>5</w:t>
      </w:r>
      <w:r>
        <w:rPr>
          <w:sz w:val="20"/>
          <w:szCs w:val="20"/>
          <w:color w:val="231F20"/>
          <w:spacing w:val="5"/>
        </w:rPr>
        <w:t>5%</w:t>
      </w:r>
      <w:r>
        <w:rPr>
          <w:color w:val="231F20"/>
          <w:spacing w:val="5"/>
        </w:rPr>
        <w:t>；</w:t>
      </w:r>
      <w:r>
        <w:rPr>
          <w:sz w:val="20"/>
          <w:szCs w:val="20"/>
          <w:color w:val="231F20"/>
          <w:spacing w:val="5"/>
        </w:rPr>
        <w:t>7 </w:t>
      </w:r>
      <w:r>
        <w:rPr>
          <w:color w:val="231F20"/>
          <w:spacing w:val="5"/>
        </w:rPr>
        <w:t>例患者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治疗无效，占比为 </w:t>
      </w:r>
      <w:r>
        <w:rPr>
          <w:sz w:val="20"/>
          <w:szCs w:val="20"/>
          <w:color w:val="231F20"/>
          <w:spacing w:val="-2"/>
        </w:rPr>
        <w:t>25%</w:t>
      </w:r>
      <w:r>
        <w:rPr>
          <w:color w:val="231F20"/>
          <w:spacing w:val="-2"/>
        </w:rPr>
        <w:t>；</w:t>
      </w:r>
      <w:r>
        <w:rPr>
          <w:sz w:val="20"/>
          <w:szCs w:val="20"/>
          <w:color w:val="231F20"/>
          <w:spacing w:val="-2"/>
        </w:rPr>
        <w:t>2 </w:t>
      </w:r>
      <w:r>
        <w:rPr>
          <w:color w:val="231F20"/>
          <w:spacing w:val="-2"/>
        </w:rPr>
        <w:t>例患者死亡，死亡率占</w:t>
      </w:r>
      <w:r>
        <w:rPr>
          <w:color w:val="231F20"/>
          <w:spacing w:val="-3"/>
        </w:rPr>
        <w:t>比</w:t>
      </w:r>
      <w:r>
        <w:rPr>
          <w:sz w:val="20"/>
          <w:szCs w:val="20"/>
          <w:color w:val="231F20"/>
          <w:spacing w:val="-3"/>
        </w:rPr>
        <w:t>10%</w:t>
      </w:r>
      <w:r>
        <w:rPr>
          <w:color w:val="231F20"/>
          <w:spacing w:val="-3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观察组 </w:t>
      </w:r>
      <w:r>
        <w:rPr>
          <w:sz w:val="20"/>
          <w:szCs w:val="20"/>
          <w:color w:val="231F20"/>
        </w:rPr>
        <w:t>20 </w:t>
      </w:r>
      <w:r>
        <w:rPr>
          <w:color w:val="231F20"/>
        </w:rPr>
        <w:t>例患者中</w:t>
      </w:r>
      <w:r>
        <w:rPr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</w:rPr>
        <w:t>18 </w:t>
      </w:r>
      <w:r>
        <w:rPr>
          <w:color w:val="231F20"/>
        </w:rPr>
        <w:t>例患者治疗有效，治疗后有效占比  </w:t>
      </w:r>
      <w:r>
        <w:rPr>
          <w:color w:val="231F20"/>
          <w:spacing w:val="-11"/>
        </w:rPr>
        <w:t>为 </w:t>
      </w:r>
      <w:r>
        <w:rPr>
          <w:sz w:val="20"/>
          <w:szCs w:val="20"/>
          <w:color w:val="231F20"/>
          <w:spacing w:val="-11"/>
        </w:rPr>
        <w:t>90%</w:t>
      </w:r>
      <w:r>
        <w:rPr>
          <w:color w:val="231F20"/>
          <w:spacing w:val="-11"/>
        </w:rPr>
        <w:t>；</w:t>
      </w:r>
      <w:r>
        <w:rPr>
          <w:sz w:val="20"/>
          <w:szCs w:val="20"/>
          <w:color w:val="231F20"/>
          <w:spacing w:val="-11"/>
        </w:rPr>
        <w:t>1 </w:t>
      </w:r>
      <w:r>
        <w:rPr>
          <w:color w:val="231F20"/>
          <w:spacing w:val="-11"/>
        </w:rPr>
        <w:t>例患者治疗无效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占比为</w:t>
      </w:r>
      <w:r>
        <w:rPr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5%</w:t>
      </w:r>
      <w:r>
        <w:rPr>
          <w:color w:val="231F20"/>
          <w:spacing w:val="-11"/>
        </w:rPr>
        <w:t>；</w:t>
      </w:r>
      <w:r>
        <w:rPr>
          <w:sz w:val="20"/>
          <w:szCs w:val="20"/>
          <w:color w:val="231F20"/>
          <w:spacing w:val="-11"/>
        </w:rPr>
        <w:t>1 </w:t>
      </w:r>
      <w:r>
        <w:rPr>
          <w:color w:val="231F20"/>
          <w:spacing w:val="-11"/>
        </w:rPr>
        <w:t>例</w:t>
      </w:r>
      <w:r>
        <w:rPr>
          <w:color w:val="231F20"/>
          <w:spacing w:val="-12"/>
        </w:rPr>
        <w:t>患者死亡，死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亡率占比 </w:t>
      </w:r>
      <w:r>
        <w:rPr>
          <w:sz w:val="20"/>
          <w:szCs w:val="20"/>
          <w:color w:val="231F20"/>
          <w:spacing w:val="7"/>
        </w:rPr>
        <w:t>5%</w:t>
      </w:r>
      <w:r>
        <w:rPr>
          <w:color w:val="231F20"/>
          <w:spacing w:val="7"/>
        </w:rPr>
        <w:t>。与对照组相比，对观察组患者治疗有效率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0"/>
        </w:rPr>
        <w:t>明显提高（</w:t>
      </w:r>
      <w:r>
        <w:rPr>
          <w:sz w:val="20"/>
          <w:szCs w:val="20"/>
          <w:color w:val="231F20"/>
          <w:spacing w:val="-10"/>
        </w:rPr>
        <w:t>P&lt;0.05</w:t>
      </w:r>
      <w:r>
        <w:rPr>
          <w:color w:val="231F20"/>
          <w:spacing w:val="-10"/>
        </w:rPr>
        <w:t>）。 见表 </w:t>
      </w:r>
      <w:r>
        <w:rPr>
          <w:sz w:val="20"/>
          <w:szCs w:val="20"/>
          <w:color w:val="231F20"/>
          <w:spacing w:val="-10"/>
        </w:rPr>
        <w:t>2</w:t>
      </w:r>
      <w:r>
        <w:rPr>
          <w:color w:val="231F20"/>
          <w:spacing w:val="-10"/>
        </w:rPr>
        <w:t>。</w:t>
      </w:r>
    </w:p>
    <w:p>
      <w:pPr>
        <w:pStyle w:val="BodyText"/>
        <w:ind w:left="1521"/>
        <w:spacing w:before="299" w:line="187" w:lineRule="auto"/>
        <w:rPr>
          <w:sz w:val="15"/>
          <w:szCs w:val="15"/>
        </w:rPr>
      </w:pPr>
      <w:r>
        <w:pict>
          <v:shape id="_x0000_s6" style="position:absolute;margin-left:189.7pt;margin-top:16.3845pt;mso-position-vertical-relative:text;mso-position-horizontal-relative:text;width:2.7pt;height:0.2pt;z-index:251658240;" filled="false" strokecolor="#231F20" strokeweight="0.20pt" coordsize="54,4" coordorigin="0,0" path="m0,1l53,1e">
            <v:stroke joinstyle="miter" miterlimit="10"/>
          </v:shape>
        </w:pict>
      </w:r>
      <w:r>
        <w:rPr>
          <w:sz w:val="14"/>
          <w:szCs w:val="14"/>
          <w:color w:val="231F20"/>
          <w:spacing w:val="3"/>
        </w:rPr>
        <w:t>表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1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4"/>
          <w:szCs w:val="14"/>
          <w:color w:val="231F20"/>
          <w:spacing w:val="3"/>
        </w:rPr>
        <w:t>两组患者的临床指标比较</w:t>
      </w:r>
      <w:r>
        <w:rPr>
          <w:sz w:val="15"/>
          <w:szCs w:val="15"/>
          <w:color w:val="231F20"/>
          <w:spacing w:val="3"/>
        </w:rPr>
        <w:t>[</w:t>
      </w:r>
      <w:r>
        <w:rPr>
          <w:sz w:val="14"/>
          <w:szCs w:val="14"/>
          <w:color w:val="231F20"/>
          <w:spacing w:val="3"/>
        </w:rPr>
        <w:t>（</w:t>
      </w:r>
      <w:r>
        <w:rPr>
          <w:sz w:val="15"/>
          <w:szCs w:val="15"/>
          <w:color w:val="231F20"/>
          <w:spacing w:val="3"/>
        </w:rPr>
        <w:t>x</w:t>
      </w:r>
      <w:r>
        <w:rPr>
          <w:sz w:val="15"/>
          <w:szCs w:val="15"/>
          <w:color w:val="231F20"/>
          <w:spacing w:val="3"/>
        </w:rPr>
        <w:t>±s</w:t>
      </w:r>
      <w:r>
        <w:rPr>
          <w:sz w:val="14"/>
          <w:szCs w:val="14"/>
          <w:color w:val="231F20"/>
          <w:spacing w:val="-27"/>
          <w:w w:val="83"/>
        </w:rPr>
        <w:t>），</w:t>
      </w:r>
      <w:r>
        <w:rPr>
          <w:sz w:val="15"/>
          <w:szCs w:val="15"/>
          <w:color w:val="231F20"/>
          <w:spacing w:val="3"/>
        </w:rPr>
        <w:t>h]</w:t>
      </w:r>
    </w:p>
    <w:p>
      <w:pPr>
        <w:spacing w:line="34" w:lineRule="exact"/>
        <w:rPr/>
      </w:pPr>
      <w:r/>
    </w:p>
    <w:tbl>
      <w:tblPr>
        <w:tblStyle w:val="TableNormal"/>
        <w:tblW w:w="4887" w:type="dxa"/>
        <w:tblInd w:w="44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9"/>
        <w:gridCol w:w="1785"/>
        <w:gridCol w:w="1633"/>
      </w:tblGrid>
      <w:tr>
        <w:trPr>
          <w:trHeight w:val="265" w:hRule="atLeast"/>
        </w:trPr>
        <w:tc>
          <w:tcPr>
            <w:tcW w:w="146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5"/>
              <w:spacing w:before="59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组别</w:t>
            </w:r>
          </w:p>
        </w:tc>
        <w:tc>
          <w:tcPr>
            <w:tcW w:w="178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05"/>
              <w:spacing w:before="58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7"/>
              </w:rPr>
              <w:t>血酮转阴时间</w:t>
            </w:r>
          </w:p>
        </w:tc>
        <w:tc>
          <w:tcPr>
            <w:tcW w:w="16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50"/>
              <w:spacing w:before="58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7"/>
              </w:rPr>
              <w:t>尿酮转阴时间</w:t>
            </w:r>
          </w:p>
        </w:tc>
      </w:tr>
      <w:tr>
        <w:trPr>
          <w:trHeight w:val="248" w:hRule="atLeast"/>
        </w:trPr>
        <w:tc>
          <w:tcPr>
            <w:tcW w:w="14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51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对照组（</w:t>
            </w:r>
            <w:r>
              <w:rPr>
                <w:color w:val="231F20"/>
                <w:spacing w:val="-8"/>
              </w:rPr>
              <w:t>n=20</w:t>
            </w:r>
            <w:r>
              <w:rPr>
                <w:sz w:val="14"/>
                <w:szCs w:val="14"/>
                <w:color w:val="231F20"/>
                <w:spacing w:val="-8"/>
              </w:rPr>
              <w:t>）</w:t>
            </w:r>
          </w:p>
        </w:tc>
        <w:tc>
          <w:tcPr>
            <w:tcW w:w="178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1"/>
              <w:spacing w:before="68" w:line="158" w:lineRule="auto"/>
              <w:rPr/>
            </w:pPr>
            <w:r>
              <w:rPr>
                <w:color w:val="231F20"/>
                <w:spacing w:val="-10"/>
              </w:rPr>
              <w:t>30.15±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0"/>
              </w:rPr>
              <w:t>10.52</w:t>
            </w:r>
          </w:p>
        </w:tc>
        <w:tc>
          <w:tcPr>
            <w:tcW w:w="16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6"/>
              <w:spacing w:before="68" w:line="158" w:lineRule="auto"/>
              <w:rPr/>
            </w:pPr>
            <w:r>
              <w:rPr>
                <w:color w:val="231F20"/>
                <w:spacing w:val="-8"/>
              </w:rPr>
              <w:t>30.46±9.8</w:t>
            </w:r>
          </w:p>
        </w:tc>
      </w:tr>
      <w:tr>
        <w:trPr>
          <w:trHeight w:val="246" w:hRule="atLeast"/>
        </w:trPr>
        <w:tc>
          <w:tcPr>
            <w:tcW w:w="1469" w:type="dxa"/>
            <w:vAlign w:val="top"/>
          </w:tcPr>
          <w:p>
            <w:pPr>
              <w:pStyle w:val="TableText"/>
              <w:ind w:left="28"/>
              <w:spacing w:before="53" w:line="1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观察组（</w:t>
            </w:r>
            <w:r>
              <w:rPr>
                <w:color w:val="231F20"/>
                <w:spacing w:val="-8"/>
              </w:rPr>
              <w:t>n=20</w:t>
            </w:r>
            <w:r>
              <w:rPr>
                <w:sz w:val="14"/>
                <w:szCs w:val="14"/>
                <w:color w:val="231F20"/>
                <w:spacing w:val="-8"/>
              </w:rPr>
              <w:t>）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631"/>
              <w:spacing w:before="70" w:line="166" w:lineRule="exact"/>
              <w:rPr/>
            </w:pPr>
            <w:r>
              <w:rPr>
                <w:color w:val="231F20"/>
                <w:spacing w:val="-9"/>
                <w:position w:val="-1"/>
              </w:rPr>
              <w:t>17.68±6.42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476"/>
              <w:spacing w:before="70" w:line="166" w:lineRule="exact"/>
              <w:rPr/>
            </w:pPr>
            <w:r>
              <w:rPr>
                <w:color w:val="231F20"/>
                <w:spacing w:val="-9"/>
                <w:position w:val="-1"/>
              </w:rPr>
              <w:t>17.69±6.21</w:t>
            </w:r>
          </w:p>
        </w:tc>
      </w:tr>
      <w:tr>
        <w:trPr>
          <w:trHeight w:val="241" w:hRule="atLeast"/>
        </w:trPr>
        <w:tc>
          <w:tcPr>
            <w:tcW w:w="1469" w:type="dxa"/>
            <w:vAlign w:val="top"/>
          </w:tcPr>
          <w:p>
            <w:pPr>
              <w:pStyle w:val="TableText"/>
              <w:ind w:left="18"/>
              <w:spacing w:before="56" w:line="163" w:lineRule="auto"/>
              <w:rPr>
                <w:sz w:val="14"/>
                <w:szCs w:val="14"/>
              </w:rPr>
            </w:pPr>
            <w:r>
              <w:rPr>
                <w:color w:val="231F20"/>
                <w:spacing w:val="-5"/>
              </w:rPr>
              <w:t>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值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775"/>
              <w:spacing w:before="73" w:line="158" w:lineRule="exact"/>
              <w:rPr/>
            </w:pPr>
            <w:r>
              <w:rPr>
                <w:color w:val="231F20"/>
                <w:spacing w:val="-9"/>
                <w:position w:val="-1"/>
              </w:rPr>
              <w:t>16.388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619"/>
              <w:spacing w:before="73" w:line="158" w:lineRule="exact"/>
              <w:rPr/>
            </w:pPr>
            <w:r>
              <w:rPr>
                <w:color w:val="231F20"/>
                <w:spacing w:val="-9"/>
                <w:position w:val="-1"/>
              </w:rPr>
              <w:t>16.846</w:t>
            </w:r>
          </w:p>
        </w:tc>
      </w:tr>
      <w:tr>
        <w:trPr>
          <w:trHeight w:val="258" w:hRule="atLeast"/>
        </w:trPr>
        <w:tc>
          <w:tcPr>
            <w:tcW w:w="146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"/>
              <w:spacing w:before="65" w:line="170" w:lineRule="auto"/>
              <w:rPr>
                <w:sz w:val="14"/>
                <w:szCs w:val="14"/>
              </w:rPr>
            </w:pPr>
            <w:r>
              <w:rPr>
                <w:color w:val="231F20"/>
                <w:spacing w:val="5"/>
              </w:rPr>
              <w:t>P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值</w:t>
            </w:r>
          </w:p>
        </w:tc>
        <w:tc>
          <w:tcPr>
            <w:tcW w:w="178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99"/>
              <w:spacing w:before="82" w:line="166" w:lineRule="exact"/>
              <w:rPr/>
            </w:pPr>
            <w:r>
              <w:rPr>
                <w:color w:val="231F20"/>
                <w:spacing w:val="-9"/>
                <w:position w:val="-1"/>
              </w:rPr>
              <w:t>&lt;0.05</w:t>
            </w:r>
          </w:p>
        </w:tc>
        <w:tc>
          <w:tcPr>
            <w:tcW w:w="163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43"/>
              <w:spacing w:before="82" w:line="166" w:lineRule="exact"/>
              <w:rPr/>
            </w:pPr>
            <w:r>
              <w:rPr>
                <w:color w:val="231F20"/>
                <w:spacing w:val="-9"/>
                <w:position w:val="-1"/>
              </w:rPr>
              <w:t>&lt;0.05</w:t>
            </w:r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48"/>
        <w:spacing w:before="87" w:line="194" w:lineRule="auto"/>
        <w:rPr/>
      </w:pPr>
      <w:r>
        <w:rPr>
          <w:sz w:val="20"/>
          <w:szCs w:val="20"/>
          <w:color w:val="231F20"/>
          <w:spacing w:val="3"/>
        </w:rPr>
        <w:t>3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color w:val="231F20"/>
          <w:spacing w:val="3"/>
        </w:rPr>
        <w:t>讨论</w:t>
      </w:r>
    </w:p>
    <w:p>
      <w:pPr>
        <w:pStyle w:val="BodyText"/>
        <w:ind w:left="881"/>
        <w:spacing w:before="38" w:line="180" w:lineRule="auto"/>
        <w:rPr/>
      </w:pPr>
      <w:r>
        <w:rPr>
          <w:color w:val="231F20"/>
          <w:spacing w:val="13"/>
        </w:rPr>
        <w:t>随着我国经济水平的提高，人们的物质生活水平也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96"/>
        <w:spacing w:before="44" w:line="185" w:lineRule="auto"/>
        <w:outlineLvl w:val="1"/>
        <w:rPr>
          <w:sz w:val="15"/>
          <w:szCs w:val="15"/>
        </w:rPr>
      </w:pPr>
      <w:r>
        <w:rPr>
          <w:sz w:val="14"/>
          <w:szCs w:val="14"/>
          <w:color w:val="231F20"/>
          <w:spacing w:val="5"/>
        </w:rPr>
        <w:t>表 </w:t>
      </w:r>
      <w:r>
        <w:rPr>
          <w:sz w:val="15"/>
          <w:szCs w:val="15"/>
          <w:color w:val="231F20"/>
          <w:spacing w:val="5"/>
        </w:rPr>
        <w:t>2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4"/>
          <w:szCs w:val="14"/>
          <w:color w:val="231F20"/>
          <w:spacing w:val="5"/>
        </w:rPr>
        <w:t>两组患者治疗前后下效果比较</w:t>
      </w:r>
      <w:r>
        <w:rPr>
          <w:sz w:val="15"/>
          <w:szCs w:val="15"/>
          <w:color w:val="231F20"/>
          <w:spacing w:val="5"/>
        </w:rPr>
        <w:t>[n</w:t>
      </w:r>
      <w:r>
        <w:rPr>
          <w:sz w:val="14"/>
          <w:szCs w:val="14"/>
          <w:color w:val="231F20"/>
          <w:spacing w:val="5"/>
        </w:rPr>
        <w:t>（</w:t>
      </w:r>
      <w:r>
        <w:rPr>
          <w:sz w:val="15"/>
          <w:szCs w:val="15"/>
          <w:color w:val="231F20"/>
          <w:spacing w:val="5"/>
        </w:rPr>
        <w:t>%</w:t>
      </w:r>
      <w:r>
        <w:rPr>
          <w:sz w:val="14"/>
          <w:szCs w:val="14"/>
          <w:color w:val="231F20"/>
          <w:spacing w:val="5"/>
        </w:rPr>
        <w:t>）</w:t>
      </w:r>
      <w:r>
        <w:rPr>
          <w:sz w:val="15"/>
          <w:szCs w:val="15"/>
          <w:color w:val="231F20"/>
          <w:spacing w:val="5"/>
        </w:rPr>
        <w:t>]</w:t>
      </w:r>
    </w:p>
    <w:tbl>
      <w:tblPr>
        <w:tblStyle w:val="TableNormal"/>
        <w:tblW w:w="4889" w:type="dxa"/>
        <w:tblInd w:w="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45"/>
        <w:gridCol w:w="549"/>
        <w:gridCol w:w="1367"/>
        <w:gridCol w:w="1322"/>
        <w:gridCol w:w="1106"/>
      </w:tblGrid>
      <w:tr>
        <w:trPr>
          <w:trHeight w:val="263" w:hRule="atLeast"/>
        </w:trPr>
        <w:tc>
          <w:tcPr>
            <w:tcW w:w="54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"/>
              <w:spacing w:before="60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组别</w:t>
            </w:r>
          </w:p>
        </w:tc>
        <w:tc>
          <w:tcPr>
            <w:tcW w:w="54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60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例数</w:t>
            </w:r>
          </w:p>
        </w:tc>
        <w:tc>
          <w:tcPr>
            <w:tcW w:w="136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5"/>
              <w:spacing w:before="59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7"/>
              </w:rPr>
              <w:t>治疗后有效率</w:t>
            </w:r>
          </w:p>
        </w:tc>
        <w:tc>
          <w:tcPr>
            <w:tcW w:w="132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2"/>
              <w:spacing w:before="59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6"/>
              </w:rPr>
              <w:t>治疗无效率</w:t>
            </w:r>
          </w:p>
        </w:tc>
        <w:tc>
          <w:tcPr>
            <w:tcW w:w="110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2"/>
              <w:spacing w:before="59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死亡率</w:t>
            </w:r>
          </w:p>
        </w:tc>
      </w:tr>
      <w:tr>
        <w:trPr>
          <w:trHeight w:val="246" w:hRule="atLeast"/>
        </w:trPr>
        <w:tc>
          <w:tcPr>
            <w:tcW w:w="5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"/>
              <w:spacing w:before="54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对照组</w:t>
            </w:r>
          </w:p>
        </w:tc>
        <w:tc>
          <w:tcPr>
            <w:tcW w:w="5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4"/>
              <w:spacing w:before="71" w:line="164" w:lineRule="exact"/>
              <w:rPr/>
            </w:pPr>
            <w:r>
              <w:rPr>
                <w:color w:val="231F20"/>
                <w:spacing w:val="-6"/>
                <w:position w:val="-1"/>
              </w:rPr>
              <w:t>20</w:t>
            </w:r>
          </w:p>
        </w:tc>
        <w:tc>
          <w:tcPr>
            <w:tcW w:w="13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3"/>
              <w:spacing w:before="69" w:line="166" w:lineRule="exact"/>
              <w:rPr>
                <w:sz w:val="14"/>
                <w:szCs w:val="14"/>
              </w:rPr>
            </w:pPr>
            <w:r>
              <w:rPr>
                <w:color w:val="231F20"/>
                <w:spacing w:val="-19"/>
              </w:rPr>
              <w:t>11</w:t>
            </w:r>
            <w:r>
              <w:rPr>
                <w:sz w:val="14"/>
                <w:szCs w:val="14"/>
                <w:color w:val="231F20"/>
                <w:spacing w:val="-19"/>
              </w:rPr>
              <w:t>（</w:t>
            </w:r>
            <w:r>
              <w:rPr>
                <w:color w:val="231F20"/>
                <w:spacing w:val="-19"/>
              </w:rPr>
              <w:t>55</w:t>
            </w:r>
            <w:r>
              <w:rPr>
                <w:sz w:val="14"/>
                <w:szCs w:val="14"/>
                <w:color w:val="231F20"/>
                <w:spacing w:val="-19"/>
              </w:rPr>
              <w:t>）</w:t>
            </w:r>
          </w:p>
        </w:tc>
        <w:tc>
          <w:tcPr>
            <w:tcW w:w="13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7"/>
              <w:spacing w:before="69" w:line="166" w:lineRule="exact"/>
              <w:rPr>
                <w:sz w:val="14"/>
                <w:szCs w:val="14"/>
              </w:rPr>
            </w:pPr>
            <w:r>
              <w:rPr>
                <w:color w:val="231F20"/>
                <w:spacing w:val="-18"/>
              </w:rPr>
              <w:t>7</w:t>
            </w:r>
            <w:r>
              <w:rPr>
                <w:sz w:val="14"/>
                <w:szCs w:val="14"/>
                <w:color w:val="231F20"/>
                <w:spacing w:val="-18"/>
              </w:rPr>
              <w:t>（</w:t>
            </w:r>
            <w:r>
              <w:rPr>
                <w:color w:val="231F20"/>
                <w:spacing w:val="-18"/>
              </w:rPr>
              <w:t>35</w:t>
            </w:r>
            <w:r>
              <w:rPr>
                <w:sz w:val="14"/>
                <w:szCs w:val="14"/>
                <w:color w:val="231F20"/>
                <w:spacing w:val="-18"/>
              </w:rPr>
              <w:t>）</w:t>
            </w:r>
          </w:p>
        </w:tc>
        <w:tc>
          <w:tcPr>
            <w:tcW w:w="11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9"/>
              <w:spacing w:before="69" w:line="166" w:lineRule="exact"/>
              <w:rPr>
                <w:sz w:val="14"/>
                <w:szCs w:val="14"/>
              </w:rPr>
            </w:pPr>
            <w:r>
              <w:rPr>
                <w:color w:val="231F20"/>
                <w:spacing w:val="-19"/>
              </w:rPr>
              <w:t>2</w:t>
            </w:r>
            <w:r>
              <w:rPr>
                <w:sz w:val="14"/>
                <w:szCs w:val="14"/>
                <w:color w:val="231F20"/>
                <w:spacing w:val="-19"/>
              </w:rPr>
              <w:t>（</w:t>
            </w:r>
            <w:r>
              <w:rPr>
                <w:color w:val="231F20"/>
                <w:spacing w:val="-19"/>
              </w:rPr>
              <w:t>10</w:t>
            </w:r>
            <w:r>
              <w:rPr>
                <w:sz w:val="14"/>
                <w:szCs w:val="14"/>
                <w:color w:val="231F20"/>
                <w:spacing w:val="-19"/>
              </w:rPr>
              <w:t>）</w:t>
            </w:r>
          </w:p>
        </w:tc>
      </w:tr>
      <w:tr>
        <w:trPr>
          <w:trHeight w:val="251" w:hRule="atLeast"/>
        </w:trPr>
        <w:tc>
          <w:tcPr>
            <w:tcW w:w="54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"/>
              <w:spacing w:before="58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观察组</w:t>
            </w:r>
          </w:p>
        </w:tc>
        <w:tc>
          <w:tcPr>
            <w:tcW w:w="54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4"/>
              <w:spacing w:before="75" w:line="165" w:lineRule="exact"/>
              <w:rPr/>
            </w:pPr>
            <w:r>
              <w:rPr>
                <w:color w:val="231F20"/>
                <w:spacing w:val="-6"/>
                <w:position w:val="-1"/>
              </w:rPr>
              <w:t>20</w:t>
            </w:r>
          </w:p>
        </w:tc>
        <w:tc>
          <w:tcPr>
            <w:tcW w:w="136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33"/>
              <w:spacing w:before="74" w:line="166" w:lineRule="exact"/>
              <w:rPr>
                <w:sz w:val="14"/>
                <w:szCs w:val="14"/>
              </w:rPr>
            </w:pPr>
            <w:r>
              <w:rPr>
                <w:color w:val="231F20"/>
                <w:spacing w:val="-19"/>
              </w:rPr>
              <w:t>18</w:t>
            </w:r>
            <w:r>
              <w:rPr>
                <w:sz w:val="14"/>
                <w:szCs w:val="14"/>
                <w:color w:val="231F20"/>
                <w:spacing w:val="-19"/>
              </w:rPr>
              <w:t>（</w:t>
            </w:r>
            <w:r>
              <w:rPr>
                <w:color w:val="231F20"/>
                <w:spacing w:val="-19"/>
              </w:rPr>
              <w:t>90</w:t>
            </w:r>
            <w:r>
              <w:rPr>
                <w:sz w:val="14"/>
                <w:szCs w:val="14"/>
                <w:color w:val="231F20"/>
                <w:spacing w:val="-19"/>
              </w:rPr>
              <w:t>）</w:t>
            </w:r>
          </w:p>
        </w:tc>
        <w:tc>
          <w:tcPr>
            <w:tcW w:w="132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92"/>
              <w:spacing w:before="74" w:line="166" w:lineRule="exact"/>
              <w:rPr>
                <w:sz w:val="14"/>
                <w:szCs w:val="14"/>
              </w:rPr>
            </w:pPr>
            <w:r>
              <w:rPr>
                <w:color w:val="231F20"/>
                <w:spacing w:val="-24"/>
              </w:rPr>
              <w:t>1</w:t>
            </w:r>
            <w:r>
              <w:rPr>
                <w:sz w:val="14"/>
                <w:szCs w:val="14"/>
                <w:color w:val="231F20"/>
                <w:spacing w:val="-24"/>
              </w:rPr>
              <w:t>（</w:t>
            </w:r>
            <w:r>
              <w:rPr>
                <w:color w:val="231F20"/>
                <w:spacing w:val="-24"/>
              </w:rPr>
              <w:t>5</w:t>
            </w:r>
            <w:r>
              <w:rPr>
                <w:sz w:val="14"/>
                <w:szCs w:val="14"/>
                <w:color w:val="231F20"/>
                <w:spacing w:val="-24"/>
              </w:rPr>
              <w:t>）</w:t>
            </w:r>
          </w:p>
        </w:tc>
        <w:tc>
          <w:tcPr>
            <w:tcW w:w="110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93"/>
              <w:spacing w:before="74" w:line="166" w:lineRule="exact"/>
              <w:rPr>
                <w:sz w:val="14"/>
                <w:szCs w:val="14"/>
              </w:rPr>
            </w:pPr>
            <w:r>
              <w:rPr>
                <w:color w:val="231F20"/>
                <w:spacing w:val="-24"/>
              </w:rPr>
              <w:t>1</w:t>
            </w:r>
            <w:r>
              <w:rPr>
                <w:sz w:val="14"/>
                <w:szCs w:val="14"/>
                <w:color w:val="231F20"/>
                <w:spacing w:val="-24"/>
              </w:rPr>
              <w:t>（</w:t>
            </w:r>
            <w:r>
              <w:rPr>
                <w:color w:val="231F20"/>
                <w:spacing w:val="-24"/>
              </w:rPr>
              <w:t>5</w:t>
            </w:r>
            <w:r>
              <w:rPr>
                <w:sz w:val="14"/>
                <w:szCs w:val="14"/>
                <w:color w:val="231F20"/>
                <w:spacing w:val="-24"/>
              </w:rPr>
              <w:t>）</w:t>
            </w:r>
          </w:p>
        </w:tc>
      </w:tr>
    </w:tbl>
    <w:p>
      <w:pPr>
        <w:pStyle w:val="BodyText"/>
        <w:ind w:firstLine="2"/>
        <w:spacing w:before="184" w:line="241" w:lineRule="auto"/>
        <w:jc w:val="both"/>
        <w:rPr/>
      </w:pPr>
      <w:r>
        <w:rPr>
          <w:color w:val="231F20"/>
          <w:spacing w:val="11"/>
        </w:rPr>
        <w:t>相对的提高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1"/>
        </w:rPr>
        <w:t>，生活方式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、饮食结构也随之而改变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1"/>
        </w:rPr>
        <w:t>，这也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导致了糖尿病的发病率持续上升，因此糖尿病酮症酸中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4"/>
        </w:rPr>
        <w:t>毒的患病率也呈上升状态。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14"/>
        </w:rPr>
        <w:t>患者的病情转化迅速，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5"/>
        </w:rPr>
        <w:t>如果不及时给予有效的急救措施就会并发心肌梗死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5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败血症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、肾衰等严重并发症，死亡率高</w:t>
      </w:r>
      <w:r>
        <w:rPr>
          <w:sz w:val="11"/>
          <w:szCs w:val="11"/>
          <w:color w:val="231F20"/>
          <w:spacing w:val="6"/>
          <w:position w:val="7"/>
        </w:rPr>
        <w:t>[3]</w:t>
      </w:r>
      <w:r>
        <w:rPr>
          <w:sz w:val="11"/>
          <w:szCs w:val="11"/>
          <w:color w:val="231F20"/>
          <w:spacing w:val="-8"/>
          <w:position w:val="7"/>
        </w:rPr>
        <w:t xml:space="preserve"> </w:t>
      </w:r>
      <w:r>
        <w:rPr>
          <w:color w:val="231F20"/>
          <w:spacing w:val="6"/>
        </w:rPr>
        <w:t>。治疗时</w:t>
      </w:r>
      <w:r>
        <w:rPr>
          <w:color w:val="231F20"/>
          <w:spacing w:val="5"/>
        </w:rPr>
        <w:t>，应用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胰岛素治疗是关键的抢救措施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2"/>
        </w:rPr>
        <w:t>。小剂量胰岛素治疗通</w:t>
      </w:r>
      <w:r>
        <w:rPr>
          <w:color w:val="231F20"/>
        </w:rPr>
        <w:t xml:space="preserve">  </w:t>
      </w:r>
      <w:r>
        <w:rPr>
          <w:color w:val="231F20"/>
          <w:spacing w:val="23"/>
        </w:rPr>
        <w:t>过应用短效胰岛素加入生理盐水中持续静脉滴入或泵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3"/>
        </w:rPr>
        <w:t>入，以达到血糖快速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、稳定下降而又不易发生低血糖的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效果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，同时还能抑制脂肪分解和酮体产生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4"/>
        </w:rPr>
        <w:t>，对</w:t>
      </w:r>
      <w:r>
        <w:rPr>
          <w:color w:val="231F20"/>
          <w:spacing w:val="22"/>
        </w:rPr>
        <w:t xml:space="preserve">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14"/>
        </w:rPr>
        <w:t>患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者具有一定治疗作用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。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8"/>
        </w:rPr>
        <w:t>患者常出现严重脱水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、休克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和昏迷。昏迷前常见多尿、烦渴、恶心、呕吐和</w:t>
      </w:r>
      <w:r>
        <w:rPr>
          <w:color w:val="231F20"/>
          <w:spacing w:val="-2"/>
        </w:rPr>
        <w:t>腹痛。腹痛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可能是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10"/>
        </w:rPr>
        <w:t>患者的重要体征，大多数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10"/>
        </w:rPr>
        <w:t>患者严</w:t>
      </w:r>
      <w:r>
        <w:rPr>
          <w:color w:val="231F20"/>
          <w:spacing w:val="9"/>
        </w:rPr>
        <w:t>重代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谢性紊乱纠正后腹痛可缓解。昏迷患者，出现深快呼吸，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5"/>
        </w:rPr>
        <w:t>并且呼出气有烂苹果味时，常为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color w:val="231F20"/>
          <w:spacing w:val="15"/>
        </w:rPr>
        <w:t>特征性表现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。如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呼吸深慢，应注意严重酸中毒引起呼吸抑制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。有些患者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可出现短暂性偏瘫、面颊部皮肤发红和深部腱反射减低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合并感染时体温升高；体温降低时提示严重脱水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、循环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衰竭或合并脓毒症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。争取将糖尿病酮症酸中毒再次发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生的因素概率降至最低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2"/>
        </w:rPr>
        <w:t>，向患者普及糖尿病酮症酸中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毒治疗的重大意义</w:t>
      </w:r>
      <w:r>
        <w:rPr>
          <w:sz w:val="11"/>
          <w:szCs w:val="11"/>
          <w:color w:val="231F20"/>
          <w:spacing w:val="13"/>
          <w:position w:val="7"/>
        </w:rPr>
        <w:t>[4]</w:t>
      </w:r>
      <w:r>
        <w:rPr>
          <w:sz w:val="11"/>
          <w:szCs w:val="11"/>
          <w:color w:val="231F20"/>
          <w:spacing w:val="5"/>
          <w:position w:val="7"/>
        </w:rPr>
        <w:t xml:space="preserve"> </w:t>
      </w:r>
      <w:r>
        <w:rPr>
          <w:color w:val="231F20"/>
          <w:spacing w:val="13"/>
        </w:rPr>
        <w:t>。更加关注患者的机体情况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3"/>
        </w:rPr>
        <w:t>、治疗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效果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。为患者提供用药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、饮食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、运动等护理服务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。这时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可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正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急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诊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糖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酮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酸 中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毒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患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对 自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身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症 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认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知，提高患者的依从性，对于提高临床效果也有积极的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"/>
          <w:position w:val="-2"/>
        </w:rPr>
        <w:t>影响</w:t>
      </w:r>
      <w:r>
        <w:rPr>
          <w:sz w:val="11"/>
          <w:szCs w:val="11"/>
          <w:color w:val="231F20"/>
          <w:spacing w:val="1"/>
          <w:position w:val="5"/>
        </w:rPr>
        <w:t>[5]</w:t>
      </w:r>
      <w:r>
        <w:rPr>
          <w:color w:val="231F20"/>
          <w:spacing w:val="1"/>
          <w:position w:val="-2"/>
        </w:rPr>
        <w:t>。</w:t>
      </w:r>
    </w:p>
    <w:p>
      <w:pPr>
        <w:pStyle w:val="BodyText"/>
        <w:ind w:left="3" w:right="79" w:firstLine="425"/>
        <w:spacing w:before="2" w:line="233" w:lineRule="auto"/>
        <w:jc w:val="both"/>
        <w:rPr/>
      </w:pPr>
      <w:r>
        <w:rPr>
          <w:color w:val="231F20"/>
          <w:spacing w:val="11"/>
        </w:rPr>
        <w:t>综上所述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，在急诊</w:t>
      </w:r>
      <w:r>
        <w:rPr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</w:rPr>
        <w:t>KDA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患者治疗中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1"/>
        </w:rPr>
        <w:t>，开展针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对性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治疗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4"/>
        </w:rPr>
        <w:t>，提高了对</w:t>
      </w:r>
      <w:r>
        <w:rPr>
          <w:color w:val="231F20"/>
          <w:spacing w:val="21"/>
        </w:rPr>
        <w:t xml:space="preserve"> </w:t>
      </w:r>
      <w:r>
        <w:rPr>
          <w:sz w:val="20"/>
          <w:szCs w:val="20"/>
          <w:color w:val="231F20"/>
        </w:rPr>
        <w:t>DKA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14"/>
        </w:rPr>
        <w:t>患者的急救效果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，具有临床应用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价值，值得推广。</w:t>
      </w:r>
    </w:p>
    <w:p>
      <w:pPr>
        <w:pStyle w:val="BodyText"/>
        <w:ind w:left="2032"/>
        <w:spacing w:before="1" w:line="18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[</w:t>
      </w:r>
      <w:r>
        <w:rPr>
          <w:sz w:val="17"/>
          <w:szCs w:val="17"/>
          <w:color w:val="231F20"/>
          <w:spacing w:val="8"/>
        </w:rPr>
        <w:t>参考文献</w:t>
      </w:r>
      <w:r>
        <w:rPr>
          <w:sz w:val="18"/>
          <w:szCs w:val="18"/>
          <w:color w:val="231F20"/>
          <w:spacing w:val="8"/>
        </w:rPr>
        <w:t>]</w:t>
      </w:r>
    </w:p>
    <w:p>
      <w:pPr>
        <w:pStyle w:val="BodyText"/>
        <w:ind w:left="321" w:right="81" w:hanging="320"/>
        <w:spacing w:before="67" w:line="21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[1]  </w:t>
      </w:r>
      <w:r>
        <w:rPr>
          <w:sz w:val="17"/>
          <w:szCs w:val="17"/>
          <w:color w:val="231F20"/>
          <w:spacing w:val="16"/>
        </w:rPr>
        <w:t>谭拥军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7"/>
          <w:szCs w:val="17"/>
          <w:color w:val="231F20"/>
          <w:spacing w:val="16"/>
        </w:rPr>
        <w:t>急诊糖尿病酮症酸中毒的急诊急救对策</w:t>
      </w:r>
      <w:r>
        <w:rPr>
          <w:sz w:val="18"/>
          <w:szCs w:val="18"/>
          <w:color w:val="231F20"/>
          <w:spacing w:val="16"/>
        </w:rPr>
        <w:t>[J].</w:t>
      </w:r>
      <w:r>
        <w:rPr>
          <w:sz w:val="17"/>
          <w:szCs w:val="17"/>
          <w:color w:val="231F20"/>
          <w:spacing w:val="16"/>
        </w:rPr>
        <w:t>糖尿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5"/>
        </w:rPr>
        <w:t>病新世界，</w:t>
      </w:r>
      <w:r>
        <w:rPr>
          <w:sz w:val="18"/>
          <w:szCs w:val="18"/>
          <w:color w:val="231F20"/>
          <w:spacing w:val="-15"/>
        </w:rPr>
        <w:t>2017</w:t>
      </w:r>
      <w:r>
        <w:rPr>
          <w:sz w:val="17"/>
          <w:szCs w:val="17"/>
          <w:color w:val="231F20"/>
          <w:spacing w:val="-15"/>
        </w:rPr>
        <w:t>，</w:t>
      </w:r>
      <w:r>
        <w:rPr>
          <w:sz w:val="18"/>
          <w:szCs w:val="18"/>
          <w:color w:val="231F20"/>
          <w:spacing w:val="-15"/>
        </w:rPr>
        <w:t>20</w:t>
      </w:r>
      <w:r>
        <w:rPr>
          <w:sz w:val="17"/>
          <w:szCs w:val="17"/>
          <w:color w:val="231F20"/>
          <w:spacing w:val="-15"/>
        </w:rPr>
        <w:t>（</w:t>
      </w:r>
      <w:r>
        <w:rPr>
          <w:sz w:val="18"/>
          <w:szCs w:val="18"/>
          <w:color w:val="231F20"/>
          <w:spacing w:val="-15"/>
        </w:rPr>
        <w:t>9</w:t>
      </w:r>
      <w:r>
        <w:rPr>
          <w:sz w:val="17"/>
          <w:szCs w:val="17"/>
          <w:color w:val="231F20"/>
          <w:spacing w:val="-15"/>
        </w:rPr>
        <w:t>）</w:t>
      </w:r>
      <w:r>
        <w:rPr>
          <w:sz w:val="18"/>
          <w:szCs w:val="18"/>
          <w:color w:val="231F20"/>
          <w:spacing w:val="-15"/>
        </w:rPr>
        <w:t>:32-</w:t>
      </w:r>
      <w:r>
        <w:rPr>
          <w:sz w:val="18"/>
          <w:szCs w:val="18"/>
          <w:color w:val="231F20"/>
          <w:spacing w:val="-16"/>
        </w:rPr>
        <w:t>33.</w:t>
      </w:r>
    </w:p>
    <w:p>
      <w:pPr>
        <w:pStyle w:val="BodyText"/>
        <w:ind w:left="323" w:right="81" w:hanging="322"/>
        <w:spacing w:before="59" w:line="21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[2]  </w:t>
      </w:r>
      <w:r>
        <w:rPr>
          <w:sz w:val="17"/>
          <w:szCs w:val="17"/>
          <w:color w:val="231F20"/>
          <w:spacing w:val="16"/>
        </w:rPr>
        <w:t>高欣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7"/>
          <w:szCs w:val="17"/>
          <w:color w:val="231F20"/>
          <w:spacing w:val="16"/>
        </w:rPr>
        <w:t>糖尿病低血糖患者昏迷的急诊救治措施研究</w:t>
      </w:r>
      <w:r>
        <w:rPr>
          <w:sz w:val="18"/>
          <w:szCs w:val="18"/>
          <w:color w:val="231F20"/>
          <w:spacing w:val="16"/>
        </w:rPr>
        <w:t>[J].</w:t>
      </w:r>
      <w:r>
        <w:rPr>
          <w:sz w:val="17"/>
          <w:szCs w:val="17"/>
          <w:color w:val="231F20"/>
          <w:spacing w:val="16"/>
        </w:rPr>
        <w:t>糖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4"/>
        </w:rPr>
        <w:t>尿病新世界，</w:t>
      </w:r>
      <w:r>
        <w:rPr>
          <w:sz w:val="18"/>
          <w:szCs w:val="18"/>
          <w:color w:val="231F20"/>
          <w:spacing w:val="-14"/>
        </w:rPr>
        <w:t>2018</w:t>
      </w:r>
      <w:r>
        <w:rPr>
          <w:sz w:val="17"/>
          <w:szCs w:val="17"/>
          <w:color w:val="231F20"/>
          <w:spacing w:val="-14"/>
        </w:rPr>
        <w:t>，</w:t>
      </w:r>
      <w:r>
        <w:rPr>
          <w:sz w:val="18"/>
          <w:szCs w:val="18"/>
          <w:color w:val="231F20"/>
          <w:spacing w:val="-14"/>
        </w:rPr>
        <w:t>21</w:t>
      </w:r>
      <w:r>
        <w:rPr>
          <w:sz w:val="17"/>
          <w:szCs w:val="17"/>
          <w:color w:val="231F20"/>
          <w:spacing w:val="-14"/>
        </w:rPr>
        <w:t>（</w:t>
      </w:r>
      <w:r>
        <w:rPr>
          <w:sz w:val="18"/>
          <w:szCs w:val="18"/>
          <w:color w:val="231F20"/>
          <w:spacing w:val="-14"/>
        </w:rPr>
        <w:t>5</w:t>
      </w:r>
      <w:r>
        <w:rPr>
          <w:sz w:val="17"/>
          <w:szCs w:val="17"/>
          <w:color w:val="231F20"/>
          <w:spacing w:val="-14"/>
        </w:rPr>
        <w:t>）</w:t>
      </w:r>
      <w:r>
        <w:rPr>
          <w:sz w:val="18"/>
          <w:szCs w:val="18"/>
          <w:color w:val="231F20"/>
          <w:spacing w:val="-14"/>
        </w:rPr>
        <w:t>:179-180.</w:t>
      </w:r>
    </w:p>
    <w:p>
      <w:pPr>
        <w:pStyle w:val="BodyText"/>
        <w:ind w:left="317" w:right="74" w:hanging="316"/>
        <w:spacing w:before="61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[3]  </w:t>
      </w:r>
      <w:r>
        <w:rPr>
          <w:sz w:val="17"/>
          <w:szCs w:val="17"/>
          <w:color w:val="231F20"/>
          <w:spacing w:val="15"/>
        </w:rPr>
        <w:t>王丹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7"/>
          <w:szCs w:val="17"/>
          <w:color w:val="231F20"/>
          <w:spacing w:val="15"/>
        </w:rPr>
        <w:t>王玲玲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7"/>
          <w:szCs w:val="17"/>
          <w:color w:val="231F20"/>
          <w:spacing w:val="15"/>
        </w:rPr>
        <w:t>朱传英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7"/>
          <w:szCs w:val="17"/>
          <w:color w:val="231F20"/>
          <w:spacing w:val="15"/>
        </w:rPr>
        <w:t>等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7"/>
          <w:szCs w:val="17"/>
          <w:color w:val="231F20"/>
          <w:spacing w:val="15"/>
        </w:rPr>
        <w:t>一</w:t>
      </w:r>
      <w:r>
        <w:rPr>
          <w:sz w:val="17"/>
          <w:szCs w:val="17"/>
          <w:color w:val="231F20"/>
          <w:spacing w:val="14"/>
        </w:rPr>
        <w:t>体化急救护理模式在糖尿病酮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5"/>
        </w:rPr>
        <w:t>症酸中毒患者中的应用效果</w:t>
      </w:r>
      <w:r>
        <w:rPr>
          <w:sz w:val="18"/>
          <w:szCs w:val="18"/>
          <w:color w:val="231F20"/>
          <w:spacing w:val="15"/>
        </w:rPr>
        <w:t>[J].</w:t>
      </w:r>
      <w:r>
        <w:rPr>
          <w:sz w:val="17"/>
          <w:szCs w:val="17"/>
          <w:color w:val="231F20"/>
          <w:spacing w:val="15"/>
        </w:rPr>
        <w:t>中华现代护理杂志</w:t>
      </w:r>
      <w:r>
        <w:rPr>
          <w:sz w:val="18"/>
          <w:szCs w:val="18"/>
          <w:color w:val="231F20"/>
          <w:spacing w:val="15"/>
        </w:rPr>
        <w:t>,2017,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8"/>
        </w:rPr>
        <w:t>23(24):3150-3152.</w:t>
      </w:r>
    </w:p>
    <w:p>
      <w:pPr>
        <w:pStyle w:val="BodyText"/>
        <w:ind w:left="1"/>
        <w:spacing w:before="62" w:line="19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[4]  </w:t>
      </w:r>
      <w:r>
        <w:rPr>
          <w:sz w:val="17"/>
          <w:szCs w:val="17"/>
          <w:color w:val="231F20"/>
          <w:spacing w:val="11"/>
        </w:rPr>
        <w:t>林财威，张磊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7"/>
          <w:szCs w:val="17"/>
          <w:color w:val="231F20"/>
          <w:spacing w:val="11"/>
        </w:rPr>
        <w:t>糖尿病酮症酸中毒并发休克的液体复苏</w:t>
      </w:r>
      <w:r>
        <w:rPr>
          <w:sz w:val="18"/>
          <w:szCs w:val="18"/>
          <w:color w:val="231F20"/>
          <w:spacing w:val="11"/>
        </w:rPr>
        <w:t>[J].</w:t>
      </w:r>
    </w:p>
    <w:p>
      <w:pPr>
        <w:pStyle w:val="BodyText"/>
        <w:ind w:left="340"/>
        <w:spacing w:before="61" w:line="192" w:lineRule="auto"/>
        <w:rPr>
          <w:sz w:val="18"/>
          <w:szCs w:val="18"/>
        </w:rPr>
      </w:pPr>
      <w:r>
        <w:rPr>
          <w:sz w:val="17"/>
          <w:szCs w:val="17"/>
          <w:color w:val="231F20"/>
          <w:spacing w:val="-5"/>
        </w:rPr>
        <w:t>中国临床医生杂志，</w:t>
      </w:r>
      <w:r>
        <w:rPr>
          <w:sz w:val="18"/>
          <w:szCs w:val="18"/>
          <w:color w:val="231F20"/>
          <w:spacing w:val="-5"/>
        </w:rPr>
        <w:t>2017</w:t>
      </w:r>
      <w:r>
        <w:rPr>
          <w:sz w:val="17"/>
          <w:szCs w:val="17"/>
          <w:color w:val="231F20"/>
          <w:spacing w:val="-5"/>
        </w:rPr>
        <w:t>，</w:t>
      </w:r>
      <w:r>
        <w:rPr>
          <w:sz w:val="18"/>
          <w:szCs w:val="18"/>
          <w:color w:val="231F20"/>
          <w:spacing w:val="-5"/>
        </w:rPr>
        <w:t>45(1):15-</w:t>
      </w:r>
      <w:r>
        <w:rPr>
          <w:sz w:val="18"/>
          <w:szCs w:val="18"/>
          <w:color w:val="231F20"/>
          <w:spacing w:val="-6"/>
        </w:rPr>
        <w:t>18.</w:t>
      </w:r>
    </w:p>
    <w:p>
      <w:pPr>
        <w:pStyle w:val="BodyText"/>
        <w:ind w:left="1"/>
        <w:spacing w:before="60" w:line="192" w:lineRule="auto"/>
        <w:rPr>
          <w:sz w:val="17"/>
          <w:szCs w:val="17"/>
        </w:rPr>
      </w:pPr>
      <w:r>
        <w:rPr>
          <w:sz w:val="18"/>
          <w:szCs w:val="18"/>
          <w:color w:val="231F20"/>
          <w:spacing w:val="15"/>
        </w:rPr>
        <w:t>[5]  </w:t>
      </w:r>
      <w:r>
        <w:rPr>
          <w:sz w:val="17"/>
          <w:szCs w:val="17"/>
          <w:color w:val="231F20"/>
          <w:spacing w:val="15"/>
        </w:rPr>
        <w:t>周秀燕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7"/>
          <w:szCs w:val="17"/>
          <w:color w:val="231F20"/>
          <w:spacing w:val="15"/>
        </w:rPr>
        <w:t>急诊糖尿病酮症酸中毒患者开展综合护理干预对</w:t>
      </w:r>
    </w:p>
    <w:p>
      <w:pPr>
        <w:pStyle w:val="BodyText"/>
        <w:ind w:left="321"/>
        <w:spacing w:before="61" w:line="192" w:lineRule="auto"/>
        <w:rPr>
          <w:sz w:val="18"/>
          <w:szCs w:val="18"/>
        </w:rPr>
      </w:pPr>
      <w:r>
        <w:rPr>
          <w:sz w:val="17"/>
          <w:szCs w:val="17"/>
          <w:color w:val="231F20"/>
          <w:spacing w:val="-6"/>
        </w:rPr>
        <w:t>其治疗效果的影响</w:t>
      </w:r>
      <w:r>
        <w:rPr>
          <w:sz w:val="18"/>
          <w:szCs w:val="18"/>
          <w:color w:val="231F20"/>
          <w:spacing w:val="-6"/>
        </w:rPr>
        <w:t>[J].</w:t>
      </w:r>
      <w:r>
        <w:rPr>
          <w:sz w:val="17"/>
          <w:szCs w:val="17"/>
          <w:color w:val="231F20"/>
          <w:spacing w:val="-6"/>
        </w:rPr>
        <w:t>糖尿病新世纪，</w:t>
      </w:r>
      <w:r>
        <w:rPr>
          <w:sz w:val="18"/>
          <w:szCs w:val="18"/>
          <w:color w:val="231F20"/>
          <w:spacing w:val="-6"/>
        </w:rPr>
        <w:t>2018</w:t>
      </w:r>
      <w:r>
        <w:rPr>
          <w:sz w:val="17"/>
          <w:szCs w:val="17"/>
          <w:color w:val="231F20"/>
          <w:spacing w:val="-6"/>
        </w:rPr>
        <w:t>，</w:t>
      </w:r>
      <w:r>
        <w:rPr>
          <w:sz w:val="18"/>
          <w:szCs w:val="18"/>
          <w:color w:val="231F20"/>
          <w:spacing w:val="-6"/>
        </w:rPr>
        <w:t>21(14):108-109.</w:t>
      </w:r>
    </w:p>
    <w:p>
      <w:pPr>
        <w:pStyle w:val="BodyText"/>
        <w:spacing w:before="62" w:line="193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（收稿日期：</w:t>
      </w:r>
      <w:r>
        <w:rPr>
          <w:sz w:val="18"/>
          <w:szCs w:val="18"/>
          <w:color w:val="231F20"/>
          <w:spacing w:val="-5"/>
        </w:rPr>
        <w:t>2019-06-11</w:t>
      </w:r>
      <w:r>
        <w:rPr>
          <w:sz w:val="17"/>
          <w:szCs w:val="17"/>
          <w:color w:val="231F20"/>
          <w:spacing w:val="-5"/>
        </w:rPr>
        <w:t>）</w:t>
      </w:r>
    </w:p>
    <w:p>
      <w:pPr>
        <w:spacing w:line="193" w:lineRule="auto"/>
        <w:sectPr>
          <w:type w:val="continuous"/>
          <w:pgSz w:w="11905" w:h="16836"/>
          <w:pgMar w:top="400" w:right="774" w:bottom="0" w:left="407" w:header="0" w:footer="0" w:gutter="0"/>
          <w:cols w:equalWidth="0" w:num="2">
            <w:col w:w="5632" w:space="100"/>
            <w:col w:w="4991" w:space="0"/>
          </w:cols>
        </w:sectPr>
        <w:rPr>
          <w:sz w:val="17"/>
          <w:szCs w:val="17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6854"/>
        <w:spacing w:before="73" w:line="166" w:lineRule="exact"/>
        <w:rPr>
          <w:sz w:val="17"/>
          <w:szCs w:val="17"/>
        </w:rPr>
      </w:pPr>
      <w:r>
        <w:rPr>
          <w:sz w:val="15"/>
          <w:szCs w:val="15"/>
          <w:color w:val="231F20"/>
          <w:position w:val="-1"/>
        </w:rPr>
        <w:t>DIABETES</w:t>
      </w:r>
      <w:r>
        <w:rPr>
          <w:sz w:val="15"/>
          <w:szCs w:val="15"/>
          <w:color w:val="231F20"/>
          <w:spacing w:val="20"/>
          <w:position w:val="-1"/>
        </w:rPr>
        <w:t xml:space="preserve"> </w:t>
      </w:r>
      <w:r>
        <w:rPr>
          <w:sz w:val="15"/>
          <w:szCs w:val="15"/>
          <w:color w:val="231F20"/>
          <w:position w:val="-1"/>
        </w:rPr>
        <w:t>NEW</w:t>
      </w:r>
      <w:r>
        <w:rPr>
          <w:sz w:val="15"/>
          <w:szCs w:val="15"/>
          <w:color w:val="231F20"/>
          <w:spacing w:val="12"/>
          <w:position w:val="-1"/>
        </w:rPr>
        <w:t xml:space="preserve"> </w:t>
      </w:r>
      <w:r>
        <w:rPr>
          <w:sz w:val="15"/>
          <w:szCs w:val="15"/>
          <w:color w:val="231F20"/>
          <w:position w:val="-1"/>
        </w:rPr>
        <w:t>WORLD     </w:t>
      </w:r>
      <w:r>
        <w:rPr>
          <w:sz w:val="14"/>
          <w:szCs w:val="14"/>
          <w:color w:val="231F20"/>
          <w:spacing w:val="12"/>
          <w:position w:val="-1"/>
        </w:rPr>
        <w:t>糖尿病新世界       </w:t>
      </w:r>
      <w:r>
        <w:rPr>
          <w:sz w:val="17"/>
          <w:szCs w:val="17"/>
          <w:color w:val="231F20"/>
          <w:spacing w:val="12"/>
          <w:position w:val="-1"/>
        </w:rPr>
        <w:t>17</w:t>
      </w:r>
    </w:p>
    <w:sectPr>
      <w:type w:val="continuous"/>
      <w:pgSz w:w="11905" w:h="16836"/>
      <w:pgMar w:top="400" w:right="774" w:bottom="0" w:left="407" w:header="0" w:footer="0" w:gutter="0"/>
      <w:cols w:equalWidth="0" w:num="1">
        <w:col w:w="1072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2023-01-12T19:30:07Z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2025-10-28T21:35:00</vt:filetime>
  </property>
</Properties>
</file>