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38" w:line="199" w:lineRule="auto"/>
        <w:jc w:val="right"/>
        <w:rPr>
          <w:sz w:val="17"/>
          <w:szCs w:val="17"/>
        </w:rPr>
      </w:pPr>
      <w:r>
        <w:rPr>
          <w:sz w:val="17"/>
          <w:szCs w:val="17"/>
          <w:color w:val="231F20"/>
          <w:spacing w:val="-6"/>
        </w:rPr>
        <w:t>472</w:t>
      </w:r>
      <w:r>
        <w:rPr>
          <w:sz w:val="17"/>
          <w:szCs w:val="17"/>
          <w:color w:val="231F20"/>
        </w:rPr>
        <w:t xml:space="preserve">                                                                           </w:t>
      </w:r>
      <w:r>
        <w:rPr>
          <w:sz w:val="17"/>
          <w:szCs w:val="17"/>
          <w:u w:val="single" w:color="auto"/>
          <w:color w:val="231F20"/>
          <w:spacing w:val="-6"/>
        </w:rPr>
        <w:t>浙江中西医结合杂志 2024 年第 34 卷第 5 期    ZJITCWM（Vol.34 N</w:t>
      </w:r>
      <w:r>
        <w:rPr>
          <w:sz w:val="17"/>
          <w:szCs w:val="17"/>
          <w:u w:val="single" w:color="auto"/>
          <w:color w:val="231F20"/>
          <w:spacing w:val="-7"/>
        </w:rPr>
        <w:t>o.5 2024）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25"/>
        <w:spacing w:before="95" w:line="186" w:lineRule="auto"/>
        <w:rPr>
          <w:sz w:val="22"/>
          <w:szCs w:val="22"/>
        </w:rPr>
      </w:pPr>
      <w:r>
        <w:rPr>
          <w:sz w:val="22"/>
          <w:szCs w:val="22"/>
          <w:color w:val="231F20"/>
          <w:spacing w:val="16"/>
        </w:rPr>
        <w:t>·调查研究</w:t>
      </w:r>
      <w:r>
        <w:rPr>
          <w:sz w:val="22"/>
          <w:szCs w:val="22"/>
          <w:color w:val="231F20"/>
          <w:spacing w:val="-17"/>
        </w:rPr>
        <w:t xml:space="preserve"> </w:t>
      </w:r>
      <w:r>
        <w:rPr>
          <w:sz w:val="22"/>
          <w:szCs w:val="22"/>
          <w:color w:val="231F20"/>
          <w:spacing w:val="16"/>
        </w:rPr>
        <w:t>·</w:t>
      </w:r>
    </w:p>
    <w:p>
      <w:pPr>
        <w:pStyle w:val="BodyText"/>
        <w:ind w:left="773"/>
        <w:spacing w:before="356" w:line="195" w:lineRule="auto"/>
        <w:rPr>
          <w:sz w:val="35"/>
          <w:szCs w:val="35"/>
        </w:rPr>
      </w:pPr>
      <w:r>
        <w:rPr>
          <w:sz w:val="35"/>
          <w:szCs w:val="35"/>
          <w:color w:val="231F20"/>
          <w:spacing w:val="9"/>
        </w:rPr>
        <w:t>儿童小肠型肠套叠超声筛查及自发复位影响因素分析</w:t>
      </w:r>
    </w:p>
    <w:p>
      <w:pPr>
        <w:pStyle w:val="BodyText"/>
        <w:ind w:left="2830"/>
        <w:spacing w:before="307" w:line="194" w:lineRule="auto"/>
        <w:rPr/>
      </w:pPr>
      <w:r>
        <w:rPr>
          <w:color w:val="231F20"/>
          <w:spacing w:val="3"/>
        </w:rPr>
        <w:t>蒋贤辉</w:t>
      </w:r>
      <w:r>
        <w:rPr>
          <w:color w:val="231F20"/>
          <w:spacing w:val="18"/>
        </w:rPr>
        <w:t xml:space="preserve">   </w:t>
      </w:r>
      <w:r>
        <w:rPr>
          <w:color w:val="231F20"/>
          <w:spacing w:val="3"/>
        </w:rPr>
        <w:t>崔晓颖</w:t>
      </w:r>
      <w:r>
        <w:rPr>
          <w:color w:val="231F20"/>
          <w:spacing w:val="17"/>
          <w:w w:val="101"/>
        </w:rPr>
        <w:t xml:space="preserve">   </w:t>
      </w:r>
      <w:r>
        <w:rPr>
          <w:color w:val="231F20"/>
          <w:spacing w:val="3"/>
        </w:rPr>
        <w:t>梁</w:t>
      </w:r>
      <w:r>
        <w:rPr>
          <w:color w:val="231F20"/>
          <w:spacing w:val="11"/>
        </w:rPr>
        <w:t xml:space="preserve">   </w:t>
      </w:r>
      <w:r>
        <w:rPr>
          <w:color w:val="231F20"/>
          <w:spacing w:val="3"/>
        </w:rPr>
        <w:t>璐</w:t>
      </w:r>
      <w:r>
        <w:rPr>
          <w:color w:val="231F20"/>
          <w:spacing w:val="11"/>
        </w:rPr>
        <w:t xml:space="preserve">   </w:t>
      </w:r>
      <w:r>
        <w:rPr>
          <w:color w:val="231F20"/>
          <w:spacing w:val="3"/>
        </w:rPr>
        <w:t>余炫玲</w:t>
      </w:r>
      <w:r>
        <w:rPr>
          <w:color w:val="231F20"/>
          <w:spacing w:val="19"/>
          <w:w w:val="101"/>
        </w:rPr>
        <w:t xml:space="preserve">   </w:t>
      </w:r>
      <w:r>
        <w:rPr>
          <w:color w:val="231F20"/>
          <w:spacing w:val="3"/>
        </w:rPr>
        <w:t>陈赛男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93"/>
        <w:spacing w:before="86" w:line="194" w:lineRule="auto"/>
        <w:rPr/>
      </w:pPr>
      <w:r>
        <w:rPr>
          <w:color w:val="231F20"/>
          <w:spacing w:val="-8"/>
        </w:rPr>
        <w:t>关键词</w:t>
      </w:r>
      <w:r>
        <w:rPr>
          <w:color w:val="231F20"/>
          <w:spacing w:val="17"/>
        </w:rPr>
        <w:t xml:space="preserve">   </w:t>
      </w:r>
      <w:r>
        <w:rPr>
          <w:color w:val="231F20"/>
          <w:spacing w:val="-8"/>
        </w:rPr>
        <w:t>儿童；小肠型肠套叠；超声；自发复位；影响因素</w:t>
      </w:r>
    </w:p>
    <w:p>
      <w:pPr>
        <w:spacing w:before="63"/>
        <w:rPr/>
      </w:pPr>
      <w:r/>
    </w:p>
    <w:p>
      <w:pPr>
        <w:sectPr>
          <w:pgSz w:w="11905" w:h="16156"/>
          <w:pgMar w:top="1029" w:right="1055" w:bottom="0" w:left="1045" w:header="0" w:footer="0" w:gutter="0"/>
          <w:cols w:equalWidth="0" w:num="1">
            <w:col w:w="9803" w:space="0"/>
          </w:cols>
        </w:sectPr>
        <w:rPr/>
      </w:pPr>
    </w:p>
    <w:p>
      <w:pPr>
        <w:pStyle w:val="BodyText"/>
        <w:ind w:left="89" w:right="121" w:firstLine="425"/>
        <w:spacing w:before="49" w:line="221" w:lineRule="auto"/>
        <w:jc w:val="both"/>
        <w:rPr/>
      </w:pPr>
      <w:r>
        <w:rPr>
          <w:color w:val="231F20"/>
          <w:spacing w:val="-14"/>
        </w:rPr>
        <w:t>小肠型肠套叠（small  bowel</w:t>
      </w:r>
      <w:r>
        <w:rPr>
          <w:color w:val="231F20"/>
          <w:spacing w:val="-15"/>
        </w:rPr>
        <w:t xml:space="preserve">  intussusception，SBI）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是儿童尤其是低龄期儿童肠套叠的一种常见类型，大  </w:t>
      </w:r>
      <w:r>
        <w:rPr>
          <w:color w:val="231F20"/>
          <w:spacing w:val="3"/>
        </w:rPr>
        <w:t>部分为一过性，具有自发性复位等特点，可内科保守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3"/>
        </w:rPr>
        <w:t>治疗，亦有少部分患者合并肠壁器质性病变，需及早  </w:t>
      </w:r>
      <w:r>
        <w:rPr>
          <w:color w:val="231F20"/>
          <w:spacing w:val="3"/>
        </w:rPr>
        <w:t>干预治疗，否则易导致肠缺血性坏死，严重者甚至危  </w:t>
      </w:r>
      <w:r>
        <w:rPr>
          <w:color w:val="231F20"/>
          <w:spacing w:val="-2"/>
        </w:rPr>
        <w:t>及患儿生命</w:t>
      </w:r>
      <w:r>
        <w:rPr>
          <w:sz w:val="11"/>
          <w:szCs w:val="11"/>
          <w:color w:val="231F20"/>
          <w:spacing w:val="-2"/>
          <w:position w:val="7"/>
        </w:rPr>
        <w:t>[1-2]</w:t>
      </w:r>
      <w:r>
        <w:rPr>
          <w:color w:val="231F20"/>
          <w:spacing w:val="-6"/>
        </w:rPr>
        <w:t>。因此，SBI 的及时诊断及自发复位的预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3"/>
        </w:rPr>
        <w:t>判，对临床是否采用有创性干预的选择有着重要指导  </w:t>
      </w:r>
      <w:r>
        <w:rPr>
          <w:color w:val="231F20"/>
          <w:spacing w:val="5"/>
        </w:rPr>
        <w:t>价值。本文回顾分析杭州市儿童医院收治的 69</w:t>
      </w:r>
      <w:r>
        <w:rPr>
          <w:color w:val="231F20"/>
          <w:spacing w:val="4"/>
        </w:rPr>
        <w:t xml:space="preserve"> 例儿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童 </w:t>
      </w:r>
      <w:r>
        <w:rPr>
          <w:color w:val="231F20"/>
        </w:rPr>
        <w:t>SBI</w:t>
      </w:r>
      <w:r>
        <w:rPr>
          <w:color w:val="231F20"/>
          <w:spacing w:val="1"/>
        </w:rPr>
        <w:t xml:space="preserve"> 的临床资料，总结超声筛查在儿童 </w:t>
      </w:r>
      <w:r>
        <w:rPr>
          <w:color w:val="231F20"/>
        </w:rPr>
        <w:t>SBI</w:t>
      </w:r>
      <w:r>
        <w:rPr>
          <w:color w:val="231F20"/>
          <w:spacing w:val="1"/>
        </w:rPr>
        <w:t xml:space="preserve"> 诊断中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的价值，并探讨影响儿童 SBI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自发复位</w:t>
      </w:r>
      <w:r>
        <w:rPr>
          <w:color w:val="231F20"/>
          <w:spacing w:val="-2"/>
        </w:rPr>
        <w:t>的相关因素。</w:t>
      </w:r>
    </w:p>
    <w:p>
      <w:pPr>
        <w:pStyle w:val="BodyText"/>
        <w:ind w:left="101"/>
        <w:spacing w:line="187" w:lineRule="auto"/>
        <w:rPr/>
      </w:pPr>
      <w:r>
        <w:rPr>
          <w:color w:val="231F20"/>
          <w:spacing w:val="1"/>
        </w:rPr>
        <w:t>1</w:t>
      </w:r>
      <w:r>
        <w:rPr>
          <w:color w:val="231F20"/>
          <w:spacing w:val="15"/>
          <w:w w:val="101"/>
        </w:rPr>
        <w:t xml:space="preserve">   </w:t>
      </w:r>
      <w:r>
        <w:rPr>
          <w:color w:val="231F20"/>
          <w:spacing w:val="1"/>
        </w:rPr>
        <w:t>资料与方法</w:t>
      </w:r>
    </w:p>
    <w:p>
      <w:pPr>
        <w:pStyle w:val="BodyText"/>
        <w:ind w:left="89" w:right="120" w:firstLine="11"/>
        <w:spacing w:before="51" w:line="218" w:lineRule="auto"/>
        <w:rPr/>
      </w:pPr>
      <w:r>
        <w:rPr>
          <w:color w:val="231F20"/>
          <w:spacing w:val="-1"/>
        </w:rPr>
        <w:t>1.1</w:t>
      </w:r>
      <w:r>
        <w:rPr>
          <w:color w:val="231F20"/>
          <w:spacing w:val="16"/>
        </w:rPr>
        <w:t xml:space="preserve">   </w:t>
      </w:r>
      <w:r>
        <w:rPr>
          <w:color w:val="231F20"/>
          <w:spacing w:val="-1"/>
        </w:rPr>
        <w:t>一般资料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  <w:spacing w:val="-1"/>
        </w:rPr>
        <w:t>收集杭州市儿童医院 2019 年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12 月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至 2023 年 3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月超声筛查或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检查诊断为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SBI</w:t>
      </w:r>
      <w:r>
        <w:rPr>
          <w:color w:val="231F20"/>
          <w:spacing w:val="3"/>
        </w:rPr>
        <w:t>，临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床资料完整的患儿 69 例，其中男 37 例，女 32 例，年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2"/>
        </w:rPr>
        <w:t>龄（2.6±0.5）岁。根据临床治疗的方式不同分为对照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组与治疗组，对照组 36 例，仅行内科相关症状</w:t>
      </w:r>
      <w:r>
        <w:rPr>
          <w:color w:val="231F20"/>
          <w:spacing w:val="4"/>
        </w:rPr>
        <w:t>对症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处理，未采用灌肠或手术复位等相关治疗措施，定期  </w:t>
      </w:r>
      <w:r>
        <w:rPr>
          <w:color w:val="231F20"/>
        </w:rPr>
        <w:t>超声复查（每隔 30~60 min 复查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1 次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，直至套叠消  </w:t>
      </w:r>
      <w:r>
        <w:rPr>
          <w:color w:val="231F20"/>
          <w:spacing w:val="4"/>
        </w:rPr>
        <w:t>失</w:t>
      </w:r>
      <w:r>
        <w:rPr>
          <w:color w:val="231F20"/>
          <w:spacing w:val="-28"/>
          <w:w w:val="58"/>
        </w:rPr>
        <w:t>）；</w:t>
      </w:r>
      <w:r>
        <w:rPr>
          <w:color w:val="231F20"/>
          <w:spacing w:val="4"/>
        </w:rPr>
        <w:t>治疗组 33 例，行超声或 X 线的引</w:t>
      </w:r>
      <w:r>
        <w:rPr>
          <w:color w:val="231F20"/>
          <w:spacing w:val="3"/>
        </w:rPr>
        <w:t>导下灌肠复位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1"/>
        </w:rPr>
        <w:t>或者手术治疗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1"/>
        </w:rPr>
        <w:t>。本研究经杭州市儿童医院伦理委员</w:t>
      </w:r>
      <w:r>
        <w:rPr>
          <w:color w:val="231F20"/>
        </w:rPr>
        <w:t xml:space="preserve">  </w:t>
      </w:r>
      <w:r>
        <w:rPr>
          <w:color w:val="231F20"/>
          <w:spacing w:val="-16"/>
        </w:rPr>
        <w:t>会审核通过，批件号</w:t>
      </w:r>
      <w:r>
        <w:rPr>
          <w:color w:val="231F20"/>
          <w:spacing w:val="-35"/>
          <w:w w:val="63"/>
        </w:rPr>
        <w:t>：（</w:t>
      </w:r>
      <w:r>
        <w:rPr>
          <w:color w:val="231F20"/>
          <w:spacing w:val="-16"/>
        </w:rPr>
        <w:t>2019）年伦审（临研）第（2）号，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4"/>
        </w:rPr>
        <w:t>所有患儿家属均知情同意，并签署知情同意书。</w:t>
      </w:r>
    </w:p>
    <w:p>
      <w:pPr>
        <w:pStyle w:val="BodyText"/>
        <w:ind w:left="5" w:right="118" w:firstLine="95"/>
        <w:spacing w:before="17" w:line="216" w:lineRule="auto"/>
        <w:rPr/>
      </w:pPr>
      <w:r>
        <w:rPr>
          <w:color w:val="231F20"/>
          <w:spacing w:val="11"/>
        </w:rPr>
        <w:t>1.2</w:t>
      </w:r>
      <w:r>
        <w:rPr>
          <w:color w:val="231F20"/>
          <w:spacing w:val="19"/>
        </w:rPr>
        <w:t xml:space="preserve">   </w:t>
      </w:r>
      <w:r>
        <w:rPr>
          <w:color w:val="231F20"/>
          <w:spacing w:val="11"/>
        </w:rPr>
        <w:t>纳入及排除标准</w:t>
      </w:r>
      <w:r>
        <w:rPr>
          <w:color w:val="231F20"/>
          <w:spacing w:val="19"/>
          <w:w w:val="101"/>
        </w:rPr>
        <w:t xml:space="preserve">   </w:t>
      </w:r>
      <w:r>
        <w:rPr>
          <w:color w:val="231F20"/>
          <w:spacing w:val="11"/>
        </w:rPr>
        <w:t>纳入标准</w:t>
      </w:r>
      <w:r>
        <w:rPr>
          <w:color w:val="231F20"/>
          <w:spacing w:val="-37"/>
          <w:w w:val="68"/>
        </w:rPr>
        <w:t>：（</w:t>
      </w:r>
      <w:r>
        <w:rPr>
          <w:color w:val="231F20"/>
          <w:spacing w:val="11"/>
        </w:rPr>
        <w:t>1）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1"/>
        </w:rPr>
        <w:t>年龄≤6</w:t>
      </w:r>
      <w:r>
        <w:rPr>
          <w:color w:val="231F20"/>
          <w:spacing w:val="10"/>
        </w:rPr>
        <w:t xml:space="preserve"> 周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岁</w:t>
      </w:r>
      <w:r>
        <w:rPr>
          <w:color w:val="231F20"/>
          <w:spacing w:val="-29"/>
          <w:w w:val="60"/>
        </w:rPr>
        <w:t>；（</w:t>
      </w:r>
      <w:r>
        <w:rPr>
          <w:color w:val="231F20"/>
          <w:spacing w:val="7"/>
        </w:rPr>
        <w:t>2）影像学检查可明确诊断者</w:t>
      </w:r>
      <w:r>
        <w:rPr>
          <w:color w:val="231F20"/>
          <w:spacing w:val="-29"/>
          <w:w w:val="60"/>
        </w:rPr>
        <w:t>；（</w:t>
      </w:r>
      <w:r>
        <w:rPr>
          <w:color w:val="231F20"/>
          <w:spacing w:val="7"/>
        </w:rPr>
        <w:t>3）经手术证实为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SBI</w:t>
      </w:r>
      <w:r>
        <w:rPr>
          <w:color w:val="231F20"/>
          <w:spacing w:val="3"/>
        </w:rPr>
        <w:t>。排除标准</w:t>
      </w:r>
      <w:r>
        <w:rPr>
          <w:color w:val="231F20"/>
          <w:spacing w:val="-35"/>
          <w:w w:val="64"/>
        </w:rPr>
        <w:t>：（</w:t>
      </w:r>
      <w:r>
        <w:rPr>
          <w:color w:val="231F20"/>
          <w:spacing w:val="3"/>
        </w:rPr>
        <w:t>1）影像学检查或术中探查排除 </w:t>
      </w:r>
      <w:r>
        <w:rPr>
          <w:color w:val="231F20"/>
        </w:rPr>
        <w:t>SBI</w:t>
      </w:r>
      <w:r>
        <w:rPr>
          <w:color w:val="231F20"/>
          <w:spacing w:val="3"/>
        </w:rPr>
        <w:t>；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（2）患者不能配合检查者。</w:t>
      </w:r>
    </w:p>
    <w:p>
      <w:pPr>
        <w:pStyle w:val="BodyText"/>
        <w:ind w:left="91" w:right="108" w:firstLine="9"/>
        <w:spacing w:before="22" w:line="218" w:lineRule="auto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56033</wp:posOffset>
            </wp:positionH>
            <wp:positionV relativeFrom="paragraph">
              <wp:posOffset>1120854</wp:posOffset>
            </wp:positionV>
            <wp:extent cx="1551939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193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11"/>
        </w:rPr>
        <w:t>1.3     方</w:t>
      </w:r>
      <w:r>
        <w:rPr>
          <w:color w:val="231F20"/>
          <w:spacing w:val="14"/>
        </w:rPr>
        <w:t xml:space="preserve">    </w:t>
      </w:r>
      <w:r>
        <w:rPr>
          <w:color w:val="231F20"/>
          <w:spacing w:val="-11"/>
        </w:rPr>
        <w:t>法     应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1"/>
        </w:rPr>
        <w:t>用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1"/>
        </w:rPr>
        <w:t>Siemens</w:t>
      </w:r>
      <w:r>
        <w:rPr>
          <w:color w:val="231F20"/>
          <w:spacing w:val="29"/>
        </w:rPr>
        <w:t xml:space="preserve">  </w:t>
      </w:r>
      <w:r>
        <w:rPr>
          <w:color w:val="231F20"/>
          <w:spacing w:val="-11"/>
        </w:rPr>
        <w:t>ACUSON </w:t>
      </w:r>
      <w:r>
        <w:rPr>
          <w:color w:val="231F20"/>
          <w:spacing w:val="-12"/>
        </w:rPr>
        <w:t xml:space="preserve">   Sequoia、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Philips  EPIQ  5、GE  Logiq  E9 彩色多普勒超声成像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仪检查，凸阵探头频率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9"/>
        </w:rPr>
        <w:t>1~6 MHz，线阵探头频率 5~12</w:t>
      </w:r>
      <w:r>
        <w:rPr>
          <w:color w:val="231F20"/>
        </w:rPr>
        <w:t xml:space="preserve">  </w:t>
      </w:r>
      <w:r>
        <w:rPr>
          <w:color w:val="231F20"/>
        </w:rPr>
        <w:t>MHz</w:t>
      </w:r>
      <w:r>
        <w:rPr>
          <w:color w:val="231F20"/>
          <w:spacing w:val="4"/>
        </w:rPr>
        <w:t>。嘱患者平卧，先用凸阵探头行腹部常规扫查，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0"/>
        </w:rPr>
        <w:t>排除其他脏器的病变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0"/>
        </w:rPr>
        <w:t>，发现腹部包块后采用高频探</w:t>
      </w:r>
    </w:p>
    <w:p>
      <w:pPr>
        <w:pStyle w:val="BodyText"/>
        <w:ind w:left="89"/>
        <w:spacing w:before="296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基金项目：杭州市医药卫生科技计划重点项目（No.OO20190172）</w:t>
      </w:r>
    </w:p>
    <w:p>
      <w:pPr>
        <w:pStyle w:val="BodyText"/>
        <w:ind w:left="89"/>
        <w:spacing w:before="1" w:line="18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作者单位：杭州市儿童医院特检科（杭州  310014）</w:t>
      </w:r>
    </w:p>
    <w:p>
      <w:pPr>
        <w:pStyle w:val="BodyText"/>
        <w:ind w:left="90"/>
        <w:spacing w:line="16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通信作者：蒋贤辉，E-mail：jiangxianhui80@163.com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75" w:firstLine="2"/>
        <w:spacing w:before="48" w:line="222" w:lineRule="auto"/>
        <w:jc w:val="both"/>
        <w:rPr/>
      </w:pPr>
      <w:r>
        <w:rPr>
          <w:color w:val="231F20"/>
          <w:spacing w:val="10"/>
        </w:rPr>
        <w:t>头仔细观察并记录包块的长度与宽度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0"/>
        </w:rPr>
        <w:t>，观察局部肠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壁有无水肿以及血供情况、局部腹腔有无积液及肠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8"/>
        </w:rPr>
        <w:t>系膜肿大淋巴结等。</w:t>
      </w:r>
    </w:p>
    <w:p>
      <w:pPr>
        <w:pStyle w:val="BodyText"/>
        <w:ind w:right="12" w:firstLine="11"/>
        <w:spacing w:before="5" w:line="217" w:lineRule="auto"/>
        <w:rPr/>
      </w:pPr>
      <w:r>
        <w:rPr>
          <w:color w:val="231F20"/>
          <w:spacing w:val="4"/>
        </w:rPr>
        <w:t>1.4   观察指标    超声检查 </w:t>
      </w:r>
      <w:r>
        <w:rPr>
          <w:color w:val="231F20"/>
        </w:rPr>
        <w:t>SBI</w:t>
      </w:r>
      <w:r>
        <w:rPr>
          <w:color w:val="231F20"/>
          <w:spacing w:val="4"/>
        </w:rPr>
        <w:t xml:space="preserve"> 诊断率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，声像</w:t>
      </w:r>
      <w:r>
        <w:rPr>
          <w:color w:val="231F20"/>
          <w:spacing w:val="3"/>
        </w:rPr>
        <w:t>图特征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及影响自发复位的主要观察指标包括患者性别、年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3"/>
        </w:rPr>
        <w:t>龄、发热、腹痛持续时间等基本情况，患儿腹部症状，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  <w:w w:val="97"/>
        </w:rPr>
        <w:t>如呕吐、腹胀、果酱便、腹痛持续时间、腹腔包块、腹腔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5"/>
        </w:rPr>
        <w:t>积液、肠系膜淋巴结肿大、肠套叠长度、肠</w:t>
      </w:r>
      <w:r>
        <w:rPr>
          <w:color w:val="231F20"/>
          <w:spacing w:val="-6"/>
        </w:rPr>
        <w:t>套叠宽度以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及外界或药物刺激等因素。由专人至病案室登记调查  </w:t>
      </w:r>
      <w:r>
        <w:rPr>
          <w:color w:val="231F20"/>
          <w:spacing w:val="-2"/>
        </w:rPr>
        <w:t>相关观察资料，随机抽取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10 份资料进行质量检查。</w:t>
      </w:r>
    </w:p>
    <w:p>
      <w:pPr>
        <w:pStyle w:val="BodyText"/>
        <w:ind w:left="3" w:right="75" w:firstLine="7"/>
        <w:spacing w:before="14" w:line="218" w:lineRule="auto"/>
        <w:rPr/>
      </w:pPr>
      <w:r>
        <w:rPr>
          <w:color w:val="231F20"/>
        </w:rPr>
        <w:t>1.5</w:t>
      </w:r>
      <w:r>
        <w:rPr>
          <w:color w:val="231F20"/>
          <w:spacing w:val="15"/>
        </w:rPr>
        <w:t xml:space="preserve">   </w:t>
      </w:r>
      <w:r>
        <w:rPr>
          <w:color w:val="231F20"/>
        </w:rPr>
        <w:t>统计学方法</w:t>
      </w:r>
      <w:r>
        <w:rPr>
          <w:color w:val="231F20"/>
          <w:spacing w:val="14"/>
        </w:rPr>
        <w:t xml:space="preserve">   </w:t>
      </w:r>
      <w:r>
        <w:rPr>
          <w:color w:val="231F20"/>
        </w:rPr>
        <w:t>应用 SPSS  21.0 统</w:t>
      </w:r>
      <w:r>
        <w:rPr>
          <w:color w:val="231F20"/>
          <w:spacing w:val="-1"/>
        </w:rPr>
        <w:t>计软件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，患儿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观察指标采用描述性统计以例数来表示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0"/>
        </w:rPr>
        <w:t>，不同观察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指标组间比较采用χ</w:t>
      </w:r>
      <w:r>
        <w:rPr>
          <w:sz w:val="11"/>
          <w:szCs w:val="11"/>
          <w:color w:val="231F20"/>
          <w:spacing w:val="9"/>
          <w:position w:val="7"/>
        </w:rPr>
        <w:t>2</w:t>
      </w:r>
      <w:r>
        <w:rPr>
          <w:sz w:val="11"/>
          <w:szCs w:val="11"/>
          <w:color w:val="231F20"/>
          <w:spacing w:val="32"/>
          <w:w w:val="102"/>
          <w:position w:val="7"/>
        </w:rPr>
        <w:t xml:space="preserve"> </w:t>
      </w:r>
      <w:r>
        <w:rPr>
          <w:color w:val="231F20"/>
          <w:spacing w:val="9"/>
        </w:rPr>
        <w:t>检验，对 </w:t>
      </w:r>
      <w:r>
        <w:rPr>
          <w:color w:val="231F20"/>
        </w:rPr>
        <w:t>SBI</w:t>
      </w:r>
      <w:r>
        <w:rPr>
          <w:color w:val="231F20"/>
          <w:spacing w:val="9"/>
        </w:rPr>
        <w:t xml:space="preserve"> 复位影响因素分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析采用单因素与多因素 Logistic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4"/>
        </w:rPr>
        <w:t>回归分析，</w:t>
      </w:r>
      <w:r>
        <w:rPr>
          <w:color w:val="231F20"/>
          <w:spacing w:val="-5"/>
        </w:rPr>
        <w:t>以 P&lt;0.05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为差异有统计学意义。</w:t>
      </w:r>
    </w:p>
    <w:p>
      <w:pPr>
        <w:pStyle w:val="BodyText"/>
        <w:ind w:left="1"/>
        <w:spacing w:before="32" w:line="188" w:lineRule="auto"/>
        <w:rPr/>
      </w:pPr>
      <w:r>
        <w:rPr>
          <w:color w:val="231F20"/>
          <w:spacing w:val="-7"/>
        </w:rPr>
        <w:t>2</w:t>
      </w:r>
      <w:r>
        <w:rPr>
          <w:color w:val="231F20"/>
          <w:spacing w:val="15"/>
        </w:rPr>
        <w:t xml:space="preserve">   </w:t>
      </w:r>
      <w:r>
        <w:rPr>
          <w:color w:val="231F20"/>
          <w:spacing w:val="-7"/>
        </w:rPr>
        <w:t>结</w:t>
      </w:r>
      <w:r>
        <w:rPr>
          <w:color w:val="231F20"/>
          <w:spacing w:val="14"/>
        </w:rPr>
        <w:t xml:space="preserve">   </w:t>
      </w:r>
      <w:r>
        <w:rPr>
          <w:color w:val="231F20"/>
          <w:spacing w:val="-7"/>
        </w:rPr>
        <w:t>果</w:t>
      </w:r>
    </w:p>
    <w:p>
      <w:pPr>
        <w:pStyle w:val="BodyText"/>
        <w:ind w:right="75" w:firstLine="1"/>
        <w:spacing w:before="31" w:line="218" w:lineRule="auto"/>
        <w:rPr/>
      </w:pPr>
      <w:r>
        <w:rPr>
          <w:color w:val="231F20"/>
          <w:spacing w:val="1"/>
        </w:rPr>
        <w:t>2.1</w:t>
      </w:r>
      <w:r>
        <w:rPr>
          <w:color w:val="231F20"/>
          <w:spacing w:val="17"/>
        </w:rPr>
        <w:t xml:space="preserve">   </w:t>
      </w:r>
      <w:r>
        <w:rPr>
          <w:color w:val="231F20"/>
          <w:spacing w:val="1"/>
        </w:rPr>
        <w:t>超声检测结果</w:t>
      </w:r>
      <w:r>
        <w:rPr>
          <w:color w:val="231F20"/>
          <w:spacing w:val="15"/>
          <w:w w:val="101"/>
        </w:rPr>
        <w:t xml:space="preserve">   </w:t>
      </w:r>
      <w:r>
        <w:rPr>
          <w:color w:val="231F20"/>
          <w:spacing w:val="1"/>
        </w:rPr>
        <w:t>69 例 </w:t>
      </w:r>
      <w:r>
        <w:rPr>
          <w:color w:val="231F20"/>
        </w:rPr>
        <w:t>SBI</w:t>
      </w:r>
      <w:r>
        <w:rPr>
          <w:color w:val="231F20"/>
          <w:spacing w:val="1"/>
        </w:rPr>
        <w:t xml:space="preserve"> 患儿中，通过超声检 </w:t>
      </w:r>
      <w:r>
        <w:rPr>
          <w:color w:val="231F20"/>
          <w:spacing w:val="3"/>
        </w:rPr>
        <w:t>查确诊 65 例，检出率约为 94.2%。声像图表现为短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轴切面表现为“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7"/>
        </w:rPr>
        <w:t>同心圆或靶环征”征、长轴切面为“套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筒征”。经超声动态观察，其中 36 例患儿在观察期内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自行复位，自行复位率约 52.1%。</w:t>
      </w:r>
    </w:p>
    <w:p>
      <w:pPr>
        <w:pStyle w:val="BodyText"/>
        <w:ind w:left="212" w:right="75" w:hanging="211"/>
        <w:spacing w:before="26" w:line="206" w:lineRule="auto"/>
        <w:rPr/>
      </w:pPr>
      <w:r>
        <w:rPr>
          <w:color w:val="231F20"/>
          <w:spacing w:val="4"/>
        </w:rPr>
        <w:t>2.2</w:t>
      </w:r>
      <w:r>
        <w:rPr>
          <w:color w:val="231F20"/>
          <w:spacing w:val="14"/>
        </w:rPr>
        <w:t xml:space="preserve">   </w:t>
      </w:r>
      <w:r>
        <w:rPr>
          <w:color w:val="231F20"/>
          <w:spacing w:val="4"/>
        </w:rPr>
        <w:t>对照组与治疗组 </w:t>
      </w:r>
      <w:r>
        <w:rPr>
          <w:color w:val="231F20"/>
        </w:rPr>
        <w:t>SBI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4"/>
        </w:rPr>
        <w:t>自发性复位的单因</w:t>
      </w:r>
      <w:r>
        <w:rPr>
          <w:color w:val="231F20"/>
          <w:spacing w:val="3"/>
        </w:rPr>
        <w:t>素分析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对儿童 </w:t>
      </w:r>
      <w:r>
        <w:rPr>
          <w:color w:val="231F20"/>
        </w:rPr>
        <w:t>SBI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10"/>
        </w:rPr>
        <w:t>自发复位的影响因素进行逐个单因素</w:t>
      </w:r>
    </w:p>
    <w:p>
      <w:pPr>
        <w:pStyle w:val="BodyText"/>
        <w:ind w:right="75" w:firstLine="1"/>
        <w:spacing w:before="34" w:line="221" w:lineRule="auto"/>
        <w:jc w:val="both"/>
        <w:rPr/>
      </w:pPr>
      <w:r>
        <w:rPr>
          <w:color w:val="231F20"/>
          <w:spacing w:val="-6"/>
        </w:rPr>
        <w:t>分析，结果显示，炎症、发热、腹痛持续时间、腹腔包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块、果酱便、肠套叠肠管宽度与套叠肠管长径、腹腔 </w:t>
      </w:r>
      <w:r>
        <w:rPr>
          <w:color w:val="231F20"/>
          <w:spacing w:val="4"/>
        </w:rPr>
        <w:t>积液、外界或药物刺激、肠系膜淋巴结肿大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10 项因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素与儿童 SBI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自发复位的发生有关（P&lt;0.05</w:t>
      </w:r>
      <w:r>
        <w:rPr>
          <w:color w:val="231F20"/>
          <w:spacing w:val="-27"/>
          <w:w w:val="56"/>
        </w:rPr>
        <w:t>），</w:t>
      </w:r>
      <w:r>
        <w:rPr>
          <w:color w:val="231F20"/>
          <w:spacing w:val="-1"/>
        </w:rPr>
        <w:t>未发现</w:t>
      </w:r>
      <w:r>
        <w:rPr>
          <w:color w:val="231F20"/>
        </w:rPr>
        <w:t xml:space="preserve"> </w:t>
      </w:r>
      <w:r>
        <w:rPr>
          <w:color w:val="231F20"/>
        </w:rPr>
        <w:t>患者性别、年龄、腹胀、呕吐与 SBI</w:t>
      </w:r>
      <w:r>
        <w:rPr>
          <w:color w:val="231F20"/>
          <w:spacing w:val="56"/>
          <w:w w:val="101"/>
        </w:rPr>
        <w:t xml:space="preserve"> </w:t>
      </w:r>
      <w:r>
        <w:rPr>
          <w:color w:val="231F20"/>
        </w:rPr>
        <w:t>自发复位间存在 </w:t>
      </w:r>
      <w:r>
        <w:rPr>
          <w:color w:val="231F20"/>
          <w:spacing w:val="-6"/>
        </w:rPr>
        <w:t>统计学相关性（P&gt;0.05</w:t>
      </w:r>
      <w:r>
        <w:rPr>
          <w:color w:val="231F20"/>
          <w:spacing w:val="-28"/>
          <w:w w:val="59"/>
        </w:rPr>
        <w:t>），</w:t>
      </w:r>
      <w:r>
        <w:rPr>
          <w:color w:val="231F20"/>
          <w:spacing w:val="-6"/>
        </w:rPr>
        <w:t>见表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1。</w:t>
      </w:r>
    </w:p>
    <w:p>
      <w:pPr>
        <w:pStyle w:val="BodyText"/>
        <w:ind w:left="1" w:right="12"/>
        <w:spacing w:before="2" w:line="207" w:lineRule="auto"/>
        <w:jc w:val="both"/>
        <w:rPr/>
      </w:pPr>
      <w:r>
        <w:rPr>
          <w:color w:val="231F20"/>
        </w:rPr>
        <w:t>2.3</w:t>
      </w:r>
      <w:r>
        <w:rPr>
          <w:color w:val="231F20"/>
          <w:spacing w:val="20"/>
        </w:rPr>
        <w:t xml:space="preserve">   </w:t>
      </w:r>
      <w:r>
        <w:rPr>
          <w:color w:val="231F20"/>
        </w:rPr>
        <w:t>儿童 SBI</w:t>
      </w:r>
      <w:r>
        <w:rPr>
          <w:color w:val="231F20"/>
          <w:spacing w:val="53"/>
        </w:rPr>
        <w:t xml:space="preserve"> </w:t>
      </w:r>
      <w:r>
        <w:rPr>
          <w:color w:val="231F20"/>
        </w:rPr>
        <w:t>自发性复位的影响因素 Logistic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多元  </w:t>
      </w:r>
      <w:r>
        <w:rPr>
          <w:color w:val="231F20"/>
          <w:spacing w:val="11"/>
        </w:rPr>
        <w:t>回归分析</w:t>
      </w:r>
      <w:r>
        <w:rPr>
          <w:color w:val="231F20"/>
          <w:spacing w:val="21"/>
        </w:rPr>
        <w:t xml:space="preserve">   </w:t>
      </w:r>
      <w:r>
        <w:rPr>
          <w:color w:val="231F20"/>
          <w:spacing w:val="11"/>
        </w:rPr>
        <w:t>以是否采取干预性治疗为因变量（对照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组=1，治疗组=0）进行分析，自变量为单因素分析中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2"/>
        </w:rPr>
        <w:t>有意义的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2"/>
        </w:rPr>
        <w:t>10 个变量，行多因素回归分析。结果显示，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有效影响因素分别为：炎症、腹痛持续时间、腹腔包</w:t>
      </w:r>
    </w:p>
    <w:p>
      <w:pPr>
        <w:spacing w:line="207" w:lineRule="auto"/>
        <w:sectPr>
          <w:type w:val="continuous"/>
          <w:pgSz w:w="11905" w:h="16156"/>
          <w:pgMar w:top="1029" w:right="1055" w:bottom="0" w:left="1045" w:header="0" w:footer="0" w:gutter="0"/>
          <w:cols w:equalWidth="0" w:num="2">
            <w:col w:w="4951" w:space="100"/>
            <w:col w:w="4753" w:space="0"/>
          </w:cols>
        </w:sectPr>
        <w:rPr/>
      </w:pPr>
    </w:p>
    <w:p>
      <w:pPr>
        <w:spacing w:line="227" w:lineRule="exact"/>
        <w:rPr/>
      </w:pPr>
      <w:r/>
    </w:p>
    <w:p>
      <w:pPr>
        <w:spacing w:line="227" w:lineRule="exact"/>
        <w:sectPr>
          <w:headerReference w:type="default" r:id="rId2"/>
          <w:pgSz w:w="11905" w:h="16156"/>
          <w:pgMar w:top="1301" w:right="1046" w:bottom="0" w:left="1032" w:header="1026" w:footer="0" w:gutter="0"/>
          <w:cols w:equalWidth="0" w:num="1">
            <w:col w:w="9826" w:space="0"/>
          </w:cols>
        </w:sectPr>
        <w:rPr/>
      </w:pPr>
    </w:p>
    <w:p>
      <w:pPr>
        <w:pStyle w:val="BodyText"/>
        <w:ind w:left="104"/>
        <w:spacing w:before="46" w:line="209" w:lineRule="auto"/>
        <w:rPr/>
      </w:pPr>
      <w:r>
        <w:rPr>
          <w:color w:val="231F20"/>
          <w:spacing w:val="-9"/>
        </w:rPr>
        <w:t>块、果酱便、超声测量套叠大小，见表 2。</w:t>
      </w:r>
    </w:p>
    <w:p>
      <w:pPr>
        <w:pStyle w:val="BodyText"/>
        <w:ind w:left="496"/>
        <w:spacing w:before="105" w:line="202" w:lineRule="auto"/>
        <w:outlineLvl w:val="0"/>
        <w:rPr>
          <w:sz w:val="17"/>
          <w:szCs w:val="17"/>
        </w:rPr>
      </w:pPr>
      <w:r>
        <w:rPr>
          <w:sz w:val="17"/>
          <w:szCs w:val="17"/>
          <w:color w:val="231F20"/>
          <w:spacing w:val="3"/>
        </w:rPr>
        <w:t>表 1</w:t>
      </w:r>
      <w:r>
        <w:rPr>
          <w:sz w:val="17"/>
          <w:szCs w:val="17"/>
          <w:color w:val="231F20"/>
          <w:spacing w:val="18"/>
        </w:rPr>
        <w:t xml:space="preserve">   </w:t>
      </w:r>
      <w:r>
        <w:rPr>
          <w:sz w:val="17"/>
          <w:szCs w:val="17"/>
          <w:color w:val="231F20"/>
          <w:spacing w:val="3"/>
        </w:rPr>
        <w:t>儿童 </w:t>
      </w:r>
      <w:r>
        <w:rPr>
          <w:sz w:val="17"/>
          <w:szCs w:val="17"/>
          <w:color w:val="231F20"/>
        </w:rPr>
        <w:t>SBI</w:t>
      </w:r>
      <w:r>
        <w:rPr>
          <w:sz w:val="17"/>
          <w:szCs w:val="17"/>
          <w:color w:val="231F20"/>
          <w:spacing w:val="3"/>
        </w:rPr>
        <w:t xml:space="preserve">  自发复位影响因素单因素分析结果</w:t>
      </w:r>
    </w:p>
    <w:p>
      <w:pPr>
        <w:spacing w:line="95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680" w:type="dxa"/>
        <w:tblInd w:w="10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03"/>
        <w:gridCol w:w="825"/>
        <w:gridCol w:w="851"/>
        <w:gridCol w:w="1101"/>
      </w:tblGrid>
      <w:tr>
        <w:trPr>
          <w:trHeight w:val="282" w:hRule="atLeast"/>
        </w:trPr>
        <w:tc>
          <w:tcPr>
            <w:tcW w:w="4680" w:type="dxa"/>
            <w:vAlign w:val="top"/>
            <w:gridSpan w:val="4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"/>
              <w:spacing w:before="49" w:line="195" w:lineRule="auto"/>
              <w:rPr/>
            </w:pPr>
            <w:r>
              <w:rPr>
                <w:color w:val="231F20"/>
                <w:spacing w:val="-2"/>
              </w:rPr>
              <w:t>影响因素                        </w:t>
            </w:r>
            <w:r>
              <w:rPr>
                <w:color w:val="231F20"/>
                <w:spacing w:val="-3"/>
              </w:rPr>
              <w:t xml:space="preserve">  对照组（n=36）治疗组（n=33） χ</w:t>
            </w:r>
            <w:r>
              <w:rPr>
                <w:sz w:val="8"/>
                <w:szCs w:val="8"/>
                <w:color w:val="231F20"/>
                <w:spacing w:val="-3"/>
                <w:position w:val="5"/>
              </w:rPr>
              <w:t>2</w:t>
            </w:r>
            <w:r>
              <w:rPr>
                <w:sz w:val="8"/>
                <w:szCs w:val="8"/>
                <w:color w:val="231F20"/>
                <w:spacing w:val="11"/>
                <w:w w:val="102"/>
                <w:position w:val="5"/>
              </w:rPr>
              <w:t xml:space="preserve"> </w:t>
            </w:r>
            <w:r>
              <w:rPr>
                <w:color w:val="231F20"/>
                <w:spacing w:val="-3"/>
              </w:rPr>
              <w:t>值   P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3"/>
              </w:rPr>
              <w:t>值</w:t>
            </w:r>
          </w:p>
        </w:tc>
      </w:tr>
      <w:tr>
        <w:trPr>
          <w:trHeight w:val="244" w:hRule="atLeast"/>
        </w:trPr>
        <w:tc>
          <w:tcPr>
            <w:tcW w:w="190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"/>
              <w:spacing w:before="28" w:line="192" w:lineRule="auto"/>
              <w:rPr/>
            </w:pPr>
            <w:r>
              <w:rPr>
                <w:color w:val="231F20"/>
                <w:spacing w:val="-10"/>
              </w:rPr>
              <w:t>发热（有）</w:t>
            </w:r>
          </w:p>
        </w:tc>
        <w:tc>
          <w:tcPr>
            <w:tcW w:w="82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02"/>
              <w:spacing w:before="57" w:line="165" w:lineRule="auto"/>
              <w:rPr/>
            </w:pPr>
            <w:r>
              <w:rPr>
                <w:color w:val="231F20"/>
              </w:rPr>
              <w:t>6</w:t>
            </w:r>
          </w:p>
        </w:tc>
        <w:tc>
          <w:tcPr>
            <w:tcW w:w="85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95"/>
              <w:spacing w:before="57" w:line="165" w:lineRule="auto"/>
              <w:rPr/>
            </w:pPr>
            <w:r>
              <w:rPr>
                <w:color w:val="231F20"/>
                <w:spacing w:val="-10"/>
              </w:rPr>
              <w:t>17</w:t>
            </w:r>
          </w:p>
        </w:tc>
        <w:tc>
          <w:tcPr>
            <w:tcW w:w="110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59" w:line="163" w:lineRule="auto"/>
              <w:jc w:val="right"/>
              <w:rPr/>
            </w:pPr>
            <w:r>
              <w:rPr>
                <w:color w:val="231F20"/>
                <w:spacing w:val="-8"/>
              </w:rPr>
              <w:t>0.179</w:t>
            </w:r>
            <w:r>
              <w:rPr>
                <w:color w:val="231F20"/>
                <w:spacing w:val="16"/>
                <w:w w:val="102"/>
              </w:rPr>
              <w:t xml:space="preserve"> </w:t>
            </w:r>
            <w:r>
              <w:rPr>
                <w:color w:val="231F20"/>
                <w:spacing w:val="-8"/>
              </w:rPr>
              <w:t>0.047</w:t>
            </w:r>
          </w:p>
        </w:tc>
      </w:tr>
      <w:tr>
        <w:trPr>
          <w:trHeight w:val="261" w:hRule="atLeast"/>
        </w:trPr>
        <w:tc>
          <w:tcPr>
            <w:tcW w:w="1903" w:type="dxa"/>
            <w:vAlign w:val="top"/>
          </w:tcPr>
          <w:p>
            <w:pPr>
              <w:pStyle w:val="TableText"/>
              <w:ind w:left="1"/>
              <w:spacing w:before="48" w:line="189" w:lineRule="auto"/>
              <w:rPr/>
            </w:pPr>
            <w:r>
              <w:rPr>
                <w:color w:val="231F20"/>
                <w:spacing w:val="7"/>
              </w:rPr>
              <w:t>腹痛持续时间(≥24 h）</w:t>
            </w:r>
          </w:p>
        </w:tc>
        <w:tc>
          <w:tcPr>
            <w:tcW w:w="825" w:type="dxa"/>
            <w:vAlign w:val="top"/>
          </w:tcPr>
          <w:p>
            <w:pPr>
              <w:pStyle w:val="TableText"/>
              <w:ind w:left="306"/>
              <w:spacing w:before="77" w:line="162" w:lineRule="auto"/>
              <w:rPr/>
            </w:pPr>
            <w:r>
              <w:rPr>
                <w:color w:val="231F20"/>
              </w:rPr>
              <w:t>8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482"/>
              <w:spacing w:before="77" w:line="162" w:lineRule="auto"/>
              <w:rPr/>
            </w:pPr>
            <w:r>
              <w:rPr>
                <w:color w:val="231F20"/>
                <w:spacing w:val="-6"/>
              </w:rPr>
              <w:t>21</w:t>
            </w:r>
          </w:p>
        </w:tc>
        <w:tc>
          <w:tcPr>
            <w:tcW w:w="1101" w:type="dxa"/>
            <w:vAlign w:val="top"/>
          </w:tcPr>
          <w:p>
            <w:pPr>
              <w:pStyle w:val="TableText"/>
              <w:spacing w:before="78" w:line="161" w:lineRule="auto"/>
              <w:jc w:val="right"/>
              <w:rPr/>
            </w:pPr>
            <w:r>
              <w:rPr>
                <w:color w:val="231F20"/>
                <w:spacing w:val="-7"/>
              </w:rPr>
              <w:t>0.209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0.041</w:t>
            </w:r>
          </w:p>
        </w:tc>
      </w:tr>
      <w:tr>
        <w:trPr>
          <w:trHeight w:val="262" w:hRule="atLeast"/>
        </w:trPr>
        <w:tc>
          <w:tcPr>
            <w:tcW w:w="1903" w:type="dxa"/>
            <w:vAlign w:val="top"/>
          </w:tcPr>
          <w:p>
            <w:pPr>
              <w:pStyle w:val="TableText"/>
              <w:ind w:left="3"/>
              <w:spacing w:before="58" w:line="180" w:lineRule="auto"/>
              <w:rPr/>
            </w:pPr>
            <w:r>
              <w:rPr>
                <w:color w:val="231F20"/>
                <w:spacing w:val="-10"/>
              </w:rPr>
              <w:t>炎症（有）</w:t>
            </w:r>
          </w:p>
        </w:tc>
        <w:tc>
          <w:tcPr>
            <w:tcW w:w="825" w:type="dxa"/>
            <w:vAlign w:val="top"/>
          </w:tcPr>
          <w:p>
            <w:pPr>
              <w:pStyle w:val="TableText"/>
              <w:ind w:left="300"/>
              <w:spacing w:before="80" w:line="160" w:lineRule="auto"/>
              <w:rPr/>
            </w:pPr>
            <w:r>
              <w:rPr>
                <w:color w:val="231F20"/>
              </w:rPr>
              <w:t>7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482"/>
              <w:spacing w:before="80" w:line="160" w:lineRule="auto"/>
              <w:rPr/>
            </w:pPr>
            <w:r>
              <w:rPr>
                <w:color w:val="231F20"/>
                <w:spacing w:val="-6"/>
              </w:rPr>
              <w:t>20</w:t>
            </w:r>
          </w:p>
        </w:tc>
        <w:tc>
          <w:tcPr>
            <w:tcW w:w="1101" w:type="dxa"/>
            <w:vAlign w:val="top"/>
          </w:tcPr>
          <w:p>
            <w:pPr>
              <w:pStyle w:val="TableText"/>
              <w:spacing w:before="81" w:line="159" w:lineRule="auto"/>
              <w:jc w:val="right"/>
              <w:rPr/>
            </w:pPr>
            <w:r>
              <w:rPr>
                <w:color w:val="231F20"/>
                <w:spacing w:val="-7"/>
              </w:rPr>
              <w:t>0.189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0.049</w:t>
            </w:r>
          </w:p>
        </w:tc>
      </w:tr>
      <w:tr>
        <w:trPr>
          <w:trHeight w:val="262" w:hRule="atLeast"/>
        </w:trPr>
        <w:tc>
          <w:tcPr>
            <w:tcW w:w="1903" w:type="dxa"/>
            <w:vAlign w:val="top"/>
          </w:tcPr>
          <w:p>
            <w:pPr>
              <w:pStyle w:val="TableText"/>
              <w:ind w:left="1"/>
              <w:spacing w:before="52" w:line="186" w:lineRule="auto"/>
              <w:rPr/>
            </w:pPr>
            <w:r>
              <w:rPr>
                <w:color w:val="231F20"/>
                <w:spacing w:val="-4"/>
              </w:rPr>
              <w:t>腹腔包块（有）</w:t>
            </w:r>
          </w:p>
        </w:tc>
        <w:tc>
          <w:tcPr>
            <w:tcW w:w="825" w:type="dxa"/>
            <w:vAlign w:val="top"/>
          </w:tcPr>
          <w:p>
            <w:pPr>
              <w:pStyle w:val="TableText"/>
              <w:ind w:left="302"/>
              <w:spacing w:before="81" w:line="159" w:lineRule="auto"/>
              <w:rPr/>
            </w:pPr>
            <w:r>
              <w:rPr>
                <w:color w:val="231F20"/>
              </w:rPr>
              <w:t>2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482"/>
              <w:spacing w:before="81" w:line="159" w:lineRule="auto"/>
              <w:rPr/>
            </w:pPr>
            <w:r>
              <w:rPr>
                <w:color w:val="231F20"/>
                <w:spacing w:val="-6"/>
              </w:rPr>
              <w:t>21</w:t>
            </w:r>
          </w:p>
        </w:tc>
        <w:tc>
          <w:tcPr>
            <w:tcW w:w="1101" w:type="dxa"/>
            <w:vAlign w:val="top"/>
          </w:tcPr>
          <w:p>
            <w:pPr>
              <w:pStyle w:val="TableText"/>
              <w:spacing w:before="83" w:line="157" w:lineRule="auto"/>
              <w:jc w:val="right"/>
              <w:rPr/>
            </w:pPr>
            <w:r>
              <w:rPr>
                <w:color w:val="231F20"/>
                <w:spacing w:val="-8"/>
              </w:rPr>
              <w:t>2.509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8"/>
              </w:rPr>
              <w:t>0.039</w:t>
            </w:r>
          </w:p>
        </w:tc>
      </w:tr>
      <w:tr>
        <w:trPr>
          <w:trHeight w:val="265" w:hRule="atLeast"/>
        </w:trPr>
        <w:tc>
          <w:tcPr>
            <w:tcW w:w="1903" w:type="dxa"/>
            <w:vAlign w:val="top"/>
          </w:tcPr>
          <w:p>
            <w:pPr>
              <w:pStyle w:val="TableText"/>
              <w:ind w:left="1"/>
              <w:spacing w:before="64" w:line="178" w:lineRule="auto"/>
              <w:rPr/>
            </w:pPr>
            <w:r>
              <w:rPr>
                <w:color w:val="231F20"/>
                <w:spacing w:val="-7"/>
              </w:rPr>
              <w:t>果酱便（有）</w:t>
            </w:r>
          </w:p>
        </w:tc>
        <w:tc>
          <w:tcPr>
            <w:tcW w:w="825" w:type="dxa"/>
            <w:vAlign w:val="top"/>
          </w:tcPr>
          <w:p>
            <w:pPr>
              <w:pStyle w:val="TableText"/>
              <w:ind w:left="315"/>
              <w:spacing w:before="85" w:line="158" w:lineRule="auto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495"/>
              <w:spacing w:before="85" w:line="158" w:lineRule="auto"/>
              <w:rPr/>
            </w:pPr>
            <w:r>
              <w:rPr>
                <w:color w:val="231F20"/>
                <w:spacing w:val="-9"/>
              </w:rPr>
              <w:t>19</w:t>
            </w:r>
          </w:p>
        </w:tc>
        <w:tc>
          <w:tcPr>
            <w:tcW w:w="1101" w:type="dxa"/>
            <w:vAlign w:val="top"/>
          </w:tcPr>
          <w:p>
            <w:pPr>
              <w:pStyle w:val="TableText"/>
              <w:spacing w:before="85" w:line="158" w:lineRule="auto"/>
              <w:jc w:val="right"/>
              <w:rPr/>
            </w:pPr>
            <w:r>
              <w:rPr>
                <w:color w:val="231F20"/>
                <w:spacing w:val="-9"/>
              </w:rPr>
              <w:t>12.017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9"/>
              </w:rPr>
              <w:t>0.001</w:t>
            </w:r>
          </w:p>
        </w:tc>
      </w:tr>
      <w:tr>
        <w:trPr>
          <w:trHeight w:val="261" w:hRule="atLeast"/>
        </w:trPr>
        <w:tc>
          <w:tcPr>
            <w:tcW w:w="1903" w:type="dxa"/>
            <w:vAlign w:val="top"/>
          </w:tcPr>
          <w:p>
            <w:pPr>
              <w:pStyle w:val="TableText"/>
              <w:spacing w:before="63" w:line="175" w:lineRule="auto"/>
              <w:rPr/>
            </w:pPr>
            <w:r>
              <w:rPr>
                <w:color w:val="231F20"/>
                <w:spacing w:val="5"/>
              </w:rPr>
              <w:t>套叠肠管宽度(≥2.5 </w:t>
            </w:r>
            <w:r>
              <w:rPr>
                <w:color w:val="231F20"/>
              </w:rPr>
              <w:t>cm</w:t>
            </w:r>
            <w:r>
              <w:rPr>
                <w:color w:val="231F20"/>
                <w:spacing w:val="5"/>
              </w:rPr>
              <w:t>）</w:t>
            </w:r>
          </w:p>
        </w:tc>
        <w:tc>
          <w:tcPr>
            <w:tcW w:w="825" w:type="dxa"/>
            <w:vAlign w:val="top"/>
          </w:tcPr>
          <w:p>
            <w:pPr>
              <w:pStyle w:val="TableText"/>
              <w:ind w:left="300"/>
              <w:spacing w:before="84" w:line="166" w:lineRule="exact"/>
              <w:rPr/>
            </w:pPr>
            <w:r>
              <w:rPr>
                <w:color w:val="231F20"/>
                <w:position w:val="-1"/>
              </w:rPr>
              <w:t>7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482"/>
              <w:spacing w:before="84" w:line="166" w:lineRule="exact"/>
              <w:rPr/>
            </w:pPr>
            <w:r>
              <w:rPr>
                <w:color w:val="231F20"/>
                <w:spacing w:val="-6"/>
                <w:position w:val="-1"/>
              </w:rPr>
              <w:t>22</w:t>
            </w:r>
          </w:p>
        </w:tc>
        <w:tc>
          <w:tcPr>
            <w:tcW w:w="1101" w:type="dxa"/>
            <w:vAlign w:val="top"/>
          </w:tcPr>
          <w:p>
            <w:pPr>
              <w:pStyle w:val="TableText"/>
              <w:spacing w:before="84" w:line="166" w:lineRule="exact"/>
              <w:jc w:val="right"/>
              <w:rPr/>
            </w:pPr>
            <w:r>
              <w:rPr>
                <w:color w:val="231F20"/>
                <w:spacing w:val="-8"/>
                <w:position w:val="-1"/>
              </w:rPr>
              <w:t>5.897</w:t>
            </w:r>
            <w:r>
              <w:rPr>
                <w:color w:val="231F20"/>
                <w:spacing w:val="17"/>
                <w:position w:val="-1"/>
              </w:rPr>
              <w:t xml:space="preserve"> </w:t>
            </w:r>
            <w:r>
              <w:rPr>
                <w:color w:val="231F20"/>
                <w:spacing w:val="-8"/>
                <w:position w:val="-1"/>
              </w:rPr>
              <w:t>0.015</w:t>
            </w:r>
          </w:p>
        </w:tc>
      </w:tr>
      <w:tr>
        <w:trPr>
          <w:trHeight w:val="263" w:hRule="atLeast"/>
        </w:trPr>
        <w:tc>
          <w:tcPr>
            <w:tcW w:w="1903" w:type="dxa"/>
            <w:vAlign w:val="top"/>
          </w:tcPr>
          <w:p>
            <w:pPr>
              <w:pStyle w:val="TableText"/>
              <w:spacing w:before="66" w:line="174" w:lineRule="auto"/>
              <w:rPr/>
            </w:pPr>
            <w:r>
              <w:rPr>
                <w:color w:val="231F20"/>
                <w:spacing w:val="5"/>
              </w:rPr>
              <w:t>套叠肠管长径(≥3.5 </w:t>
            </w:r>
            <w:r>
              <w:rPr>
                <w:color w:val="231F20"/>
              </w:rPr>
              <w:t>cm</w:t>
            </w:r>
            <w:r>
              <w:rPr>
                <w:color w:val="231F20"/>
                <w:spacing w:val="5"/>
              </w:rPr>
              <w:t>）</w:t>
            </w:r>
          </w:p>
        </w:tc>
        <w:tc>
          <w:tcPr>
            <w:tcW w:w="825" w:type="dxa"/>
            <w:vAlign w:val="top"/>
          </w:tcPr>
          <w:p>
            <w:pPr>
              <w:pStyle w:val="TableText"/>
              <w:ind w:left="302"/>
              <w:spacing w:before="87" w:line="166" w:lineRule="exact"/>
              <w:rPr/>
            </w:pPr>
            <w:r>
              <w:rPr>
                <w:color w:val="231F20"/>
                <w:position w:val="-1"/>
              </w:rPr>
              <w:t>6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482"/>
              <w:spacing w:before="87" w:line="166" w:lineRule="exact"/>
              <w:rPr/>
            </w:pPr>
            <w:r>
              <w:rPr>
                <w:color w:val="231F20"/>
                <w:spacing w:val="-6"/>
                <w:position w:val="-1"/>
              </w:rPr>
              <w:t>23</w:t>
            </w:r>
          </w:p>
        </w:tc>
        <w:tc>
          <w:tcPr>
            <w:tcW w:w="1101" w:type="dxa"/>
            <w:vAlign w:val="top"/>
          </w:tcPr>
          <w:p>
            <w:pPr>
              <w:pStyle w:val="TableText"/>
              <w:spacing w:before="89" w:line="164" w:lineRule="exact"/>
              <w:jc w:val="right"/>
              <w:rPr/>
            </w:pPr>
            <w:r>
              <w:rPr>
                <w:color w:val="231F20"/>
                <w:spacing w:val="-8"/>
                <w:position w:val="-1"/>
              </w:rPr>
              <w:t>0.217</w:t>
            </w:r>
            <w:r>
              <w:rPr>
                <w:color w:val="231F20"/>
                <w:spacing w:val="18"/>
                <w:position w:val="-1"/>
              </w:rPr>
              <w:t xml:space="preserve"> </w:t>
            </w:r>
            <w:r>
              <w:rPr>
                <w:color w:val="231F20"/>
                <w:spacing w:val="-8"/>
                <w:position w:val="-1"/>
              </w:rPr>
              <w:t>0.029</w:t>
            </w:r>
          </w:p>
        </w:tc>
      </w:tr>
      <w:tr>
        <w:trPr>
          <w:trHeight w:val="264" w:hRule="atLeast"/>
        </w:trPr>
        <w:tc>
          <w:tcPr>
            <w:tcW w:w="1903" w:type="dxa"/>
            <w:vAlign w:val="top"/>
          </w:tcPr>
          <w:p>
            <w:pPr>
              <w:pStyle w:val="TableText"/>
              <w:ind w:left="1"/>
              <w:spacing w:before="67" w:line="174" w:lineRule="auto"/>
              <w:rPr/>
            </w:pPr>
            <w:r>
              <w:rPr>
                <w:color w:val="231F20"/>
              </w:rPr>
              <w:t>外界或药物刺激（有）</w:t>
            </w:r>
          </w:p>
        </w:tc>
        <w:tc>
          <w:tcPr>
            <w:tcW w:w="825" w:type="dxa"/>
            <w:vAlign w:val="top"/>
          </w:tcPr>
          <w:p>
            <w:pPr>
              <w:pStyle w:val="TableText"/>
              <w:ind w:left="302"/>
              <w:spacing w:before="88" w:line="166" w:lineRule="exact"/>
              <w:rPr/>
            </w:pPr>
            <w:r>
              <w:rPr>
                <w:color w:val="231F20"/>
                <w:position w:val="-1"/>
              </w:rPr>
              <w:t>5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495"/>
              <w:spacing w:before="88" w:line="166" w:lineRule="exact"/>
              <w:rPr/>
            </w:pPr>
            <w:r>
              <w:rPr>
                <w:color w:val="231F20"/>
                <w:spacing w:val="-9"/>
                <w:position w:val="-1"/>
              </w:rPr>
              <w:t>16</w:t>
            </w:r>
          </w:p>
        </w:tc>
        <w:tc>
          <w:tcPr>
            <w:tcW w:w="1101" w:type="dxa"/>
            <w:vAlign w:val="top"/>
          </w:tcPr>
          <w:p>
            <w:pPr>
              <w:pStyle w:val="TableText"/>
              <w:spacing w:before="90" w:line="164" w:lineRule="exact"/>
              <w:jc w:val="right"/>
              <w:rPr/>
            </w:pPr>
            <w:r>
              <w:rPr>
                <w:color w:val="231F20"/>
                <w:spacing w:val="-9"/>
                <w:position w:val="-1"/>
              </w:rPr>
              <w:t>5</w:t>
            </w:r>
            <w:r>
              <w:rPr>
                <w:color w:val="231F20"/>
                <w:spacing w:val="-8"/>
                <w:position w:val="-1"/>
              </w:rPr>
              <w:t>.012</w:t>
            </w:r>
            <w:r>
              <w:rPr>
                <w:color w:val="231F20"/>
                <w:spacing w:val="17"/>
                <w:position w:val="-1"/>
              </w:rPr>
              <w:t xml:space="preserve"> </w:t>
            </w:r>
            <w:r>
              <w:rPr>
                <w:color w:val="231F20"/>
                <w:spacing w:val="-8"/>
                <w:position w:val="-1"/>
              </w:rPr>
              <w:t>0.02</w:t>
            </w:r>
            <w:r>
              <w:rPr>
                <w:color w:val="231F20"/>
                <w:spacing w:val="-7"/>
                <w:position w:val="-1"/>
              </w:rPr>
              <w:t>0</w:t>
            </w:r>
          </w:p>
        </w:tc>
      </w:tr>
      <w:tr>
        <w:trPr>
          <w:trHeight w:val="261" w:hRule="atLeast"/>
        </w:trPr>
        <w:tc>
          <w:tcPr>
            <w:tcW w:w="1903" w:type="dxa"/>
            <w:vAlign w:val="top"/>
          </w:tcPr>
          <w:p>
            <w:pPr>
              <w:pStyle w:val="TableText"/>
              <w:ind w:left="1"/>
              <w:spacing w:before="59" w:line="179" w:lineRule="auto"/>
              <w:rPr/>
            </w:pPr>
            <w:r>
              <w:rPr>
                <w:color w:val="231F20"/>
                <w:spacing w:val="-4"/>
              </w:rPr>
              <w:t>腹腔积液（有）</w:t>
            </w:r>
          </w:p>
        </w:tc>
        <w:tc>
          <w:tcPr>
            <w:tcW w:w="825" w:type="dxa"/>
            <w:vAlign w:val="top"/>
          </w:tcPr>
          <w:p>
            <w:pPr>
              <w:pStyle w:val="TableText"/>
              <w:ind w:left="302"/>
              <w:spacing w:before="88" w:line="162" w:lineRule="exact"/>
              <w:rPr/>
            </w:pPr>
            <w:r>
              <w:rPr>
                <w:color w:val="231F20"/>
                <w:position w:val="-1"/>
              </w:rPr>
              <w:t>6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482"/>
              <w:spacing w:before="88" w:line="162" w:lineRule="exact"/>
              <w:rPr/>
            </w:pPr>
            <w:r>
              <w:rPr>
                <w:color w:val="231F20"/>
                <w:spacing w:val="-6"/>
                <w:position w:val="-1"/>
              </w:rPr>
              <w:t>20</w:t>
            </w:r>
          </w:p>
        </w:tc>
        <w:tc>
          <w:tcPr>
            <w:tcW w:w="1101" w:type="dxa"/>
            <w:vAlign w:val="top"/>
          </w:tcPr>
          <w:p>
            <w:pPr>
              <w:pStyle w:val="TableText"/>
              <w:spacing w:before="90" w:line="160" w:lineRule="exact"/>
              <w:jc w:val="right"/>
              <w:rPr/>
            </w:pPr>
            <w:r>
              <w:rPr>
                <w:color w:val="231F20"/>
                <w:spacing w:val="-7"/>
                <w:position w:val="-1"/>
              </w:rPr>
              <w:t>4.221</w:t>
            </w:r>
            <w:r>
              <w:rPr>
                <w:color w:val="231F20"/>
                <w:spacing w:val="10"/>
                <w:position w:val="-1"/>
              </w:rPr>
              <w:t xml:space="preserve"> </w:t>
            </w:r>
            <w:r>
              <w:rPr>
                <w:color w:val="231F20"/>
                <w:spacing w:val="-7"/>
                <w:position w:val="-1"/>
              </w:rPr>
              <w:t>0.031</w:t>
            </w:r>
          </w:p>
        </w:tc>
      </w:tr>
      <w:tr>
        <w:trPr>
          <w:trHeight w:val="293" w:hRule="atLeast"/>
        </w:trPr>
        <w:tc>
          <w:tcPr>
            <w:tcW w:w="190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"/>
              <w:spacing w:before="68" w:line="188" w:lineRule="auto"/>
              <w:rPr/>
            </w:pPr>
            <w:r>
              <w:rPr>
                <w:color w:val="231F20"/>
              </w:rPr>
              <w:t>肠系膜淋巴结肿大（有）</w:t>
            </w:r>
          </w:p>
        </w:tc>
        <w:tc>
          <w:tcPr>
            <w:tcW w:w="82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00"/>
              <w:spacing w:before="91" w:line="179" w:lineRule="auto"/>
              <w:rPr/>
            </w:pPr>
            <w:r>
              <w:rPr>
                <w:color w:val="231F20"/>
              </w:rPr>
              <w:t>7</w:t>
            </w:r>
          </w:p>
        </w:tc>
        <w:tc>
          <w:tcPr>
            <w:tcW w:w="85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82"/>
              <w:spacing w:before="91" w:line="179" w:lineRule="auto"/>
              <w:rPr/>
            </w:pPr>
            <w:r>
              <w:rPr>
                <w:color w:val="231F20"/>
                <w:spacing w:val="-6"/>
              </w:rPr>
              <w:t>22</w:t>
            </w:r>
          </w:p>
        </w:tc>
        <w:tc>
          <w:tcPr>
            <w:tcW w:w="110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spacing w:before="93" w:line="177" w:lineRule="auto"/>
              <w:jc w:val="right"/>
              <w:rPr/>
            </w:pPr>
            <w:r>
              <w:rPr>
                <w:color w:val="231F20"/>
                <w:spacing w:val="-7"/>
              </w:rPr>
              <w:t>4.289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0.040</w:t>
            </w:r>
          </w:p>
        </w:tc>
      </w:tr>
    </w:tbl>
    <w:p>
      <w:pPr>
        <w:pStyle w:val="BodyText"/>
        <w:ind w:left="107"/>
        <w:spacing w:before="64" w:line="199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注：SBI 为小肠型肠套叠</w:t>
      </w:r>
    </w:p>
    <w:p>
      <w:pPr>
        <w:pStyle w:val="BodyText"/>
        <w:ind w:left="104"/>
        <w:spacing w:before="216" w:line="190" w:lineRule="auto"/>
        <w:outlineLvl w:val="1"/>
        <w:rPr/>
      </w:pPr>
      <w:r>
        <w:rPr>
          <w:color w:val="231F20"/>
          <w:spacing w:val="-5"/>
        </w:rPr>
        <w:t>3</w:t>
      </w:r>
      <w:r>
        <w:rPr>
          <w:color w:val="231F20"/>
          <w:spacing w:val="13"/>
        </w:rPr>
        <w:t xml:space="preserve">   </w:t>
      </w:r>
      <w:r>
        <w:rPr>
          <w:color w:val="231F20"/>
          <w:spacing w:val="-5"/>
        </w:rPr>
        <w:t>讨</w:t>
      </w:r>
      <w:r>
        <w:rPr>
          <w:color w:val="231F20"/>
          <w:spacing w:val="14"/>
        </w:rPr>
        <w:t xml:space="preserve">   </w:t>
      </w:r>
      <w:r>
        <w:rPr>
          <w:color w:val="231F20"/>
          <w:spacing w:val="-5"/>
        </w:rPr>
        <w:t>论</w:t>
      </w:r>
    </w:p>
    <w:p>
      <w:pPr>
        <w:pStyle w:val="BodyText"/>
        <w:ind w:right="120" w:firstLine="525"/>
        <w:spacing w:before="19" w:line="221" w:lineRule="auto"/>
        <w:tabs>
          <w:tab w:val="left" w:pos="106"/>
        </w:tabs>
        <w:jc w:val="both"/>
        <w:rPr/>
      </w:pPr>
      <w:r>
        <w:rPr>
          <w:color w:val="231F20"/>
          <w:spacing w:val="2"/>
        </w:rPr>
        <w:t>肠套叠是儿童常见的急腹症之一，病因不明，多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发生于 2 岁以内的患儿</w:t>
      </w:r>
      <w:r>
        <w:rPr>
          <w:sz w:val="11"/>
          <w:szCs w:val="11"/>
          <w:color w:val="231F20"/>
          <w:position w:val="7"/>
        </w:rPr>
        <w:t>[3]</w:t>
      </w:r>
      <w:r>
        <w:rPr>
          <w:color w:val="231F20"/>
        </w:rPr>
        <w:t>。SBI 发生率约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10%</w:t>
      </w:r>
      <w:r>
        <w:rPr>
          <w:sz w:val="11"/>
          <w:szCs w:val="11"/>
          <w:color w:val="231F20"/>
          <w:position w:val="7"/>
        </w:rPr>
        <w:t>[4]</w:t>
      </w:r>
      <w:r>
        <w:rPr>
          <w:color w:val="231F20"/>
        </w:rPr>
        <w:t>，主要  </w:t>
      </w:r>
      <w:r>
        <w:rPr>
          <w:color w:val="231F20"/>
          <w:spacing w:val="15"/>
        </w:rPr>
        <w:t>与患儿肠道功能紊乱有关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5"/>
        </w:rPr>
        <w:t>，部分患儿可在短时间内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自行复位，且由于临床症状不明显，多无腹部包块及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5"/>
        </w:rPr>
        <w:t>果酱样大便等典型症状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5"/>
        </w:rPr>
        <w:t>，易导致疾病延误诊治从而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引发肠管坏死等系列严重并发症，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4"/>
        </w:rPr>
        <w:t>因此 </w:t>
      </w:r>
      <w:r>
        <w:rPr>
          <w:color w:val="231F20"/>
        </w:rPr>
        <w:t>SBI</w:t>
      </w:r>
      <w:r>
        <w:rPr>
          <w:color w:val="231F20"/>
          <w:spacing w:val="14"/>
        </w:rPr>
        <w:t xml:space="preserve"> 的早期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诊断至关重要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2"/>
        </w:rPr>
        <w:t>。随着超声医学检查技术的发展，</w:t>
      </w:r>
      <w:r>
        <w:rPr>
          <w:color w:val="231F20"/>
        </w:rPr>
        <w:t>SBI  </w:t>
      </w:r>
      <w:r>
        <w:rPr>
          <w:color w:val="231F20"/>
          <w:spacing w:val="7"/>
        </w:rPr>
        <w:t>的诊断率得到了明显提高，因其具有分辨率高、图像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0"/>
        </w:rPr>
        <w:t>清晰、可动态随访观察且无放射辐射等一系列优点，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5"/>
        </w:rPr>
        <w:t>已成为临床上该疾病诊断及随访的首选方法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5"/>
        </w:rPr>
        <w:t>，本研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究中 69 例患儿超声检查确诊 65 例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，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5"/>
        </w:rPr>
        <w:t>检出率约为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94.2%，与文献报道类似</w:t>
      </w:r>
      <w:r>
        <w:rPr>
          <w:sz w:val="11"/>
          <w:szCs w:val="11"/>
          <w:color w:val="231F20"/>
          <w:spacing w:val="2"/>
          <w:position w:val="7"/>
        </w:rPr>
        <w:t>[3]</w:t>
      </w:r>
      <w:r>
        <w:rPr>
          <w:color w:val="231F20"/>
          <w:spacing w:val="2"/>
        </w:rPr>
        <w:t>。声像图表现为短轴切面为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9"/>
        </w:rPr>
        <w:t>“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同心圆或靶环征”征，长轴切面为“套筒征”。SBI 可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分为持续性肠套叠（persistent  small  bowel  intussus-</w:t>
      </w:r>
      <w:r>
        <w:rPr>
          <w:color w:val="231F20"/>
        </w:rPr>
        <w:t xml:space="preserve">  </w:t>
      </w:r>
      <w:r>
        <w:rPr>
          <w:color w:val="231F20"/>
        </w:rPr>
        <w:tab/>
      </w:r>
      <w:r>
        <w:rPr>
          <w:color w:val="231F20"/>
          <w:spacing w:val="-14"/>
        </w:rPr>
        <w:t>ception，PSBI）和暂时性肠套叠（transient  </w:t>
      </w:r>
      <w:r>
        <w:rPr>
          <w:color w:val="231F20"/>
          <w:spacing w:val="-15"/>
        </w:rPr>
        <w:t>small  bowel</w:t>
      </w:r>
      <w:r>
        <w:rPr>
          <w:color w:val="231F20"/>
        </w:rPr>
        <w:t xml:space="preserve">  </w:t>
      </w:r>
      <w:r>
        <w:rPr>
          <w:color w:val="231F20"/>
        </w:rPr>
        <w:tab/>
      </w:r>
      <w:r>
        <w:rPr>
          <w:color w:val="231F20"/>
          <w:spacing w:val="-9"/>
        </w:rPr>
        <w:t>intussusception，TSBI</w:t>
      </w:r>
      <w:r>
        <w:rPr>
          <w:color w:val="231F20"/>
          <w:spacing w:val="-34"/>
          <w:w w:val="70"/>
        </w:rPr>
        <w:t>），</w:t>
      </w:r>
      <w:r>
        <w:rPr>
          <w:color w:val="231F20"/>
          <w:spacing w:val="-9"/>
        </w:rPr>
        <w:t>PSBI 需要紧</w:t>
      </w:r>
      <w:r>
        <w:rPr>
          <w:color w:val="231F20"/>
          <w:spacing w:val="-10"/>
        </w:rPr>
        <w:t>急处理，否则有可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能导致肠坏死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，而 </w:t>
      </w:r>
      <w:r>
        <w:rPr>
          <w:color w:val="231F20"/>
        </w:rPr>
        <w:t>TSBI</w:t>
      </w:r>
      <w:r>
        <w:rPr>
          <w:color w:val="231F20"/>
          <w:spacing w:val="6"/>
        </w:rPr>
        <w:t xml:space="preserve"> 则不需特殊治疗，</w:t>
      </w:r>
      <w:r>
        <w:rPr>
          <w:color w:val="231F20"/>
        </w:rPr>
        <w:t>TSBI</w:t>
      </w:r>
      <w:r>
        <w:rPr>
          <w:color w:val="231F20"/>
          <w:spacing w:val="6"/>
        </w:rPr>
        <w:t xml:space="preserve"> 又称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良性肠套叠，大部分可自行复位，但 </w:t>
      </w:r>
      <w:r>
        <w:rPr>
          <w:color w:val="231F20"/>
        </w:rPr>
        <w:t>TSBI</w:t>
      </w:r>
      <w:r>
        <w:rPr>
          <w:color w:val="231F20"/>
          <w:spacing w:val="11"/>
        </w:rPr>
        <w:t xml:space="preserve"> 缺乏肠梗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阻、腹部包块、血便等典型的肠套叠症状，仅表现为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7"/>
        </w:rPr>
        <w:t>哭闹、呕吐或阵发性腹痛等症状，甚至无任何阳性体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征，因而极大程度上增加了临床诊断的难度</w:t>
      </w:r>
      <w:r>
        <w:rPr>
          <w:sz w:val="11"/>
          <w:szCs w:val="11"/>
          <w:color w:val="231F20"/>
          <w:spacing w:val="5"/>
          <w:position w:val="7"/>
        </w:rPr>
        <w:t>[</w:t>
      </w:r>
      <w:r>
        <w:rPr>
          <w:sz w:val="11"/>
          <w:szCs w:val="11"/>
          <w:color w:val="231F20"/>
          <w:spacing w:val="4"/>
          <w:position w:val="7"/>
        </w:rPr>
        <w:t>5-7]</w:t>
      </w:r>
      <w:r>
        <w:rPr>
          <w:color w:val="231F20"/>
          <w:spacing w:val="4"/>
        </w:rPr>
        <w:t>。由于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9"/>
        <w:spacing w:before="50" w:line="220" w:lineRule="auto"/>
        <w:jc w:val="both"/>
        <w:rPr/>
      </w:pPr>
      <w:r>
        <w:rPr>
          <w:color w:val="231F20"/>
        </w:rPr>
        <w:t>TSBI 包块通常较小，且自发复位的可能性较大，检查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0"/>
        </w:rPr>
        <w:t>时应延长动态观察的时间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0"/>
        </w:rPr>
        <w:t>，避免盲目地下肠套叠的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诊断，应加强与临床医生间的沟通，避免不必要的灌  </w:t>
      </w:r>
      <w:r>
        <w:rPr>
          <w:color w:val="231F20"/>
          <w:spacing w:val="1"/>
        </w:rPr>
        <w:t>肠复位等过度治疗</w:t>
      </w:r>
      <w:r>
        <w:rPr>
          <w:sz w:val="11"/>
          <w:szCs w:val="11"/>
          <w:color w:val="231F20"/>
          <w:spacing w:val="1"/>
          <w:position w:val="7"/>
        </w:rPr>
        <w:t>[1，5]</w:t>
      </w:r>
      <w:r>
        <w:rPr>
          <w:color w:val="231F20"/>
          <w:spacing w:val="1"/>
        </w:rPr>
        <w:t>。我们研究发现 </w:t>
      </w:r>
      <w:r>
        <w:rPr>
          <w:color w:val="231F20"/>
        </w:rPr>
        <w:t>TSBI</w:t>
      </w:r>
      <w:r>
        <w:rPr>
          <w:color w:val="231F20"/>
          <w:spacing w:val="1"/>
        </w:rPr>
        <w:t xml:space="preserve"> 包块相对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较小，短轴切面的“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7"/>
        </w:rPr>
        <w:t>同心圆或靶环征”征，外圆的直径</w:t>
      </w:r>
      <w:r>
        <w:rPr>
          <w:color w:val="231F20"/>
        </w:rPr>
        <w:t xml:space="preserve">  </w:t>
      </w:r>
      <w:r>
        <w:rPr>
          <w:color w:val="231F20"/>
          <w:spacing w:val="-20"/>
          <w:w w:val="99"/>
        </w:rPr>
        <w:t>小（&lt;2.5 cm）、长轴切面的“套筒征”，套叠的长度短（&lt;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4 cm</w:t>
      </w:r>
      <w:r>
        <w:rPr>
          <w:color w:val="231F20"/>
          <w:spacing w:val="-29"/>
          <w:w w:val="70"/>
        </w:rPr>
        <w:t>）（</w:t>
      </w:r>
      <w:r>
        <w:rPr>
          <w:color w:val="231F20"/>
        </w:rPr>
        <w:t>见图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1、2</w:t>
      </w:r>
      <w:r>
        <w:rPr>
          <w:color w:val="231F20"/>
          <w:spacing w:val="-29"/>
          <w:w w:val="70"/>
        </w:rPr>
        <w:t>），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肠套叠部位的肠壁无明</w:t>
      </w:r>
      <w:r>
        <w:rPr>
          <w:color w:val="231F20"/>
          <w:spacing w:val="-1"/>
        </w:rPr>
        <w:t>显水肿征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象，局部肠壁的血供良好，与文献报道类似</w:t>
      </w:r>
      <w:r>
        <w:rPr>
          <w:sz w:val="11"/>
          <w:szCs w:val="11"/>
          <w:color w:val="231F20"/>
          <w:spacing w:val="1"/>
          <w:position w:val="7"/>
        </w:rPr>
        <w:t>[8-9</w:t>
      </w:r>
      <w:r>
        <w:rPr>
          <w:sz w:val="11"/>
          <w:szCs w:val="11"/>
          <w:color w:val="231F20"/>
          <w:position w:val="7"/>
        </w:rPr>
        <w:t>]</w:t>
      </w:r>
      <w:r>
        <w:rPr>
          <w:color w:val="231F20"/>
        </w:rPr>
        <w:t>，说明  </w:t>
      </w:r>
      <w:r>
        <w:rPr>
          <w:color w:val="231F20"/>
        </w:rPr>
        <w:t>TSBI</w:t>
      </w:r>
      <w:r>
        <w:rPr>
          <w:color w:val="231F20"/>
          <w:spacing w:val="8"/>
        </w:rPr>
        <w:t xml:space="preserve"> 套叠处张力小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8"/>
        </w:rPr>
        <w:t>，不伴有缺血或坏死等器质</w:t>
      </w:r>
      <w:r>
        <w:rPr>
          <w:color w:val="231F20"/>
          <w:spacing w:val="7"/>
        </w:rPr>
        <w:t>性病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变，且套叠内无淋巴结肿大等病理性的套头，这正是  </w:t>
      </w:r>
      <w:r>
        <w:rPr>
          <w:color w:val="231F20"/>
          <w:spacing w:val="6"/>
        </w:rPr>
        <w:t>和 </w:t>
      </w:r>
      <w:r>
        <w:rPr>
          <w:color w:val="231F20"/>
        </w:rPr>
        <w:t>PSBI</w:t>
      </w:r>
      <w:r>
        <w:rPr>
          <w:color w:val="231F20"/>
          <w:spacing w:val="6"/>
        </w:rPr>
        <w:t xml:space="preserve"> 重要鉴别之处。因此，提高超声操作者的诊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断技术、加强与接诊儿科医生的沟通并合理地延长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7"/>
        </w:rPr>
        <w:t>超声动态观察的时间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7"/>
        </w:rPr>
        <w:t>，有利于提高 </w:t>
      </w:r>
      <w:r>
        <w:rPr>
          <w:color w:val="231F20"/>
        </w:rPr>
        <w:t>TSBI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7"/>
        </w:rPr>
        <w:t>的诊断率。</w:t>
      </w:r>
      <w:r>
        <w:rPr>
          <w:color w:val="231F20"/>
        </w:rPr>
        <w:t xml:space="preserve"> </w:t>
      </w:r>
      <w:r>
        <w:rPr>
          <w:color w:val="231F20"/>
        </w:rPr>
        <w:t>TSBI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19"/>
        </w:rPr>
        <w:t>的存在提示局部存在暂时性的肠蠕动功能紊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乱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0"/>
        </w:rPr>
        <w:t>，其特点可决定临床不需要采用灌肠或手术治疗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方法即可大部分实现自行复位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1"/>
        </w:rPr>
        <w:t>。提高超声检查对该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类疾病的识别，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1"/>
        </w:rPr>
        <w:t>为儿科医生提供了更为开阔的诊疗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思路，从而协助该类疾病的临床诊断，为其临床干预  </w:t>
      </w:r>
      <w:r>
        <w:rPr>
          <w:color w:val="231F20"/>
          <w:spacing w:val="8"/>
        </w:rPr>
        <w:t>提供了明确的方向与依据。</w:t>
      </w:r>
    </w:p>
    <w:p>
      <w:pPr>
        <w:pStyle w:val="BodyText"/>
        <w:ind w:right="22" w:firstLine="434"/>
        <w:spacing w:before="18" w:line="220" w:lineRule="auto"/>
        <w:jc w:val="both"/>
        <w:rPr/>
      </w:pPr>
      <w:r>
        <w:rPr>
          <w:color w:val="231F20"/>
          <w:spacing w:val="3"/>
        </w:rPr>
        <w:t>文献研究表明，约 90％小肠套叠为 </w:t>
      </w:r>
      <w:r>
        <w:rPr>
          <w:color w:val="231F20"/>
        </w:rPr>
        <w:t>TSBI</w:t>
      </w:r>
      <w:r>
        <w:rPr>
          <w:color w:val="231F20"/>
          <w:spacing w:val="3"/>
        </w:rPr>
        <w:t>，不需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2"/>
        </w:rPr>
        <w:t>要特殊临床干预性治疗，套叠的包块多位于左侧腹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9"/>
        </w:rPr>
        <w:t>部或脐周部腹腔内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9"/>
        </w:rPr>
        <w:t>，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由儿童自身因素与环境因素共</w:t>
      </w:r>
      <w:r>
        <w:rPr>
          <w:color w:val="231F20"/>
        </w:rPr>
        <w:t xml:space="preserve">  </w:t>
      </w:r>
      <w:r>
        <w:rPr>
          <w:color w:val="231F20"/>
        </w:rPr>
        <w:t>同作用所致，影响 SBI</w:t>
      </w:r>
      <w:r>
        <w:rPr>
          <w:color w:val="231F20"/>
          <w:spacing w:val="57"/>
        </w:rPr>
        <w:t xml:space="preserve"> </w:t>
      </w:r>
      <w:r>
        <w:rPr>
          <w:color w:val="231F20"/>
        </w:rPr>
        <w:t>自发性复位的因素，主要来自  </w:t>
      </w:r>
      <w:r>
        <w:rPr>
          <w:color w:val="231F20"/>
          <w:spacing w:val="5"/>
        </w:rPr>
        <w:t>患者与外界环境因素之间的两方面因素</w:t>
      </w:r>
      <w:r>
        <w:rPr>
          <w:sz w:val="11"/>
          <w:szCs w:val="11"/>
          <w:color w:val="231F20"/>
          <w:spacing w:val="5"/>
          <w:position w:val="7"/>
        </w:rPr>
        <w:t>[2，10]</w:t>
      </w:r>
      <w:r>
        <w:rPr>
          <w:color w:val="231F20"/>
          <w:spacing w:val="5"/>
        </w:rPr>
        <w:t>。对 </w:t>
      </w:r>
      <w:r>
        <w:rPr>
          <w:color w:val="231F20"/>
        </w:rPr>
        <w:t>SBI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0"/>
        </w:rPr>
        <w:t>影响因素逐个进行单因素分析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0"/>
        </w:rPr>
        <w:t>，研究发现患儿腹痛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持续时间、发热、炎症、腹腔包块、果酱便</w:t>
      </w:r>
      <w:r>
        <w:rPr>
          <w:color w:val="231F20"/>
          <w:spacing w:val="-6"/>
        </w:rPr>
        <w:t>、外界或药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物刺激、腹腔积液、肠系膜淋巴结肿大、肠套叠肠管  </w:t>
      </w:r>
      <w:r>
        <w:rPr>
          <w:color w:val="231F20"/>
          <w:spacing w:val="10"/>
        </w:rPr>
        <w:t>宽度与肠套叠肠管长径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10"/>
        </w:rPr>
        <w:t>10 项影响因素与 </w:t>
      </w:r>
      <w:r>
        <w:rPr>
          <w:color w:val="231F20"/>
        </w:rPr>
        <w:t>SBI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10"/>
        </w:rPr>
        <w:t>自发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性复位密切相关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8"/>
        </w:rPr>
        <w:t>。果酱便是影响儿童 </w:t>
      </w:r>
      <w:r>
        <w:rPr>
          <w:color w:val="231F20"/>
        </w:rPr>
        <w:t>SBI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8"/>
        </w:rPr>
        <w:t>自发性复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位的独立因素，是决定临床是否需要采取手术等干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1"/>
        </w:rPr>
        <w:t>预性治疗方案的首要因素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1"/>
        </w:rPr>
        <w:t>。出现果酱样便提示局部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肠壁血液供应发生了障碍，肠黏膜发生缺血性坏死，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较难实现自发性肠套复位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0"/>
        </w:rPr>
        <w:t>。文献报道，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0"/>
        </w:rPr>
        <w:t>病程是影响</w:t>
      </w:r>
      <w:r>
        <w:rPr>
          <w:color w:val="231F20"/>
        </w:rPr>
        <w:t xml:space="preserve">  </w:t>
      </w:r>
      <w:r>
        <w:rPr>
          <w:color w:val="231F20"/>
        </w:rPr>
        <w:t>SBI</w:t>
      </w:r>
      <w:r>
        <w:rPr>
          <w:color w:val="231F20"/>
          <w:spacing w:val="4"/>
        </w:rPr>
        <w:t xml:space="preserve"> 复位性治疗的独立危险因素</w:t>
      </w:r>
      <w:r>
        <w:rPr>
          <w:sz w:val="11"/>
          <w:szCs w:val="11"/>
          <w:color w:val="231F20"/>
          <w:spacing w:val="4"/>
          <w:position w:val="7"/>
        </w:rPr>
        <w:t>[10]</w:t>
      </w:r>
      <w:r>
        <w:rPr>
          <w:color w:val="231F20"/>
          <w:spacing w:val="4"/>
        </w:rPr>
        <w:t>，肠管套叠时间的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2"/>
        </w:rPr>
        <w:t>长短与自发复位的可能性呈反比。</w:t>
      </w:r>
      <w:r>
        <w:rPr>
          <w:color w:val="231F20"/>
        </w:rPr>
        <w:t>Rajagopal</w:t>
      </w:r>
      <w:r>
        <w:rPr>
          <w:color w:val="231F20"/>
          <w:spacing w:val="2"/>
        </w:rPr>
        <w:t xml:space="preserve"> 等</w:t>
      </w:r>
      <w:r>
        <w:rPr>
          <w:sz w:val="11"/>
          <w:szCs w:val="11"/>
          <w:color w:val="231F20"/>
          <w:spacing w:val="2"/>
          <w:position w:val="7"/>
        </w:rPr>
        <w:t>[11]</w:t>
      </w:r>
      <w:r>
        <w:rPr>
          <w:color w:val="231F20"/>
          <w:spacing w:val="2"/>
        </w:rPr>
        <w:t>研</w:t>
      </w:r>
    </w:p>
    <w:p>
      <w:pPr>
        <w:spacing w:line="220" w:lineRule="auto"/>
        <w:sectPr>
          <w:type w:val="continuous"/>
          <w:pgSz w:w="11905" w:h="16156"/>
          <w:pgMar w:top="1301" w:right="1046" w:bottom="0" w:left="1032" w:header="1026" w:footer="0" w:gutter="0"/>
          <w:cols w:equalWidth="0" w:num="2">
            <w:col w:w="4964" w:space="100"/>
            <w:col w:w="4763" w:space="0"/>
          </w:cols>
        </w:sectPr>
        <w:rPr/>
      </w:pPr>
    </w:p>
    <w:p>
      <w:pPr>
        <w:pStyle w:val="BodyText"/>
        <w:ind w:left="2565"/>
        <w:spacing w:before="27" w:line="186" w:lineRule="auto"/>
        <w:outlineLvl w:val="0"/>
        <w:rPr>
          <w:sz w:val="17"/>
          <w:szCs w:val="17"/>
        </w:rPr>
      </w:pPr>
      <w:r>
        <w:rPr>
          <w:sz w:val="17"/>
          <w:szCs w:val="17"/>
          <w:color w:val="231F20"/>
        </w:rPr>
        <w:t>表 2</w:t>
      </w:r>
      <w:r>
        <w:rPr>
          <w:sz w:val="17"/>
          <w:szCs w:val="17"/>
          <w:color w:val="231F20"/>
          <w:spacing w:val="16"/>
        </w:rPr>
        <w:t xml:space="preserve">   </w:t>
      </w:r>
      <w:r>
        <w:rPr>
          <w:sz w:val="17"/>
          <w:szCs w:val="17"/>
          <w:color w:val="231F20"/>
        </w:rPr>
        <w:t>儿童 SBI</w:t>
      </w:r>
      <w:r>
        <w:rPr>
          <w:sz w:val="17"/>
          <w:szCs w:val="17"/>
          <w:color w:val="231F20"/>
          <w:spacing w:val="38"/>
        </w:rPr>
        <w:t xml:space="preserve"> </w:t>
      </w:r>
      <w:r>
        <w:rPr>
          <w:sz w:val="17"/>
          <w:szCs w:val="17"/>
          <w:color w:val="231F20"/>
        </w:rPr>
        <w:t>自发复位影响因素的多因素 Logistic</w:t>
      </w:r>
      <w:r>
        <w:rPr>
          <w:sz w:val="17"/>
          <w:szCs w:val="17"/>
          <w:color w:val="231F20"/>
          <w:spacing w:val="14"/>
          <w:w w:val="101"/>
        </w:rPr>
        <w:t xml:space="preserve"> </w:t>
      </w:r>
      <w:r>
        <w:rPr>
          <w:sz w:val="17"/>
          <w:szCs w:val="17"/>
          <w:color w:val="231F20"/>
        </w:rPr>
        <w:t>回归分析</w:t>
      </w:r>
    </w:p>
    <w:p>
      <w:pPr>
        <w:spacing w:line="27" w:lineRule="exact"/>
        <w:rPr/>
      </w:pPr>
      <w:r/>
    </w:p>
    <w:tbl>
      <w:tblPr>
        <w:tblStyle w:val="TableNormal"/>
        <w:tblW w:w="9638" w:type="dxa"/>
        <w:tblInd w:w="10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200"/>
        <w:gridCol w:w="1666"/>
        <w:gridCol w:w="1504"/>
        <w:gridCol w:w="1562"/>
        <w:gridCol w:w="1779"/>
        <w:gridCol w:w="927"/>
      </w:tblGrid>
      <w:tr>
        <w:trPr>
          <w:trHeight w:val="262" w:hRule="atLeast"/>
        </w:trPr>
        <w:tc>
          <w:tcPr>
            <w:tcW w:w="220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"/>
              <w:spacing w:before="62" w:line="177" w:lineRule="auto"/>
              <w:rPr/>
            </w:pPr>
            <w:r>
              <w:rPr>
                <w:color w:val="231F20"/>
                <w:spacing w:val="7"/>
              </w:rPr>
              <w:t>变量名</w:t>
            </w:r>
          </w:p>
        </w:tc>
        <w:tc>
          <w:tcPr>
            <w:tcW w:w="166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39"/>
              <w:spacing w:before="62" w:line="177" w:lineRule="auto"/>
              <w:rPr/>
            </w:pPr>
            <w:r>
              <w:rPr>
                <w:color w:val="231F20"/>
                <w:spacing w:val="3"/>
              </w:rPr>
              <w:t>回归系数</w:t>
            </w:r>
          </w:p>
        </w:tc>
        <w:tc>
          <w:tcPr>
            <w:tcW w:w="150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16"/>
              <w:spacing w:before="61" w:line="178" w:lineRule="auto"/>
              <w:rPr/>
            </w:pPr>
            <w:r>
              <w:rPr>
                <w:color w:val="231F20"/>
                <w:spacing w:val="8"/>
              </w:rPr>
              <w:t>标志误</w:t>
            </w:r>
          </w:p>
        </w:tc>
        <w:tc>
          <w:tcPr>
            <w:tcW w:w="156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17"/>
              <w:spacing w:before="62" w:line="177" w:lineRule="auto"/>
              <w:rPr/>
            </w:pPr>
            <w:r>
              <w:rPr>
                <w:color w:val="231F20"/>
                <w:spacing w:val="-7"/>
              </w:rPr>
              <w:t>Wald 值</w:t>
            </w:r>
          </w:p>
        </w:tc>
        <w:tc>
          <w:tcPr>
            <w:tcW w:w="177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20"/>
              <w:spacing w:before="62" w:line="177" w:lineRule="auto"/>
              <w:rPr/>
            </w:pPr>
            <w:r>
              <w:rPr>
                <w:color w:val="231F20"/>
                <w:spacing w:val="-11"/>
              </w:rPr>
              <w:t>OR（95%CI）</w:t>
            </w:r>
          </w:p>
        </w:tc>
        <w:tc>
          <w:tcPr>
            <w:tcW w:w="92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58"/>
              <w:spacing w:before="62" w:line="177" w:lineRule="auto"/>
              <w:rPr/>
            </w:pPr>
            <w:r>
              <w:rPr>
                <w:color w:val="231F20"/>
                <w:spacing w:val="6"/>
              </w:rPr>
              <w:t>P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6"/>
              </w:rPr>
              <w:t>值</w:t>
            </w:r>
          </w:p>
        </w:tc>
      </w:tr>
      <w:tr>
        <w:trPr>
          <w:trHeight w:val="263" w:hRule="atLeast"/>
        </w:trPr>
        <w:tc>
          <w:tcPr>
            <w:tcW w:w="220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"/>
              <w:spacing w:before="58" w:line="181" w:lineRule="auto"/>
              <w:rPr/>
            </w:pPr>
            <w:r>
              <w:rPr>
                <w:color w:val="231F20"/>
                <w:spacing w:val="-10"/>
              </w:rPr>
              <w:t>炎症（有）</w:t>
            </w:r>
          </w:p>
        </w:tc>
        <w:tc>
          <w:tcPr>
            <w:tcW w:w="166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76"/>
              <w:spacing w:before="81" w:line="160" w:lineRule="auto"/>
              <w:rPr/>
            </w:pPr>
            <w:r>
              <w:rPr>
                <w:color w:val="231F20"/>
                <w:spacing w:val="-9"/>
              </w:rPr>
              <w:t>1.391</w:t>
            </w:r>
          </w:p>
        </w:tc>
        <w:tc>
          <w:tcPr>
            <w:tcW w:w="150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80"/>
              <w:spacing w:before="81" w:line="160" w:lineRule="auto"/>
              <w:rPr/>
            </w:pPr>
            <w:r>
              <w:rPr>
                <w:color w:val="231F20"/>
                <w:spacing w:val="-6"/>
              </w:rPr>
              <w:t>0.523</w:t>
            </w:r>
          </w:p>
        </w:tc>
        <w:tc>
          <w:tcPr>
            <w:tcW w:w="156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45"/>
              <w:spacing w:before="81" w:line="160" w:lineRule="auto"/>
              <w:rPr/>
            </w:pPr>
            <w:r>
              <w:rPr>
                <w:color w:val="231F20"/>
                <w:spacing w:val="-6"/>
              </w:rPr>
              <w:t>7.069</w:t>
            </w:r>
          </w:p>
        </w:tc>
        <w:tc>
          <w:tcPr>
            <w:tcW w:w="177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39"/>
              <w:spacing w:before="81" w:line="160" w:lineRule="auto"/>
              <w:rPr/>
            </w:pPr>
            <w:r>
              <w:rPr>
                <w:color w:val="231F20"/>
                <w:spacing w:val="-6"/>
              </w:rPr>
              <w:t>4.017</w:t>
            </w:r>
          </w:p>
        </w:tc>
        <w:tc>
          <w:tcPr>
            <w:tcW w:w="92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81" w:line="160" w:lineRule="auto"/>
              <w:jc w:val="right"/>
              <w:rPr/>
            </w:pPr>
            <w:r>
              <w:rPr>
                <w:color w:val="231F20"/>
                <w:spacing w:val="-8"/>
              </w:rPr>
              <w:t>0.007</w:t>
            </w:r>
          </w:p>
        </w:tc>
      </w:tr>
      <w:tr>
        <w:trPr>
          <w:trHeight w:val="263" w:hRule="atLeast"/>
        </w:trPr>
        <w:tc>
          <w:tcPr>
            <w:tcW w:w="2200" w:type="dxa"/>
            <w:vAlign w:val="top"/>
          </w:tcPr>
          <w:p>
            <w:pPr>
              <w:pStyle w:val="TableText"/>
              <w:ind w:left="1"/>
              <w:spacing w:before="51" w:line="188" w:lineRule="auto"/>
              <w:rPr/>
            </w:pPr>
            <w:r>
              <w:rPr>
                <w:color w:val="231F20"/>
                <w:spacing w:val="7"/>
              </w:rPr>
              <w:t>腹痛持续时间(≥24 h）</w:t>
            </w:r>
          </w:p>
        </w:tc>
        <w:tc>
          <w:tcPr>
            <w:tcW w:w="1666" w:type="dxa"/>
            <w:vAlign w:val="top"/>
          </w:tcPr>
          <w:p>
            <w:pPr>
              <w:pStyle w:val="TableText"/>
              <w:ind w:left="676"/>
              <w:spacing w:before="82" w:line="159" w:lineRule="auto"/>
              <w:rPr/>
            </w:pPr>
            <w:r>
              <w:rPr>
                <w:color w:val="231F20"/>
                <w:spacing w:val="-9"/>
              </w:rPr>
              <w:t>1.183</w:t>
            </w:r>
          </w:p>
        </w:tc>
        <w:tc>
          <w:tcPr>
            <w:tcW w:w="1504" w:type="dxa"/>
            <w:vAlign w:val="top"/>
          </w:tcPr>
          <w:p>
            <w:pPr>
              <w:pStyle w:val="TableText"/>
              <w:ind w:left="580"/>
              <w:spacing w:before="82" w:line="159" w:lineRule="auto"/>
              <w:rPr/>
            </w:pPr>
            <w:r>
              <w:rPr>
                <w:color w:val="231F20"/>
                <w:spacing w:val="-6"/>
              </w:rPr>
              <w:t>0.425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651"/>
              <w:spacing w:before="82" w:line="159" w:lineRule="auto"/>
              <w:rPr/>
            </w:pPr>
            <w:r>
              <w:rPr>
                <w:color w:val="231F20"/>
                <w:spacing w:val="-7"/>
              </w:rPr>
              <w:t>8.221</w:t>
            </w:r>
          </w:p>
        </w:tc>
        <w:tc>
          <w:tcPr>
            <w:tcW w:w="1779" w:type="dxa"/>
            <w:vAlign w:val="top"/>
          </w:tcPr>
          <w:p>
            <w:pPr>
              <w:pStyle w:val="TableText"/>
              <w:ind w:left="743"/>
              <w:spacing w:before="82" w:line="159" w:lineRule="auto"/>
              <w:rPr/>
            </w:pPr>
            <w:r>
              <w:rPr>
                <w:color w:val="231F20"/>
                <w:spacing w:val="-6"/>
              </w:rPr>
              <w:t>3.268</w:t>
            </w:r>
          </w:p>
        </w:tc>
        <w:tc>
          <w:tcPr>
            <w:tcW w:w="927" w:type="dxa"/>
            <w:vAlign w:val="top"/>
          </w:tcPr>
          <w:p>
            <w:pPr>
              <w:pStyle w:val="TableText"/>
              <w:spacing w:before="82" w:line="159" w:lineRule="auto"/>
              <w:jc w:val="right"/>
              <w:rPr/>
            </w:pPr>
            <w:r>
              <w:rPr>
                <w:color w:val="231F20"/>
                <w:spacing w:val="-10"/>
              </w:rPr>
              <w:t>0</w:t>
            </w:r>
            <w:r>
              <w:rPr>
                <w:color w:val="231F20"/>
                <w:spacing w:val="-9"/>
              </w:rPr>
              <w:t>.00</w:t>
            </w:r>
            <w:r>
              <w:rPr>
                <w:color w:val="231F20"/>
                <w:spacing w:val="-3"/>
              </w:rPr>
              <w:t>4</w:t>
            </w:r>
          </w:p>
        </w:tc>
      </w:tr>
      <w:tr>
        <w:trPr>
          <w:trHeight w:val="260" w:hRule="atLeast"/>
        </w:trPr>
        <w:tc>
          <w:tcPr>
            <w:tcW w:w="2200" w:type="dxa"/>
            <w:vAlign w:val="top"/>
          </w:tcPr>
          <w:p>
            <w:pPr>
              <w:pStyle w:val="TableText"/>
              <w:ind w:left="1"/>
              <w:spacing w:before="52" w:line="184" w:lineRule="auto"/>
              <w:rPr/>
            </w:pPr>
            <w:r>
              <w:rPr>
                <w:color w:val="231F20"/>
                <w:spacing w:val="-4"/>
              </w:rPr>
              <w:t>腹腔包块（有）</w:t>
            </w:r>
          </w:p>
        </w:tc>
        <w:tc>
          <w:tcPr>
            <w:tcW w:w="1666" w:type="dxa"/>
            <w:vAlign w:val="top"/>
          </w:tcPr>
          <w:p>
            <w:pPr>
              <w:pStyle w:val="TableText"/>
              <w:ind w:left="676"/>
              <w:spacing w:before="83" w:line="167" w:lineRule="exact"/>
              <w:rPr/>
            </w:pPr>
            <w:r>
              <w:rPr>
                <w:color w:val="231F20"/>
                <w:spacing w:val="-9"/>
                <w:position w:val="-1"/>
              </w:rPr>
              <w:t>1.686</w:t>
            </w:r>
          </w:p>
        </w:tc>
        <w:tc>
          <w:tcPr>
            <w:tcW w:w="1504" w:type="dxa"/>
            <w:vAlign w:val="top"/>
          </w:tcPr>
          <w:p>
            <w:pPr>
              <w:pStyle w:val="TableText"/>
              <w:ind w:left="580"/>
              <w:spacing w:before="83" w:line="167" w:lineRule="exact"/>
              <w:rPr/>
            </w:pPr>
            <w:r>
              <w:rPr>
                <w:color w:val="231F20"/>
                <w:spacing w:val="-6"/>
                <w:position w:val="-1"/>
              </w:rPr>
              <w:t>0.720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647"/>
              <w:spacing w:before="83" w:line="167" w:lineRule="exact"/>
              <w:rPr/>
            </w:pPr>
            <w:r>
              <w:rPr>
                <w:color w:val="231F20"/>
                <w:spacing w:val="-6"/>
                <w:position w:val="-1"/>
              </w:rPr>
              <w:t>5.489</w:t>
            </w:r>
          </w:p>
        </w:tc>
        <w:tc>
          <w:tcPr>
            <w:tcW w:w="1779" w:type="dxa"/>
            <w:vAlign w:val="top"/>
          </w:tcPr>
          <w:p>
            <w:pPr>
              <w:pStyle w:val="TableText"/>
              <w:ind w:left="742"/>
              <w:spacing w:before="83" w:line="167" w:lineRule="exact"/>
              <w:rPr/>
            </w:pPr>
            <w:r>
              <w:rPr>
                <w:color w:val="231F20"/>
                <w:spacing w:val="-6"/>
                <w:position w:val="-1"/>
              </w:rPr>
              <w:t>5.396</w:t>
            </w:r>
          </w:p>
        </w:tc>
        <w:tc>
          <w:tcPr>
            <w:tcW w:w="927" w:type="dxa"/>
            <w:vAlign w:val="top"/>
          </w:tcPr>
          <w:p>
            <w:pPr>
              <w:pStyle w:val="TableText"/>
              <w:spacing w:before="83" w:line="167" w:lineRule="exact"/>
              <w:jc w:val="right"/>
              <w:rPr/>
            </w:pPr>
            <w:r>
              <w:rPr>
                <w:color w:val="231F20"/>
                <w:spacing w:val="-8"/>
                <w:position w:val="-1"/>
              </w:rPr>
              <w:t>0.019</w:t>
            </w:r>
          </w:p>
        </w:tc>
      </w:tr>
      <w:tr>
        <w:trPr>
          <w:trHeight w:val="262" w:hRule="atLeast"/>
        </w:trPr>
        <w:tc>
          <w:tcPr>
            <w:tcW w:w="2200" w:type="dxa"/>
            <w:vAlign w:val="top"/>
          </w:tcPr>
          <w:p>
            <w:pPr>
              <w:pStyle w:val="TableText"/>
              <w:spacing w:before="64" w:line="175" w:lineRule="auto"/>
              <w:rPr/>
            </w:pPr>
            <w:r>
              <w:rPr>
                <w:color w:val="231F20"/>
                <w:spacing w:val="5"/>
              </w:rPr>
              <w:t>套叠肠管宽度(≥2.5 </w:t>
            </w:r>
            <w:r>
              <w:rPr>
                <w:color w:val="231F20"/>
              </w:rPr>
              <w:t>cm</w:t>
            </w:r>
            <w:r>
              <w:rPr>
                <w:color w:val="231F20"/>
                <w:spacing w:val="5"/>
              </w:rPr>
              <w:t>）</w:t>
            </w:r>
          </w:p>
        </w:tc>
        <w:tc>
          <w:tcPr>
            <w:tcW w:w="1666" w:type="dxa"/>
            <w:vAlign w:val="top"/>
          </w:tcPr>
          <w:p>
            <w:pPr>
              <w:pStyle w:val="TableText"/>
              <w:ind w:left="676"/>
              <w:spacing w:before="87" w:line="164" w:lineRule="exact"/>
              <w:rPr/>
            </w:pPr>
            <w:r>
              <w:rPr>
                <w:color w:val="231F20"/>
                <w:spacing w:val="-9"/>
                <w:position w:val="-1"/>
              </w:rPr>
              <w:t>1.650</w:t>
            </w:r>
          </w:p>
        </w:tc>
        <w:tc>
          <w:tcPr>
            <w:tcW w:w="1504" w:type="dxa"/>
            <w:vAlign w:val="top"/>
          </w:tcPr>
          <w:p>
            <w:pPr>
              <w:pStyle w:val="TableText"/>
              <w:ind w:left="580"/>
              <w:spacing w:before="87" w:line="164" w:lineRule="exact"/>
              <w:rPr/>
            </w:pPr>
            <w:r>
              <w:rPr>
                <w:color w:val="231F20"/>
                <w:spacing w:val="-6"/>
                <w:position w:val="-1"/>
              </w:rPr>
              <w:t>0.389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580"/>
              <w:spacing w:before="87" w:line="164" w:lineRule="exact"/>
              <w:rPr/>
            </w:pPr>
            <w:r>
              <w:rPr>
                <w:color w:val="231F20"/>
                <w:spacing w:val="-9"/>
                <w:position w:val="-1"/>
              </w:rPr>
              <w:t>16.587</w:t>
            </w:r>
          </w:p>
        </w:tc>
        <w:tc>
          <w:tcPr>
            <w:tcW w:w="1779" w:type="dxa"/>
            <w:vAlign w:val="top"/>
          </w:tcPr>
          <w:p>
            <w:pPr>
              <w:pStyle w:val="TableText"/>
              <w:ind w:left="742"/>
              <w:spacing w:before="87" w:line="164" w:lineRule="exact"/>
              <w:rPr/>
            </w:pPr>
            <w:r>
              <w:rPr>
                <w:color w:val="231F20"/>
                <w:spacing w:val="-6"/>
                <w:position w:val="-1"/>
              </w:rPr>
              <w:t>6.204</w:t>
            </w:r>
          </w:p>
        </w:tc>
        <w:tc>
          <w:tcPr>
            <w:tcW w:w="927" w:type="dxa"/>
            <w:vAlign w:val="top"/>
          </w:tcPr>
          <w:p>
            <w:pPr>
              <w:pStyle w:val="TableText"/>
              <w:spacing w:before="87" w:line="164" w:lineRule="exact"/>
              <w:jc w:val="right"/>
              <w:rPr/>
            </w:pPr>
            <w:r>
              <w:rPr>
                <w:color w:val="231F20"/>
                <w:spacing w:val="-8"/>
                <w:position w:val="-1"/>
              </w:rPr>
              <w:t>0.012</w:t>
            </w:r>
          </w:p>
        </w:tc>
      </w:tr>
      <w:tr>
        <w:trPr>
          <w:trHeight w:val="262" w:hRule="atLeast"/>
        </w:trPr>
        <w:tc>
          <w:tcPr>
            <w:tcW w:w="2200" w:type="dxa"/>
            <w:vAlign w:val="top"/>
          </w:tcPr>
          <w:p>
            <w:pPr>
              <w:pStyle w:val="TableText"/>
              <w:spacing w:before="65" w:line="174" w:lineRule="auto"/>
              <w:rPr/>
            </w:pPr>
            <w:r>
              <w:rPr>
                <w:color w:val="231F20"/>
                <w:spacing w:val="5"/>
              </w:rPr>
              <w:t>套叠肠管长径(≥3.5 </w:t>
            </w:r>
            <w:r>
              <w:rPr>
                <w:color w:val="231F20"/>
              </w:rPr>
              <w:t>cm</w:t>
            </w:r>
            <w:r>
              <w:rPr>
                <w:color w:val="231F20"/>
                <w:spacing w:val="5"/>
              </w:rPr>
              <w:t>）</w:t>
            </w:r>
          </w:p>
        </w:tc>
        <w:tc>
          <w:tcPr>
            <w:tcW w:w="1666" w:type="dxa"/>
            <w:vAlign w:val="top"/>
          </w:tcPr>
          <w:p>
            <w:pPr>
              <w:pStyle w:val="TableText"/>
              <w:ind w:left="676"/>
              <w:spacing w:before="91" w:line="160" w:lineRule="exact"/>
              <w:rPr/>
            </w:pPr>
            <w:r>
              <w:rPr>
                <w:color w:val="231F20"/>
                <w:spacing w:val="-9"/>
                <w:position w:val="-1"/>
              </w:rPr>
              <w:t>1.479</w:t>
            </w:r>
          </w:p>
        </w:tc>
        <w:tc>
          <w:tcPr>
            <w:tcW w:w="1504" w:type="dxa"/>
            <w:vAlign w:val="top"/>
          </w:tcPr>
          <w:p>
            <w:pPr>
              <w:pStyle w:val="TableText"/>
              <w:ind w:left="580"/>
              <w:spacing w:before="91" w:line="160" w:lineRule="exact"/>
              <w:rPr/>
            </w:pPr>
            <w:r>
              <w:rPr>
                <w:color w:val="231F20"/>
                <w:spacing w:val="-6"/>
                <w:position w:val="-1"/>
              </w:rPr>
              <w:t>0.348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580"/>
              <w:spacing w:before="91" w:line="160" w:lineRule="exact"/>
              <w:rPr/>
            </w:pPr>
            <w:r>
              <w:rPr>
                <w:color w:val="231F20"/>
                <w:spacing w:val="-9"/>
                <w:position w:val="-1"/>
              </w:rPr>
              <w:t>13.613</w:t>
            </w:r>
          </w:p>
        </w:tc>
        <w:tc>
          <w:tcPr>
            <w:tcW w:w="1779" w:type="dxa"/>
            <w:vAlign w:val="top"/>
          </w:tcPr>
          <w:p>
            <w:pPr>
              <w:pStyle w:val="TableText"/>
              <w:ind w:left="742"/>
              <w:spacing w:before="91" w:line="160" w:lineRule="exact"/>
              <w:rPr/>
            </w:pPr>
            <w:r>
              <w:rPr>
                <w:color w:val="231F20"/>
                <w:spacing w:val="-6"/>
                <w:position w:val="-1"/>
              </w:rPr>
              <w:t>5.745</w:t>
            </w:r>
          </w:p>
        </w:tc>
        <w:tc>
          <w:tcPr>
            <w:tcW w:w="927" w:type="dxa"/>
            <w:vAlign w:val="top"/>
          </w:tcPr>
          <w:p>
            <w:pPr>
              <w:pStyle w:val="TableText"/>
              <w:spacing w:before="91" w:line="160" w:lineRule="exact"/>
              <w:jc w:val="right"/>
              <w:rPr/>
            </w:pPr>
            <w:r>
              <w:rPr>
                <w:color w:val="231F20"/>
                <w:spacing w:val="-8"/>
                <w:position w:val="-1"/>
              </w:rPr>
              <w:t>0.012</w:t>
            </w:r>
          </w:p>
        </w:tc>
      </w:tr>
      <w:tr>
        <w:trPr>
          <w:trHeight w:val="292" w:hRule="atLeast"/>
        </w:trPr>
        <w:tc>
          <w:tcPr>
            <w:tcW w:w="220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"/>
              <w:spacing w:before="68" w:line="187" w:lineRule="auto"/>
              <w:rPr/>
            </w:pPr>
            <w:r>
              <w:rPr>
                <w:color w:val="231F20"/>
                <w:spacing w:val="-7"/>
              </w:rPr>
              <w:t>果酱便（有）</w:t>
            </w:r>
          </w:p>
        </w:tc>
        <w:tc>
          <w:tcPr>
            <w:tcW w:w="166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63"/>
              <w:spacing w:before="93" w:line="176" w:lineRule="auto"/>
              <w:rPr/>
            </w:pPr>
            <w:r>
              <w:rPr>
                <w:color w:val="231F20"/>
                <w:spacing w:val="-6"/>
              </w:rPr>
              <w:t>2.658</w:t>
            </w:r>
          </w:p>
        </w:tc>
        <w:tc>
          <w:tcPr>
            <w:tcW w:w="150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80"/>
              <w:spacing w:before="93" w:line="176" w:lineRule="auto"/>
              <w:rPr/>
            </w:pPr>
            <w:r>
              <w:rPr>
                <w:color w:val="231F20"/>
                <w:spacing w:val="-6"/>
              </w:rPr>
              <w:t>0.695</w:t>
            </w:r>
          </w:p>
        </w:tc>
        <w:tc>
          <w:tcPr>
            <w:tcW w:w="156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80"/>
              <w:spacing w:before="93" w:line="176" w:lineRule="auto"/>
              <w:rPr/>
            </w:pPr>
            <w:r>
              <w:rPr>
                <w:color w:val="231F20"/>
                <w:spacing w:val="-9"/>
              </w:rPr>
              <w:t>14.567</w:t>
            </w:r>
          </w:p>
        </w:tc>
        <w:tc>
          <w:tcPr>
            <w:tcW w:w="177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46"/>
              <w:spacing w:before="93" w:line="176" w:lineRule="auto"/>
              <w:rPr/>
            </w:pPr>
            <w:r>
              <w:rPr>
                <w:color w:val="231F20"/>
                <w:spacing w:val="-7"/>
              </w:rPr>
              <w:t>8.596</w:t>
            </w:r>
          </w:p>
        </w:tc>
        <w:tc>
          <w:tcPr>
            <w:tcW w:w="92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spacing w:before="93" w:line="176" w:lineRule="auto"/>
              <w:jc w:val="right"/>
              <w:rPr/>
            </w:pPr>
            <w:r>
              <w:rPr>
                <w:color w:val="231F20"/>
                <w:spacing w:val="-11"/>
              </w:rPr>
              <w:t>&lt;0.001</w:t>
            </w:r>
          </w:p>
        </w:tc>
      </w:tr>
    </w:tbl>
    <w:p>
      <w:pPr>
        <w:pStyle w:val="BodyText"/>
        <w:ind w:left="107"/>
        <w:spacing w:before="63" w:line="166" w:lineRule="exact"/>
        <w:rPr>
          <w:sz w:val="15"/>
          <w:szCs w:val="15"/>
        </w:rPr>
      </w:pPr>
      <w:r>
        <w:rPr>
          <w:sz w:val="15"/>
          <w:szCs w:val="15"/>
          <w:color w:val="231F20"/>
        </w:rPr>
        <w:t>注：SBI 为小肠型肠套叠</w:t>
      </w:r>
    </w:p>
    <w:p>
      <w:pPr>
        <w:spacing w:line="166" w:lineRule="exact"/>
        <w:sectPr>
          <w:type w:val="continuous"/>
          <w:pgSz w:w="11905" w:h="16156"/>
          <w:pgMar w:top="1301" w:right="1046" w:bottom="0" w:left="1032" w:header="1026" w:footer="0" w:gutter="0"/>
          <w:cols w:equalWidth="0" w:num="1">
            <w:col w:w="9826" w:space="0"/>
          </w:cols>
        </w:sectPr>
        <w:rPr>
          <w:sz w:val="15"/>
          <w:szCs w:val="15"/>
        </w:rPr>
      </w:pPr>
    </w:p>
    <w:p>
      <w:pPr>
        <w:spacing w:line="227" w:lineRule="exact"/>
        <w:rPr/>
      </w:pPr>
      <w:r/>
    </w:p>
    <w:p>
      <w:pPr>
        <w:spacing w:line="227" w:lineRule="exact"/>
        <w:sectPr>
          <w:headerReference w:type="default" r:id="rId3"/>
          <w:pgSz w:w="11905" w:h="16156"/>
          <w:pgMar w:top="1301" w:right="1055" w:bottom="0" w:left="1045" w:header="1026" w:footer="0" w:gutter="0"/>
          <w:cols w:equalWidth="0" w:num="1">
            <w:col w:w="9803" w:space="0"/>
          </w:cols>
        </w:sectPr>
        <w:rPr/>
      </w:pPr>
    </w:p>
    <w:p>
      <w:pPr>
        <w:ind w:firstLine="738"/>
        <w:spacing w:before="56" w:line="2526" w:lineRule="exact"/>
        <w:rPr/>
      </w:pPr>
      <w:r>
        <w:rPr>
          <w:position w:val="-50"/>
        </w:rPr>
        <w:drawing>
          <wp:inline distT="0" distB="0" distL="0" distR="0">
            <wp:extent cx="2139725" cy="1603838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9725" cy="160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51"/>
        <w:spacing w:before="91" w:line="189" w:lineRule="auto"/>
        <w:outlineLvl w:val="0"/>
        <w:rPr>
          <w:sz w:val="17"/>
          <w:szCs w:val="17"/>
        </w:rPr>
      </w:pPr>
      <w:r>
        <w:rPr>
          <w:sz w:val="17"/>
          <w:szCs w:val="17"/>
          <w:color w:val="231F20"/>
          <w:spacing w:val="-7"/>
        </w:rPr>
        <w:t>图</w:t>
      </w:r>
      <w:r>
        <w:rPr>
          <w:sz w:val="17"/>
          <w:szCs w:val="17"/>
          <w:color w:val="231F20"/>
          <w:spacing w:val="24"/>
          <w:w w:val="101"/>
        </w:rPr>
        <w:t xml:space="preserve"> </w:t>
      </w:r>
      <w:r>
        <w:rPr>
          <w:sz w:val="17"/>
          <w:szCs w:val="17"/>
          <w:color w:val="231F20"/>
          <w:spacing w:val="-7"/>
        </w:rPr>
        <w:t>1</w:t>
      </w:r>
      <w:r>
        <w:rPr>
          <w:sz w:val="17"/>
          <w:szCs w:val="17"/>
          <w:color w:val="231F20"/>
          <w:spacing w:val="12"/>
        </w:rPr>
        <w:t xml:space="preserve">   </w:t>
      </w:r>
      <w:r>
        <w:rPr>
          <w:sz w:val="17"/>
          <w:szCs w:val="17"/>
          <w:color w:val="231F20"/>
          <w:spacing w:val="-7"/>
        </w:rPr>
        <w:t>SBI 横切面图（同心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-7"/>
        </w:rPr>
        <w:t>圆征）</w:t>
      </w:r>
    </w:p>
    <w:p>
      <w:pPr>
        <w:pStyle w:val="BodyText"/>
        <w:ind w:left="97"/>
        <w:spacing w:before="54" w:line="193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3"/>
        </w:rPr>
        <w:t>注：SBI 为小肠型肠套叠</w:t>
      </w:r>
    </w:p>
    <w:p>
      <w:pPr>
        <w:ind w:firstLine="724"/>
        <w:spacing w:before="114" w:line="2596" w:lineRule="exact"/>
        <w:rPr/>
      </w:pPr>
      <w:r>
        <w:rPr>
          <w:position w:val="-51"/>
        </w:rPr>
        <w:drawing>
          <wp:inline distT="0" distB="0" distL="0" distR="0">
            <wp:extent cx="2160926" cy="164835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60926" cy="16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42"/>
        <w:spacing w:before="80" w:line="189" w:lineRule="auto"/>
        <w:outlineLvl w:val="0"/>
        <w:rPr>
          <w:sz w:val="17"/>
          <w:szCs w:val="17"/>
        </w:rPr>
      </w:pPr>
      <w:r>
        <w:rPr>
          <w:sz w:val="17"/>
          <w:szCs w:val="17"/>
          <w:color w:val="231F20"/>
          <w:spacing w:val="-5"/>
        </w:rPr>
        <w:t>图 2</w:t>
      </w:r>
      <w:r>
        <w:rPr>
          <w:sz w:val="17"/>
          <w:szCs w:val="17"/>
          <w:color w:val="231F20"/>
          <w:spacing w:val="15"/>
          <w:w w:val="101"/>
        </w:rPr>
        <w:t xml:space="preserve">   </w:t>
      </w:r>
      <w:r>
        <w:rPr>
          <w:sz w:val="17"/>
          <w:szCs w:val="17"/>
          <w:color w:val="231F20"/>
          <w:spacing w:val="-5"/>
        </w:rPr>
        <w:t>SBI 纵切面图（套筒征）</w:t>
      </w:r>
    </w:p>
    <w:p>
      <w:pPr>
        <w:pStyle w:val="BodyText"/>
        <w:ind w:left="100"/>
        <w:spacing w:before="54" w:line="193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3"/>
        </w:rPr>
        <w:t>注：SBI 为小肠型肠套叠</w:t>
      </w:r>
    </w:p>
    <w:p>
      <w:pPr>
        <w:pStyle w:val="BodyText"/>
        <w:ind w:left="87" w:right="53" w:firstLine="2"/>
        <w:spacing w:before="91" w:line="221" w:lineRule="auto"/>
        <w:jc w:val="both"/>
        <w:rPr/>
      </w:pPr>
      <w:r>
        <w:rPr>
          <w:color w:val="231F20"/>
          <w:spacing w:val="10"/>
        </w:rPr>
        <w:t>究表明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0"/>
        </w:rPr>
        <w:t>，决定患儿是否应该采取复位治疗的重要因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素为套叠直径&lt;2.5 cm 或套叠长度&lt;3.0 cm，与本研究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1"/>
        </w:rPr>
        <w:t>课题的结果相符合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1"/>
        </w:rPr>
        <w:t>。腹腔包块是肠套叠的主要体征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之一，但 </w:t>
      </w:r>
      <w:r>
        <w:rPr>
          <w:color w:val="231F20"/>
        </w:rPr>
        <w:t>TSBI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5"/>
        </w:rPr>
        <w:t>的肠套叠一般较小，临床医生常规检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查时很难发现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，需借助超声等影像学检查来鉴别</w:t>
      </w:r>
      <w:r>
        <w:rPr>
          <w:sz w:val="11"/>
          <w:szCs w:val="11"/>
          <w:color w:val="231F20"/>
          <w:spacing w:val="4"/>
          <w:position w:val="7"/>
        </w:rPr>
        <w:t>[1</w:t>
      </w:r>
      <w:r>
        <w:rPr>
          <w:sz w:val="11"/>
          <w:szCs w:val="11"/>
          <w:color w:val="231F20"/>
          <w:spacing w:val="3"/>
          <w:position w:val="7"/>
        </w:rPr>
        <w:t>2]</w:t>
      </w:r>
      <w:r>
        <w:rPr>
          <w:color w:val="231F20"/>
          <w:spacing w:val="3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本研究中对照组临床医生能触及的腹腔包块者仅 2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例，约占 5.6%，明显少于治疗组（P&lt;0.05）。治疗组患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儿中 21 例可触及腹部包块，占 63.6%。腹腔胃肠道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0"/>
        </w:rPr>
        <w:t>的炎症是 </w:t>
      </w:r>
      <w:r>
        <w:rPr>
          <w:color w:val="231F20"/>
        </w:rPr>
        <w:t>SBI</w:t>
      </w:r>
      <w:r>
        <w:rPr>
          <w:color w:val="231F20"/>
          <w:spacing w:val="10"/>
        </w:rPr>
        <w:t xml:space="preserve"> 主要的诱发因素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0"/>
        </w:rPr>
        <w:t>，局部肠管炎症如未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得到及时有效地干预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1"/>
        </w:rPr>
        <w:t>，常表现为局部肠蠕动</w:t>
      </w:r>
      <w:r>
        <w:rPr>
          <w:color w:val="231F20"/>
          <w:spacing w:val="10"/>
        </w:rPr>
        <w:t>功能紊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乱，易导致腹腔内局部肠管的套叠，也可影响 SBI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7"/>
        </w:rPr>
        <w:t>自发</w:t>
      </w:r>
      <w:r>
        <w:rPr>
          <w:color w:val="231F20"/>
        </w:rPr>
        <w:t xml:space="preserve">  </w:t>
      </w:r>
      <w:r>
        <w:rPr>
          <w:color w:val="231F20"/>
          <w:spacing w:val="-7"/>
          <w:position w:val="-2"/>
        </w:rPr>
        <w:t>复位</w:t>
      </w:r>
      <w:r>
        <w:rPr>
          <w:sz w:val="11"/>
          <w:szCs w:val="11"/>
          <w:color w:val="231F20"/>
          <w:spacing w:val="-7"/>
          <w:position w:val="4"/>
        </w:rPr>
        <w:t>[13]</w:t>
      </w:r>
      <w:r>
        <w:rPr>
          <w:color w:val="231F20"/>
          <w:spacing w:val="-7"/>
          <w:position w:val="-2"/>
        </w:rPr>
        <w:t>。</w:t>
      </w:r>
    </w:p>
    <w:p>
      <w:pPr>
        <w:pStyle w:val="BodyText"/>
        <w:ind w:left="90" w:right="116" w:firstLine="421"/>
        <w:spacing w:before="1" w:line="220" w:lineRule="auto"/>
        <w:jc w:val="both"/>
        <w:rPr/>
      </w:pPr>
      <w:r>
        <w:rPr>
          <w:color w:val="231F20"/>
          <w:spacing w:val="1"/>
        </w:rPr>
        <w:t>本研究存在一定的局限性：儿童 </w:t>
      </w:r>
      <w:r>
        <w:rPr>
          <w:color w:val="231F20"/>
        </w:rPr>
        <w:t>SBI</w:t>
      </w:r>
      <w:r>
        <w:rPr>
          <w:color w:val="231F20"/>
          <w:spacing w:val="1"/>
        </w:rPr>
        <w:t xml:space="preserve"> 的诊断大多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3"/>
        </w:rPr>
        <w:t>数是建立在超声诊断基础上，对图像质量不良或患儿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3"/>
        </w:rPr>
        <w:t>不配合者，可能会造成诊断的偏差，对操作者的熟练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3"/>
        </w:rPr>
        <w:t>程度具有较大的依赖性。本研究是单中心初期的探索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"/>
        </w:rPr>
        <w:t>性研究，有待于进一步多中心扩大样本的深入研究。</w:t>
      </w:r>
    </w:p>
    <w:p>
      <w:pPr>
        <w:pStyle w:val="BodyText"/>
        <w:ind w:left="88" w:right="116" w:firstLine="423"/>
        <w:spacing w:before="2" w:line="205" w:lineRule="auto"/>
        <w:jc w:val="both"/>
        <w:rPr/>
      </w:pPr>
      <w:r>
        <w:rPr>
          <w:color w:val="231F20"/>
          <w:spacing w:val="9"/>
        </w:rPr>
        <w:t>综上所述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9"/>
        </w:rPr>
        <w:t>，超声检查是儿童 </w:t>
      </w:r>
      <w:r>
        <w:rPr>
          <w:color w:val="231F20"/>
        </w:rPr>
        <w:t>SBI</w:t>
      </w:r>
      <w:r>
        <w:rPr>
          <w:color w:val="231F20"/>
          <w:spacing w:val="9"/>
        </w:rPr>
        <w:t xml:space="preserve"> 诊断与治疗随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访比较准确且安全有效的影像学方法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0"/>
        </w:rPr>
        <w:t>，儿童 </w:t>
      </w:r>
      <w:r>
        <w:rPr>
          <w:color w:val="231F20"/>
        </w:rPr>
        <w:t>SBI</w:t>
      </w:r>
      <w:r>
        <w:rPr>
          <w:color w:val="231F20"/>
          <w:spacing w:val="9"/>
        </w:rPr>
        <w:t xml:space="preserve"> 多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为暂时性，有较大自发复位的可能，可在超声监测下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3"/>
        </w:rPr>
        <w:t>观察肠套叠变化，做内科对症处理。如超声监测过程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3"/>
        </w:rPr>
        <w:t>中出现套叠呈持续性，不能自发复位，需及时手术干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1" w:right="76" w:firstLine="1"/>
        <w:spacing w:before="43" w:line="226" w:lineRule="auto"/>
        <w:jc w:val="both"/>
        <w:rPr/>
      </w:pPr>
      <w:r>
        <w:rPr>
          <w:color w:val="231F20"/>
          <w:spacing w:val="-6"/>
        </w:rPr>
        <w:t>预治疗。炎症、腹痛持续时间、腹腔包块、果酱便、套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14"/>
        </w:rPr>
        <w:t>叠肠管大小是影响</w:t>
      </w:r>
      <w:r>
        <w:rPr>
          <w:color w:val="231F20"/>
        </w:rPr>
        <w:t>SBI</w:t>
      </w:r>
      <w:r>
        <w:rPr>
          <w:color w:val="231F20"/>
          <w:spacing w:val="14"/>
        </w:rPr>
        <w:t xml:space="preserve"> 患儿自发复位的主要危险因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素，是预测是否应手术干预治疗的重要影响因素。</w:t>
      </w:r>
    </w:p>
    <w:p>
      <w:pPr>
        <w:pStyle w:val="BodyText"/>
        <w:ind w:left="1785"/>
        <w:spacing w:before="163" w:line="187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1"/>
        </w:rPr>
        <w:t>参</w:t>
      </w:r>
      <w:r>
        <w:rPr>
          <w:sz w:val="17"/>
          <w:szCs w:val="17"/>
          <w:color w:val="231F20"/>
          <w:spacing w:val="12"/>
          <w:w w:val="101"/>
        </w:rPr>
        <w:t xml:space="preserve">   </w:t>
      </w:r>
      <w:r>
        <w:rPr>
          <w:sz w:val="17"/>
          <w:szCs w:val="17"/>
          <w:color w:val="231F20"/>
          <w:spacing w:val="-1"/>
        </w:rPr>
        <w:t>考</w:t>
      </w:r>
      <w:r>
        <w:rPr>
          <w:sz w:val="17"/>
          <w:szCs w:val="17"/>
          <w:color w:val="231F20"/>
          <w:spacing w:val="13"/>
        </w:rPr>
        <w:t xml:space="preserve">   </w:t>
      </w:r>
      <w:r>
        <w:rPr>
          <w:sz w:val="17"/>
          <w:szCs w:val="17"/>
          <w:color w:val="231F20"/>
          <w:spacing w:val="-1"/>
        </w:rPr>
        <w:t>文</w:t>
      </w:r>
      <w:r>
        <w:rPr>
          <w:sz w:val="17"/>
          <w:szCs w:val="17"/>
          <w:color w:val="231F20"/>
          <w:spacing w:val="12"/>
        </w:rPr>
        <w:t xml:space="preserve">   </w:t>
      </w:r>
      <w:r>
        <w:rPr>
          <w:sz w:val="17"/>
          <w:szCs w:val="17"/>
          <w:color w:val="231F20"/>
          <w:spacing w:val="-1"/>
        </w:rPr>
        <w:t>献</w:t>
      </w:r>
    </w:p>
    <w:p>
      <w:pPr>
        <w:pStyle w:val="BodyText"/>
        <w:ind w:left="435" w:right="34" w:hanging="436"/>
        <w:spacing w:before="229" w:line="228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14"/>
        </w:rPr>
        <w:t>［1］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sz w:val="17"/>
          <w:szCs w:val="17"/>
          <w:color w:val="231F20"/>
          <w:spacing w:val="-14"/>
        </w:rPr>
        <w:t>Takada</w:t>
      </w:r>
      <w:r>
        <w:rPr>
          <w:sz w:val="17"/>
          <w:szCs w:val="17"/>
          <w:color w:val="231F20"/>
          <w:spacing w:val="29"/>
        </w:rPr>
        <w:t xml:space="preserve"> </w:t>
      </w:r>
      <w:r>
        <w:rPr>
          <w:sz w:val="17"/>
          <w:szCs w:val="17"/>
          <w:color w:val="231F20"/>
          <w:spacing w:val="-14"/>
        </w:rPr>
        <w:t>K，Fujimoto</w:t>
      </w:r>
      <w:r>
        <w:rPr>
          <w:sz w:val="17"/>
          <w:szCs w:val="17"/>
          <w:color w:val="231F20"/>
          <w:spacing w:val="28"/>
        </w:rPr>
        <w:t xml:space="preserve"> </w:t>
      </w:r>
      <w:r>
        <w:rPr>
          <w:sz w:val="17"/>
          <w:szCs w:val="17"/>
          <w:color w:val="231F20"/>
          <w:spacing w:val="-14"/>
        </w:rPr>
        <w:t>N，Ozeki</w:t>
      </w:r>
      <w:r>
        <w:rPr>
          <w:sz w:val="17"/>
          <w:szCs w:val="17"/>
          <w:color w:val="231F20"/>
          <w:spacing w:val="23"/>
          <w:w w:val="101"/>
        </w:rPr>
        <w:t xml:space="preserve"> </w:t>
      </w:r>
      <w:r>
        <w:rPr>
          <w:sz w:val="17"/>
          <w:szCs w:val="17"/>
          <w:color w:val="231F20"/>
          <w:spacing w:val="-14"/>
        </w:rPr>
        <w:t>T，et</w:t>
      </w:r>
      <w:r>
        <w:rPr>
          <w:sz w:val="17"/>
          <w:szCs w:val="17"/>
          <w:color w:val="231F20"/>
          <w:spacing w:val="27"/>
          <w:w w:val="101"/>
        </w:rPr>
        <w:t xml:space="preserve"> </w:t>
      </w:r>
      <w:r>
        <w:rPr>
          <w:sz w:val="17"/>
          <w:szCs w:val="17"/>
          <w:color w:val="231F20"/>
          <w:spacing w:val="-14"/>
        </w:rPr>
        <w:t>al.Small</w:t>
      </w:r>
      <w:r>
        <w:rPr>
          <w:sz w:val="17"/>
          <w:szCs w:val="17"/>
          <w:color w:val="231F20"/>
          <w:spacing w:val="29"/>
        </w:rPr>
        <w:t xml:space="preserve"> </w:t>
      </w:r>
      <w:r>
        <w:rPr>
          <w:sz w:val="17"/>
          <w:szCs w:val="17"/>
          <w:color w:val="231F20"/>
          <w:spacing w:val="-14"/>
        </w:rPr>
        <w:t>intestinal</w:t>
      </w:r>
      <w:r>
        <w:rPr>
          <w:sz w:val="17"/>
          <w:szCs w:val="17"/>
          <w:color w:val="231F20"/>
          <w:spacing w:val="29"/>
          <w:w w:val="101"/>
        </w:rPr>
        <w:t xml:space="preserve"> </w:t>
      </w:r>
      <w:r>
        <w:rPr>
          <w:sz w:val="17"/>
          <w:szCs w:val="17"/>
          <w:color w:val="231F20"/>
          <w:spacing w:val="-14"/>
        </w:rPr>
        <w:t>intu</w:t>
      </w:r>
      <w:r>
        <w:rPr>
          <w:sz w:val="17"/>
          <w:szCs w:val="17"/>
          <w:color w:val="231F20"/>
          <w:spacing w:val="-15"/>
        </w:rPr>
        <w:t>s-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6"/>
        </w:rPr>
        <w:t>susception</w:t>
      </w:r>
      <w:r>
        <w:rPr>
          <w:sz w:val="17"/>
          <w:szCs w:val="17"/>
          <w:color w:val="231F20"/>
          <w:spacing w:val="19"/>
        </w:rPr>
        <w:t xml:space="preserve"> </w:t>
      </w:r>
      <w:r>
        <w:rPr>
          <w:sz w:val="17"/>
          <w:szCs w:val="17"/>
          <w:color w:val="231F20"/>
          <w:spacing w:val="-16"/>
        </w:rPr>
        <w:t>in</w:t>
      </w:r>
      <w:r>
        <w:rPr>
          <w:sz w:val="17"/>
          <w:szCs w:val="17"/>
          <w:color w:val="231F20"/>
          <w:spacing w:val="17"/>
          <w:w w:val="101"/>
        </w:rPr>
        <w:t xml:space="preserve"> </w:t>
      </w:r>
      <w:r>
        <w:rPr>
          <w:sz w:val="17"/>
          <w:szCs w:val="17"/>
          <w:color w:val="231F20"/>
          <w:spacing w:val="-16"/>
        </w:rPr>
        <w:t>an</w:t>
      </w:r>
      <w:r>
        <w:rPr>
          <w:sz w:val="17"/>
          <w:szCs w:val="17"/>
          <w:color w:val="231F20"/>
          <w:spacing w:val="18"/>
        </w:rPr>
        <w:t xml:space="preserve"> </w:t>
      </w:r>
      <w:r>
        <w:rPr>
          <w:sz w:val="17"/>
          <w:szCs w:val="17"/>
          <w:color w:val="231F20"/>
          <w:spacing w:val="-16"/>
        </w:rPr>
        <w:t>adult［J］.J</w:t>
      </w:r>
      <w:r>
        <w:rPr>
          <w:sz w:val="17"/>
          <w:szCs w:val="17"/>
          <w:color w:val="231F20"/>
          <w:spacing w:val="22"/>
        </w:rPr>
        <w:t xml:space="preserve"> </w:t>
      </w:r>
      <w:r>
        <w:rPr>
          <w:sz w:val="17"/>
          <w:szCs w:val="17"/>
          <w:color w:val="231F20"/>
          <w:spacing w:val="-16"/>
        </w:rPr>
        <w:t>Clini</w:t>
      </w:r>
      <w:r>
        <w:rPr>
          <w:sz w:val="17"/>
          <w:szCs w:val="17"/>
          <w:color w:val="231F20"/>
          <w:spacing w:val="18"/>
        </w:rPr>
        <w:t xml:space="preserve"> </w:t>
      </w:r>
      <w:r>
        <w:rPr>
          <w:sz w:val="17"/>
          <w:szCs w:val="17"/>
          <w:color w:val="231F20"/>
          <w:spacing w:val="-16"/>
        </w:rPr>
        <w:t>Pathol，201</w:t>
      </w:r>
      <w:r>
        <w:rPr>
          <w:sz w:val="17"/>
          <w:szCs w:val="17"/>
          <w:color w:val="231F20"/>
          <w:spacing w:val="-17"/>
        </w:rPr>
        <w:t>9，72（7</w:t>
      </w:r>
      <w:r>
        <w:rPr>
          <w:sz w:val="17"/>
          <w:szCs w:val="17"/>
          <w:color w:val="231F20"/>
          <w:spacing w:val="-28"/>
          <w:w w:val="59"/>
        </w:rPr>
        <w:t>）：</w:t>
      </w:r>
      <w:r>
        <w:rPr>
          <w:sz w:val="17"/>
          <w:szCs w:val="17"/>
          <w:color w:val="231F20"/>
          <w:spacing w:val="-17"/>
        </w:rPr>
        <w:t>510-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-9"/>
        </w:rPr>
        <w:t>510.</w:t>
      </w:r>
    </w:p>
    <w:p>
      <w:pPr>
        <w:pStyle w:val="BodyText"/>
        <w:ind w:left="435" w:right="25" w:hanging="436"/>
        <w:spacing w:before="9" w:line="231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6"/>
        </w:rPr>
        <w:t>［2］董娟，杜建侠，秦鸣.超声对儿童回结肠型与小肠型肠套  </w:t>
      </w:r>
      <w:r>
        <w:rPr>
          <w:sz w:val="17"/>
          <w:szCs w:val="17"/>
          <w:color w:val="231F20"/>
          <w:spacing w:val="-11"/>
        </w:rPr>
        <w:t>叠的鉴别诊断价值［J］.临床超声医学杂志，</w:t>
      </w:r>
      <w:r>
        <w:rPr>
          <w:sz w:val="17"/>
          <w:szCs w:val="17"/>
          <w:color w:val="231F20"/>
          <w:spacing w:val="-12"/>
        </w:rPr>
        <w:t>2018，20（12</w:t>
      </w:r>
      <w:r>
        <w:rPr>
          <w:sz w:val="17"/>
          <w:szCs w:val="17"/>
          <w:color w:val="231F20"/>
          <w:spacing w:val="-44"/>
          <w:w w:val="93"/>
        </w:rPr>
        <w:t>）：</w:t>
      </w:r>
      <w:r>
        <w:rPr>
          <w:sz w:val="17"/>
          <w:szCs w:val="17"/>
          <w:color w:val="231F20"/>
          <w:spacing w:val="3"/>
        </w:rPr>
        <w:t xml:space="preserve"> </w:t>
      </w:r>
      <w:r>
        <w:rPr>
          <w:sz w:val="17"/>
          <w:szCs w:val="17"/>
          <w:color w:val="231F20"/>
          <w:spacing w:val="-6"/>
        </w:rPr>
        <w:t>854-856.</w:t>
      </w:r>
    </w:p>
    <w:p>
      <w:pPr>
        <w:pStyle w:val="BodyText"/>
        <w:ind w:left="437" w:right="23" w:hanging="437"/>
        <w:spacing w:before="20" w:line="228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14"/>
        </w:rPr>
        <w:t>［3］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sz w:val="17"/>
          <w:szCs w:val="17"/>
          <w:color w:val="231F20"/>
          <w:spacing w:val="-14"/>
        </w:rPr>
        <w:t>Charles</w:t>
      </w:r>
      <w:r>
        <w:rPr>
          <w:sz w:val="17"/>
          <w:szCs w:val="17"/>
          <w:color w:val="231F20"/>
          <w:spacing w:val="18"/>
        </w:rPr>
        <w:t xml:space="preserve"> </w:t>
      </w:r>
      <w:r>
        <w:rPr>
          <w:sz w:val="17"/>
          <w:szCs w:val="17"/>
          <w:color w:val="231F20"/>
          <w:spacing w:val="-14"/>
        </w:rPr>
        <w:t>T，Penninga</w:t>
      </w:r>
      <w:r>
        <w:rPr>
          <w:sz w:val="17"/>
          <w:szCs w:val="17"/>
          <w:color w:val="231F20"/>
          <w:spacing w:val="22"/>
        </w:rPr>
        <w:t xml:space="preserve"> </w:t>
      </w:r>
      <w:r>
        <w:rPr>
          <w:sz w:val="17"/>
          <w:szCs w:val="17"/>
          <w:color w:val="231F20"/>
          <w:spacing w:val="-14"/>
        </w:rPr>
        <w:t>L，Reurings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-14"/>
        </w:rPr>
        <w:t>JC，e</w:t>
      </w:r>
      <w:r>
        <w:rPr>
          <w:sz w:val="17"/>
          <w:szCs w:val="17"/>
          <w:color w:val="231F20"/>
          <w:spacing w:val="-15"/>
        </w:rPr>
        <w:t>t</w:t>
      </w:r>
      <w:r>
        <w:rPr>
          <w:sz w:val="17"/>
          <w:szCs w:val="17"/>
          <w:color w:val="231F20"/>
          <w:spacing w:val="22"/>
        </w:rPr>
        <w:t xml:space="preserve"> </w:t>
      </w:r>
      <w:r>
        <w:rPr>
          <w:sz w:val="17"/>
          <w:szCs w:val="17"/>
          <w:color w:val="231F20"/>
          <w:spacing w:val="-15"/>
        </w:rPr>
        <w:t>al.Intussusception</w:t>
      </w:r>
      <w:r>
        <w:rPr>
          <w:sz w:val="17"/>
          <w:szCs w:val="17"/>
          <w:color w:val="231F20"/>
          <w:spacing w:val="21"/>
          <w:w w:val="101"/>
        </w:rPr>
        <w:t xml:space="preserve"> </w:t>
      </w:r>
      <w:r>
        <w:rPr>
          <w:sz w:val="17"/>
          <w:szCs w:val="17"/>
          <w:color w:val="231F20"/>
          <w:spacing w:val="-15"/>
        </w:rPr>
        <w:t>in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-18"/>
        </w:rPr>
        <w:t>children：a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-18"/>
        </w:rPr>
        <w:t>clinical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sz w:val="17"/>
          <w:szCs w:val="17"/>
          <w:color w:val="231F20"/>
          <w:spacing w:val="-18"/>
        </w:rPr>
        <w:t>review［J］.Acta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-18"/>
        </w:rPr>
        <w:t>Chir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sz w:val="17"/>
          <w:szCs w:val="17"/>
          <w:color w:val="231F20"/>
          <w:spacing w:val="-18"/>
        </w:rPr>
        <w:t>Belg，2015，115（5</w:t>
      </w:r>
      <w:r>
        <w:rPr>
          <w:sz w:val="17"/>
          <w:szCs w:val="17"/>
          <w:color w:val="231F20"/>
          <w:spacing w:val="-44"/>
          <w:w w:val="94"/>
        </w:rPr>
        <w:t>）：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6"/>
        </w:rPr>
        <w:t>327-333.</w:t>
      </w:r>
    </w:p>
    <w:p>
      <w:pPr>
        <w:pStyle w:val="BodyText"/>
        <w:ind w:left="360" w:right="76" w:hanging="361"/>
        <w:spacing w:before="9" w:line="224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6"/>
        </w:rPr>
        <w:t>［4］</w:t>
      </w:r>
      <w:r>
        <w:rPr>
          <w:sz w:val="17"/>
          <w:szCs w:val="17"/>
          <w:color w:val="231F20"/>
          <w:spacing w:val="-30"/>
        </w:rPr>
        <w:t xml:space="preserve"> </w:t>
      </w:r>
      <w:r>
        <w:rPr>
          <w:sz w:val="17"/>
          <w:szCs w:val="17"/>
          <w:color w:val="231F20"/>
          <w:spacing w:val="6"/>
        </w:rPr>
        <w:t>黄杰，陈荣开，李功祥.高频超声结合彩</w:t>
      </w:r>
      <w:r>
        <w:rPr>
          <w:sz w:val="17"/>
          <w:szCs w:val="17"/>
          <w:color w:val="231F20"/>
          <w:spacing w:val="5"/>
        </w:rPr>
        <w:t>色多普勒超声在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3"/>
        </w:rPr>
        <w:t>小儿肠套叠诊断中的价值［J］.</w:t>
      </w:r>
      <w:r>
        <w:rPr>
          <w:sz w:val="17"/>
          <w:szCs w:val="17"/>
          <w:color w:val="231F20"/>
          <w:spacing w:val="-27"/>
        </w:rPr>
        <w:t xml:space="preserve"> </w:t>
      </w:r>
      <w:r>
        <w:rPr>
          <w:sz w:val="17"/>
          <w:szCs w:val="17"/>
          <w:color w:val="231F20"/>
          <w:spacing w:val="-3"/>
        </w:rPr>
        <w:t>医学影像学杂志，2018，28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9"/>
        </w:rPr>
        <w:t>（7</w:t>
      </w:r>
      <w:r>
        <w:rPr>
          <w:sz w:val="17"/>
          <w:szCs w:val="17"/>
          <w:color w:val="231F20"/>
          <w:spacing w:val="-39"/>
          <w:w w:val="84"/>
        </w:rPr>
        <w:t>）：</w:t>
      </w:r>
      <w:r>
        <w:rPr>
          <w:sz w:val="17"/>
          <w:szCs w:val="17"/>
          <w:color w:val="231F20"/>
          <w:spacing w:val="-9"/>
        </w:rPr>
        <w:t>1220-1222.</w:t>
      </w:r>
    </w:p>
    <w:p>
      <w:pPr>
        <w:pStyle w:val="BodyText"/>
        <w:ind w:left="435" w:right="77" w:hanging="436"/>
        <w:spacing w:before="45" w:line="217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17"/>
        </w:rPr>
        <w:t>［5］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-17"/>
        </w:rPr>
        <w:t>Kotb</w:t>
      </w:r>
      <w:r>
        <w:rPr>
          <w:sz w:val="17"/>
          <w:szCs w:val="17"/>
          <w:color w:val="231F20"/>
          <w:spacing w:val="29"/>
        </w:rPr>
        <w:t xml:space="preserve"> </w:t>
      </w:r>
      <w:r>
        <w:rPr>
          <w:sz w:val="17"/>
          <w:szCs w:val="17"/>
          <w:color w:val="231F20"/>
          <w:spacing w:val="-17"/>
        </w:rPr>
        <w:t>M，Abdelaziz</w:t>
      </w:r>
      <w:r>
        <w:rPr>
          <w:sz w:val="17"/>
          <w:szCs w:val="17"/>
          <w:color w:val="231F20"/>
          <w:spacing w:val="29"/>
        </w:rPr>
        <w:t xml:space="preserve"> </w:t>
      </w:r>
      <w:r>
        <w:rPr>
          <w:sz w:val="17"/>
          <w:szCs w:val="17"/>
          <w:color w:val="231F20"/>
          <w:spacing w:val="-17"/>
        </w:rPr>
        <w:t>M，Abdelmeguid</w:t>
      </w:r>
      <w:r>
        <w:rPr>
          <w:sz w:val="17"/>
          <w:szCs w:val="17"/>
          <w:color w:val="231F20"/>
          <w:spacing w:val="25"/>
          <w:w w:val="101"/>
        </w:rPr>
        <w:t xml:space="preserve"> </w:t>
      </w:r>
      <w:r>
        <w:rPr>
          <w:sz w:val="17"/>
          <w:szCs w:val="17"/>
          <w:color w:val="231F20"/>
          <w:spacing w:val="-18"/>
        </w:rPr>
        <w:t>Y，et</w:t>
      </w:r>
      <w:r>
        <w:rPr>
          <w:sz w:val="17"/>
          <w:szCs w:val="17"/>
          <w:color w:val="231F20"/>
          <w:spacing w:val="27"/>
          <w:w w:val="101"/>
        </w:rPr>
        <w:t xml:space="preserve"> </w:t>
      </w:r>
      <w:r>
        <w:rPr>
          <w:sz w:val="17"/>
          <w:szCs w:val="17"/>
          <w:color w:val="231F20"/>
          <w:spacing w:val="-18"/>
        </w:rPr>
        <w:t>al.Gastroduodenal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4"/>
        </w:rPr>
        <w:t>intussusception</w:t>
      </w:r>
      <w:r>
        <w:rPr>
          <w:sz w:val="17"/>
          <w:szCs w:val="17"/>
          <w:color w:val="231F20"/>
          <w:spacing w:val="32"/>
        </w:rPr>
        <w:t xml:space="preserve"> </w:t>
      </w:r>
      <w:r>
        <w:rPr>
          <w:sz w:val="17"/>
          <w:szCs w:val="17"/>
          <w:color w:val="231F20"/>
          <w:spacing w:val="-14"/>
        </w:rPr>
        <w:t>due</w:t>
      </w:r>
      <w:r>
        <w:rPr>
          <w:sz w:val="17"/>
          <w:szCs w:val="17"/>
          <w:color w:val="231F20"/>
          <w:spacing w:val="28"/>
          <w:w w:val="101"/>
        </w:rPr>
        <w:t xml:space="preserve"> </w:t>
      </w:r>
      <w:r>
        <w:rPr>
          <w:sz w:val="17"/>
          <w:szCs w:val="17"/>
          <w:color w:val="231F20"/>
          <w:spacing w:val="-14"/>
        </w:rPr>
        <w:t>to</w:t>
      </w:r>
      <w:r>
        <w:rPr>
          <w:sz w:val="17"/>
          <w:szCs w:val="17"/>
          <w:color w:val="231F20"/>
          <w:spacing w:val="30"/>
          <w:w w:val="101"/>
        </w:rPr>
        <w:t xml:space="preserve"> </w:t>
      </w:r>
      <w:r>
        <w:rPr>
          <w:sz w:val="17"/>
          <w:szCs w:val="17"/>
          <w:color w:val="231F20"/>
          <w:spacing w:val="-14"/>
        </w:rPr>
        <w:t>ga</w:t>
      </w:r>
      <w:r>
        <w:rPr>
          <w:sz w:val="17"/>
          <w:szCs w:val="17"/>
          <w:color w:val="231F20"/>
          <w:spacing w:val="-15"/>
        </w:rPr>
        <w:t>stric</w:t>
      </w:r>
      <w:r>
        <w:rPr>
          <w:sz w:val="17"/>
          <w:szCs w:val="17"/>
          <w:color w:val="231F20"/>
          <w:spacing w:val="31"/>
        </w:rPr>
        <w:t xml:space="preserve"> </w:t>
      </w:r>
      <w:r>
        <w:rPr>
          <w:sz w:val="17"/>
          <w:szCs w:val="17"/>
          <w:color w:val="231F20"/>
          <w:spacing w:val="-15"/>
        </w:rPr>
        <w:t>mucosal</w:t>
      </w:r>
      <w:r>
        <w:rPr>
          <w:sz w:val="17"/>
          <w:szCs w:val="17"/>
          <w:color w:val="231F20"/>
          <w:spacing w:val="31"/>
        </w:rPr>
        <w:t xml:space="preserve"> </w:t>
      </w:r>
      <w:r>
        <w:rPr>
          <w:sz w:val="17"/>
          <w:szCs w:val="17"/>
          <w:color w:val="231F20"/>
          <w:spacing w:val="-15"/>
        </w:rPr>
        <w:t>prolapse</w:t>
      </w:r>
      <w:r>
        <w:rPr>
          <w:sz w:val="17"/>
          <w:szCs w:val="17"/>
          <w:color w:val="231F20"/>
          <w:spacing w:val="31"/>
          <w:w w:val="101"/>
        </w:rPr>
        <w:t xml:space="preserve"> </w:t>
      </w:r>
      <w:r>
        <w:rPr>
          <w:sz w:val="17"/>
          <w:szCs w:val="17"/>
          <w:color w:val="231F20"/>
          <w:spacing w:val="-15"/>
        </w:rPr>
        <w:t>polyp</w:t>
      </w:r>
      <w:r>
        <w:rPr>
          <w:sz w:val="17"/>
          <w:szCs w:val="17"/>
          <w:color w:val="231F20"/>
          <w:spacing w:val="33"/>
        </w:rPr>
        <w:t xml:space="preserve"> </w:t>
      </w:r>
      <w:r>
        <w:rPr>
          <w:sz w:val="17"/>
          <w:szCs w:val="17"/>
          <w:color w:val="231F20"/>
          <w:spacing w:val="-15"/>
        </w:rPr>
        <w:t>in</w:t>
      </w:r>
      <w:r>
        <w:rPr>
          <w:sz w:val="17"/>
          <w:szCs w:val="17"/>
          <w:color w:val="231F20"/>
          <w:spacing w:val="33"/>
        </w:rPr>
        <w:t xml:space="preserve"> </w:t>
      </w:r>
      <w:r>
        <w:rPr>
          <w:sz w:val="17"/>
          <w:szCs w:val="17"/>
          <w:color w:val="231F20"/>
          <w:spacing w:val="-15"/>
        </w:rPr>
        <w:t>a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5"/>
        </w:rPr>
        <w:t>2-year-old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-15"/>
        </w:rPr>
        <w:t>child［J］.Fetal</w:t>
      </w:r>
      <w:r>
        <w:rPr>
          <w:sz w:val="17"/>
          <w:szCs w:val="17"/>
          <w:color w:val="231F20"/>
          <w:spacing w:val="12"/>
          <w:w w:val="101"/>
        </w:rPr>
        <w:t xml:space="preserve"> </w:t>
      </w:r>
      <w:r>
        <w:rPr>
          <w:sz w:val="17"/>
          <w:szCs w:val="17"/>
          <w:color w:val="231F20"/>
          <w:spacing w:val="-15"/>
        </w:rPr>
        <w:t>Pedia</w:t>
      </w:r>
      <w:r>
        <w:rPr>
          <w:sz w:val="17"/>
          <w:szCs w:val="17"/>
          <w:color w:val="231F20"/>
          <w:spacing w:val="-16"/>
        </w:rPr>
        <w:t>tr</w:t>
      </w:r>
      <w:r>
        <w:rPr>
          <w:sz w:val="17"/>
          <w:szCs w:val="17"/>
          <w:color w:val="231F20"/>
          <w:spacing w:val="10"/>
        </w:rPr>
        <w:t xml:space="preserve"> </w:t>
      </w:r>
      <w:r>
        <w:rPr>
          <w:sz w:val="17"/>
          <w:szCs w:val="17"/>
          <w:color w:val="231F20"/>
          <w:spacing w:val="-16"/>
        </w:rPr>
        <w:t>Pathol，2020，27（1</w:t>
      </w:r>
      <w:r>
        <w:rPr>
          <w:sz w:val="17"/>
          <w:szCs w:val="17"/>
          <w:color w:val="231F20"/>
          <w:spacing w:val="-38"/>
          <w:w w:val="81"/>
        </w:rPr>
        <w:t>）：</w:t>
      </w:r>
      <w:r>
        <w:rPr>
          <w:sz w:val="17"/>
          <w:szCs w:val="17"/>
          <w:color w:val="231F20"/>
          <w:spacing w:val="-16"/>
        </w:rPr>
        <w:t>1-7.</w:t>
      </w:r>
    </w:p>
    <w:p>
      <w:pPr>
        <w:pStyle w:val="BodyText"/>
        <w:ind w:left="437" w:right="34" w:hanging="438"/>
        <w:spacing w:before="61" w:line="209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14"/>
        </w:rPr>
        <w:t>［6］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-14"/>
        </w:rPr>
        <w:t>Takada</w:t>
      </w:r>
      <w:r>
        <w:rPr>
          <w:sz w:val="17"/>
          <w:szCs w:val="17"/>
          <w:color w:val="231F20"/>
          <w:spacing w:val="29"/>
        </w:rPr>
        <w:t xml:space="preserve"> </w:t>
      </w:r>
      <w:r>
        <w:rPr>
          <w:sz w:val="17"/>
          <w:szCs w:val="17"/>
          <w:color w:val="231F20"/>
          <w:spacing w:val="-14"/>
        </w:rPr>
        <w:t>K，Fujimoto</w:t>
      </w:r>
      <w:r>
        <w:rPr>
          <w:sz w:val="17"/>
          <w:szCs w:val="17"/>
          <w:color w:val="231F20"/>
          <w:spacing w:val="28"/>
        </w:rPr>
        <w:t xml:space="preserve"> </w:t>
      </w:r>
      <w:r>
        <w:rPr>
          <w:sz w:val="17"/>
          <w:szCs w:val="17"/>
          <w:color w:val="231F20"/>
          <w:spacing w:val="-14"/>
        </w:rPr>
        <w:t>N，Ozeki</w:t>
      </w:r>
      <w:r>
        <w:rPr>
          <w:sz w:val="17"/>
          <w:szCs w:val="17"/>
          <w:color w:val="231F20"/>
          <w:spacing w:val="23"/>
          <w:w w:val="101"/>
        </w:rPr>
        <w:t xml:space="preserve"> </w:t>
      </w:r>
      <w:r>
        <w:rPr>
          <w:sz w:val="17"/>
          <w:szCs w:val="17"/>
          <w:color w:val="231F20"/>
          <w:spacing w:val="-14"/>
        </w:rPr>
        <w:t>T，et</w:t>
      </w:r>
      <w:r>
        <w:rPr>
          <w:sz w:val="17"/>
          <w:szCs w:val="17"/>
          <w:color w:val="231F20"/>
          <w:spacing w:val="27"/>
          <w:w w:val="101"/>
        </w:rPr>
        <w:t xml:space="preserve"> </w:t>
      </w:r>
      <w:r>
        <w:rPr>
          <w:sz w:val="17"/>
          <w:szCs w:val="17"/>
          <w:color w:val="231F20"/>
          <w:spacing w:val="-14"/>
        </w:rPr>
        <w:t>al.Small</w:t>
      </w:r>
      <w:r>
        <w:rPr>
          <w:sz w:val="17"/>
          <w:szCs w:val="17"/>
          <w:color w:val="231F20"/>
          <w:spacing w:val="29"/>
        </w:rPr>
        <w:t xml:space="preserve"> </w:t>
      </w:r>
      <w:r>
        <w:rPr>
          <w:sz w:val="17"/>
          <w:szCs w:val="17"/>
          <w:color w:val="231F20"/>
          <w:spacing w:val="-14"/>
        </w:rPr>
        <w:t>intestinal</w:t>
      </w:r>
      <w:r>
        <w:rPr>
          <w:sz w:val="17"/>
          <w:szCs w:val="17"/>
          <w:color w:val="231F20"/>
          <w:spacing w:val="29"/>
          <w:w w:val="101"/>
        </w:rPr>
        <w:t xml:space="preserve"> </w:t>
      </w:r>
      <w:r>
        <w:rPr>
          <w:sz w:val="17"/>
          <w:szCs w:val="17"/>
          <w:color w:val="231F20"/>
          <w:spacing w:val="-14"/>
        </w:rPr>
        <w:t>intus-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7"/>
        </w:rPr>
        <w:t>susception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-17"/>
        </w:rPr>
        <w:t>in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-17"/>
        </w:rPr>
        <w:t>all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-17"/>
        </w:rPr>
        <w:t>adult［J］.J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-17"/>
        </w:rPr>
        <w:t>Clin</w:t>
      </w:r>
      <w:r>
        <w:rPr>
          <w:sz w:val="17"/>
          <w:szCs w:val="17"/>
          <w:color w:val="231F20"/>
          <w:spacing w:val="12"/>
          <w:w w:val="101"/>
        </w:rPr>
        <w:t xml:space="preserve"> </w:t>
      </w:r>
      <w:r>
        <w:rPr>
          <w:sz w:val="17"/>
          <w:szCs w:val="17"/>
          <w:color w:val="231F20"/>
          <w:spacing w:val="-17"/>
        </w:rPr>
        <w:t>Pathol，2019，72（7</w:t>
      </w:r>
      <w:r>
        <w:rPr>
          <w:sz w:val="17"/>
          <w:szCs w:val="17"/>
          <w:color w:val="231F20"/>
          <w:spacing w:val="-31"/>
          <w:w w:val="66"/>
        </w:rPr>
        <w:t>）：</w:t>
      </w:r>
      <w:r>
        <w:rPr>
          <w:sz w:val="17"/>
          <w:szCs w:val="17"/>
          <w:color w:val="231F20"/>
          <w:spacing w:val="-17"/>
        </w:rPr>
        <w:t>510．</w:t>
      </w:r>
    </w:p>
    <w:p>
      <w:pPr>
        <w:pStyle w:val="BodyText"/>
        <w:ind w:left="435" w:right="23" w:hanging="436"/>
        <w:spacing w:before="50" w:line="231" w:lineRule="auto"/>
        <w:rPr>
          <w:sz w:val="17"/>
          <w:szCs w:val="17"/>
        </w:rPr>
      </w:pPr>
      <w:r>
        <w:rPr>
          <w:sz w:val="17"/>
          <w:szCs w:val="17"/>
          <w:color w:val="231F20"/>
        </w:rPr>
        <w:t>［7］林淑莲，蒋双兰，卜秋强，等.小儿暂时性小肠套叠的超声</w:t>
      </w:r>
      <w:r>
        <w:rPr>
          <w:sz w:val="17"/>
          <w:szCs w:val="17"/>
          <w:color w:val="231F20"/>
          <w:spacing w:val="5"/>
        </w:rPr>
        <w:t xml:space="preserve">  </w:t>
      </w:r>
      <w:r>
        <w:rPr>
          <w:sz w:val="17"/>
          <w:szCs w:val="17"/>
          <w:color w:val="231F20"/>
          <w:spacing w:val="-7"/>
        </w:rPr>
        <w:t>特征及临床特点分析［J］.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sz w:val="17"/>
          <w:szCs w:val="17"/>
          <w:color w:val="231F20"/>
          <w:spacing w:val="-7"/>
        </w:rPr>
        <w:t>中国当代医药，201</w:t>
      </w:r>
      <w:r>
        <w:rPr>
          <w:sz w:val="17"/>
          <w:szCs w:val="17"/>
          <w:color w:val="231F20"/>
          <w:spacing w:val="-8"/>
        </w:rPr>
        <w:t>7，24（19</w:t>
      </w:r>
      <w:r>
        <w:rPr>
          <w:sz w:val="17"/>
          <w:szCs w:val="17"/>
          <w:color w:val="231F20"/>
          <w:spacing w:val="-45"/>
          <w:w w:val="96"/>
        </w:rPr>
        <w:t>）：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6"/>
        </w:rPr>
        <w:t>139-141.</w:t>
      </w:r>
    </w:p>
    <w:p>
      <w:pPr>
        <w:pStyle w:val="BodyText"/>
        <w:ind w:left="434" w:right="76" w:hanging="434"/>
        <w:spacing w:before="9" w:line="219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5"/>
        </w:rPr>
        <w:t>［8］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-5"/>
        </w:rPr>
        <w:t>彭飞，郑凯，郭琴，等.儿童小肠套叠的诊断与治疗［J］.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-5"/>
        </w:rPr>
        <w:t>中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1"/>
        </w:rPr>
        <w:t>华实用儿科临床杂志，2017，32（19</w:t>
      </w:r>
      <w:r>
        <w:rPr>
          <w:sz w:val="17"/>
          <w:szCs w:val="17"/>
          <w:color w:val="231F20"/>
          <w:spacing w:val="-38"/>
          <w:w w:val="81"/>
        </w:rPr>
        <w:t>）：</w:t>
      </w:r>
      <w:r>
        <w:rPr>
          <w:sz w:val="17"/>
          <w:szCs w:val="17"/>
          <w:color w:val="231F20"/>
          <w:spacing w:val="-11"/>
        </w:rPr>
        <w:t>1510</w:t>
      </w:r>
      <w:r>
        <w:rPr>
          <w:sz w:val="17"/>
          <w:szCs w:val="17"/>
          <w:color w:val="231F20"/>
          <w:spacing w:val="-12"/>
        </w:rPr>
        <w:t>-1511．</w:t>
      </w:r>
    </w:p>
    <w:p>
      <w:pPr>
        <w:pStyle w:val="BodyText"/>
        <w:ind w:left="435" w:right="65" w:hanging="435"/>
        <w:spacing w:before="47" w:line="221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16"/>
        </w:rPr>
        <w:t>［9］</w:t>
      </w:r>
      <w:r>
        <w:rPr>
          <w:sz w:val="17"/>
          <w:szCs w:val="17"/>
          <w:color w:val="231F20"/>
          <w:spacing w:val="-4"/>
        </w:rPr>
        <w:t xml:space="preserve"> </w:t>
      </w:r>
      <w:r>
        <w:rPr>
          <w:sz w:val="17"/>
          <w:szCs w:val="17"/>
          <w:color w:val="231F20"/>
          <w:spacing w:val="-16"/>
        </w:rPr>
        <w:t>Levinson  H，Capua</w:t>
      </w:r>
      <w:r>
        <w:rPr>
          <w:sz w:val="17"/>
          <w:szCs w:val="17"/>
          <w:color w:val="231F20"/>
          <w:spacing w:val="30"/>
        </w:rPr>
        <w:t xml:space="preserve"> </w:t>
      </w:r>
      <w:r>
        <w:rPr>
          <w:sz w:val="17"/>
          <w:szCs w:val="17"/>
          <w:color w:val="231F20"/>
          <w:spacing w:val="-16"/>
        </w:rPr>
        <w:t>T，Scolnik  D，et  al.Comparison</w:t>
      </w:r>
      <w:r>
        <w:rPr>
          <w:sz w:val="17"/>
          <w:szCs w:val="17"/>
          <w:color w:val="231F20"/>
          <w:spacing w:val="31"/>
        </w:rPr>
        <w:t xml:space="preserve"> </w:t>
      </w:r>
      <w:r>
        <w:rPr>
          <w:sz w:val="17"/>
          <w:szCs w:val="17"/>
          <w:color w:val="231F20"/>
          <w:spacing w:val="-16"/>
        </w:rPr>
        <w:t>between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4"/>
        </w:rPr>
        <w:t>small</w:t>
      </w:r>
      <w:r>
        <w:rPr>
          <w:sz w:val="17"/>
          <w:szCs w:val="17"/>
          <w:color w:val="231F20"/>
          <w:spacing w:val="14"/>
        </w:rPr>
        <w:t xml:space="preserve"> </w:t>
      </w:r>
      <w:r>
        <w:rPr>
          <w:sz w:val="17"/>
          <w:szCs w:val="17"/>
          <w:color w:val="231F20"/>
          <w:spacing w:val="-14"/>
        </w:rPr>
        <w:t>and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sz w:val="17"/>
          <w:szCs w:val="17"/>
          <w:color w:val="231F20"/>
          <w:spacing w:val="-14"/>
        </w:rPr>
        <w:t>large</w:t>
      </w:r>
      <w:r>
        <w:rPr>
          <w:sz w:val="17"/>
          <w:szCs w:val="17"/>
          <w:color w:val="231F20"/>
          <w:spacing w:val="12"/>
          <w:w w:val="101"/>
        </w:rPr>
        <w:t xml:space="preserve"> </w:t>
      </w:r>
      <w:r>
        <w:rPr>
          <w:sz w:val="17"/>
          <w:szCs w:val="17"/>
          <w:color w:val="231F20"/>
          <w:spacing w:val="-14"/>
        </w:rPr>
        <w:t>bowel</w:t>
      </w:r>
      <w:r>
        <w:rPr>
          <w:sz w:val="17"/>
          <w:szCs w:val="17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14"/>
        </w:rPr>
        <w:t>intussusception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-14"/>
        </w:rPr>
        <w:t>in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-14"/>
        </w:rPr>
        <w:t>children：t</w:t>
      </w:r>
      <w:r>
        <w:rPr>
          <w:sz w:val="17"/>
          <w:szCs w:val="17"/>
          <w:color w:val="231F20"/>
          <w:spacing w:val="-15"/>
        </w:rPr>
        <w:t>he</w:t>
      </w:r>
      <w:r>
        <w:rPr>
          <w:sz w:val="17"/>
          <w:szCs w:val="17"/>
          <w:color w:val="231F20"/>
          <w:spacing w:val="16"/>
        </w:rPr>
        <w:t xml:space="preserve"> </w:t>
      </w:r>
      <w:r>
        <w:rPr>
          <w:sz w:val="17"/>
          <w:szCs w:val="17"/>
          <w:color w:val="231F20"/>
          <w:spacing w:val="-15"/>
        </w:rPr>
        <w:t>expe-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3"/>
        </w:rPr>
        <w:t>rience</w:t>
      </w:r>
      <w:r>
        <w:rPr>
          <w:sz w:val="17"/>
          <w:szCs w:val="17"/>
          <w:color w:val="231F20"/>
          <w:spacing w:val="31"/>
        </w:rPr>
        <w:t xml:space="preserve"> </w:t>
      </w:r>
      <w:r>
        <w:rPr>
          <w:sz w:val="17"/>
          <w:szCs w:val="17"/>
          <w:color w:val="231F20"/>
          <w:spacing w:val="-13"/>
        </w:rPr>
        <w:t>of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sz w:val="17"/>
          <w:szCs w:val="17"/>
          <w:color w:val="231F20"/>
          <w:spacing w:val="-13"/>
        </w:rPr>
        <w:t>a</w:t>
      </w:r>
      <w:r>
        <w:rPr>
          <w:sz w:val="17"/>
          <w:szCs w:val="17"/>
          <w:color w:val="231F20"/>
          <w:spacing w:val="29"/>
        </w:rPr>
        <w:t xml:space="preserve"> </w:t>
      </w:r>
      <w:r>
        <w:rPr>
          <w:sz w:val="17"/>
          <w:szCs w:val="17"/>
          <w:color w:val="231F20"/>
          <w:spacing w:val="-13"/>
        </w:rPr>
        <w:t>large</w:t>
      </w:r>
      <w:r>
        <w:rPr>
          <w:sz w:val="17"/>
          <w:szCs w:val="17"/>
          <w:color w:val="231F20"/>
          <w:spacing w:val="28"/>
          <w:w w:val="101"/>
        </w:rPr>
        <w:t xml:space="preserve"> </w:t>
      </w:r>
      <w:r>
        <w:rPr>
          <w:sz w:val="17"/>
          <w:szCs w:val="17"/>
          <w:color w:val="231F20"/>
          <w:spacing w:val="-13"/>
        </w:rPr>
        <w:t>tertiary</w:t>
      </w:r>
      <w:r>
        <w:rPr>
          <w:sz w:val="17"/>
          <w:szCs w:val="17"/>
          <w:color w:val="231F20"/>
          <w:spacing w:val="33"/>
          <w:w w:val="101"/>
        </w:rPr>
        <w:t xml:space="preserve"> </w:t>
      </w:r>
      <w:r>
        <w:rPr>
          <w:sz w:val="17"/>
          <w:szCs w:val="17"/>
          <w:color w:val="231F20"/>
          <w:spacing w:val="-13"/>
        </w:rPr>
        <w:t>care</w:t>
      </w:r>
      <w:r>
        <w:rPr>
          <w:sz w:val="17"/>
          <w:szCs w:val="17"/>
          <w:color w:val="231F20"/>
          <w:spacing w:val="31"/>
        </w:rPr>
        <w:t xml:space="preserve"> </w:t>
      </w:r>
      <w:r>
        <w:rPr>
          <w:sz w:val="17"/>
          <w:szCs w:val="17"/>
          <w:color w:val="231F20"/>
          <w:spacing w:val="-13"/>
        </w:rPr>
        <w:t>ped</w:t>
      </w:r>
      <w:r>
        <w:rPr>
          <w:sz w:val="17"/>
          <w:szCs w:val="17"/>
          <w:color w:val="231F20"/>
          <w:spacing w:val="-14"/>
        </w:rPr>
        <w:t>iatric</w:t>
      </w:r>
      <w:r>
        <w:rPr>
          <w:sz w:val="17"/>
          <w:szCs w:val="17"/>
          <w:color w:val="231F20"/>
          <w:spacing w:val="32"/>
        </w:rPr>
        <w:t xml:space="preserve"> </w:t>
      </w:r>
      <w:r>
        <w:rPr>
          <w:sz w:val="17"/>
          <w:szCs w:val="17"/>
          <w:color w:val="231F20"/>
          <w:spacing w:val="-14"/>
        </w:rPr>
        <w:t>hospital［J］.Pediatr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6"/>
        </w:rPr>
        <w:t>Emerg</w:t>
      </w:r>
      <w:r>
        <w:rPr>
          <w:sz w:val="17"/>
          <w:szCs w:val="17"/>
          <w:color w:val="231F20"/>
          <w:spacing w:val="31"/>
          <w:w w:val="101"/>
        </w:rPr>
        <w:t xml:space="preserve"> </w:t>
      </w:r>
      <w:r>
        <w:rPr>
          <w:sz w:val="17"/>
          <w:szCs w:val="17"/>
          <w:color w:val="231F20"/>
          <w:spacing w:val="-16"/>
        </w:rPr>
        <w:t>Care，2020，36（4</w:t>
      </w:r>
      <w:r>
        <w:rPr>
          <w:sz w:val="17"/>
          <w:szCs w:val="17"/>
          <w:color w:val="231F20"/>
          <w:spacing w:val="-42"/>
          <w:w w:val="90"/>
        </w:rPr>
        <w:t>）：</w:t>
      </w:r>
      <w:r>
        <w:rPr>
          <w:sz w:val="17"/>
          <w:szCs w:val="17"/>
          <w:color w:val="231F20"/>
          <w:spacing w:val="-16"/>
        </w:rPr>
        <w:t>103</w:t>
      </w:r>
      <w:r>
        <w:rPr>
          <w:sz w:val="17"/>
          <w:szCs w:val="17"/>
          <w:color w:val="231F20"/>
          <w:spacing w:val="-17"/>
        </w:rPr>
        <w:t>2-1036.</w:t>
      </w:r>
    </w:p>
    <w:p>
      <w:pPr>
        <w:pStyle w:val="BodyText"/>
        <w:ind w:left="520" w:right="23" w:hanging="521"/>
        <w:spacing w:before="51" w:line="231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2"/>
        </w:rPr>
        <w:t>［10］</w:t>
      </w:r>
      <w:r>
        <w:rPr>
          <w:sz w:val="17"/>
          <w:szCs w:val="17"/>
          <w:color w:val="231F20"/>
          <w:spacing w:val="-27"/>
        </w:rPr>
        <w:t xml:space="preserve"> </w:t>
      </w:r>
      <w:r>
        <w:rPr>
          <w:sz w:val="17"/>
          <w:szCs w:val="17"/>
          <w:color w:val="231F20"/>
          <w:spacing w:val="2"/>
        </w:rPr>
        <w:t>张广平，李俊峰，韩建强，等.影响小儿小肠型肠套叠自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-11"/>
        </w:rPr>
        <w:t>发复位的多因素分析［J］.成都医学院学报，2016，</w:t>
      </w:r>
      <w:r>
        <w:rPr>
          <w:sz w:val="17"/>
          <w:szCs w:val="17"/>
          <w:color w:val="231F20"/>
          <w:spacing w:val="-12"/>
        </w:rPr>
        <w:t>11（2</w:t>
      </w:r>
      <w:r>
        <w:rPr>
          <w:sz w:val="17"/>
          <w:szCs w:val="17"/>
          <w:color w:val="231F20"/>
          <w:spacing w:val="-44"/>
          <w:w w:val="93"/>
        </w:rPr>
        <w:t>）：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-6"/>
        </w:rPr>
        <w:t>206-208.</w:t>
      </w:r>
    </w:p>
    <w:p>
      <w:pPr>
        <w:pStyle w:val="BodyText"/>
        <w:ind w:left="447" w:right="43" w:hanging="447"/>
        <w:spacing w:before="19" w:line="224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15"/>
        </w:rPr>
        <w:t>［11］</w:t>
      </w:r>
      <w:r>
        <w:rPr>
          <w:sz w:val="17"/>
          <w:szCs w:val="17"/>
          <w:color w:val="231F20"/>
          <w:spacing w:val="14"/>
          <w:w w:val="101"/>
        </w:rPr>
        <w:t xml:space="preserve"> </w:t>
      </w:r>
      <w:r>
        <w:rPr>
          <w:sz w:val="17"/>
          <w:szCs w:val="17"/>
          <w:color w:val="231F20"/>
          <w:spacing w:val="-15"/>
        </w:rPr>
        <w:t>Rajagopal</w:t>
      </w:r>
      <w:r>
        <w:rPr>
          <w:sz w:val="17"/>
          <w:szCs w:val="17"/>
          <w:color w:val="231F20"/>
          <w:spacing w:val="5"/>
        </w:rPr>
        <w:t xml:space="preserve">  </w:t>
      </w:r>
      <w:r>
        <w:rPr>
          <w:sz w:val="17"/>
          <w:szCs w:val="17"/>
          <w:color w:val="231F20"/>
          <w:spacing w:val="-15"/>
        </w:rPr>
        <w:t>R，Mishra</w:t>
      </w:r>
      <w:r>
        <w:rPr>
          <w:sz w:val="17"/>
          <w:szCs w:val="17"/>
          <w:color w:val="231F20"/>
          <w:spacing w:val="7"/>
        </w:rPr>
        <w:t xml:space="preserve">  </w:t>
      </w:r>
      <w:r>
        <w:rPr>
          <w:sz w:val="17"/>
          <w:szCs w:val="17"/>
          <w:color w:val="231F20"/>
          <w:spacing w:val="-15"/>
        </w:rPr>
        <w:t>N，Y</w:t>
      </w:r>
      <w:r>
        <w:rPr>
          <w:sz w:val="17"/>
          <w:szCs w:val="17"/>
          <w:color w:val="231F20"/>
          <w:spacing w:val="-16"/>
        </w:rPr>
        <w:t>adav</w:t>
      </w:r>
      <w:r>
        <w:rPr>
          <w:sz w:val="17"/>
          <w:szCs w:val="17"/>
          <w:color w:val="231F20"/>
          <w:spacing w:val="6"/>
        </w:rPr>
        <w:t xml:space="preserve">  </w:t>
      </w:r>
      <w:r>
        <w:rPr>
          <w:sz w:val="17"/>
          <w:szCs w:val="17"/>
          <w:color w:val="231F20"/>
          <w:spacing w:val="-16"/>
        </w:rPr>
        <w:t>N，et</w:t>
      </w:r>
      <w:r>
        <w:rPr>
          <w:sz w:val="17"/>
          <w:szCs w:val="17"/>
          <w:color w:val="231F20"/>
          <w:spacing w:val="6"/>
        </w:rPr>
        <w:t xml:space="preserve">  </w:t>
      </w:r>
      <w:r>
        <w:rPr>
          <w:sz w:val="17"/>
          <w:szCs w:val="17"/>
          <w:color w:val="231F20"/>
          <w:spacing w:val="-16"/>
        </w:rPr>
        <w:t>al.Transient</w:t>
      </w:r>
      <w:r>
        <w:rPr>
          <w:sz w:val="17"/>
          <w:szCs w:val="17"/>
          <w:color w:val="231F20"/>
          <w:spacing w:val="5"/>
        </w:rPr>
        <w:t xml:space="preserve">  </w:t>
      </w:r>
      <w:r>
        <w:rPr>
          <w:sz w:val="17"/>
          <w:szCs w:val="17"/>
          <w:color w:val="231F20"/>
          <w:spacing w:val="-16"/>
        </w:rPr>
        <w:t>versus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-10"/>
        </w:rPr>
        <w:t>surgically  managed  small  bowel</w:t>
      </w:r>
      <w:r>
        <w:rPr>
          <w:sz w:val="17"/>
          <w:szCs w:val="17"/>
          <w:color w:val="231F20"/>
          <w:spacing w:val="66"/>
        </w:rPr>
        <w:t xml:space="preserve"> </w:t>
      </w:r>
      <w:r>
        <w:rPr>
          <w:sz w:val="17"/>
          <w:szCs w:val="17"/>
          <w:color w:val="231F20"/>
          <w:spacing w:val="-10"/>
        </w:rPr>
        <w:t>intussusception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-10"/>
        </w:rPr>
        <w:t>in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-10"/>
        </w:rPr>
        <w:t>chil -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4"/>
        </w:rPr>
        <w:t>dren：role  of</w:t>
      </w:r>
      <w:r>
        <w:rPr>
          <w:sz w:val="17"/>
          <w:szCs w:val="17"/>
          <w:color w:val="231F20"/>
          <w:spacing w:val="22"/>
        </w:rPr>
        <w:t xml:space="preserve"> </w:t>
      </w:r>
      <w:r>
        <w:rPr>
          <w:sz w:val="17"/>
          <w:szCs w:val="17"/>
          <w:color w:val="231F20"/>
          <w:spacing w:val="-14"/>
        </w:rPr>
        <w:t>ultraso</w:t>
      </w:r>
      <w:r>
        <w:rPr>
          <w:sz w:val="17"/>
          <w:szCs w:val="17"/>
          <w:color w:val="231F20"/>
          <w:spacing w:val="-15"/>
        </w:rPr>
        <w:t>und［J］.Afr</w:t>
      </w:r>
      <w:r>
        <w:rPr>
          <w:sz w:val="17"/>
          <w:szCs w:val="17"/>
          <w:color w:val="231F20"/>
          <w:spacing w:val="27"/>
        </w:rPr>
        <w:t xml:space="preserve"> </w:t>
      </w:r>
      <w:r>
        <w:rPr>
          <w:sz w:val="17"/>
          <w:szCs w:val="17"/>
          <w:color w:val="231F20"/>
          <w:spacing w:val="-15"/>
        </w:rPr>
        <w:t>J  Paediatr  Surg，2015，12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-8"/>
        </w:rPr>
        <w:t>（2</w:t>
      </w:r>
      <w:r>
        <w:rPr>
          <w:sz w:val="17"/>
          <w:szCs w:val="17"/>
          <w:color w:val="231F20"/>
          <w:spacing w:val="-38"/>
          <w:w w:val="80"/>
        </w:rPr>
        <w:t>）：</w:t>
      </w:r>
      <w:r>
        <w:rPr>
          <w:sz w:val="17"/>
          <w:szCs w:val="17"/>
          <w:color w:val="231F20"/>
          <w:spacing w:val="-8"/>
        </w:rPr>
        <w:t>140-142.</w:t>
      </w:r>
    </w:p>
    <w:p>
      <w:pPr>
        <w:pStyle w:val="BodyText"/>
        <w:ind w:left="522" w:right="65" w:hanging="522"/>
        <w:spacing w:before="47" w:line="224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14"/>
        </w:rPr>
        <w:t>［12］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sz w:val="17"/>
          <w:szCs w:val="17"/>
          <w:color w:val="231F20"/>
          <w:spacing w:val="-14"/>
        </w:rPr>
        <w:t>Ma  GMY，Lillehei  C，Callahan  MJ．Air</w:t>
      </w:r>
      <w:r>
        <w:rPr>
          <w:sz w:val="17"/>
          <w:szCs w:val="17"/>
          <w:color w:val="231F20"/>
          <w:spacing w:val="-15"/>
        </w:rPr>
        <w:t xml:space="preserve">  contrast  enema</w:t>
      </w:r>
      <w:r>
        <w:rPr>
          <w:sz w:val="17"/>
          <w:szCs w:val="17"/>
          <w:color w:val="231F20"/>
          <w:spacing w:val="33"/>
          <w:w w:val="101"/>
        </w:rPr>
        <w:t xml:space="preserve"> </w:t>
      </w:r>
      <w:r>
        <w:rPr>
          <w:sz w:val="17"/>
          <w:szCs w:val="17"/>
          <w:color w:val="231F20"/>
          <w:spacing w:val="-15"/>
        </w:rPr>
        <w:t>re-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1"/>
        </w:rPr>
        <w:t>duction  of  single  and  recurrent </w:t>
      </w:r>
      <w:r>
        <w:rPr>
          <w:sz w:val="17"/>
          <w:szCs w:val="17"/>
          <w:color w:val="231F20"/>
          <w:spacing w:val="-12"/>
        </w:rPr>
        <w:t xml:space="preserve"> ileocolie  intussusceptions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9"/>
        </w:rPr>
        <w:t>in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sz w:val="17"/>
          <w:szCs w:val="17"/>
          <w:color w:val="231F20"/>
          <w:spacing w:val="-19"/>
        </w:rPr>
        <w:t>children：patterns，managem</w:t>
      </w:r>
      <w:r>
        <w:rPr>
          <w:sz w:val="17"/>
          <w:szCs w:val="17"/>
          <w:color w:val="231F20"/>
          <w:spacing w:val="-20"/>
        </w:rPr>
        <w:t>ent</w:t>
      </w:r>
      <w:r>
        <w:rPr>
          <w:sz w:val="17"/>
          <w:szCs w:val="17"/>
          <w:color w:val="231F20"/>
          <w:spacing w:val="15"/>
          <w:w w:val="101"/>
        </w:rPr>
        <w:t xml:space="preserve"> </w:t>
      </w:r>
      <w:r>
        <w:rPr>
          <w:sz w:val="17"/>
          <w:szCs w:val="17"/>
          <w:color w:val="231F20"/>
          <w:spacing w:val="-20"/>
        </w:rPr>
        <w:t>and</w:t>
      </w:r>
      <w:r>
        <w:rPr>
          <w:sz w:val="17"/>
          <w:szCs w:val="17"/>
          <w:color w:val="231F20"/>
          <w:spacing w:val="15"/>
        </w:rPr>
        <w:t xml:space="preserve"> </w:t>
      </w:r>
      <w:r>
        <w:rPr>
          <w:sz w:val="17"/>
          <w:szCs w:val="17"/>
          <w:color w:val="231F20"/>
          <w:spacing w:val="-20"/>
        </w:rPr>
        <w:t>outcomes［J］.Pediatr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6"/>
        </w:rPr>
        <w:t>Radiol，2020，50（5</w:t>
      </w:r>
      <w:r>
        <w:rPr>
          <w:sz w:val="17"/>
          <w:szCs w:val="17"/>
          <w:color w:val="231F20"/>
          <w:spacing w:val="-29"/>
          <w:w w:val="61"/>
        </w:rPr>
        <w:t>）：</w:t>
      </w:r>
      <w:r>
        <w:rPr>
          <w:sz w:val="17"/>
          <w:szCs w:val="17"/>
          <w:color w:val="231F20"/>
          <w:spacing w:val="-16"/>
        </w:rPr>
        <w:t>664-672．</w:t>
      </w:r>
    </w:p>
    <w:p>
      <w:pPr>
        <w:pStyle w:val="BodyText"/>
        <w:ind w:left="447" w:right="76" w:hanging="447"/>
        <w:spacing w:before="35" w:line="224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3"/>
        </w:rPr>
        <w:t>［13］席艳，马凌云，赖琴，等.彩色多普勒超声在</w:t>
      </w:r>
      <w:r>
        <w:rPr>
          <w:sz w:val="17"/>
          <w:szCs w:val="17"/>
          <w:color w:val="231F20"/>
          <w:spacing w:val="2"/>
        </w:rPr>
        <w:t>小儿暂时性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6"/>
        </w:rPr>
        <w:t>小肠套叠诊断中的应用研究［J］.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-6"/>
        </w:rPr>
        <w:t>中国妇幼保健，2020，35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4"/>
        </w:rPr>
        <w:t>（11</w:t>
      </w:r>
      <w:r>
        <w:rPr>
          <w:sz w:val="17"/>
          <w:szCs w:val="17"/>
          <w:color w:val="231F20"/>
          <w:spacing w:val="-28"/>
          <w:w w:val="60"/>
        </w:rPr>
        <w:t>）：</w:t>
      </w:r>
      <w:r>
        <w:rPr>
          <w:sz w:val="17"/>
          <w:szCs w:val="17"/>
          <w:color w:val="231F20"/>
          <w:spacing w:val="-4"/>
        </w:rPr>
        <w:t>4128-4130.</w:t>
      </w:r>
    </w:p>
    <w:p>
      <w:pPr>
        <w:pStyle w:val="BodyText"/>
        <w:spacing w:before="42" w:line="197" w:lineRule="auto"/>
        <w:jc w:val="right"/>
        <w:rPr>
          <w:sz w:val="17"/>
          <w:szCs w:val="17"/>
        </w:rPr>
      </w:pPr>
      <w:r>
        <w:rPr>
          <w:sz w:val="17"/>
          <w:szCs w:val="17"/>
          <w:color w:val="231F20"/>
          <w:spacing w:val="-9"/>
        </w:rPr>
        <w:t>（收稿：2023-11-29</w:t>
      </w:r>
      <w:r>
        <w:rPr>
          <w:sz w:val="17"/>
          <w:szCs w:val="17"/>
          <w:color w:val="231F20"/>
          <w:spacing w:val="13"/>
        </w:rPr>
        <w:t xml:space="preserve">   </w:t>
      </w:r>
      <w:r>
        <w:rPr>
          <w:sz w:val="17"/>
          <w:szCs w:val="17"/>
          <w:color w:val="231F20"/>
          <w:spacing w:val="-9"/>
        </w:rPr>
        <w:t>修回：2024-01-31）</w:t>
      </w:r>
    </w:p>
    <w:sectPr>
      <w:type w:val="continuous"/>
      <w:pgSz w:w="11905" w:h="16156"/>
      <w:pgMar w:top="1301" w:right="1055" w:bottom="0" w:left="1045" w:header="1026" w:footer="0" w:gutter="0"/>
      <w:cols w:equalWidth="0" w:num="2">
        <w:col w:w="4883" w:space="100"/>
        <w:col w:w="482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1" w:line="184" w:lineRule="auto"/>
      <w:jc w:val="right"/>
      <w:rPr>
        <w:sz w:val="17"/>
        <w:szCs w:val="17"/>
      </w:rPr>
    </w:pPr>
    <w:r>
      <w:rPr>
        <w:sz w:val="17"/>
        <w:szCs w:val="17"/>
        <w:u w:val="single" w:color="auto"/>
        <w:color w:val="231F20"/>
        <w:spacing w:val="-7"/>
      </w:rPr>
      <w:t>浙江中西医结合杂志 2024 年第 34 卷第 5 期    ZJITCWM（Vol.34 No</w:t>
    </w:r>
    <w:r>
      <w:rPr>
        <w:sz w:val="17"/>
        <w:szCs w:val="17"/>
        <w:u w:val="single" w:color="auto"/>
        <w:color w:val="231F20"/>
        <w:spacing w:val="-8"/>
      </w:rPr>
      <w:t>.5 2024）</w:t>
    </w:r>
    <w:r>
      <w:rPr>
        <w:sz w:val="17"/>
        <w:szCs w:val="17"/>
        <w:color w:val="231F20"/>
        <w:spacing w:val="1"/>
      </w:rPr>
      <w:t xml:space="preserve">                                 </w:t>
    </w:r>
    <w:r>
      <w:rPr>
        <w:sz w:val="17"/>
        <w:szCs w:val="17"/>
        <w:color w:val="231F20"/>
      </w:rPr>
      <w:t xml:space="preserve">                                         </w:t>
    </w:r>
    <w:r>
      <w:rPr>
        <w:sz w:val="17"/>
        <w:szCs w:val="17"/>
        <w:color w:val="231F20"/>
        <w:spacing w:val="-8"/>
      </w:rPr>
      <w:t>473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1" w:line="184" w:lineRule="auto"/>
      <w:jc w:val="right"/>
      <w:rPr>
        <w:sz w:val="17"/>
        <w:szCs w:val="17"/>
      </w:rPr>
    </w:pPr>
    <w:r>
      <w:rPr>
        <w:sz w:val="17"/>
        <w:szCs w:val="17"/>
        <w:color w:val="231F20"/>
        <w:spacing w:val="-6"/>
      </w:rPr>
      <w:t>474</w:t>
    </w:r>
    <w:r>
      <w:rPr>
        <w:sz w:val="17"/>
        <w:szCs w:val="17"/>
        <w:color w:val="231F20"/>
      </w:rPr>
      <w:t xml:space="preserve">                                                                           </w:t>
    </w:r>
    <w:r>
      <w:rPr>
        <w:sz w:val="17"/>
        <w:szCs w:val="17"/>
        <w:u w:val="single" w:color="auto"/>
        <w:color w:val="231F20"/>
        <w:spacing w:val="-6"/>
      </w:rPr>
      <w:t>浙江中西医结合杂志 2024 年第 34 卷第 5 期    ZJITCWM（Vol.34 No</w:t>
    </w:r>
    <w:r>
      <w:rPr>
        <w:sz w:val="17"/>
        <w:szCs w:val="17"/>
        <w:u w:val="single" w:color="auto"/>
        <w:color w:val="231F20"/>
        <w:spacing w:val="-7"/>
      </w:rPr>
      <w:t>.5 2024）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image" Target="media/image3.png"/><Relationship Id="rId4" Type="http://schemas.openxmlformats.org/officeDocument/2006/relationships/image" Target="media/image2.png"/><Relationship Id="rId3" Type="http://schemas.openxmlformats.org/officeDocument/2006/relationships/header" Target="header2.xml"/><Relationship Id="rId2" Type="http://schemas.openxmlformats.org/officeDocument/2006/relationships/header" Target="header1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2025-03-17T22:08:34Z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2025-10-28T21:24:26</vt:filetime>
  </property>
</Properties>
</file>