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98" w:lineRule="auto"/>
        <w:rPr>
          <w:rFonts w:ascii="Arial"/>
          <w:sz w:val="21"/>
        </w:rPr>
      </w:pPr>
      <w:r/>
    </w:p>
    <w:p>
      <w:pPr>
        <w:spacing w:line="299" w:lineRule="auto"/>
        <w:rPr>
          <w:rFonts w:ascii="Arial"/>
          <w:sz w:val="21"/>
        </w:rPr>
      </w:pPr>
      <w:r/>
    </w:p>
    <w:p>
      <w:pPr>
        <w:ind w:left="919"/>
        <w:spacing w:before="103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"/>
        </w:rPr>
        <w:t>临床应用研究</w:t>
      </w:r>
    </w:p>
    <w:p>
      <w:pPr>
        <w:pStyle w:val="BodyText"/>
        <w:ind w:left="930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5"/>
        </w:rPr>
        <w:t>Clinical Application Research</w:t>
      </w: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ind w:left="854" w:right="170" w:firstLine="6"/>
        <w:spacing w:before="236" w:line="171" w:lineRule="auto"/>
        <w:outlineLvl w:val="0"/>
        <w:rPr>
          <w:rFonts w:ascii="Microsoft YaHei" w:hAnsi="Microsoft YaHei" w:eastAsia="Microsoft YaHei" w:cs="Microsoft YaHei"/>
          <w:sz w:val="55"/>
          <w:szCs w:val="55"/>
        </w:rPr>
      </w:pP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6"/>
        </w:rPr>
        <w:t>小儿肠套叠采用高频超声诊断的临床价值 </w:t>
      </w:r>
      <w:r>
        <w:rPr>
          <w:rFonts w:ascii="Microsoft YaHei" w:hAnsi="Microsoft YaHei" w:eastAsia="Microsoft YaHei" w:cs="Microsoft YaHei"/>
          <w:sz w:val="55"/>
          <w:szCs w:val="55"/>
          <w:b/>
          <w:bCs/>
          <w:spacing w:val="6"/>
        </w:rPr>
        <w:t>及影像图像分析</w:t>
      </w:r>
    </w:p>
    <w:p>
      <w:pPr>
        <w:pStyle w:val="BodyText"/>
        <w:ind w:left="852"/>
        <w:spacing w:line="199" w:lineRule="auto"/>
        <w:rPr>
          <w:rFonts w:ascii="Microsoft YaHei" w:hAnsi="Microsoft YaHei" w:eastAsia="Microsoft YaHei" w:cs="Microsoft YaHei"/>
          <w:sz w:val="15"/>
          <w:szCs w:val="15"/>
        </w:rPr>
      </w:pPr>
      <w:r>
        <w:rPr>
          <w:rFonts w:ascii="Microsoft YaHei" w:hAnsi="Microsoft YaHei" w:eastAsia="Microsoft YaHei" w:cs="Microsoft YaHei"/>
          <w:sz w:val="16"/>
          <w:szCs w:val="16"/>
          <w:spacing w:val="6"/>
        </w:rPr>
        <w:t>廖俊  何忭超  徐欢 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江西省赣州市宁都县人民医院      （江西 赣州</w:t>
      </w:r>
      <w:r>
        <w:rPr>
          <w:rFonts w:ascii="Microsoft YaHei" w:hAnsi="Microsoft YaHei" w:eastAsia="Microsoft YaHei" w:cs="Microsoft YaHei"/>
          <w:sz w:val="15"/>
          <w:szCs w:val="15"/>
          <w:spacing w:val="52"/>
          <w:w w:val="101"/>
        </w:rPr>
        <w:t xml:space="preserve"> </w:t>
      </w:r>
      <w:r>
        <w:rPr>
          <w:sz w:val="15"/>
          <w:szCs w:val="15"/>
          <w:spacing w:val="6"/>
        </w:rPr>
        <w:t>342800</w:t>
      </w:r>
      <w:r>
        <w:rPr>
          <w:sz w:val="15"/>
          <w:szCs w:val="15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5"/>
          <w:szCs w:val="15"/>
          <w:spacing w:val="6"/>
        </w:rPr>
        <w:t>）</w:t>
      </w:r>
    </w:p>
    <w:p>
      <w:pPr>
        <w:spacing w:line="368" w:lineRule="auto"/>
        <w:rPr>
          <w:rFonts w:ascii="Arial"/>
          <w:sz w:val="21"/>
        </w:rPr>
      </w:pPr>
      <w:r/>
    </w:p>
    <w:p>
      <w:pPr>
        <w:pStyle w:val="BodyText"/>
        <w:ind w:left="861"/>
        <w:spacing w:before="46" w:line="215" w:lineRule="auto"/>
        <w:rPr>
          <w:sz w:val="14"/>
          <w:szCs w:val="14"/>
        </w:rPr>
      </w:pPr>
      <w:r>
        <w:rPr>
          <w:rFonts w:ascii="SimSun" w:hAnsi="SimSun" w:eastAsia="SimSun" w:cs="SimSun"/>
          <w:sz w:val="14"/>
          <w:szCs w:val="14"/>
          <w:spacing w:val="-2"/>
        </w:rPr>
        <w:t>文章编号：</w:t>
      </w:r>
      <w:r>
        <w:rPr>
          <w:sz w:val="14"/>
          <w:szCs w:val="14"/>
          <w:spacing w:val="-2"/>
        </w:rPr>
        <w:t>1006-6586(2024)22-0128-03             </w:t>
      </w:r>
      <w:r>
        <w:rPr>
          <w:rFonts w:ascii="SimSun" w:hAnsi="SimSun" w:eastAsia="SimSun" w:cs="SimSun"/>
          <w:sz w:val="14"/>
          <w:szCs w:val="14"/>
          <w:spacing w:val="-2"/>
        </w:rPr>
        <w:t>中图分类号：</w:t>
      </w:r>
      <w:r>
        <w:rPr>
          <w:sz w:val="14"/>
          <w:szCs w:val="14"/>
          <w:spacing w:val="-2"/>
        </w:rPr>
        <w:t>R445.1            </w:t>
      </w:r>
      <w:r>
        <w:rPr>
          <w:rFonts w:ascii="SimSun" w:hAnsi="SimSun" w:eastAsia="SimSun" w:cs="SimSun"/>
          <w:sz w:val="14"/>
          <w:szCs w:val="14"/>
          <w:spacing w:val="-2"/>
        </w:rPr>
        <w:t>文献标识</w:t>
      </w:r>
      <w:r>
        <w:rPr>
          <w:rFonts w:ascii="SimSun" w:hAnsi="SimSun" w:eastAsia="SimSun" w:cs="SimSun"/>
          <w:sz w:val="14"/>
          <w:szCs w:val="14"/>
          <w:spacing w:val="-3"/>
        </w:rPr>
        <w:t>码：</w:t>
      </w:r>
      <w:r>
        <w:rPr>
          <w:sz w:val="14"/>
          <w:szCs w:val="14"/>
          <w:spacing w:val="-3"/>
        </w:rPr>
        <w:t>A</w:t>
      </w:r>
    </w:p>
    <w:p>
      <w:pPr>
        <w:spacing w:before="34" w:line="60" w:lineRule="exact"/>
        <w:rPr/>
      </w:pPr>
      <w:r>
        <w:rPr>
          <w:position w:val="-1"/>
        </w:rPr>
        <w:drawing>
          <wp:inline distT="0" distB="0" distL="0" distR="0">
            <wp:extent cx="6911999" cy="38100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911999" cy="3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firstLine="845"/>
        <w:spacing w:before="110" w:line="4145" w:lineRule="exact"/>
        <w:rPr/>
      </w:pPr>
      <w:r>
        <w:rPr>
          <w:position w:val="-82"/>
        </w:rPr>
        <w:pict>
          <v:shape id="_x0000_s2" style="mso-position-vertical-relative:line;mso-position-horizontal-relative:char;width:502.1pt;height:207.3pt;" fillcolor="#EDF0F2" filled="true" stroked="false" type="#_x0000_t202">
            <v:fill on="tru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907" w:hanging="824"/>
                    <w:spacing w:before="55" w:line="267" w:lineRule="auto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6"/>
                    </w:rPr>
                    <w:t>内容提要：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-17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目的：分析高频超声对儿童肠套叠的诊断价值。方法：选择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>2021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年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>10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月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>~2022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年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5"/>
                    </w:rPr>
                    <w:t>10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5"/>
                    </w:rPr>
                    <w:t>月本院收治的疑似小儿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2"/>
                    </w:rPr>
                    <w:t>肠套叠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2"/>
                    </w:rPr>
                    <w:t>60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2"/>
                    </w:rPr>
                    <w:t>例，经手术病理或空气灌肠检查确诊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12"/>
                    </w:rPr>
                    <w:t>56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2"/>
                    </w:rPr>
                    <w:t>例。对所有患儿实施普通彩色多普勒超声以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1"/>
                    </w:rPr>
                    <w:t>及高频超声检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1"/>
                    </w:rPr>
                    <w:t>查，比较两种检查方式的诊断结果，并分析小儿肠套叠的影像学特征。结果：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0"/>
                    </w:rPr>
                    <w:t>采用高频超声的检出符合率高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</w:rPr>
                    <w:t>于普通超声检查（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5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i/>
                      <w:iCs/>
                      <w:spacing w:val="9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9"/>
                    </w:rPr>
                    <w:t>&lt;0.05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20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-46"/>
                      <w:w w:val="92"/>
                    </w:rPr>
                    <w:t>）；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9"/>
                    </w:rPr>
                    <w:t>高频超声检测的灵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8"/>
                    </w:rPr>
                    <w:t>敏度、准确度、阳性预测值、阴性预测值均高于普通超声检测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（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i/>
                      <w:iCs/>
                      <w:spacing w:val="6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6"/>
                    </w:rPr>
                    <w:t>&lt;0.05</w:t>
                  </w:r>
                  <w:r>
                    <w:rPr>
                      <w:rFonts w:ascii="Times New Roman" w:hAnsi="Times New Roman" w:eastAsia="Times New Roman" w:cs="Times New Roman"/>
                      <w:sz w:val="18"/>
                      <w:szCs w:val="18"/>
                      <w:spacing w:val="-19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6"/>
                    </w:rPr>
                    <w:t>）。结论：在小儿肠套叠中采用高频超声诊断具有较为积极的价值，可作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5"/>
                    </w:rPr>
                    <w:t>为临床治疗的重要参考依据，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</w:rPr>
                    <w:t xml:space="preserve">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2"/>
                    </w:rPr>
                    <w:t>但临床仍应结合患者实际情况综合考虑。</w:t>
                  </w:r>
                </w:p>
                <w:p>
                  <w:pPr>
                    <w:ind w:left="62"/>
                    <w:spacing w:line="237" w:lineRule="exact"/>
                    <w:rPr>
                      <w:rFonts w:ascii="FangSong" w:hAnsi="FangSong" w:eastAsia="FangSong" w:cs="FangSong"/>
                      <w:sz w:val="18"/>
                      <w:szCs w:val="18"/>
                    </w:rPr>
                  </w:pP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>关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>键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 xml:space="preserve"> </w:t>
                  </w:r>
                  <w:r>
                    <w:rPr>
                      <w:rFonts w:ascii="SimHei" w:hAnsi="SimHei" w:eastAsia="SimHei" w:cs="SimHei"/>
                      <w:sz w:val="18"/>
                      <w:szCs w:val="18"/>
                      <w:spacing w:val="7"/>
                      <w:position w:val="1"/>
                    </w:rPr>
                    <w:t>词：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小儿肠套叠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高频超声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临床价值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8"/>
                      <w:position w:val="1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影像图像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11"/>
                      <w:position w:val="1"/>
                    </w:rPr>
                    <w:t xml:space="preserve">    </w:t>
                  </w:r>
                  <w:r>
                    <w:rPr>
                      <w:rFonts w:ascii="FangSong" w:hAnsi="FangSong" w:eastAsia="FangSong" w:cs="FangSong"/>
                      <w:sz w:val="18"/>
                      <w:szCs w:val="18"/>
                      <w:spacing w:val="7"/>
                      <w:position w:val="1"/>
                    </w:rPr>
                    <w:t>空气灌肠</w:t>
                  </w:r>
                </w:p>
                <w:p>
                  <w:pPr>
                    <w:ind w:left="59" w:right="57"/>
                    <w:spacing w:before="166" w:line="286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The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Clinical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Value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and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Imaging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Analysis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of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High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>-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Frequency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Ultrasound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Diagnosis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12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for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7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Pediatric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  <w:spacing w:val="6"/>
                    </w:rPr>
                    <w:t xml:space="preserve"> </w:t>
                  </w:r>
                  <w:r>
                    <w:rPr>
                      <w:rFonts w:ascii="Book Antiqua" w:hAnsi="Book Antiqua" w:eastAsia="Book Antiqua" w:cs="Book Antiqua"/>
                      <w:sz w:val="19"/>
                      <w:szCs w:val="19"/>
                      <w:b/>
                      <w:bCs/>
                    </w:rPr>
                    <w:t>Intussusception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4"/>
                    </w:rPr>
                    <w:t>LIAO Jun  HE Bian-chao  XU Huan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People’s Hospital 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-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Ningdu County,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Ganzhou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City, Jiangxi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Province     (Jiangxi Ganzho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u  342800)</w:t>
                  </w:r>
                </w:p>
                <w:p>
                  <w:pPr>
                    <w:ind w:left="57"/>
                    <w:spacing w:before="140" w:line="194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6"/>
                    </w:rPr>
                    <w:t>Abstract:        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6"/>
                    </w:rPr>
                    <w:t>Objective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analyze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value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>of high-freque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diagnosis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pediatric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intussusception.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5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5"/>
                    </w:rPr>
                    <w:t>Methods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60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6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suspected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cases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>of pediatric</w:t>
                  </w:r>
                </w:p>
                <w:p>
                  <w:pPr>
                    <w:ind w:left="1015" w:right="43" w:firstLine="3"/>
                    <w:spacing w:before="46" w:line="269" w:lineRule="auto"/>
                    <w:jc w:val="both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intussusception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admitted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our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hospital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from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October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2021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October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2022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selected,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56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cases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ﬁrmed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through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surgical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pathology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air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enema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Perform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regular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color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Doppler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high-frequency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all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pediatric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patients,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compare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diagnos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tic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results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3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two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methods,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analyze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imaging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characteristics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pediatric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intussusception.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1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Results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detection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accuracy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using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high-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6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that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ordinary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examination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&lt;0.05);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Sensitivity,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precision,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positive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prediction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negative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prediction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high-frequency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detection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were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all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higher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those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ordinary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7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detection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9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(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P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&lt;0.05).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i/>
                      <w:iCs/>
                      <w:spacing w:val="4"/>
                    </w:rPr>
                    <w:t>Conclusion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: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The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use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8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of high-frequency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13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ultrasound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diagnosis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pediatric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intussusception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has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positive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value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and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7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serve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an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important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0"/>
                      <w:w w:val="103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reference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5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for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1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treatment.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2"/>
                      <w:w w:val="101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However,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clinical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24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considerations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  <w:t xml:space="preserve">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should still be based on th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e patient’s actual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9"/>
                      <w:w w:val="102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3"/>
                    </w:rPr>
                    <w:t>situation.</w:t>
                  </w:r>
                </w:p>
                <w:p>
                  <w:pPr>
                    <w:ind w:left="59"/>
                    <w:spacing w:before="20" w:line="194" w:lineRule="auto"/>
                    <w:rPr>
                      <w:rFonts w:ascii="Times New Roman" w:hAnsi="Times New Roman" w:eastAsia="Times New Roman" w:cs="Times New Roman"/>
                      <w:sz w:val="13"/>
                      <w:szCs w:val="13"/>
                    </w:rPr>
                  </w:pP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b/>
                      <w:bCs/>
                      <w:spacing w:val="4"/>
                    </w:rPr>
                    <w:t>Key words:    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pediatric intussusception,   high-frequency ultrasound,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5"/>
                    </w:rPr>
                    <w:t xml:space="preserve">  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clinical value,   imaging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6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images,   air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8"/>
                    </w:rPr>
                    <w:t xml:space="preserve"> </w:t>
                  </w:r>
                  <w:r>
                    <w:rPr>
                      <w:rFonts w:ascii="Times New Roman" w:hAnsi="Times New Roman" w:eastAsia="Times New Roman" w:cs="Times New Roman"/>
                      <w:sz w:val="13"/>
                      <w:szCs w:val="13"/>
                      <w:spacing w:val="4"/>
                    </w:rPr>
                    <w:t>enema</w:t>
                  </w:r>
                </w:p>
              </w:txbxContent>
            </v:textbox>
          </v:shape>
        </w:pict>
      </w:r>
    </w:p>
    <w:p>
      <w:pPr>
        <w:pStyle w:val="BodyText"/>
        <w:ind w:left="905"/>
        <w:spacing w:before="47" w:line="190" w:lineRule="auto"/>
        <w:rPr>
          <w:sz w:val="18"/>
          <w:szCs w:val="18"/>
        </w:rPr>
      </w:pPr>
      <w:r>
        <w:rPr>
          <w:sz w:val="18"/>
          <w:szCs w:val="18"/>
        </w:rPr>
        <w:t>DOI:10.15971/j.cnki.cmdi.2024.22</w:t>
      </w:r>
      <w:r>
        <w:rPr>
          <w:sz w:val="18"/>
          <w:szCs w:val="18"/>
          <w:spacing w:val="-1"/>
        </w:rPr>
        <w:t>.044</w:t>
      </w:r>
    </w:p>
    <w:p>
      <w:pPr>
        <w:spacing w:before="32"/>
        <w:rPr/>
      </w:pPr>
      <w:r/>
    </w:p>
    <w:p>
      <w:pPr>
        <w:sectPr>
          <w:pgSz w:w="11906" w:h="16158"/>
          <w:pgMar w:top="0" w:right="858" w:bottom="0" w:left="0" w:header="0" w:footer="0" w:gutter="0"/>
          <w:cols w:equalWidth="0" w:num="1">
            <w:col w:w="11048" w:space="0"/>
          </w:cols>
        </w:sectPr>
        <w:rPr/>
      </w:pPr>
    </w:p>
    <w:p>
      <w:pPr>
        <w:pStyle w:val="BodyText"/>
        <w:ind w:left="847" w:firstLine="381"/>
        <w:spacing w:before="32" w:line="249" w:lineRule="auto"/>
        <w:rPr>
          <w:sz w:val="16"/>
          <w:szCs w:val="16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儿童肠套叠主要是由于体内的肠道与周围的肠系膜一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起塌陷，从而导致肠道远端的梗阻。症状以呕吐、腹部包块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及血便为主， 好发于小肠、结肠，  疾病发展较为迅速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0"/>
          <w:szCs w:val="10"/>
          <w:spacing w:val="1"/>
          <w:position w:val="7"/>
        </w:rPr>
        <w:t>[1]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。单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纯性肠套叠是由于小肠下陷，血管、静脉和淋巴聚集在一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起，引起肠壁水肿，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严重的还会引起肠壁的破裂，  造成出血。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小儿的内脏还在发育，</w:t>
      </w:r>
      <w:r>
        <w:rPr>
          <w:rFonts w:ascii="Microsoft YaHei" w:hAnsi="Microsoft YaHei" w:eastAsia="Microsoft YaHei" w:cs="Microsoft YaHei"/>
          <w:sz w:val="18"/>
          <w:szCs w:val="18"/>
          <w:spacing w:val="3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如果没有得到有效的治疗，</w:t>
      </w:r>
      <w:r>
        <w:rPr>
          <w:rFonts w:ascii="Microsoft YaHei" w:hAnsi="Microsoft YaHei" w:eastAsia="Microsoft YaHei" w:cs="Microsoft YaHei"/>
          <w:sz w:val="18"/>
          <w:szCs w:val="18"/>
          <w:spacing w:val="5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就会导致    </w:t>
      </w:r>
      <w:r>
        <w:rPr>
          <w:rFonts w:ascii="Microsoft YaHei" w:hAnsi="Microsoft YaHei" w:eastAsia="Microsoft YaHei" w:cs="Microsoft YaHei"/>
          <w:sz w:val="18"/>
          <w:szCs w:val="18"/>
        </w:rPr>
        <w:t>肠道的血液循环出现问题，</w:t>
      </w:r>
      <w:r>
        <w:rPr>
          <w:rFonts w:ascii="Microsoft YaHei" w:hAnsi="Microsoft YaHei" w:eastAsia="Microsoft YaHei" w:cs="Microsoft YaHei"/>
          <w:sz w:val="18"/>
          <w:szCs w:val="18"/>
          <w:spacing w:val="4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从而导致肠坏死。过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去，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肠套叠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的诊断方法是经腹部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4"/>
        </w:rPr>
        <w:t>X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光片，这种方法简单， 价格便宜，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因胃内异物较多，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极易导致漏诊、误诊等现象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0"/>
          <w:szCs w:val="10"/>
          <w:spacing w:val="3"/>
          <w:position w:val="7"/>
        </w:rPr>
        <w:t>[2]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。目前， 临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床上主要采用的是常规低频探头超声检查，虽然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确有肠套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叠表现，但由于小肠本身的生理曲度，  以及某些儿童的肠道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形态改变、图像模糊等情况，  容易造成误诊、漏诊的现象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sz w:val="10"/>
          <w:szCs w:val="10"/>
          <w:spacing w:val="3"/>
          <w:position w:val="7"/>
        </w:rPr>
        <w:t>[3]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近几年来，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高频超声已逐步用于儿童肠套叠的诊断，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其特点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是可以明确肠套叠的性质，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并且由于儿童的腹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部比较薄，</w:t>
      </w:r>
      <w:r>
        <w:rPr>
          <w:rFonts w:ascii="Microsoft YaHei" w:hAnsi="Microsoft YaHei" w:eastAsia="Microsoft YaHei" w:cs="Microsoft YaHei"/>
          <w:sz w:val="18"/>
          <w:szCs w:val="18"/>
          <w:spacing w:val="4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以能清晰地显示肠管的形态，</w:t>
      </w:r>
      <w:r>
        <w:rPr>
          <w:rFonts w:ascii="Microsoft YaHei" w:hAnsi="Microsoft YaHei" w:eastAsia="Microsoft YaHei" w:cs="Microsoft YaHei"/>
          <w:sz w:val="18"/>
          <w:szCs w:val="18"/>
          <w:spacing w:val="4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能有效地辅助医生观察到肠道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的情况，还能对血流的频谱进行分析，具有较高诊断价值。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u w:val="single" w:color="auto"/>
          <w:spacing w:val="15"/>
        </w:rPr>
        <w:t>本文对小儿肠套叠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采用高频超声诊断的临床价值及影像图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SimHei" w:hAnsi="SimHei" w:eastAsia="SimHei" w:cs="SimHei"/>
          <w:sz w:val="16"/>
          <w:szCs w:val="16"/>
          <w:spacing w:val="1"/>
        </w:rPr>
        <w:t>收稿日期：</w:t>
      </w:r>
      <w:r>
        <w:rPr>
          <w:sz w:val="16"/>
          <w:szCs w:val="16"/>
          <w:spacing w:val="1"/>
        </w:rPr>
        <w:t>2023-12-07</w:t>
      </w:r>
    </w:p>
    <w:p>
      <w:pPr>
        <w:spacing w:line="34" w:lineRule="exact"/>
        <w:rPr/>
      </w:pPr>
      <w:r/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100"/>
        <w:spacing w:before="36" w:line="18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像进行了探讨，现将研究成果总结报道如下。</w:t>
      </w:r>
    </w:p>
    <w:p>
      <w:pPr>
        <w:ind w:left="140"/>
        <w:spacing w:before="335" w:line="252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2"/>
        </w:rPr>
        <w:t>1.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>资料与方法           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3"/>
          <w:position w:val="2"/>
        </w:rPr>
        <w:t xml:space="preserve">                    </w:t>
      </w:r>
    </w:p>
    <w:p>
      <w:pPr>
        <w:pStyle w:val="BodyText"/>
        <w:ind w:left="120"/>
        <w:spacing w:before="109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1.1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临床资料</w:t>
      </w:r>
    </w:p>
    <w:p>
      <w:pPr>
        <w:pStyle w:val="BodyText"/>
        <w:ind w:right="162" w:firstLine="481"/>
        <w:spacing w:before="80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本研究选取本院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9"/>
        </w:rPr>
        <w:t>2021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年 </w:t>
      </w:r>
      <w:r>
        <w:rPr>
          <w:sz w:val="18"/>
          <w:szCs w:val="18"/>
          <w:spacing w:val="9"/>
        </w:rPr>
        <w:t>10</w:t>
      </w:r>
      <w:r>
        <w:rPr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月</w:t>
      </w:r>
      <w:r>
        <w:rPr>
          <w:sz w:val="18"/>
          <w:szCs w:val="18"/>
          <w:spacing w:val="9"/>
        </w:rPr>
        <w:t>~2022</w:t>
      </w:r>
      <w:r>
        <w:rPr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年 </w:t>
      </w:r>
      <w:r>
        <w:rPr>
          <w:sz w:val="18"/>
          <w:szCs w:val="18"/>
          <w:spacing w:val="9"/>
        </w:rPr>
        <w:t>10</w:t>
      </w:r>
      <w:r>
        <w:rPr>
          <w:sz w:val="18"/>
          <w:szCs w:val="18"/>
          <w:spacing w:val="-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月就诊的</w:t>
      </w:r>
      <w:r>
        <w:rPr>
          <w:rFonts w:ascii="Microsoft YaHei" w:hAnsi="Microsoft YaHei" w:eastAsia="Microsoft YaHei" w:cs="Microsoft YaHei"/>
          <w:sz w:val="18"/>
          <w:szCs w:val="18"/>
          <w:spacing w:val="-16"/>
        </w:rPr>
        <w:t xml:space="preserve"> </w:t>
      </w:r>
      <w:r>
        <w:rPr>
          <w:sz w:val="18"/>
          <w:szCs w:val="18"/>
          <w:spacing w:val="9"/>
        </w:rPr>
        <w:t>60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8"/>
        </w:rPr>
        <w:t>例疑似小儿肠套叠的病例进行研究。经过手术病理或空气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灌肠检查确诊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 xml:space="preserve"> </w:t>
      </w:r>
      <w:r>
        <w:rPr>
          <w:sz w:val="18"/>
          <w:szCs w:val="18"/>
          <w:spacing w:val="11"/>
        </w:rPr>
        <w:t>56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例。含男患儿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1"/>
        </w:rPr>
        <w:t>32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例，女患儿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11"/>
        </w:rPr>
        <w:t>24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例，年龄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11"/>
        </w:rPr>
        <w:t>6</w:t>
      </w:r>
      <w:r>
        <w:rPr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个月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9"/>
        </w:rPr>
        <w:t>~12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岁，平均（</w:t>
      </w:r>
      <w:r>
        <w:rPr>
          <w:sz w:val="18"/>
          <w:szCs w:val="18"/>
          <w:spacing w:val="9"/>
        </w:rPr>
        <w:t>4.56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±</w:t>
      </w:r>
      <w:r>
        <w:rPr>
          <w:sz w:val="18"/>
          <w:szCs w:val="18"/>
          <w:spacing w:val="9"/>
        </w:rPr>
        <w:t>1.05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）岁；发病时间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9"/>
        </w:rPr>
        <w:t>2~71h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平均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（</w:t>
      </w:r>
      <w:r>
        <w:rPr>
          <w:sz w:val="18"/>
          <w:szCs w:val="18"/>
          <w:spacing w:val="5"/>
        </w:rPr>
        <w:t>31.04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±</w:t>
      </w:r>
      <w:r>
        <w:rPr>
          <w:sz w:val="18"/>
          <w:szCs w:val="18"/>
          <w:spacing w:val="5"/>
        </w:rPr>
        <w:t>10.24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）</w:t>
      </w:r>
      <w:r>
        <w:rPr>
          <w:sz w:val="18"/>
          <w:szCs w:val="18"/>
          <w:spacing w:val="5"/>
        </w:rPr>
        <w:t>h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。本研究受到本院医疗伦理委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员会的审核与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3"/>
        </w:rPr>
        <w:t>批准。</w:t>
      </w:r>
    </w:p>
    <w:p>
      <w:pPr>
        <w:pStyle w:val="BodyText"/>
        <w:ind w:left="101" w:firstLine="383"/>
        <w:spacing w:before="2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纳入标准：①年龄≤</w:t>
      </w:r>
      <w:r>
        <w:rPr>
          <w:sz w:val="18"/>
          <w:szCs w:val="18"/>
          <w:spacing w:val="5"/>
        </w:rPr>
        <w:t>12</w:t>
      </w:r>
      <w:r>
        <w:rPr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岁，发病时间≤</w:t>
      </w:r>
      <w:r>
        <w:rPr>
          <w:sz w:val="18"/>
          <w:szCs w:val="18"/>
          <w:spacing w:val="5"/>
        </w:rPr>
        <w:t>72h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；②均存在一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定的腹痛、腹泻、恶心呕吐等症状；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③临床病史资料完整且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真实；④患儿或其家长均对本研究知情，</w:t>
      </w:r>
      <w:r>
        <w:rPr>
          <w:rFonts w:ascii="Microsoft YaHei" w:hAnsi="Microsoft YaHei" w:eastAsia="Microsoft YaHei" w:cs="Microsoft YaHei"/>
          <w:sz w:val="18"/>
          <w:szCs w:val="18"/>
          <w:spacing w:val="22"/>
          <w:w w:val="10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自愿签署</w:t>
      </w:r>
      <w:r>
        <w:rPr>
          <w:rFonts w:ascii="Microsoft YaHei" w:hAnsi="Microsoft YaHei" w:eastAsia="Microsoft YaHei" w:cs="Microsoft YaHei"/>
          <w:sz w:val="18"/>
          <w:szCs w:val="18"/>
        </w:rPr>
        <w:t>相关协议。</w:t>
      </w:r>
    </w:p>
    <w:p>
      <w:pPr>
        <w:ind w:left="100" w:right="162" w:firstLine="381"/>
        <w:spacing w:before="3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排除标准：①存在严重先天性疾病者；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②曾有肠道手术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史的患儿；③存在严重脏器器官受损；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④患儿或其家长不愿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参与本研究，或依从性较差。</w:t>
      </w:r>
    </w:p>
    <w:p>
      <w:pPr>
        <w:sectPr>
          <w:type w:val="continuous"/>
          <w:pgSz w:w="11906" w:h="16158"/>
          <w:pgMar w:top="0" w:right="858" w:bottom="0" w:left="0" w:header="0" w:footer="0" w:gutter="0"/>
          <w:cols w:equalWidth="0" w:num="2">
            <w:col w:w="5889" w:space="21"/>
            <w:col w:w="5137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ind w:left="861"/>
        <w:spacing w:before="147" w:line="201" w:lineRule="exact"/>
        <w:rPr>
          <w:rFonts w:ascii="Candara" w:hAnsi="Candara" w:eastAsia="Candara" w:cs="Candara"/>
          <w:sz w:val="14"/>
          <w:szCs w:val="14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536825</wp:posOffset>
            </wp:positionH>
            <wp:positionV relativeFrom="paragraph">
              <wp:posOffset>-9658107</wp:posOffset>
            </wp:positionV>
            <wp:extent cx="6350" cy="720000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Georgia" w:hAnsi="Georgia" w:eastAsia="Georgia" w:cs="Georgia"/>
          <w:sz w:val="16"/>
          <w:szCs w:val="16"/>
          <w:color w:val="800072"/>
          <w:position w:val="12"/>
        </w:rPr>
        <w:t>.</w:t>
      </w:r>
      <w:r>
        <w:rPr>
          <w:rFonts w:ascii="Georgia" w:hAnsi="Georgia" w:eastAsia="Georgia" w:cs="Georgia"/>
          <w:sz w:val="16"/>
          <w:szCs w:val="16"/>
          <w:color w:val="800072"/>
          <w:position w:val="1"/>
        </w:rPr>
        <w:t>128 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position w:val="1"/>
        </w:rPr>
        <w:t>中国医疗器械信息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26"/>
          <w:w w:val="101"/>
          <w:position w:val="1"/>
        </w:rPr>
        <w:t xml:space="preserve"> </w:t>
      </w:r>
      <w:r>
        <w:rPr>
          <w:rFonts w:ascii="Corbel" w:hAnsi="Corbel" w:eastAsia="Corbel" w:cs="Corbel"/>
          <w:sz w:val="14"/>
          <w:szCs w:val="14"/>
          <w:color w:val="00A0E9"/>
          <w:position w:val="2"/>
        </w:rPr>
        <w:t>|</w:t>
      </w:r>
      <w:r>
        <w:rPr>
          <w:rFonts w:ascii="Corbel" w:hAnsi="Corbel" w:eastAsia="Corbel" w:cs="Corbel"/>
          <w:sz w:val="14"/>
          <w:szCs w:val="14"/>
          <w:color w:val="00A0E9"/>
          <w:spacing w:val="15"/>
          <w:w w:val="103"/>
          <w:position w:val="2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5"/>
          <w:w w:val="101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Medical  Devic</w:t>
      </w:r>
      <w:r>
        <w:rPr>
          <w:rFonts w:ascii="Candara" w:hAnsi="Candara" w:eastAsia="Candara" w:cs="Candara"/>
          <w:sz w:val="14"/>
          <w:szCs w:val="14"/>
          <w:color w:val="00A0E9"/>
          <w:spacing w:val="-1"/>
          <w:position w:val="1"/>
        </w:rPr>
        <w:t>e  Information</w:t>
      </w:r>
    </w:p>
    <w:p>
      <w:pPr>
        <w:ind w:left="432"/>
        <w:spacing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4" style="position:absolute;margin-left:68pt;margin-top:9.9996pt;mso-position-vertical-relative:text;mso-position-horizontal-relative:text;width:0pt;height:0pt;z-index:251659264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1906" w:h="16158"/>
          <w:pgMar w:top="0" w:right="858" w:bottom="0" w:left="0" w:header="0" w:footer="0" w:gutter="0"/>
          <w:cols w:equalWidth="0" w:num="1">
            <w:col w:w="11048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ind w:left="9138"/>
        <w:spacing w:before="304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"/>
        </w:rPr>
        <w:t>临床应用研究</w:t>
      </w:r>
    </w:p>
    <w:p>
      <w:pPr>
        <w:pStyle w:val="BodyText"/>
        <w:ind w:left="8769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5"/>
        </w:rPr>
        <w:t>Clinical Application Research</w:t>
      </w:r>
    </w:p>
    <w:p>
      <w:pPr>
        <w:spacing w:before="24"/>
        <w:rPr/>
      </w:pPr>
      <w:r/>
    </w:p>
    <w:p>
      <w:pPr>
        <w:spacing w:before="23"/>
        <w:rPr/>
      </w:pPr>
      <w:r/>
    </w:p>
    <w:p>
      <w:pPr>
        <w:sectPr>
          <w:headerReference w:type="default" r:id="rId3"/>
          <w:pgSz w:w="11906" w:h="16158"/>
          <w:pgMar w:top="400" w:right="684" w:bottom="0" w:left="432" w:header="0" w:footer="0" w:gutter="0"/>
          <w:cols w:equalWidth="0" w:num="1">
            <w:col w:w="10790" w:space="0"/>
          </w:cols>
        </w:sectPr>
        <w:rPr/>
      </w:pPr>
    </w:p>
    <w:p>
      <w:pPr>
        <w:pStyle w:val="BodyText"/>
        <w:ind w:left="610"/>
        <w:spacing w:before="35" w:line="177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"/>
        </w:rPr>
        <w:t>1.2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方法</w:t>
      </w:r>
    </w:p>
    <w:p>
      <w:pPr>
        <w:pStyle w:val="BodyText"/>
        <w:ind w:left="589" w:right="29" w:firstLine="381"/>
        <w:spacing w:before="87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对所有患儿实施普通彩色多普勒超声以及高频超声检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查，具体方式为：仪器选用迈瑞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sz w:val="18"/>
          <w:szCs w:val="18"/>
        </w:rPr>
        <w:t>DC</w:t>
      </w:r>
      <w:r>
        <w:rPr>
          <w:sz w:val="18"/>
          <w:szCs w:val="18"/>
          <w:spacing w:val="10"/>
        </w:rPr>
        <w:t>-8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型超声诊断仪，高频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超声以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8"/>
        </w:rPr>
        <w:t>&gt;3.5~5</w:t>
      </w:r>
      <w:r>
        <w:rPr>
          <w:sz w:val="18"/>
          <w:szCs w:val="18"/>
        </w:rPr>
        <w:t>MHz</w:t>
      </w:r>
      <w:r>
        <w:rPr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的可控凸阵探头和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8"/>
        </w:rPr>
        <w:t>7~10</w:t>
      </w:r>
      <w:r>
        <w:rPr>
          <w:sz w:val="18"/>
          <w:szCs w:val="18"/>
        </w:rPr>
        <w:t>MHz</w:t>
      </w:r>
      <w:r>
        <w:rPr>
          <w:sz w:val="18"/>
          <w:szCs w:val="18"/>
          <w:spacing w:val="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的高频线性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阵列探头作为扫描工具，</w:t>
      </w:r>
      <w:r>
        <w:rPr>
          <w:rFonts w:ascii="Microsoft YaHei" w:hAnsi="Microsoft YaHei" w:eastAsia="Microsoft YaHei" w:cs="Microsoft YaHei"/>
          <w:sz w:val="18"/>
          <w:szCs w:val="18"/>
          <w:spacing w:val="6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首先引导患儿实施仰卧体位，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利用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凸形阵列探头对儿童的腹部，</w:t>
      </w:r>
      <w:r>
        <w:rPr>
          <w:rFonts w:ascii="Microsoft YaHei" w:hAnsi="Microsoft YaHei" w:eastAsia="Microsoft YaHei" w:cs="Microsoft YaHei"/>
          <w:sz w:val="18"/>
          <w:szCs w:val="18"/>
          <w:spacing w:val="16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特别是右下腹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的回盲部进行全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面的扫描；其次，</w:t>
      </w:r>
      <w:r>
        <w:rPr>
          <w:rFonts w:ascii="Microsoft YaHei" w:hAnsi="Microsoft YaHei" w:eastAsia="Microsoft YaHei" w:cs="Microsoft YaHei"/>
          <w:sz w:val="18"/>
          <w:szCs w:val="18"/>
          <w:spacing w:val="-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转换探头，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对可疑肿块使用高频线阵探头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进行纵切、横切面和斜切面的扫描，</w:t>
      </w:r>
      <w:r>
        <w:rPr>
          <w:rFonts w:ascii="Microsoft YaHei" w:hAnsi="Microsoft YaHei" w:eastAsia="Microsoft YaHei" w:cs="Microsoft YaHei"/>
          <w:sz w:val="18"/>
          <w:szCs w:val="18"/>
          <w:spacing w:val="6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记录肿物的长度、大小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和位置，并观察有无淋巴结肿大和积液，用彩色多普勒显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像技术查询血流和血流信号。普通超声则采用</w:t>
      </w:r>
      <w:r>
        <w:rPr>
          <w:rFonts w:ascii="Microsoft YaHei" w:hAnsi="Microsoft YaHei" w:eastAsia="Microsoft YaHei" w:cs="Microsoft YaHei"/>
          <w:sz w:val="18"/>
          <w:szCs w:val="18"/>
          <w:spacing w:val="-22"/>
        </w:rPr>
        <w:t xml:space="preserve"> </w:t>
      </w:r>
      <w:r>
        <w:rPr>
          <w:sz w:val="18"/>
          <w:szCs w:val="18"/>
          <w:spacing w:val="9"/>
        </w:rPr>
        <w:t>3.5</w:t>
      </w:r>
      <w:r>
        <w:rPr>
          <w:sz w:val="18"/>
          <w:szCs w:val="18"/>
        </w:rPr>
        <w:t>MHz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探头，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配合患儿仰卧位，对小儿腹腔内肿块作纵切及横断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面扫查。</w:t>
      </w:r>
    </w:p>
    <w:p>
      <w:pPr>
        <w:pStyle w:val="BodyText"/>
        <w:ind w:left="591" w:right="125" w:firstLine="396"/>
        <w:spacing w:before="9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以空气灌肠结果作为“黄金标准”，该方式具体操作为：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先充分暴露儿童会阴部位，在患儿肛管</w:t>
      </w:r>
      <w:r>
        <w:rPr>
          <w:sz w:val="18"/>
          <w:szCs w:val="18"/>
          <w:spacing w:val="11"/>
        </w:rPr>
        <w:t>6~10</w:t>
      </w:r>
      <w:r>
        <w:rPr>
          <w:sz w:val="18"/>
          <w:szCs w:val="18"/>
        </w:rPr>
        <w:t>cm</w:t>
      </w:r>
      <w:r>
        <w:rPr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处，缓慢插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入涂上石蜡油的双腔导尿管。气囊里注入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9"/>
        </w:rPr>
        <w:t>20</w:t>
      </w:r>
      <w:r>
        <w:rPr>
          <w:sz w:val="18"/>
          <w:szCs w:val="18"/>
        </w:rPr>
        <w:t>mL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空气，再注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入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10"/>
        </w:rPr>
        <w:t>25</w:t>
      </w:r>
      <w:r>
        <w:rPr>
          <w:sz w:val="18"/>
          <w:szCs w:val="18"/>
        </w:rPr>
        <w:t>mL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生理盐水，抽掉空导管里的液体。再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将灌肠器悬挂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于灌肠托架上，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与双腔导尿管相连， 完成灌肠操作。超声监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测：在灌肠期间， 要对小儿的腹部进行实时监测，  并对其腔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内的游离积液和气体含量等进行检查， 对肠套叠的位置进行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扫描，同时对肠管的扩张和重叠的长度进行动态观察，</w:t>
      </w:r>
      <w:r>
        <w:rPr>
          <w:rFonts w:ascii="Microsoft YaHei" w:hAnsi="Microsoft YaHei" w:eastAsia="Microsoft YaHei" w:cs="Microsoft YaHei"/>
          <w:sz w:val="18"/>
          <w:szCs w:val="18"/>
          <w:spacing w:val="6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并适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时地调节灌肠速率。灌肠完毕后，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要彻底的检查全</w:t>
      </w:r>
      <w:r>
        <w:rPr>
          <w:rFonts w:ascii="Microsoft YaHei" w:hAnsi="Microsoft YaHei" w:eastAsia="Microsoft YaHei" w:cs="Microsoft YaHei"/>
          <w:sz w:val="18"/>
          <w:szCs w:val="18"/>
        </w:rPr>
        <w:t>结肠，</w:t>
      </w:r>
      <w:r>
        <w:rPr>
          <w:rFonts w:ascii="Microsoft YaHei" w:hAnsi="Microsoft YaHei" w:eastAsia="Microsoft YaHei" w:cs="Microsoft YaHei"/>
          <w:sz w:val="18"/>
          <w:szCs w:val="18"/>
          <w:spacing w:val="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确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定套叠是否已经消失。如有肠道穿孔等并发症，</w:t>
      </w:r>
      <w:r>
        <w:rPr>
          <w:rFonts w:ascii="Microsoft YaHei" w:hAnsi="Microsoft YaHei" w:eastAsia="Microsoft YaHei" w:cs="Microsoft YaHei"/>
          <w:sz w:val="18"/>
          <w:szCs w:val="18"/>
          <w:spacing w:val="3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经多次灌肠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治疗后，肠套叠仍未见好转， 应立即行肠道复位治疗。成功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标志：小肠造影成功， 说明回盲瓣已完全打开，  气体和液体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可以通过回盲瓣流入回肠。</w:t>
      </w:r>
    </w:p>
    <w:p>
      <w:pPr>
        <w:ind w:left="591" w:right="180" w:firstLine="395"/>
        <w:spacing w:before="5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阅片处理：在双盲的条件下，</w:t>
      </w:r>
      <w:r>
        <w:rPr>
          <w:rFonts w:ascii="Microsoft YaHei" w:hAnsi="Microsoft YaHei" w:eastAsia="Microsoft YaHei" w:cs="Microsoft YaHei"/>
          <w:sz w:val="18"/>
          <w:szCs w:val="18"/>
          <w:spacing w:val="30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由两名专业的超声影像学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医生同时阅片， 观察肠套叠的典型声像图，  如套筒征、同心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圆征、肠壁水肿和混合性包块等，  同时还要注意各个部位的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肠套叠发生情况， 当诊断结果有不同时，</w:t>
      </w:r>
      <w:r>
        <w:rPr>
          <w:rFonts w:ascii="Microsoft YaHei" w:hAnsi="Microsoft YaHei" w:eastAsia="Microsoft YaHei" w:cs="Microsoft YaHei"/>
          <w:sz w:val="18"/>
          <w:szCs w:val="18"/>
          <w:spacing w:val="3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由主任医师参与阅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片，经讨论后得出结果。</w:t>
      </w:r>
    </w:p>
    <w:p>
      <w:pPr>
        <w:pStyle w:val="BodyText"/>
        <w:ind w:left="610"/>
        <w:spacing w:before="1" w:line="178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6"/>
        </w:rPr>
        <w:t>1.3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观察指标与判定标准</w:t>
      </w:r>
    </w:p>
    <w:p>
      <w:pPr>
        <w:pStyle w:val="BodyText"/>
        <w:ind w:left="590" w:right="180" w:firstLine="380"/>
        <w:spacing w:before="80" w:line="241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对所有患儿实施普通彩色多普勒超声以及高频超声检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查，比较两种检查方式的诊断结果，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并分析其特异性、灵敏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度、准确度、阳性预测值、阴性预测值等指标；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结合高频超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声影像图像结果， 分析小儿肠套叠的影像学特征。其中：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灵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敏度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6"/>
        </w:rPr>
        <w:t>=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阳性患儿例数</w:t>
      </w:r>
      <w:r>
        <w:rPr>
          <w:sz w:val="18"/>
          <w:szCs w:val="18"/>
          <w:spacing w:val="6"/>
        </w:rPr>
        <w:t>/</w:t>
      </w:r>
      <w:r>
        <w:rPr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肠套叠患儿例数</w:t>
      </w:r>
      <w:r>
        <w:rPr>
          <w:rFonts w:ascii="Microsoft YaHei" w:hAnsi="Microsoft YaHei" w:eastAsia="Microsoft YaHei" w:cs="Microsoft YaHei"/>
          <w:sz w:val="18"/>
          <w:szCs w:val="18"/>
          <w:spacing w:val="2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×</w:t>
      </w:r>
      <w:r>
        <w:rPr>
          <w:sz w:val="18"/>
          <w:szCs w:val="18"/>
          <w:spacing w:val="6"/>
        </w:rPr>
        <w:t>100%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；特异度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sz w:val="18"/>
          <w:szCs w:val="18"/>
          <w:spacing w:val="5"/>
        </w:rPr>
        <w:t>=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阴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性患儿例数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7"/>
        </w:rPr>
        <w:t>/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非肠套叠患儿例数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×</w:t>
      </w:r>
      <w:r>
        <w:rPr>
          <w:sz w:val="18"/>
          <w:szCs w:val="18"/>
          <w:spacing w:val="7"/>
        </w:rPr>
        <w:t>100%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；准确度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7"/>
        </w:rPr>
        <w:t>=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诊断准确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患儿个数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7"/>
        </w:rPr>
        <w:t>/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总数</w:t>
      </w:r>
      <w:r>
        <w:rPr>
          <w:rFonts w:ascii="Microsoft YaHei" w:hAnsi="Microsoft YaHei" w:eastAsia="Microsoft YaHei" w:cs="Microsoft YaHei"/>
          <w:sz w:val="18"/>
          <w:szCs w:val="18"/>
          <w:spacing w:val="2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×</w:t>
      </w:r>
      <w:r>
        <w:rPr>
          <w:sz w:val="18"/>
          <w:szCs w:val="18"/>
          <w:spacing w:val="7"/>
        </w:rPr>
        <w:t>100%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；阳性预测值</w:t>
      </w:r>
      <w:r>
        <w:rPr>
          <w:rFonts w:ascii="Microsoft YaHei" w:hAnsi="Microsoft YaHei" w:eastAsia="Microsoft YaHei" w:cs="Microsoft YaHei"/>
          <w:sz w:val="18"/>
          <w:szCs w:val="18"/>
          <w:spacing w:val="-23"/>
        </w:rPr>
        <w:t xml:space="preserve"> </w:t>
      </w:r>
      <w:r>
        <w:rPr>
          <w:sz w:val="18"/>
          <w:szCs w:val="18"/>
          <w:spacing w:val="7"/>
        </w:rPr>
        <w:t>=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真阳性例数</w:t>
      </w:r>
      <w:r>
        <w:rPr>
          <w:rFonts w:ascii="Microsoft YaHei" w:hAnsi="Microsoft YaHei" w:eastAsia="Microsoft YaHei" w:cs="Microsoft YaHei"/>
          <w:sz w:val="18"/>
          <w:szCs w:val="18"/>
          <w:spacing w:val="-29"/>
        </w:rPr>
        <w:t xml:space="preserve"> </w:t>
      </w:r>
      <w:r>
        <w:rPr>
          <w:sz w:val="18"/>
          <w:szCs w:val="18"/>
          <w:spacing w:val="7"/>
        </w:rPr>
        <w:t>/(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真阳性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例数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9"/>
        </w:rPr>
        <w:t>+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假阳性例数</w:t>
      </w:r>
      <w:r>
        <w:rPr>
          <w:rFonts w:ascii="Microsoft YaHei" w:hAnsi="Microsoft YaHei" w:eastAsia="Microsoft YaHei" w:cs="Microsoft YaHei"/>
          <w:sz w:val="18"/>
          <w:szCs w:val="18"/>
          <w:spacing w:val="-24"/>
        </w:rPr>
        <w:t xml:space="preserve"> </w:t>
      </w:r>
      <w:r>
        <w:rPr>
          <w:sz w:val="18"/>
          <w:szCs w:val="18"/>
          <w:spacing w:val="9"/>
        </w:rPr>
        <w:t>)</w:t>
      </w:r>
      <w:r>
        <w:rPr>
          <w:sz w:val="18"/>
          <w:szCs w:val="18"/>
          <w:spacing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×</w:t>
      </w:r>
      <w:r>
        <w:rPr>
          <w:sz w:val="18"/>
          <w:szCs w:val="18"/>
          <w:spacing w:val="9"/>
        </w:rPr>
        <w:t>100%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；阴性预测值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8"/>
          <w:szCs w:val="18"/>
          <w:spacing w:val="9"/>
        </w:rPr>
        <w:t>=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真阴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性例数</w:t>
      </w:r>
      <w:r>
        <w:rPr>
          <w:rFonts w:ascii="Microsoft YaHei" w:hAnsi="Microsoft YaHei" w:eastAsia="Microsoft YaHei" w:cs="Microsoft YaHei"/>
          <w:sz w:val="18"/>
          <w:szCs w:val="18"/>
          <w:spacing w:val="-28"/>
        </w:rPr>
        <w:t xml:space="preserve"> </w:t>
      </w:r>
      <w:r>
        <w:rPr>
          <w:sz w:val="18"/>
          <w:szCs w:val="18"/>
          <w:spacing w:val="8"/>
        </w:rPr>
        <w:t>/(</w:t>
      </w:r>
      <w:r>
        <w:rPr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真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阴性例数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5"/>
        </w:rPr>
        <w:t>+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假阴性例数</w:t>
      </w:r>
      <w:r>
        <w:rPr>
          <w:rFonts w:ascii="Microsoft YaHei" w:hAnsi="Microsoft YaHei" w:eastAsia="Microsoft YaHei" w:cs="Microsoft YaHei"/>
          <w:sz w:val="18"/>
          <w:szCs w:val="18"/>
          <w:spacing w:val="-25"/>
        </w:rPr>
        <w:t xml:space="preserve"> </w:t>
      </w:r>
      <w:r>
        <w:rPr>
          <w:sz w:val="18"/>
          <w:szCs w:val="18"/>
          <w:spacing w:val="5"/>
        </w:rPr>
        <w:t>)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×</w:t>
      </w:r>
      <w:r>
        <w:rPr>
          <w:rFonts w:ascii="Microsoft YaHei" w:hAnsi="Microsoft YaHei" w:eastAsia="Microsoft YaHei" w:cs="Microsoft YaHei"/>
          <w:sz w:val="18"/>
          <w:szCs w:val="18"/>
          <w:spacing w:val="-32"/>
        </w:rPr>
        <w:t xml:space="preserve"> </w:t>
      </w:r>
      <w:r>
        <w:rPr>
          <w:sz w:val="18"/>
          <w:szCs w:val="18"/>
          <w:spacing w:val="5"/>
        </w:rPr>
        <w:t>100%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。</w:t>
      </w:r>
    </w:p>
    <w:p>
      <w:pPr>
        <w:pStyle w:val="BodyText"/>
        <w:ind w:left="610"/>
        <w:spacing w:before="20" w:line="180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4"/>
        </w:rPr>
        <w:t>1.4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统计学分析</w:t>
      </w:r>
    </w:p>
    <w:p>
      <w:pPr>
        <w:pStyle w:val="BodyText"/>
        <w:ind w:left="592" w:right="180" w:firstLine="379"/>
        <w:spacing w:before="78" w:line="236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pict>
          <v:shape id="_x0000_s6" style="position:absolute;margin-left:154.361pt;margin-top:20.4602pt;mso-position-vertical-relative:text;mso-position-horizontal-relative:text;width:4.5pt;height:0.5pt;z-index:-251656192;" filled="false" strokecolor="#000000" strokeweight="0.50pt" coordsize="90,10" coordorigin="0,0" path="m0,5l89,5e">
            <v:stroke joinstyle="miter" miterlimit="10"/>
          </v:shape>
        </w:pic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采用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</w:rPr>
        <w:t>SPSS</w:t>
      </w:r>
      <w:r>
        <w:rPr>
          <w:sz w:val="18"/>
          <w:szCs w:val="18"/>
          <w:spacing w:val="12"/>
        </w:rPr>
        <w:t>20.0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2"/>
        </w:rPr>
        <w:t>统计软件进行数据分析，符合正态分布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或近似正态分布的计量资料用</w:t>
      </w:r>
      <w:r>
        <w:rPr>
          <w:sz w:val="18"/>
          <w:szCs w:val="18"/>
          <w:i/>
          <w:iCs/>
          <w:spacing w:val="10"/>
        </w:rPr>
        <w:t>x</w:t>
      </w:r>
      <w:r>
        <w:rPr>
          <w:sz w:val="18"/>
          <w:szCs w:val="18"/>
          <w:i/>
          <w:iCs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±</w:t>
      </w:r>
      <w:r>
        <w:rPr>
          <w:sz w:val="18"/>
          <w:szCs w:val="18"/>
          <w:i/>
          <w:iCs/>
          <w:spacing w:val="10"/>
        </w:rPr>
        <w:t>s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表示，行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sz w:val="18"/>
          <w:szCs w:val="18"/>
          <w:i/>
          <w:iCs/>
          <w:spacing w:val="10"/>
        </w:rPr>
        <w:t>t</w:t>
      </w:r>
      <w:r>
        <w:rPr>
          <w:sz w:val="18"/>
          <w:szCs w:val="18"/>
          <w:i/>
          <w:iCs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检验；计数资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料用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 xml:space="preserve"> </w:t>
      </w:r>
      <w:r>
        <w:rPr>
          <w:sz w:val="18"/>
          <w:szCs w:val="18"/>
          <w:spacing w:val="4"/>
        </w:rPr>
        <w:t>[</w:t>
      </w:r>
      <w:r>
        <w:rPr>
          <w:sz w:val="18"/>
          <w:szCs w:val="18"/>
          <w:i/>
          <w:iCs/>
          <w:spacing w:val="4"/>
        </w:rPr>
        <w:t>n</w:t>
      </w:r>
      <w:r>
        <w:rPr>
          <w:sz w:val="18"/>
          <w:szCs w:val="18"/>
          <w:spacing w:val="4"/>
        </w:rPr>
        <w:t>(%)]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表示，行</w:t>
      </w:r>
      <w:r>
        <w:rPr>
          <w:sz w:val="18"/>
          <w:szCs w:val="18"/>
          <w:i/>
          <w:iCs/>
          <w:spacing w:val="4"/>
        </w:rPr>
        <w:t>χ</w:t>
      </w:r>
      <w:r>
        <w:rPr>
          <w:sz w:val="10"/>
          <w:szCs w:val="10"/>
          <w:spacing w:val="4"/>
          <w:position w:val="10"/>
        </w:rPr>
        <w:t>2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检验，</w:t>
      </w:r>
      <w:r>
        <w:rPr>
          <w:sz w:val="18"/>
          <w:szCs w:val="18"/>
          <w:i/>
          <w:iCs/>
          <w:spacing w:val="4"/>
        </w:rPr>
        <w:t>P</w:t>
      </w:r>
      <w:r>
        <w:rPr>
          <w:sz w:val="18"/>
          <w:szCs w:val="18"/>
          <w:spacing w:val="4"/>
        </w:rPr>
        <w:t>&lt;0.05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为差异显著，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具有统计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"/>
        <w:spacing w:before="32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学意义。</w:t>
      </w:r>
    </w:p>
    <w:p>
      <w:pPr>
        <w:ind w:left="24"/>
        <w:spacing w:before="336" w:line="572" w:lineRule="exact"/>
        <w:rPr>
          <w:rFonts w:ascii="Microsoft YaHei" w:hAnsi="Microsoft YaHei" w:eastAsia="Microsoft YaHei" w:cs="Microsoft YaHei"/>
          <w:sz w:val="24"/>
          <w:szCs w:val="24"/>
        </w:rPr>
      </w:pPr>
      <w:r>
        <w:pict>
          <v:group id="_x0000_s8" style="position:absolute;margin-left:0.125031pt;margin-top:42.0897pt;mso-position-vertical-relative:text;mso-position-horizontal-relative:text;width:243.8pt;height:0.5pt;z-index:251661312;" filled="false" stroked="false" coordsize="4876,10" coordorigin="0,0">
            <v:shape id="_x0000_s10" style="position:absolute;left:20;top:0;width:4846;height:10;" filled="false" strokecolor="#00A0E9" strokeweight="0.50pt" coordsize="4846,10" coordorigin="0,0" path="m5,5l4840,5e">
              <v:stroke dashstyle="dash" endcap="round" miterlimit="10"/>
            </v:shape>
            <v:shape id="_x0000_s12" style="position:absolute;left:0;top:0;width:4876;height:10;" filled="false" strokecolor="#00A0E9" strokeweight="0.50pt" coordsize="4876,10" coordorigin="0,0" path="m5,5l5,5m4870,5l4870,5e">
              <v:stroke endcap="round" miterlimit="10"/>
            </v:shape>
          </v:group>
        </w:pict>
      </w:r>
      <w:r>
        <w:rPr>
          <w:rFonts w:ascii="Arial" w:hAnsi="Arial" w:eastAsia="Arial" w:cs="Arial"/>
          <w:sz w:val="48"/>
          <w:szCs w:val="48"/>
          <w:color w:val="00A0E9"/>
          <w:spacing w:val="-5"/>
          <w:position w:val="1"/>
        </w:rPr>
        <w:t>2.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00A0E9"/>
          <w:spacing w:val="-5"/>
          <w:position w:val="2"/>
        </w:rPr>
        <w:t>结果</w:t>
      </w:r>
    </w:p>
    <w:p>
      <w:pPr>
        <w:pStyle w:val="BodyText"/>
        <w:ind w:left="6"/>
        <w:spacing w:before="118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</w:rPr>
        <w:t>2.1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两种检查方式的诊断结果分析</w:t>
      </w:r>
    </w:p>
    <w:p>
      <w:pPr>
        <w:pStyle w:val="BodyText"/>
        <w:ind w:left="4" w:right="166" w:firstLine="385"/>
        <w:spacing w:before="79" w:line="221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3"/>
        </w:rPr>
        <w:t>60</w:t>
      </w:r>
      <w:r>
        <w:rPr>
          <w:sz w:val="18"/>
          <w:szCs w:val="18"/>
          <w:spacing w:val="-1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3"/>
        </w:rPr>
        <w:t>例疑似小儿肠套叠患者经过手术病理或空气灌肠检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查确诊阳性</w:t>
      </w:r>
      <w:r>
        <w:rPr>
          <w:rFonts w:ascii="Microsoft YaHei" w:hAnsi="Microsoft YaHei" w:eastAsia="Microsoft YaHei" w:cs="Microsoft YaHei"/>
          <w:sz w:val="18"/>
          <w:szCs w:val="18"/>
          <w:spacing w:val="-18"/>
        </w:rPr>
        <w:t xml:space="preserve"> </w:t>
      </w:r>
      <w:r>
        <w:rPr>
          <w:sz w:val="18"/>
          <w:szCs w:val="18"/>
          <w:spacing w:val="6"/>
        </w:rPr>
        <w:t>56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例，阴性</w:t>
      </w:r>
      <w:r>
        <w:rPr>
          <w:rFonts w:ascii="Microsoft YaHei" w:hAnsi="Microsoft YaHei" w:eastAsia="Microsoft YaHei" w:cs="Microsoft YaHei"/>
          <w:sz w:val="18"/>
          <w:szCs w:val="18"/>
          <w:spacing w:val="-27"/>
        </w:rPr>
        <w:t xml:space="preserve"> </w:t>
      </w:r>
      <w:r>
        <w:rPr>
          <w:sz w:val="18"/>
          <w:szCs w:val="18"/>
          <w:spacing w:val="6"/>
        </w:rPr>
        <w:t>4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例，采用高频超声的检出符合率高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于普通超声检查，差异有统计学意义（</w:t>
      </w:r>
      <w:r>
        <w:rPr>
          <w:sz w:val="18"/>
          <w:szCs w:val="18"/>
          <w:i/>
          <w:iCs/>
          <w:spacing w:val="7"/>
        </w:rPr>
        <w:t>P</w:t>
      </w:r>
      <w:r>
        <w:rPr>
          <w:sz w:val="18"/>
          <w:szCs w:val="18"/>
          <w:spacing w:val="7"/>
        </w:rPr>
        <w:t>&lt;0</w:t>
      </w:r>
      <w:r>
        <w:rPr>
          <w:sz w:val="18"/>
          <w:szCs w:val="18"/>
          <w:spacing w:val="6"/>
        </w:rPr>
        <w:t>.05</w:t>
      </w:r>
      <w:r>
        <w:rPr>
          <w:rFonts w:ascii="Microsoft YaHei" w:hAnsi="Microsoft YaHei" w:eastAsia="Microsoft YaHei" w:cs="Microsoft YaHei"/>
          <w:sz w:val="18"/>
          <w:szCs w:val="18"/>
          <w:spacing w:val="-41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见表 </w:t>
      </w:r>
      <w:r>
        <w:rPr>
          <w:sz w:val="18"/>
          <w:szCs w:val="18"/>
          <w:spacing w:val="6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。</w:t>
      </w:r>
    </w:p>
    <w:p>
      <w:pPr>
        <w:pStyle w:val="BodyText"/>
        <w:ind w:left="21" w:hanging="15"/>
        <w:spacing w:before="83" w:line="212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10"/>
        </w:rPr>
        <w:t>2.2</w:t>
      </w:r>
      <w:r>
        <w:rPr>
          <w:sz w:val="18"/>
          <w:szCs w:val="18"/>
          <w:spacing w:val="-1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两种检查方式的特异性、灵敏度、准确度、阳性预测值、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阴性预测值比较</w:t>
      </w:r>
    </w:p>
    <w:p>
      <w:pPr>
        <w:pStyle w:val="BodyText"/>
        <w:ind w:left="6" w:right="166" w:firstLine="383"/>
        <w:spacing w:before="78" w:line="243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高频超声检测的灵敏度、准确度、阳性预测值、阴性预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测值均高于普通超声检测， 差异有统计学意义（</w:t>
      </w:r>
      <w:r>
        <w:rPr>
          <w:sz w:val="18"/>
          <w:szCs w:val="18"/>
          <w:i/>
          <w:iCs/>
          <w:spacing w:val="4"/>
        </w:rPr>
        <w:t>P</w:t>
      </w:r>
      <w:r>
        <w:rPr>
          <w:sz w:val="18"/>
          <w:szCs w:val="18"/>
          <w:spacing w:val="4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spacing w:val="-33"/>
          <w:w w:val="78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两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种检查方式的特异性无显著性差异（</w:t>
      </w:r>
      <w:r>
        <w:rPr>
          <w:sz w:val="18"/>
          <w:szCs w:val="18"/>
          <w:i/>
          <w:iCs/>
          <w:spacing w:val="7"/>
        </w:rPr>
        <w:t>P</w:t>
      </w:r>
      <w:r>
        <w:rPr>
          <w:sz w:val="18"/>
          <w:szCs w:val="18"/>
          <w:spacing w:val="7"/>
        </w:rPr>
        <w:t>&gt;0.05</w:t>
      </w:r>
      <w:r>
        <w:rPr>
          <w:rFonts w:ascii="Microsoft YaHei" w:hAnsi="Microsoft YaHei" w:eastAsia="Microsoft YaHei" w:cs="Microsoft YaHei"/>
          <w:sz w:val="18"/>
          <w:szCs w:val="18"/>
          <w:spacing w:val="-34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见表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8"/>
          <w:szCs w:val="18"/>
          <w:spacing w:val="7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。</w:t>
      </w:r>
    </w:p>
    <w:p>
      <w:pPr>
        <w:pStyle w:val="BodyText"/>
        <w:ind w:left="6"/>
        <w:spacing w:before="1" w:line="179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sz w:val="18"/>
          <w:szCs w:val="18"/>
          <w:spacing w:val="8"/>
        </w:rPr>
        <w:t>2.3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高频超声检查影像图特征分析</w:t>
      </w:r>
    </w:p>
    <w:p>
      <w:pPr>
        <w:pStyle w:val="BodyText"/>
        <w:ind w:left="5" w:right="14" w:firstLine="384"/>
        <w:spacing w:before="85" w:line="244" w:lineRule="auto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高频超声检查发现肠管近端有明显的扩张；包块边界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清晰，有明显的低回声， 表现为“同心圆”样改变，  前部和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后部都有较低的回声，</w:t>
      </w:r>
      <w:r>
        <w:rPr>
          <w:rFonts w:ascii="Microsoft YaHei" w:hAnsi="Microsoft YaHei" w:eastAsia="Microsoft YaHei" w:cs="Microsoft YaHei"/>
          <w:sz w:val="18"/>
          <w:szCs w:val="18"/>
          <w:spacing w:val="28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表现为“套筒”征象， 肠管近端扩大，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血流呈条状、棒状。高频超声检查确诊的 </w:t>
      </w:r>
      <w:r>
        <w:rPr>
          <w:sz w:val="18"/>
          <w:szCs w:val="18"/>
          <w:spacing w:val="9"/>
        </w:rPr>
        <w:t>52</w:t>
      </w:r>
      <w:r>
        <w:rPr>
          <w:sz w:val="18"/>
          <w:szCs w:val="18"/>
          <w:spacing w:val="-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例肠套叠患儿，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发现</w:t>
      </w:r>
      <w:r>
        <w:rPr>
          <w:rFonts w:ascii="Microsoft YaHei" w:hAnsi="Microsoft YaHei" w:eastAsia="Microsoft YaHei" w:cs="Microsoft YaHei"/>
          <w:sz w:val="18"/>
          <w:szCs w:val="18"/>
          <w:spacing w:val="-26"/>
        </w:rPr>
        <w:t xml:space="preserve"> </w:t>
      </w:r>
      <w:r>
        <w:rPr>
          <w:sz w:val="18"/>
          <w:szCs w:val="18"/>
          <w:spacing w:val="4"/>
        </w:rPr>
        <w:t>49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例儿童肠套叠的超声血流图像清楚，  呈条状、棒状；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另有</w:t>
      </w:r>
      <w:r>
        <w:rPr>
          <w:rFonts w:ascii="Microsoft YaHei" w:hAnsi="Microsoft YaHei" w:eastAsia="Microsoft YaHei" w:cs="Microsoft YaHei"/>
          <w:sz w:val="18"/>
          <w:szCs w:val="18"/>
          <w:spacing w:val="-8"/>
        </w:rPr>
        <w:t xml:space="preserve"> </w:t>
      </w:r>
      <w:r>
        <w:rPr>
          <w:sz w:val="18"/>
          <w:szCs w:val="18"/>
          <w:spacing w:val="1"/>
        </w:rPr>
        <w:t>3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例无异常，考虑为肠坏死，经灌肠证实为肠坏死。“同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心圆”样与“套筒”征象具体参考图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 xml:space="preserve"> </w:t>
      </w:r>
      <w:r>
        <w:rPr>
          <w:sz w:val="18"/>
          <w:szCs w:val="18"/>
          <w:spacing w:val="6"/>
        </w:rPr>
        <w:t>1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、图</w:t>
      </w:r>
      <w:r>
        <w:rPr>
          <w:rFonts w:ascii="Microsoft YaHei" w:hAnsi="Microsoft YaHei" w:eastAsia="Microsoft YaHei" w:cs="Microsoft YaHei"/>
          <w:sz w:val="18"/>
          <w:szCs w:val="18"/>
          <w:spacing w:val="-9"/>
        </w:rPr>
        <w:t xml:space="preserve"> </w:t>
      </w:r>
      <w:r>
        <w:rPr>
          <w:sz w:val="18"/>
          <w:szCs w:val="18"/>
          <w:spacing w:val="6"/>
        </w:rPr>
        <w:t>2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。</w:t>
      </w:r>
    </w:p>
    <w:p>
      <w:pPr>
        <w:spacing w:before="14"/>
        <w:rPr/>
      </w:pPr>
      <w:r/>
    </w:p>
    <w:p>
      <w:pPr>
        <w:spacing w:before="13"/>
        <w:rPr/>
      </w:pPr>
      <w:r/>
    </w:p>
    <w:p>
      <w:pPr>
        <w:spacing w:before="13"/>
        <w:rPr/>
      </w:pPr>
      <w:r/>
    </w:p>
    <w:tbl>
      <w:tblPr>
        <w:tblStyle w:val="TableNormal"/>
        <w:tblW w:w="4880" w:type="dxa"/>
        <w:tblInd w:w="2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1169"/>
        <w:gridCol w:w="783"/>
        <w:gridCol w:w="975"/>
        <w:gridCol w:w="975"/>
        <w:gridCol w:w="978"/>
      </w:tblGrid>
      <w:tr>
        <w:trPr>
          <w:trHeight w:val="290" w:hRule="atLeast"/>
        </w:trPr>
        <w:tc>
          <w:tcPr>
            <w:shd w:val="clear" w:fill="0092D8"/>
            <w:tcW w:w="4880" w:type="dxa"/>
            <w:vAlign w:val="top"/>
            <w:gridSpan w:val="5"/>
          </w:tcPr>
          <w:p>
            <w:pPr>
              <w:ind w:left="32"/>
              <w:spacing w:before="31" w:line="233" w:lineRule="exact"/>
              <w:rPr>
                <w:rFonts w:ascii="Arial" w:hAnsi="Arial" w:eastAsia="Arial" w:cs="Arial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5"/>
                <w:position w:val="2"/>
              </w:rPr>
              <w:t>表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-29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5"/>
                <w:position w:val="2"/>
              </w:rPr>
              <w:t>1.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14"/>
                <w:w w:val="101"/>
                <w:position w:val="2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5"/>
                <w:position w:val="2"/>
              </w:rPr>
              <w:t>两种检查方式的诊断结果分析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-50"/>
                <w:position w:val="2"/>
              </w:rPr>
              <w:t xml:space="preserve"> 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5"/>
                <w:position w:val="2"/>
              </w:rPr>
              <w:t>[</w:t>
            </w:r>
            <w:r>
              <w:rPr>
                <w:rFonts w:ascii="Arial" w:hAnsi="Arial" w:eastAsia="Arial" w:cs="Arial"/>
                <w:sz w:val="17"/>
                <w:szCs w:val="17"/>
                <w:i/>
                <w:iCs/>
                <w:color w:val="FFFFFF"/>
                <w:spacing w:val="5"/>
                <w:position w:val="2"/>
              </w:rPr>
              <w:t>n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5"/>
                <w:position w:val="2"/>
              </w:rPr>
              <w:t>(%)]</w:t>
            </w:r>
          </w:p>
        </w:tc>
      </w:tr>
      <w:tr>
        <w:trPr>
          <w:trHeight w:val="245" w:hRule="atLeast"/>
        </w:trPr>
        <w:tc>
          <w:tcPr>
            <w:shd w:val="clear" w:fill="D9E0E3"/>
            <w:tcW w:w="1169" w:type="dxa"/>
            <w:vAlign w:val="top"/>
          </w:tcPr>
          <w:p>
            <w:pPr>
              <w:ind w:left="430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5"/>
              </w:rPr>
              <w:t>组别</w:t>
            </w:r>
          </w:p>
        </w:tc>
        <w:tc>
          <w:tcPr>
            <w:shd w:val="clear" w:fill="D9E0E3"/>
            <w:tcW w:w="783" w:type="dxa"/>
            <w:vAlign w:val="top"/>
          </w:tcPr>
          <w:p>
            <w:pPr>
              <w:ind w:left="349"/>
              <w:spacing w:before="97" w:line="113" w:lineRule="exact"/>
              <w:rPr>
                <w:rFonts w:ascii="Arial" w:hAnsi="Arial" w:eastAsia="Arial" w:cs="Arial"/>
                <w:sz w:val="15"/>
                <w:szCs w:val="15"/>
              </w:rPr>
            </w:pPr>
            <w:r>
              <w:rPr>
                <w:rFonts w:ascii="Arial" w:hAnsi="Arial" w:eastAsia="Arial" w:cs="Arial"/>
                <w:sz w:val="15"/>
                <w:szCs w:val="15"/>
                <w:i/>
                <w:iCs/>
                <w:position w:val="-1"/>
              </w:rPr>
              <w:t>n</w:t>
            </w:r>
          </w:p>
        </w:tc>
        <w:tc>
          <w:tcPr>
            <w:shd w:val="clear" w:fill="D9E0E3"/>
            <w:tcW w:w="975" w:type="dxa"/>
            <w:vAlign w:val="top"/>
          </w:tcPr>
          <w:p>
            <w:pPr>
              <w:ind w:left="340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"/>
              </w:rPr>
              <w:t>阳性</w:t>
            </w:r>
          </w:p>
        </w:tc>
        <w:tc>
          <w:tcPr>
            <w:shd w:val="clear" w:fill="D9E0E3"/>
            <w:tcW w:w="975" w:type="dxa"/>
            <w:vAlign w:val="top"/>
          </w:tcPr>
          <w:p>
            <w:pPr>
              <w:ind w:left="342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2"/>
              </w:rPr>
              <w:t>阴性</w:t>
            </w:r>
          </w:p>
        </w:tc>
        <w:tc>
          <w:tcPr>
            <w:shd w:val="clear" w:fill="D9E0E3"/>
            <w:tcW w:w="978" w:type="dxa"/>
            <w:vAlign w:val="top"/>
          </w:tcPr>
          <w:p>
            <w:pPr>
              <w:ind w:left="334"/>
              <w:spacing w:before="42" w:line="237" w:lineRule="auto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>合计</w:t>
            </w:r>
          </w:p>
        </w:tc>
      </w:tr>
      <w:tr>
        <w:trPr>
          <w:trHeight w:val="244" w:hRule="atLeast"/>
        </w:trPr>
        <w:tc>
          <w:tcPr>
            <w:tcW w:w="1169" w:type="dxa"/>
            <w:vAlign w:val="top"/>
            <w:tcBorders>
              <w:bottom w:val="single" w:color="9FA0A0" w:sz="2" w:space="0"/>
            </w:tcBorders>
          </w:tcPr>
          <w:p>
            <w:pPr>
              <w:ind w:left="267"/>
              <w:spacing w:before="50" w:line="171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>高频超声</w:t>
            </w:r>
          </w:p>
        </w:tc>
        <w:tc>
          <w:tcPr>
            <w:tcW w:w="783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315"/>
              <w:spacing w:before="76" w:line="188" w:lineRule="auto"/>
              <w:rPr/>
            </w:pPr>
            <w:r>
              <w:rPr>
                <w:spacing w:val="1"/>
              </w:rPr>
              <w:t>60</w:t>
            </w:r>
          </w:p>
        </w:tc>
        <w:tc>
          <w:tcPr>
            <w:tcW w:w="975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80"/>
              <w:spacing w:before="74" w:line="192" w:lineRule="auto"/>
              <w:rPr/>
            </w:pPr>
            <w:r>
              <w:rPr>
                <w:spacing w:val="3"/>
              </w:rPr>
              <w:t>52(86.67)</w:t>
            </w:r>
          </w:p>
        </w:tc>
        <w:tc>
          <w:tcPr>
            <w:tcW w:w="975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256"/>
              <w:spacing w:before="74" w:line="192" w:lineRule="auto"/>
              <w:rPr/>
            </w:pPr>
            <w:r>
              <w:rPr>
                <w:spacing w:val="3"/>
              </w:rPr>
              <w:t>4(6.67)</w:t>
            </w:r>
          </w:p>
        </w:tc>
        <w:tc>
          <w:tcPr>
            <w:tcW w:w="978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82"/>
              <w:spacing w:before="74" w:line="192" w:lineRule="auto"/>
              <w:rPr/>
            </w:pPr>
            <w:r>
              <w:rPr>
                <w:spacing w:val="3"/>
              </w:rPr>
              <w:t>56(93.33)</w:t>
            </w:r>
          </w:p>
        </w:tc>
      </w:tr>
      <w:tr>
        <w:trPr>
          <w:trHeight w:val="245" w:hRule="atLeast"/>
        </w:trPr>
        <w:tc>
          <w:tcPr>
            <w:shd w:val="clear" w:fill="F2F4F6"/>
            <w:tcW w:w="1169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264"/>
              <w:spacing w:before="53" w:line="169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>普通超声</w:t>
            </w:r>
          </w:p>
        </w:tc>
        <w:tc>
          <w:tcPr>
            <w:shd w:val="clear" w:fill="F2F4F6"/>
            <w:tcW w:w="78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15"/>
              <w:spacing w:before="78" w:line="188" w:lineRule="auto"/>
              <w:rPr/>
            </w:pPr>
            <w:r>
              <w:rPr>
                <w:spacing w:val="1"/>
              </w:rPr>
              <w:t>60</w:t>
            </w:r>
          </w:p>
        </w:tc>
        <w:tc>
          <w:tcPr>
            <w:shd w:val="clear" w:fill="F2F4F6"/>
            <w:tcW w:w="97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75"/>
              <w:spacing w:before="75" w:line="192" w:lineRule="auto"/>
              <w:rPr/>
            </w:pPr>
            <w:r>
              <w:rPr>
                <w:spacing w:val="4"/>
              </w:rPr>
              <w:t>43(71.67)</w:t>
            </w:r>
          </w:p>
        </w:tc>
        <w:tc>
          <w:tcPr>
            <w:shd w:val="clear" w:fill="F2F4F6"/>
            <w:tcW w:w="97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57"/>
              <w:spacing w:before="75" w:line="192" w:lineRule="auto"/>
              <w:rPr/>
            </w:pPr>
            <w:r>
              <w:rPr>
                <w:spacing w:val="3"/>
              </w:rPr>
              <w:t>2(3.33)</w:t>
            </w:r>
          </w:p>
        </w:tc>
        <w:tc>
          <w:tcPr>
            <w:shd w:val="clear" w:fill="F2F4F6"/>
            <w:tcW w:w="97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77"/>
              <w:spacing w:before="75" w:line="192" w:lineRule="auto"/>
              <w:rPr/>
            </w:pPr>
            <w:r>
              <w:rPr>
                <w:spacing w:val="4"/>
              </w:rPr>
              <w:t>45(75.00)</w:t>
            </w:r>
          </w:p>
        </w:tc>
      </w:tr>
      <w:tr>
        <w:trPr>
          <w:trHeight w:val="245" w:hRule="atLeast"/>
        </w:trPr>
        <w:tc>
          <w:tcPr>
            <w:tcW w:w="1169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08"/>
              <w:spacing w:before="56" w:line="213" w:lineRule="auto"/>
              <w:rPr>
                <w:sz w:val="8"/>
                <w:szCs w:val="8"/>
              </w:rPr>
            </w:pPr>
            <w:r>
              <w:rPr>
                <w:i/>
                <w:iCs/>
                <w:spacing w:val="12"/>
                <w:position w:val="-1"/>
              </w:rPr>
              <w:t>χ</w:t>
            </w:r>
            <w:r>
              <w:rPr>
                <w:sz w:val="8"/>
                <w:szCs w:val="8"/>
                <w:spacing w:val="12"/>
                <w:position w:val="4"/>
              </w:rPr>
              <w:t>2</w:t>
            </w:r>
          </w:p>
        </w:tc>
        <w:tc>
          <w:tcPr>
            <w:tcW w:w="78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97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97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5" w:lineRule="exact"/>
              <w:rPr>
                <w:rFonts w:ascii="Arial"/>
                <w:sz w:val="20"/>
              </w:rPr>
            </w:pPr>
            <w:r/>
          </w:p>
        </w:tc>
        <w:tc>
          <w:tcPr>
            <w:tcW w:w="97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13"/>
              <w:spacing w:before="79" w:line="188" w:lineRule="auto"/>
              <w:rPr/>
            </w:pPr>
            <w:r>
              <w:rPr>
                <w:spacing w:val="3"/>
              </w:rPr>
              <w:t>7.567</w:t>
            </w:r>
          </w:p>
        </w:tc>
      </w:tr>
      <w:tr>
        <w:trPr>
          <w:trHeight w:val="247" w:hRule="atLeast"/>
        </w:trPr>
        <w:tc>
          <w:tcPr>
            <w:shd w:val="clear" w:fill="F2F4F6"/>
            <w:tcW w:w="1169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530"/>
              <w:spacing w:before="77" w:line="185" w:lineRule="auto"/>
              <w:rPr/>
            </w:pPr>
            <w:r>
              <w:rPr>
                <w:i/>
                <w:iCs/>
                <w:spacing w:val="11"/>
              </w:rPr>
              <w:t>P</w:t>
            </w:r>
          </w:p>
        </w:tc>
        <w:tc>
          <w:tcPr>
            <w:shd w:val="clear" w:fill="F2F4F6"/>
            <w:tcW w:w="783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2F4F6"/>
            <w:tcW w:w="97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2F4F6"/>
            <w:tcW w:w="975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spacing w:line="237" w:lineRule="exact"/>
              <w:rPr>
                <w:rFonts w:ascii="Arial"/>
                <w:sz w:val="20"/>
              </w:rPr>
            </w:pPr>
            <w:r/>
          </w:p>
        </w:tc>
        <w:tc>
          <w:tcPr>
            <w:shd w:val="clear" w:fill="F2F4F6"/>
            <w:tcW w:w="978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13"/>
              <w:spacing w:before="79" w:line="188" w:lineRule="auto"/>
              <w:rPr/>
            </w:pPr>
            <w:r>
              <w:rPr>
                <w:spacing w:val="3"/>
              </w:rPr>
              <w:t>0.006</w:t>
            </w:r>
          </w:p>
        </w:tc>
      </w:tr>
    </w:tbl>
    <w:p>
      <w:pPr>
        <w:spacing w:line="113" w:lineRule="exact"/>
        <w:rPr/>
      </w:pPr>
      <w:r/>
    </w:p>
    <w:tbl>
      <w:tblPr>
        <w:tblStyle w:val="TableNormal"/>
        <w:tblW w:w="4873" w:type="dxa"/>
        <w:tblInd w:w="2" w:type="dxa"/>
        <w:tblLayout w:type="fixed"/>
        <w:tblBorders>
          <w:top w:val="single" w:color="FFFFFF" w:sz="2" w:space="0"/>
          <w:left w:val="single" w:color="FFFFFF" w:sz="2" w:space="0"/>
          <w:bottom w:val="single" w:color="FFFFFF" w:sz="2" w:space="0"/>
          <w:right w:val="single" w:color="FFFFFF" w:sz="2" w:space="0"/>
          <w:insideH w:val="single" w:color="FFFFFF" w:sz="2" w:space="0"/>
          <w:insideV w:val="single" w:color="FFFFFF" w:sz="2" w:space="0"/>
        </w:tblBorders>
      </w:tblPr>
      <w:tblGrid>
        <w:gridCol w:w="814"/>
        <w:gridCol w:w="811"/>
        <w:gridCol w:w="811"/>
        <w:gridCol w:w="811"/>
        <w:gridCol w:w="812"/>
        <w:gridCol w:w="814"/>
      </w:tblGrid>
      <w:tr>
        <w:trPr>
          <w:trHeight w:val="519" w:hRule="atLeast"/>
        </w:trPr>
        <w:tc>
          <w:tcPr>
            <w:shd w:val="clear" w:fill="0092D8"/>
            <w:tcW w:w="4873" w:type="dxa"/>
            <w:vAlign w:val="top"/>
            <w:gridSpan w:val="6"/>
          </w:tcPr>
          <w:p>
            <w:pPr>
              <w:ind w:left="43" w:hanging="11"/>
              <w:spacing w:before="55" w:line="246" w:lineRule="auto"/>
              <w:rPr>
                <w:rFonts w:ascii="SimHei" w:hAnsi="SimHei" w:eastAsia="SimHei" w:cs="SimHei"/>
                <w:sz w:val="17"/>
                <w:szCs w:val="17"/>
              </w:rPr>
            </w:pP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8"/>
              </w:rPr>
              <w:t>表</w:t>
            </w:r>
            <w:r>
              <w:rPr>
                <w:rFonts w:ascii="Arial" w:hAnsi="Arial" w:eastAsia="Arial" w:cs="Arial"/>
                <w:sz w:val="17"/>
                <w:szCs w:val="17"/>
                <w:color w:val="FFFFFF"/>
                <w:spacing w:val="8"/>
              </w:rPr>
              <w:t>2. 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8"/>
              </w:rPr>
              <w:t>两种检查方式的特异性、灵敏度、准确度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7"/>
              </w:rPr>
              <w:t>、阳性预测值、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</w:rPr>
              <w:t xml:space="preserve"> </w:t>
            </w:r>
            <w:r>
              <w:rPr>
                <w:rFonts w:ascii="SimHei" w:hAnsi="SimHei" w:eastAsia="SimHei" w:cs="SimHei"/>
                <w:sz w:val="17"/>
                <w:szCs w:val="17"/>
                <w:color w:val="FFFFFF"/>
                <w:spacing w:val="6"/>
              </w:rPr>
              <w:t>阴性预测值比较</w:t>
            </w:r>
          </w:p>
        </w:tc>
      </w:tr>
      <w:tr>
        <w:trPr>
          <w:trHeight w:val="444" w:hRule="atLeast"/>
        </w:trPr>
        <w:tc>
          <w:tcPr>
            <w:shd w:val="clear" w:fill="D9E0E3"/>
            <w:tcW w:w="814" w:type="dxa"/>
            <w:vAlign w:val="top"/>
          </w:tcPr>
          <w:p>
            <w:pPr>
              <w:ind w:left="252"/>
              <w:spacing w:before="143" w:line="199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5"/>
                <w:position w:val="1"/>
              </w:rPr>
              <w:t>组别</w:t>
            </w:r>
          </w:p>
        </w:tc>
        <w:tc>
          <w:tcPr>
            <w:shd w:val="clear" w:fill="D9E0E3"/>
            <w:tcW w:w="811" w:type="dxa"/>
            <w:vAlign w:val="top"/>
          </w:tcPr>
          <w:p>
            <w:pPr>
              <w:ind w:left="167"/>
              <w:spacing w:before="143" w:line="199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  <w:position w:val="1"/>
              </w:rPr>
              <w:t>特异性</w:t>
            </w:r>
          </w:p>
        </w:tc>
        <w:tc>
          <w:tcPr>
            <w:shd w:val="clear" w:fill="D9E0E3"/>
            <w:tcW w:w="811" w:type="dxa"/>
            <w:vAlign w:val="top"/>
          </w:tcPr>
          <w:p>
            <w:pPr>
              <w:ind w:left="172"/>
              <w:spacing w:before="143" w:line="199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6"/>
                <w:position w:val="1"/>
              </w:rPr>
              <w:t>灵敏度</w:t>
            </w:r>
          </w:p>
        </w:tc>
        <w:tc>
          <w:tcPr>
            <w:shd w:val="clear" w:fill="D9E0E3"/>
            <w:tcW w:w="811" w:type="dxa"/>
            <w:vAlign w:val="top"/>
          </w:tcPr>
          <w:p>
            <w:pPr>
              <w:ind w:left="172"/>
              <w:spacing w:before="143" w:line="199" w:lineRule="exact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7"/>
                <w:position w:val="1"/>
              </w:rPr>
              <w:t>准确度</w:t>
            </w:r>
          </w:p>
        </w:tc>
        <w:tc>
          <w:tcPr>
            <w:shd w:val="clear" w:fill="D9E0E3"/>
            <w:tcW w:w="812" w:type="dxa"/>
            <w:vAlign w:val="top"/>
          </w:tcPr>
          <w:p>
            <w:pPr>
              <w:ind w:left="251" w:right="161" w:hanging="71"/>
              <w:spacing w:before="43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4"/>
              </w:rPr>
              <w:t>阳性预</w:t>
            </w:r>
            <w:r>
              <w:rPr>
                <w:rFonts w:ascii="SimHei" w:hAnsi="SimHei" w:eastAsia="SimHei" w:cs="SimHei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>测值</w:t>
            </w:r>
          </w:p>
        </w:tc>
        <w:tc>
          <w:tcPr>
            <w:shd w:val="clear" w:fill="D9E0E3"/>
            <w:tcW w:w="814" w:type="dxa"/>
            <w:vAlign w:val="top"/>
          </w:tcPr>
          <w:p>
            <w:pPr>
              <w:ind w:left="251" w:right="163" w:hanging="70"/>
              <w:spacing w:before="43"/>
              <w:rPr>
                <w:rFonts w:ascii="SimHei" w:hAnsi="SimHei" w:eastAsia="SimHei" w:cs="SimHei"/>
                <w:sz w:val="15"/>
                <w:szCs w:val="15"/>
              </w:rPr>
            </w:pPr>
            <w:r>
              <w:rPr>
                <w:rFonts w:ascii="SimHei" w:hAnsi="SimHei" w:eastAsia="SimHei" w:cs="SimHei"/>
                <w:sz w:val="15"/>
                <w:szCs w:val="15"/>
                <w:spacing w:val="4"/>
              </w:rPr>
              <w:t>阴性预</w:t>
            </w:r>
            <w:r>
              <w:rPr>
                <w:rFonts w:ascii="SimHei" w:hAnsi="SimHei" w:eastAsia="SimHei" w:cs="SimHei"/>
                <w:sz w:val="15"/>
                <w:szCs w:val="15"/>
                <w:spacing w:val="1"/>
              </w:rPr>
              <w:t xml:space="preserve"> </w:t>
            </w:r>
            <w:r>
              <w:rPr>
                <w:rFonts w:ascii="SimHei" w:hAnsi="SimHei" w:eastAsia="SimHei" w:cs="SimHei"/>
                <w:sz w:val="15"/>
                <w:szCs w:val="15"/>
                <w:spacing w:val="6"/>
              </w:rPr>
              <w:t>测值</w:t>
            </w:r>
          </w:p>
        </w:tc>
      </w:tr>
      <w:tr>
        <w:trPr>
          <w:trHeight w:val="245" w:hRule="atLeast"/>
        </w:trPr>
        <w:tc>
          <w:tcPr>
            <w:tcW w:w="814" w:type="dxa"/>
            <w:vAlign w:val="top"/>
            <w:tcBorders>
              <w:bottom w:val="single" w:color="9FA0A0" w:sz="2" w:space="0"/>
            </w:tcBorders>
          </w:tcPr>
          <w:p>
            <w:pPr>
              <w:ind w:left="89"/>
              <w:spacing w:before="52" w:line="170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8"/>
              </w:rPr>
              <w:t>高频超声</w:t>
            </w:r>
          </w:p>
        </w:tc>
        <w:tc>
          <w:tcPr>
            <w:tcW w:w="811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33"/>
              <w:spacing w:before="78" w:line="188" w:lineRule="auto"/>
              <w:rPr/>
            </w:pPr>
            <w:r>
              <w:rPr>
                <w:spacing w:val="2"/>
              </w:rPr>
              <w:t>100.00%</w:t>
            </w:r>
          </w:p>
        </w:tc>
        <w:tc>
          <w:tcPr>
            <w:tcW w:w="811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65"/>
              <w:spacing w:before="78" w:line="188" w:lineRule="auto"/>
              <w:rPr/>
            </w:pPr>
            <w:r>
              <w:rPr>
                <w:spacing w:val="3"/>
              </w:rPr>
              <w:t>86.67%</w:t>
            </w:r>
          </w:p>
        </w:tc>
        <w:tc>
          <w:tcPr>
            <w:tcW w:w="811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63"/>
              <w:spacing w:before="78" w:line="188" w:lineRule="auto"/>
              <w:rPr/>
            </w:pPr>
            <w:r>
              <w:rPr>
                <w:spacing w:val="4"/>
              </w:rPr>
              <w:t>93.33%</w:t>
            </w:r>
          </w:p>
        </w:tc>
        <w:tc>
          <w:tcPr>
            <w:tcW w:w="812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64"/>
              <w:spacing w:before="78" w:line="188" w:lineRule="auto"/>
              <w:rPr/>
            </w:pPr>
            <w:r>
              <w:rPr>
                <w:spacing w:val="4"/>
              </w:rPr>
              <w:t>92.86%</w:t>
            </w:r>
          </w:p>
        </w:tc>
        <w:tc>
          <w:tcPr>
            <w:tcW w:w="814" w:type="dxa"/>
            <w:vAlign w:val="top"/>
            <w:tcBorders>
              <w:bottom w:val="single" w:color="9FA0A0" w:sz="2" w:space="0"/>
            </w:tcBorders>
          </w:tcPr>
          <w:p>
            <w:pPr>
              <w:pStyle w:val="TableText"/>
              <w:ind w:left="137"/>
              <w:spacing w:before="78" w:line="188" w:lineRule="auto"/>
              <w:rPr/>
            </w:pPr>
            <w:r>
              <w:rPr>
                <w:spacing w:val="2"/>
              </w:rPr>
              <w:t>100.00%</w:t>
            </w:r>
          </w:p>
        </w:tc>
      </w:tr>
      <w:tr>
        <w:trPr>
          <w:trHeight w:val="245" w:hRule="atLeast"/>
        </w:trPr>
        <w:tc>
          <w:tcPr>
            <w:shd w:val="clear" w:fill="F2F4F6"/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ind w:left="85"/>
              <w:spacing w:before="54" w:line="16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spacing w:val="9"/>
              </w:rPr>
              <w:t>普通超声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62"/>
              <w:spacing w:before="79" w:line="188" w:lineRule="auto"/>
              <w:rPr/>
            </w:pPr>
            <w:r>
              <w:rPr>
                <w:spacing w:val="3"/>
              </w:rPr>
              <w:t>50.00%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62"/>
              <w:spacing w:before="79" w:line="188" w:lineRule="auto"/>
              <w:rPr/>
            </w:pPr>
            <w:r>
              <w:rPr>
                <w:spacing w:val="4"/>
              </w:rPr>
              <w:t>71.67%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63"/>
              <w:spacing w:before="79" w:line="188" w:lineRule="auto"/>
              <w:rPr/>
            </w:pPr>
            <w:r>
              <w:rPr>
                <w:spacing w:val="4"/>
              </w:rPr>
              <w:t>75.00%</w:t>
            </w:r>
          </w:p>
        </w:tc>
        <w:tc>
          <w:tcPr>
            <w:shd w:val="clear" w:fill="F2F4F6"/>
            <w:tcW w:w="812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64"/>
              <w:spacing w:before="79" w:line="188" w:lineRule="auto"/>
              <w:rPr/>
            </w:pPr>
            <w:r>
              <w:rPr>
                <w:spacing w:val="4"/>
              </w:rPr>
              <w:t>76.79%</w:t>
            </w:r>
          </w:p>
        </w:tc>
        <w:tc>
          <w:tcPr>
            <w:shd w:val="clear" w:fill="F2F4F6"/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165"/>
              <w:spacing w:before="79" w:line="188" w:lineRule="auto"/>
              <w:rPr/>
            </w:pPr>
            <w:r>
              <w:rPr>
                <w:spacing w:val="4"/>
              </w:rPr>
              <w:t>33.33%</w:t>
            </w:r>
          </w:p>
        </w:tc>
      </w:tr>
      <w:tr>
        <w:trPr>
          <w:trHeight w:val="245" w:hRule="atLeast"/>
        </w:trPr>
        <w:tc>
          <w:tcPr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29"/>
              <w:spacing w:before="57" w:line="213" w:lineRule="auto"/>
              <w:rPr>
                <w:sz w:val="8"/>
                <w:szCs w:val="8"/>
              </w:rPr>
            </w:pPr>
            <w:r>
              <w:rPr>
                <w:i/>
                <w:iCs/>
                <w:spacing w:val="13"/>
                <w:position w:val="-1"/>
              </w:rPr>
              <w:t>χ</w:t>
            </w:r>
            <w:r>
              <w:rPr>
                <w:sz w:val="8"/>
                <w:szCs w:val="8"/>
                <w:spacing w:val="13"/>
                <w:position w:val="4"/>
              </w:rPr>
              <w:t>2</w:t>
            </w:r>
          </w:p>
        </w:tc>
        <w:tc>
          <w:tcPr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25"/>
              <w:spacing w:before="80" w:line="188" w:lineRule="auto"/>
              <w:rPr/>
            </w:pPr>
            <w:r>
              <w:rPr>
                <w:spacing w:val="3"/>
              </w:rPr>
              <w:t>2.667</w:t>
            </w:r>
          </w:p>
        </w:tc>
        <w:tc>
          <w:tcPr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25"/>
              <w:spacing w:before="80" w:line="188" w:lineRule="auto"/>
              <w:rPr/>
            </w:pPr>
            <w:r>
              <w:rPr>
                <w:spacing w:val="3"/>
              </w:rPr>
              <w:t>4.923</w:t>
            </w:r>
          </w:p>
        </w:tc>
        <w:tc>
          <w:tcPr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30"/>
              <w:spacing w:before="80" w:line="188" w:lineRule="auto"/>
              <w:rPr/>
            </w:pPr>
            <w:r>
              <w:rPr>
                <w:spacing w:val="3"/>
              </w:rPr>
              <w:t>7.567</w:t>
            </w:r>
          </w:p>
        </w:tc>
        <w:tc>
          <w:tcPr>
            <w:tcW w:w="812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32"/>
              <w:spacing w:before="80" w:line="188" w:lineRule="auto"/>
              <w:rPr/>
            </w:pPr>
            <w:r>
              <w:rPr>
                <w:spacing w:val="2"/>
              </w:rPr>
              <w:t>5.617</w:t>
            </w:r>
          </w:p>
        </w:tc>
        <w:tc>
          <w:tcPr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27"/>
              <w:spacing w:before="80" w:line="188" w:lineRule="auto"/>
              <w:rPr/>
            </w:pPr>
            <w:r>
              <w:rPr>
                <w:spacing w:val="3"/>
              </w:rPr>
              <w:t>4.444</w:t>
            </w:r>
          </w:p>
        </w:tc>
      </w:tr>
      <w:tr>
        <w:trPr>
          <w:trHeight w:val="248" w:hRule="atLeast"/>
        </w:trPr>
        <w:tc>
          <w:tcPr>
            <w:shd w:val="clear" w:fill="F2F4F6"/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352"/>
              <w:spacing w:before="78" w:line="185" w:lineRule="auto"/>
              <w:rPr/>
            </w:pPr>
            <w:r>
              <w:rPr>
                <w:i/>
                <w:iCs/>
                <w:spacing w:val="11"/>
              </w:rPr>
              <w:t>P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27"/>
              <w:spacing w:before="80" w:line="188" w:lineRule="auto"/>
              <w:rPr/>
            </w:pPr>
            <w:r>
              <w:rPr>
                <w:spacing w:val="3"/>
              </w:rPr>
              <w:t>0.102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28"/>
              <w:spacing w:before="80" w:line="188" w:lineRule="auto"/>
              <w:rPr/>
            </w:pPr>
            <w:r>
              <w:rPr>
                <w:spacing w:val="3"/>
              </w:rPr>
              <w:t>0.043</w:t>
            </w:r>
          </w:p>
        </w:tc>
        <w:tc>
          <w:tcPr>
            <w:shd w:val="clear" w:fill="F2F4F6"/>
            <w:tcW w:w="811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29"/>
              <w:spacing w:before="80" w:line="188" w:lineRule="auto"/>
              <w:rPr/>
            </w:pPr>
            <w:r>
              <w:rPr>
                <w:spacing w:val="3"/>
              </w:rPr>
              <w:t>0.006</w:t>
            </w:r>
          </w:p>
        </w:tc>
        <w:tc>
          <w:tcPr>
            <w:shd w:val="clear" w:fill="F2F4F6"/>
            <w:tcW w:w="812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31"/>
              <w:spacing w:before="80" w:line="188" w:lineRule="auto"/>
              <w:rPr/>
            </w:pPr>
            <w:r>
              <w:rPr>
                <w:spacing w:val="3"/>
              </w:rPr>
              <w:t>0.018</w:t>
            </w:r>
          </w:p>
        </w:tc>
        <w:tc>
          <w:tcPr>
            <w:shd w:val="clear" w:fill="F2F4F6"/>
            <w:tcW w:w="814" w:type="dxa"/>
            <w:vAlign w:val="top"/>
            <w:tcBorders>
              <w:bottom w:val="single" w:color="9FA0A0" w:sz="2" w:space="0"/>
              <w:top w:val="single" w:color="9FA0A0" w:sz="2" w:space="0"/>
            </w:tcBorders>
          </w:tcPr>
          <w:p>
            <w:pPr>
              <w:pStyle w:val="TableText"/>
              <w:ind w:left="231"/>
              <w:spacing w:before="80" w:line="188" w:lineRule="auto"/>
              <w:rPr/>
            </w:pPr>
            <w:r>
              <w:rPr>
                <w:spacing w:val="3"/>
              </w:rPr>
              <w:t>0.035</w:t>
            </w:r>
          </w:p>
        </w:tc>
      </w:tr>
    </w:tbl>
    <w:p>
      <w:pPr>
        <w:spacing w:line="114" w:lineRule="exact"/>
        <w:rPr/>
      </w:pPr>
      <w:r/>
    </w:p>
    <w:tbl>
      <w:tblPr>
        <w:tblStyle w:val="TableNormal"/>
        <w:tblW w:w="4880" w:type="dxa"/>
        <w:tblInd w:w="5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2435"/>
        <w:gridCol w:w="2445"/>
      </w:tblGrid>
      <w:tr>
        <w:trPr>
          <w:trHeight w:val="2204" w:hRule="atLeast"/>
        </w:trPr>
        <w:tc>
          <w:tcPr>
            <w:tcW w:w="2435" w:type="dxa"/>
            <w:vAlign w:val="top"/>
          </w:tcPr>
          <w:p>
            <w:pPr>
              <w:spacing w:line="1791" w:lineRule="exact"/>
              <w:rPr/>
            </w:pPr>
            <w:r>
              <w:rPr>
                <w:position w:val="-35"/>
              </w:rPr>
              <w:drawing>
                <wp:inline distT="0" distB="0" distL="0" distR="0">
                  <wp:extent cx="1509245" cy="1137442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09245" cy="11374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6"/>
              <w:spacing w:before="64" w:line="185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9"/>
              </w:rPr>
              <w:t>图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  <w:spacing w:val="-2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4C4948"/>
                <w:spacing w:val="9"/>
              </w:rPr>
              <w:t>1.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4C4948"/>
                <w:spacing w:val="23"/>
                <w:w w:val="101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9"/>
              </w:rPr>
              <w:t>套叠包块横切面呈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4C4948"/>
                <w:spacing w:val="9"/>
              </w:rPr>
              <w:t>“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9"/>
              </w:rPr>
              <w:t>同心</w:t>
            </w:r>
          </w:p>
          <w:p>
            <w:pPr>
              <w:ind w:left="6"/>
              <w:spacing w:before="5" w:line="134" w:lineRule="exact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27"/>
                <w:position w:val="-1"/>
              </w:rPr>
              <w:t>圆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  <w:spacing w:val="8"/>
                <w:position w:val="-1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4C4948"/>
                <w:spacing w:val="27"/>
                <w:position w:val="-1"/>
              </w:rPr>
              <w:t>”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27"/>
                <w:position w:val="-1"/>
              </w:rPr>
              <w:t>征</w:t>
            </w:r>
          </w:p>
        </w:tc>
        <w:tc>
          <w:tcPr>
            <w:tcW w:w="2445" w:type="dxa"/>
            <w:vAlign w:val="top"/>
          </w:tcPr>
          <w:p>
            <w:pPr>
              <w:ind w:firstLine="60"/>
              <w:spacing w:line="1791" w:lineRule="exact"/>
              <w:rPr/>
            </w:pPr>
            <w:r>
              <w:rPr>
                <w:position w:val="-35"/>
              </w:rPr>
              <w:drawing>
                <wp:inline distT="0" distB="0" distL="0" distR="0">
                  <wp:extent cx="1514380" cy="1137436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514380" cy="1137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ind w:left="58" w:right="228" w:firstLine="8"/>
              <w:spacing w:before="63" w:line="158" w:lineRule="auto"/>
              <w:rPr>
                <w:rFonts w:ascii="Microsoft YaHei" w:hAnsi="Microsoft YaHei" w:eastAsia="Microsoft YaHei" w:cs="Microsoft YaHei"/>
                <w:sz w:val="15"/>
                <w:szCs w:val="15"/>
              </w:rPr>
            </w:pP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9"/>
              </w:rPr>
              <w:t>图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  <w:spacing w:val="-16"/>
              </w:rPr>
              <w:t xml:space="preserve"> </w:t>
            </w:r>
            <w:r>
              <w:rPr>
                <w:rFonts w:ascii="Arial" w:hAnsi="Arial" w:eastAsia="Arial" w:cs="Arial"/>
                <w:sz w:val="16"/>
                <w:szCs w:val="16"/>
                <w:i/>
                <w:iCs/>
                <w:color w:val="4C4948"/>
                <w:spacing w:val="9"/>
              </w:rPr>
              <w:t>2.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9"/>
              </w:rPr>
              <w:t>肠套叠包块纵切面呈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  <w:spacing w:val="9"/>
              </w:rPr>
              <w:t xml:space="preserve"> 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4C4948"/>
                <w:spacing w:val="9"/>
              </w:rPr>
              <w:t>“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9"/>
              </w:rPr>
              <w:t>套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</w:rPr>
              <w:t xml:space="preserve"> 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29"/>
                <w:w w:val="101"/>
              </w:rPr>
              <w:t>筒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color w:val="4C4948"/>
                <w:spacing w:val="7"/>
              </w:rPr>
              <w:t xml:space="preserve"> </w:t>
            </w:r>
            <w:r>
              <w:rPr>
                <w:rFonts w:ascii="Arial" w:hAnsi="Arial" w:eastAsia="Arial" w:cs="Arial"/>
                <w:sz w:val="15"/>
                <w:szCs w:val="15"/>
                <w:i/>
                <w:iCs/>
                <w:color w:val="4C4948"/>
                <w:spacing w:val="29"/>
                <w:w w:val="101"/>
              </w:rPr>
              <w:t>”</w:t>
            </w:r>
            <w:r>
              <w:rPr>
                <w:rFonts w:ascii="Microsoft YaHei" w:hAnsi="Microsoft YaHei" w:eastAsia="Microsoft YaHei" w:cs="Microsoft YaHei"/>
                <w:sz w:val="15"/>
                <w:szCs w:val="15"/>
                <w:i/>
                <w:iCs/>
                <w:color w:val="4C4948"/>
                <w:spacing w:val="29"/>
                <w:w w:val="101"/>
              </w:rPr>
              <w:t>征</w:t>
            </w:r>
          </w:p>
        </w:tc>
      </w:tr>
    </w:tbl>
    <w:p>
      <w:pPr>
        <w:spacing w:line="84" w:lineRule="exact"/>
        <w:rPr>
          <w:rFonts w:ascii="Arial"/>
          <w:sz w:val="7"/>
        </w:rPr>
      </w:pPr>
      <w:r/>
    </w:p>
    <w:p>
      <w:pPr>
        <w:spacing w:line="84" w:lineRule="exact"/>
        <w:sectPr>
          <w:type w:val="continuous"/>
          <w:pgSz w:w="11906" w:h="16158"/>
          <w:pgMar w:top="400" w:right="684" w:bottom="0" w:left="432" w:header="0" w:footer="0" w:gutter="0"/>
          <w:cols w:equalWidth="0" w:num="2">
            <w:col w:w="5646" w:space="100"/>
            <w:col w:w="5045" w:space="0"/>
          </w:cols>
        </w:sectPr>
        <w:rPr>
          <w:rFonts w:ascii="Arial" w:hAnsi="Arial" w:eastAsia="Arial" w:cs="Arial"/>
          <w:sz w:val="7"/>
          <w:szCs w:val="7"/>
        </w:rPr>
      </w:pPr>
    </w:p>
    <w:p>
      <w:pPr>
        <w:ind w:left="6795"/>
        <w:spacing w:before="258" w:line="195" w:lineRule="exact"/>
        <w:rPr>
          <w:rFonts w:ascii="Georgia" w:hAnsi="Georgia" w:eastAsia="Georgia" w:cs="Georgia"/>
          <w:sz w:val="16"/>
          <w:szCs w:val="16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6742505</wp:posOffset>
            </wp:positionH>
            <wp:positionV relativeFrom="paragraph">
              <wp:posOffset>-9591171</wp:posOffset>
            </wp:positionV>
            <wp:extent cx="6350" cy="72000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5"/>
          <w:w w:val="101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Medical</w:t>
      </w:r>
      <w:r>
        <w:rPr>
          <w:rFonts w:ascii="Candara" w:hAnsi="Candara" w:eastAsia="Candara" w:cs="Candara"/>
          <w:sz w:val="14"/>
          <w:szCs w:val="14"/>
          <w:color w:val="00A0E9"/>
          <w:spacing w:val="20"/>
          <w:w w:val="102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Device</w:t>
      </w:r>
      <w:r>
        <w:rPr>
          <w:rFonts w:ascii="Candara" w:hAnsi="Candara" w:eastAsia="Candara" w:cs="Candara"/>
          <w:sz w:val="14"/>
          <w:szCs w:val="14"/>
          <w:color w:val="00A0E9"/>
          <w:spacing w:val="21"/>
          <w:w w:val="101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Informatio</w:t>
      </w:r>
      <w:r>
        <w:rPr>
          <w:rFonts w:ascii="Candara" w:hAnsi="Candara" w:eastAsia="Candara" w:cs="Candara"/>
          <w:sz w:val="14"/>
          <w:szCs w:val="14"/>
          <w:color w:val="00A0E9"/>
          <w:spacing w:val="-1"/>
          <w:position w:val="1"/>
        </w:rPr>
        <w:t>n  </w:t>
      </w:r>
      <w:r>
        <w:rPr>
          <w:rFonts w:ascii="Corbel" w:hAnsi="Corbel" w:eastAsia="Corbel" w:cs="Corbel"/>
          <w:sz w:val="14"/>
          <w:szCs w:val="14"/>
          <w:color w:val="00A0E9"/>
          <w:spacing w:val="-1"/>
          <w:position w:val="2"/>
        </w:rPr>
        <w:t>|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-1"/>
          <w:position w:val="1"/>
        </w:rPr>
        <w:t>中国医疗器械信息      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  <w:position w:val="1"/>
        </w:rPr>
        <w:t>129</w:t>
      </w:r>
      <w:r>
        <w:rPr>
          <w:rFonts w:ascii="Georgia" w:hAnsi="Georgia" w:eastAsia="Georgia" w:cs="Georgia"/>
          <w:sz w:val="16"/>
          <w:szCs w:val="16"/>
          <w:color w:val="800072"/>
          <w:spacing w:val="-1"/>
          <w:position w:val="12"/>
        </w:rPr>
        <w:t>.</w:t>
      </w:r>
    </w:p>
    <w:p>
      <w:pPr>
        <w:spacing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14" style="position:absolute;margin-left:46.4pt;margin-top:10pt;mso-position-vertical-relative:text;mso-position-horizontal-relative:text;width:0pt;height:0pt;z-index:251663360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p>
      <w:pPr>
        <w:spacing w:line="240" w:lineRule="exact"/>
        <w:sectPr>
          <w:type w:val="continuous"/>
          <w:pgSz w:w="11906" w:h="16158"/>
          <w:pgMar w:top="400" w:right="684" w:bottom="0" w:left="432" w:header="0" w:footer="0" w:gutter="0"/>
          <w:cols w:equalWidth="0" w:num="1">
            <w:col w:w="10790" w:space="0"/>
          </w:cols>
        </w:sectPr>
        <w:rPr>
          <w:rFonts w:ascii="Arial" w:hAnsi="Arial" w:eastAsia="Arial" w:cs="Arial"/>
          <w:sz w:val="23"/>
          <w:szCs w:val="23"/>
        </w:rPr>
      </w:pPr>
    </w:p>
    <w:p>
      <w:pPr>
        <w:spacing w:line="298" w:lineRule="auto"/>
        <w:rPr>
          <w:rFonts w:ascii="Arial"/>
          <w:sz w:val="21"/>
        </w:rPr>
      </w:pPr>
      <w:r/>
    </w:p>
    <w:p>
      <w:pPr>
        <w:spacing w:line="298" w:lineRule="auto"/>
        <w:rPr>
          <w:rFonts w:ascii="Arial"/>
          <w:sz w:val="21"/>
        </w:rPr>
      </w:pPr>
      <w:r/>
    </w:p>
    <w:p>
      <w:pPr>
        <w:ind w:left="487"/>
        <w:spacing w:before="103" w:line="167" w:lineRule="auto"/>
        <w:outlineLvl w:val="0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Microsoft YaHei" w:hAnsi="Microsoft YaHei" w:eastAsia="Microsoft YaHei" w:cs="Microsoft YaHei"/>
          <w:sz w:val="24"/>
          <w:szCs w:val="24"/>
          <w:b/>
          <w:bCs/>
          <w:spacing w:val="-2"/>
        </w:rPr>
        <w:t>临床应用研究</w:t>
      </w:r>
    </w:p>
    <w:p>
      <w:pPr>
        <w:pStyle w:val="BodyText"/>
        <w:ind w:left="498"/>
        <w:spacing w:line="204" w:lineRule="auto"/>
        <w:rPr>
          <w:sz w:val="16"/>
          <w:szCs w:val="16"/>
        </w:rPr>
      </w:pPr>
      <w:r>
        <w:rPr>
          <w:sz w:val="16"/>
          <w:szCs w:val="16"/>
          <w:color w:val="00A0E9"/>
          <w:spacing w:val="-5"/>
        </w:rPr>
        <w:t>Clinical Application Research</w:t>
      </w:r>
    </w:p>
    <w:p>
      <w:pPr>
        <w:spacing w:line="359" w:lineRule="auto"/>
        <w:rPr>
          <w:rFonts w:ascii="Arial"/>
          <w:sz w:val="21"/>
        </w:rPr>
      </w:pPr>
      <w:r/>
    </w:p>
    <w:p>
      <w:pPr>
        <w:ind w:left="439"/>
        <w:spacing w:before="138" w:line="254" w:lineRule="auto"/>
        <w:rPr>
          <w:rFonts w:ascii="Microsoft YaHei" w:hAnsi="Microsoft YaHei" w:eastAsia="Microsoft YaHei" w:cs="Microsoft YaHei"/>
          <w:sz w:val="24"/>
          <w:szCs w:val="24"/>
        </w:rPr>
      </w:pPr>
      <w:r>
        <w:rPr>
          <w:rFonts w:ascii="Arial" w:hAnsi="Arial" w:eastAsia="Arial" w:cs="Arial"/>
          <w:sz w:val="48"/>
          <w:szCs w:val="48"/>
          <w:u w:val="single" w:color="auto"/>
          <w:color w:val="00A0E9"/>
          <w:spacing w:val="-1"/>
        </w:rPr>
        <w:t>3.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1"/>
          <w:position w:val="2"/>
        </w:rPr>
        <w:t>讨论              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u w:val="single" w:color="auto"/>
          <w:color w:val="00A0E9"/>
          <w:spacing w:val="-2"/>
          <w:position w:val="2"/>
        </w:rPr>
        <w:t xml:space="preserve">                                         </w:t>
      </w:r>
    </w:p>
    <w:p>
      <w:pPr>
        <w:pStyle w:val="BodyText"/>
        <w:ind w:left="419" w:right="33" w:firstLine="382"/>
        <w:spacing w:before="115" w:line="242" w:lineRule="auto"/>
        <w:tabs>
          <w:tab w:val="left" w:pos="5444"/>
        </w:tabs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</w:rPr>
        <w:t>儿童肠套叠在临床中，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属于常见的急腹症类疾病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，  同时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也是引起肠梗阻的因素之一。如果儿童存在肠套叠症状， 但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没有得到有效的治疗， 就会导致体内食物、消化液等大量的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内容物堆积在体内，从而引起肠道肿胀、远端萎缩等现象，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进一步引起肠壁水肿或肠壁充血。肠套叠时， 儿童的后肠也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会发生蠕动，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从而将肠管推到肠系膜上，</w:t>
      </w:r>
      <w:r>
        <w:rPr>
          <w:rFonts w:ascii="Microsoft YaHei" w:hAnsi="Microsoft YaHei" w:eastAsia="Microsoft YaHei" w:cs="Microsoft YaHei"/>
          <w:sz w:val="18"/>
          <w:szCs w:val="18"/>
          <w:spacing w:val="4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压迫肠系膜的血管，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阻碍血液循环， 加重肠管水肿，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严重的还会引起肠坏死、腹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膜炎等疾病的发生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0"/>
          <w:szCs w:val="10"/>
          <w:spacing w:val="8"/>
          <w:position w:val="7"/>
        </w:rPr>
        <w:t>[4]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。儿童肠套叠的早期诊断和早期治疗是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预防和治疗疾病的重要措施。以往，</w:t>
      </w:r>
      <w:r>
        <w:rPr>
          <w:rFonts w:ascii="Microsoft YaHei" w:hAnsi="Microsoft YaHei" w:eastAsia="Microsoft YaHei" w:cs="Microsoft YaHei"/>
          <w:sz w:val="18"/>
          <w:szCs w:val="18"/>
          <w:spacing w:val="57"/>
          <w:w w:val="101"/>
        </w:rPr>
        <w:t xml:space="preserve"> </w:t>
      </w:r>
      <w:r>
        <w:rPr>
          <w:sz w:val="18"/>
          <w:szCs w:val="18"/>
          <w:spacing w:val="4"/>
        </w:rPr>
        <w:t>X</w:t>
      </w:r>
      <w:r>
        <w:rPr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线是一种常见的检查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手段，现已被广泛应用于儿童肠套叠的诊断，</w:t>
      </w:r>
      <w:r>
        <w:rPr>
          <w:rFonts w:ascii="Microsoft YaHei" w:hAnsi="Microsoft YaHei" w:eastAsia="Microsoft YaHei" w:cs="Microsoft YaHei"/>
          <w:sz w:val="18"/>
          <w:szCs w:val="18"/>
          <w:spacing w:val="61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该技术能够清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楚地显示儿童的腹腔结构，</w:t>
      </w:r>
      <w:r>
        <w:rPr>
          <w:rFonts w:ascii="Microsoft YaHei" w:hAnsi="Microsoft YaHei" w:eastAsia="Microsoft YaHei" w:cs="Microsoft YaHei"/>
          <w:sz w:val="18"/>
          <w:szCs w:val="18"/>
          <w:spacing w:val="4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保留了大量的影像信息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，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便于随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访。但是，</w:t>
      </w:r>
      <w:r>
        <w:rPr>
          <w:rFonts w:ascii="Microsoft YaHei" w:hAnsi="Microsoft YaHei" w:eastAsia="Microsoft YaHei" w:cs="Microsoft YaHei"/>
          <w:sz w:val="18"/>
          <w:szCs w:val="18"/>
          <w:spacing w:val="-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因为肠套叠使得腹腔内含物较多，</w:t>
      </w:r>
      <w:r>
        <w:rPr>
          <w:rFonts w:ascii="Microsoft YaHei" w:hAnsi="Microsoft YaHei" w:eastAsia="Microsoft YaHei" w:cs="Microsoft YaHei"/>
          <w:sz w:val="18"/>
          <w:szCs w:val="18"/>
          <w:spacing w:val="44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会极大地降低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sz w:val="18"/>
          <w:szCs w:val="18"/>
          <w:spacing w:val="10"/>
        </w:rPr>
        <w:t>X</w:t>
      </w:r>
      <w:r>
        <w:rPr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射线平片的清晰度，易引起误诊、漏诊等情况，同时，</w:t>
      </w:r>
      <w:r>
        <w:rPr>
          <w:sz w:val="18"/>
          <w:szCs w:val="18"/>
          <w:spacing w:val="10"/>
        </w:rPr>
        <w:t>X</w:t>
      </w:r>
      <w:r>
        <w:rPr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射线对小儿的放射量也比成人大得多，有很大的辐射危险。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可见，</w:t>
      </w:r>
      <w:r>
        <w:rPr>
          <w:sz w:val="18"/>
          <w:szCs w:val="18"/>
          <w:spacing w:val="4"/>
        </w:rPr>
        <w:t>X</w:t>
      </w:r>
      <w:r>
        <w:rPr>
          <w:sz w:val="18"/>
          <w:szCs w:val="18"/>
          <w:spacing w:val="-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射线片在儿童肠套叠的诊断上是有局限的， 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现迫切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需要寻找一种对儿童无副作用，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又能提高诊断准确率的检查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方法。</w:t>
      </w:r>
    </w:p>
    <w:p>
      <w:pPr>
        <w:pStyle w:val="BodyText"/>
        <w:ind w:left="420" w:right="184" w:firstLine="392"/>
        <w:spacing w:before="7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随着临床影像学技术的进步，超声检查方式逐渐在临</w:t>
      </w:r>
      <w:r>
        <w:rPr>
          <w:rFonts w:ascii="Microsoft YaHei" w:hAnsi="Microsoft YaHei" w:eastAsia="Microsoft YaHei" w:cs="Microsoft YaHei"/>
          <w:sz w:val="18"/>
          <w:szCs w:val="18"/>
          <w:spacing w:val="1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床肠套叠中应用。超声以其非侵入性、可视化、精确、价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廉、操作简便、灵敏度高等特点而备受医疗领域关注，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属于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新的成像技术。利用超声的物理特性和多普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勒效应，</w:t>
      </w:r>
      <w:r>
        <w:rPr>
          <w:rFonts w:ascii="Microsoft YaHei" w:hAnsi="Microsoft YaHei" w:eastAsia="Microsoft YaHei" w:cs="Microsoft YaHei"/>
          <w:sz w:val="18"/>
          <w:szCs w:val="18"/>
          <w:spacing w:val="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在图像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上不仅能显示肠套叠的形状，</w:t>
      </w:r>
      <w:r>
        <w:rPr>
          <w:rFonts w:ascii="Microsoft YaHei" w:hAnsi="Microsoft YaHei" w:eastAsia="Microsoft YaHei" w:cs="Microsoft YaHei"/>
          <w:sz w:val="18"/>
          <w:szCs w:val="18"/>
          <w:spacing w:val="3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而且能观察到肠鞘和肠壁。根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据病变大小及肠壁回声，  可判定肠套叠的严重度；</w:t>
      </w:r>
      <w:r>
        <w:rPr>
          <w:rFonts w:ascii="Microsoft YaHei" w:hAnsi="Microsoft YaHei" w:eastAsia="Microsoft YaHei" w:cs="Microsoft YaHei"/>
          <w:sz w:val="18"/>
          <w:szCs w:val="18"/>
          <w:spacing w:val="3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</w:rPr>
        <w:t>在此基础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上，还可与多普勒超声成像相结合，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确定肠套叠部位是否出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现缺血性坏死或肿瘤。对于肠套叠的位置， 要进行反复的检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查，才能找出原因， 为临床做出正确的诊断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 xml:space="preserve"> </w:t>
      </w:r>
      <w:r>
        <w:rPr>
          <w:sz w:val="10"/>
          <w:szCs w:val="10"/>
          <w:spacing w:val="4"/>
          <w:position w:val="7"/>
        </w:rPr>
        <w:t>[5]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。另外，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超声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可以直观地显示肠道的扩张状况和范围， 有助于明确由于肿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瘤、肠套叠、腹外疝等原因所致的肠梗阻，</w:t>
      </w:r>
      <w:r>
        <w:rPr>
          <w:rFonts w:ascii="Microsoft YaHei" w:hAnsi="Microsoft YaHei" w:eastAsia="Microsoft YaHei" w:cs="Microsoft YaHei"/>
          <w:sz w:val="18"/>
          <w:szCs w:val="18"/>
          <w:spacing w:val="6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并对其病因作出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正确的诊断，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并有助于鉴别及分型； 但因其频率与扫描器频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率相关，故临床可以进行低频和高频等不同方式的检测。在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超声检查时，</w:t>
      </w:r>
      <w:r>
        <w:rPr>
          <w:rFonts w:ascii="Microsoft YaHei" w:hAnsi="Microsoft YaHei" w:eastAsia="Microsoft YaHei" w:cs="Microsoft YaHei"/>
          <w:sz w:val="18"/>
          <w:szCs w:val="18"/>
          <w:spacing w:val="-12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小儿肠套叠的近端肠道显著扩张，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邻近的远端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3" w:lineRule="auto"/>
        <w:rPr>
          <w:rFonts w:ascii="Arial"/>
          <w:sz w:val="21"/>
        </w:rPr>
      </w:pPr>
      <w:r/>
    </w:p>
    <w:p>
      <w:pPr>
        <w:spacing w:line="274" w:lineRule="auto"/>
        <w:rPr>
          <w:rFonts w:ascii="Arial"/>
          <w:sz w:val="21"/>
        </w:rPr>
      </w:pPr>
      <w:r/>
    </w:p>
    <w:p>
      <w:pPr>
        <w:pStyle w:val="BodyText"/>
        <w:ind w:firstLine="1"/>
        <w:spacing w:before="77" w:line="242" w:lineRule="auto"/>
        <w:tabs>
          <w:tab w:val="left" w:pos="5023"/>
        </w:tabs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肠道亦有显著萎缩， 蠕动显著增强。小儿肠内填塞后，</w:t>
      </w:r>
      <w:r>
        <w:rPr>
          <w:rFonts w:ascii="Microsoft YaHei" w:hAnsi="Microsoft YaHei" w:eastAsia="Microsoft YaHei" w:cs="Microsoft YaHei"/>
          <w:sz w:val="18"/>
          <w:szCs w:val="18"/>
          <w:spacing w:val="5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肠壁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出现明显的皱褶和蠕动， 但由于患儿对疼痛的位置和性质不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0"/>
        </w:rPr>
        <w:t>明，给临床诊断带来巨大的挑战，超声是一种有效的方法。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常规超声检查因其快速，</w:t>
      </w:r>
      <w:r>
        <w:rPr>
          <w:rFonts w:ascii="Microsoft YaHei" w:hAnsi="Microsoft YaHei" w:eastAsia="Microsoft YaHei" w:cs="Microsoft YaHei"/>
          <w:sz w:val="18"/>
          <w:szCs w:val="18"/>
          <w:spacing w:val="6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能更准确地检出真正的肠套叠，</w:t>
      </w:r>
      <w:r>
        <w:rPr>
          <w:rFonts w:ascii="Microsoft YaHei" w:hAnsi="Microsoft YaHei" w:eastAsia="Microsoft YaHei" w:cs="Microsoft YaHei"/>
          <w:sz w:val="18"/>
          <w:szCs w:val="18"/>
          <w:spacing w:val="4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-1"/>
        </w:rPr>
        <w:t>并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能清晰地显示出肠套叠的形态及层次，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已广泛用于临床各疾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病诊断中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0"/>
          <w:szCs w:val="10"/>
          <w:spacing w:val="2"/>
          <w:position w:val="7"/>
        </w:rPr>
        <w:t>[6]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。同时， 因为腹腔内的干扰因子较小，  即使疑似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5"/>
        </w:rPr>
        <w:t>的异常部位也能进行进一步的检查，但因为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没有肠套叠表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现，影像模糊，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容易出现漏诊、误诊的情况。高频超声能更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清楚地显示普通超声无法显示的肠套叠征象，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能得到清楚的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影像，并能分辨肠套叠的性质，  对肠壁有一定的了解</w:t>
      </w:r>
      <w:r>
        <w:rPr>
          <w:rFonts w:ascii="Microsoft YaHei" w:hAnsi="Microsoft YaHei" w:eastAsia="Microsoft YaHei" w:cs="Microsoft YaHei"/>
          <w:sz w:val="18"/>
          <w:szCs w:val="18"/>
          <w:spacing w:val="-2"/>
        </w:rPr>
        <w:t xml:space="preserve"> </w:t>
      </w:r>
      <w:r>
        <w:rPr>
          <w:sz w:val="10"/>
          <w:szCs w:val="10"/>
          <w:spacing w:val="2"/>
          <w:position w:val="7"/>
        </w:rPr>
        <w:t>[7]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。高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频超声可以更好地显示肠套叠区的淋巴结，</w:t>
      </w:r>
      <w:r>
        <w:rPr>
          <w:rFonts w:ascii="Microsoft YaHei" w:hAnsi="Microsoft YaHei" w:eastAsia="Microsoft YaHei" w:cs="Microsoft YaHei"/>
          <w:sz w:val="18"/>
          <w:szCs w:val="18"/>
          <w:spacing w:val="35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观察包块的微细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结构，同时还能观察肠壁血供， 从而更好地了解肠壁血流动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力学和水肿的程度， 对临床诊治具有重要的指导意义</w:t>
      </w:r>
      <w:r>
        <w:rPr>
          <w:rFonts w:ascii="Microsoft YaHei" w:hAnsi="Microsoft YaHei" w:eastAsia="Microsoft YaHei" w:cs="Microsoft YaHei"/>
          <w:sz w:val="18"/>
          <w:szCs w:val="18"/>
          <w:spacing w:val="-19"/>
        </w:rPr>
        <w:t xml:space="preserve"> </w:t>
      </w:r>
      <w:r>
        <w:rPr>
          <w:sz w:val="10"/>
          <w:szCs w:val="10"/>
          <w:spacing w:val="4"/>
          <w:position w:val="7"/>
        </w:rPr>
        <w:t>[8]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。另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4"/>
        </w:rPr>
        <w:t>外，高频超声可以实现胃肠系统中各个断面的三维立体成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像，保持影像的焦点， 能对疑似病灶进行三维重建，  有助于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发现微小的病灶， 更好地理解疾病的发生和发展</w:t>
      </w:r>
      <w:r>
        <w:rPr>
          <w:rFonts w:ascii="Microsoft YaHei" w:hAnsi="Microsoft YaHei" w:eastAsia="Microsoft YaHei" w:cs="Microsoft YaHei"/>
          <w:sz w:val="18"/>
          <w:szCs w:val="18"/>
          <w:spacing w:val="-14"/>
        </w:rPr>
        <w:t xml:space="preserve"> </w:t>
      </w:r>
      <w:r>
        <w:rPr>
          <w:sz w:val="10"/>
          <w:szCs w:val="10"/>
          <w:spacing w:val="4"/>
          <w:position w:val="7"/>
        </w:rPr>
        <w:t>[9]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。除了以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上优点之外，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高频多普勒技术还可以缩短诊断时间，</w:t>
      </w:r>
      <w:r>
        <w:rPr>
          <w:rFonts w:ascii="Microsoft YaHei" w:hAnsi="Microsoft YaHei" w:eastAsia="Microsoft YaHei" w:cs="Microsoft YaHei"/>
          <w:sz w:val="18"/>
          <w:szCs w:val="18"/>
          <w:spacing w:val="47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不会受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9"/>
        </w:rPr>
        <w:t>到肠道内气体的干扰，并且不会产生电磁波、射线等辐射，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因此，它的可行性和安全性都很高</w:t>
      </w:r>
      <w:r>
        <w:rPr>
          <w:rFonts w:ascii="Microsoft YaHei" w:hAnsi="Microsoft YaHei" w:eastAsia="Microsoft YaHei" w:cs="Microsoft YaHei"/>
          <w:sz w:val="18"/>
          <w:szCs w:val="18"/>
          <w:spacing w:val="-21"/>
        </w:rPr>
        <w:t xml:space="preserve"> </w:t>
      </w:r>
      <w:r>
        <w:rPr>
          <w:sz w:val="10"/>
          <w:szCs w:val="10"/>
          <w:spacing w:val="4"/>
          <w:position w:val="6"/>
        </w:rPr>
        <w:t>[10]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。本研究结果显示： 采</w:t>
      </w:r>
      <w:r>
        <w:rPr>
          <w:rFonts w:ascii="Microsoft YaHei" w:hAnsi="Microsoft YaHei" w:eastAsia="Microsoft YaHei" w:cs="Microsoft YaHei"/>
          <w:sz w:val="18"/>
          <w:szCs w:val="18"/>
        </w:rPr>
        <w:tab/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用高频超声的检出符合率高于普通超声检查（</w:t>
      </w:r>
      <w:r>
        <w:rPr>
          <w:sz w:val="18"/>
          <w:szCs w:val="18"/>
          <w:i/>
          <w:iCs/>
          <w:spacing w:val="8"/>
        </w:rPr>
        <w:t>P</w:t>
      </w:r>
      <w:r>
        <w:rPr>
          <w:sz w:val="18"/>
          <w:szCs w:val="18"/>
          <w:spacing w:val="8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spacing w:val="-5"/>
        </w:rPr>
        <w:t>）；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高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频超声检测的灵敏度、准确度、阳性预测值、阴性预测值均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高于普通超声检测（</w:t>
      </w:r>
      <w:r>
        <w:rPr>
          <w:sz w:val="18"/>
          <w:szCs w:val="18"/>
          <w:i/>
          <w:iCs/>
          <w:spacing w:val="7"/>
        </w:rPr>
        <w:t>P</w:t>
      </w:r>
      <w:r>
        <w:rPr>
          <w:sz w:val="18"/>
          <w:szCs w:val="18"/>
          <w:spacing w:val="7"/>
        </w:rPr>
        <w:t>&lt;0.05</w:t>
      </w:r>
      <w:r>
        <w:rPr>
          <w:rFonts w:ascii="Microsoft YaHei" w:hAnsi="Microsoft YaHei" w:eastAsia="Microsoft YaHei" w:cs="Microsoft YaHei"/>
          <w:sz w:val="18"/>
          <w:szCs w:val="18"/>
          <w:spacing w:val="-33"/>
        </w:rPr>
        <w:t>），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高频超声检查确诊的</w:t>
      </w:r>
      <w:r>
        <w:rPr>
          <w:rFonts w:ascii="Microsoft YaHei" w:hAnsi="Microsoft YaHei" w:eastAsia="Microsoft YaHei" w:cs="Microsoft YaHei"/>
          <w:sz w:val="18"/>
          <w:szCs w:val="18"/>
          <w:spacing w:val="-6"/>
        </w:rPr>
        <w:t xml:space="preserve"> </w:t>
      </w:r>
      <w:r>
        <w:rPr>
          <w:sz w:val="18"/>
          <w:szCs w:val="18"/>
          <w:spacing w:val="7"/>
        </w:rPr>
        <w:t>52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例肠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套叠患儿，发现</w:t>
      </w:r>
      <w:r>
        <w:rPr>
          <w:rFonts w:ascii="Microsoft YaHei" w:hAnsi="Microsoft YaHei" w:eastAsia="Microsoft YaHei" w:cs="Microsoft YaHei"/>
          <w:sz w:val="18"/>
          <w:szCs w:val="18"/>
          <w:spacing w:val="-7"/>
        </w:rPr>
        <w:t xml:space="preserve"> </w:t>
      </w:r>
      <w:r>
        <w:rPr>
          <w:sz w:val="18"/>
          <w:szCs w:val="18"/>
          <w:spacing w:val="11"/>
        </w:rPr>
        <w:t>49</w:t>
      </w:r>
      <w:r>
        <w:rPr>
          <w:sz w:val="18"/>
          <w:szCs w:val="18"/>
          <w:spacing w:val="-15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11"/>
        </w:rPr>
        <w:t>例儿童肠套叠的超声血流图像清楚，呈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条状、棒状； 另有</w:t>
      </w:r>
      <w:r>
        <w:rPr>
          <w:rFonts w:ascii="Microsoft YaHei" w:hAnsi="Microsoft YaHei" w:eastAsia="Microsoft YaHei" w:cs="Microsoft YaHei"/>
          <w:sz w:val="18"/>
          <w:szCs w:val="18"/>
          <w:spacing w:val="-15"/>
        </w:rPr>
        <w:t xml:space="preserve"> </w:t>
      </w:r>
      <w:r>
        <w:rPr>
          <w:sz w:val="18"/>
          <w:szCs w:val="18"/>
          <w:spacing w:val="6"/>
        </w:rPr>
        <w:t>3</w:t>
      </w:r>
      <w:r>
        <w:rPr>
          <w:sz w:val="18"/>
          <w:szCs w:val="18"/>
          <w:spacing w:val="-16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6"/>
        </w:rPr>
        <w:t>例无异常，考虑为肠坏死，经灌肠证实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5"/>
        </w:rPr>
        <w:t>为肠坏死。说明将高频超声诊断应用于小儿肠套叠， 具有积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极的诊断效果，</w:t>
      </w:r>
      <w:r>
        <w:rPr>
          <w:rFonts w:ascii="Microsoft YaHei" w:hAnsi="Microsoft YaHei" w:eastAsia="Microsoft YaHei" w:cs="Microsoft YaHei"/>
          <w:sz w:val="18"/>
          <w:szCs w:val="18"/>
          <w:spacing w:val="-13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采用高频超声诊断技术，</w:t>
      </w:r>
      <w:r>
        <w:rPr>
          <w:rFonts w:ascii="Microsoft YaHei" w:hAnsi="Microsoft YaHei" w:eastAsia="Microsoft YaHei" w:cs="Microsoft YaHei"/>
          <w:sz w:val="18"/>
          <w:szCs w:val="18"/>
          <w:spacing w:val="5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能够对肠</w:t>
      </w:r>
      <w:r>
        <w:rPr>
          <w:rFonts w:ascii="Microsoft YaHei" w:hAnsi="Microsoft YaHei" w:eastAsia="Microsoft YaHei" w:cs="Microsoft YaHei"/>
          <w:sz w:val="18"/>
          <w:szCs w:val="18"/>
          <w:spacing w:val="1"/>
        </w:rPr>
        <w:t>套叠的类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型、部位及超声影像特征进行精确定位，</w:t>
      </w:r>
      <w:r>
        <w:rPr>
          <w:rFonts w:ascii="Microsoft YaHei" w:hAnsi="Microsoft YaHei" w:eastAsia="Microsoft YaHei" w:cs="Microsoft YaHei"/>
          <w:sz w:val="18"/>
          <w:szCs w:val="18"/>
          <w:spacing w:val="39"/>
          <w:w w:val="101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>提高儿童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肠套叠的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   </w:t>
      </w:r>
      <w:r>
        <w:rPr>
          <w:rFonts w:ascii="Microsoft YaHei" w:hAnsi="Microsoft YaHei" w:eastAsia="Microsoft YaHei" w:cs="Microsoft YaHei"/>
          <w:sz w:val="18"/>
          <w:szCs w:val="18"/>
        </w:rPr>
        <w:t>早期诊断能力， 并通过对血液循环的观测，  防止漏诊、误诊，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8"/>
        </w:rPr>
        <w:t>为临床用药及给药方案的制定提供可靠的依据。</w:t>
      </w:r>
    </w:p>
    <w:p>
      <w:pPr>
        <w:ind w:left="1" w:right="151" w:firstLine="379"/>
        <w:spacing w:before="1" w:line="242" w:lineRule="auto"/>
        <w:jc w:val="both"/>
        <w:rPr>
          <w:rFonts w:ascii="Microsoft YaHei" w:hAnsi="Microsoft YaHei" w:eastAsia="Microsoft YaHei" w:cs="Microsoft YaHei"/>
          <w:sz w:val="18"/>
          <w:szCs w:val="18"/>
        </w:rPr>
      </w:pP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综上所述，在小儿肠套叠中采用高频超声诊断具有较为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积极的价值，</w:t>
      </w:r>
      <w:r>
        <w:rPr>
          <w:rFonts w:ascii="Microsoft YaHei" w:hAnsi="Microsoft YaHei" w:eastAsia="Microsoft YaHei" w:cs="Microsoft YaHei"/>
          <w:sz w:val="18"/>
          <w:szCs w:val="18"/>
          <w:spacing w:val="-17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能够有效诊断出患儿的疾病情况，</w:t>
      </w:r>
      <w:r>
        <w:rPr>
          <w:rFonts w:ascii="Microsoft YaHei" w:hAnsi="Microsoft YaHei" w:eastAsia="Microsoft YaHei" w:cs="Microsoft YaHei"/>
          <w:sz w:val="18"/>
          <w:szCs w:val="18"/>
          <w:spacing w:val="50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2"/>
        </w:rPr>
        <w:t>可作为临床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治疗的重要参考依据， 具有一定的推广价值，</w:t>
      </w:r>
      <w:r>
        <w:rPr>
          <w:rFonts w:ascii="Microsoft YaHei" w:hAnsi="Microsoft YaHei" w:eastAsia="Microsoft YaHei" w:cs="Microsoft YaHei"/>
          <w:sz w:val="18"/>
          <w:szCs w:val="18"/>
          <w:spacing w:val="4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3"/>
        </w:rPr>
        <w:t>但临床仍应结</w:t>
      </w:r>
      <w:r>
        <w:rPr>
          <w:rFonts w:ascii="Microsoft YaHei" w:hAnsi="Microsoft YaHei" w:eastAsia="Microsoft YaHei" w:cs="Microsoft YaHei"/>
          <w:sz w:val="18"/>
          <w:szCs w:val="18"/>
        </w:rPr>
        <w:t xml:space="preserve"> </w:t>
      </w:r>
      <w:r>
        <w:rPr>
          <w:rFonts w:ascii="Microsoft YaHei" w:hAnsi="Microsoft YaHei" w:eastAsia="Microsoft YaHei" w:cs="Microsoft YaHei"/>
          <w:sz w:val="18"/>
          <w:szCs w:val="18"/>
          <w:spacing w:val="7"/>
        </w:rPr>
        <w:t>合患者实际情况综合考虑。</w:t>
      </w:r>
    </w:p>
    <w:p>
      <w:pPr>
        <w:spacing w:line="242" w:lineRule="auto"/>
        <w:sectPr>
          <w:headerReference w:type="default" r:id="rId7"/>
          <w:pgSz w:w="11906" w:h="16158"/>
          <w:pgMar w:top="1" w:right="869" w:bottom="0" w:left="432" w:header="0" w:footer="0" w:gutter="0"/>
          <w:cols w:equalWidth="0" w:num="2">
            <w:col w:w="5479" w:space="100"/>
            <w:col w:w="5026" w:space="0"/>
          </w:cols>
        </w:sectPr>
        <w:rPr>
          <w:rFonts w:ascii="Microsoft YaHei" w:hAnsi="Microsoft YaHei" w:eastAsia="Microsoft YaHei" w:cs="Microsoft YaHei"/>
          <w:sz w:val="18"/>
          <w:szCs w:val="18"/>
        </w:rPr>
      </w:pPr>
    </w:p>
    <w:p>
      <w:pPr>
        <w:spacing w:line="261" w:lineRule="auto"/>
        <w:rPr>
          <w:rFonts w:ascii="Arial"/>
          <w:sz w:val="21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262505</wp:posOffset>
            </wp:positionH>
            <wp:positionV relativeFrom="paragraph">
              <wp:posOffset>-7625112</wp:posOffset>
            </wp:positionV>
            <wp:extent cx="6350" cy="720000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350" cy="72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pStyle w:val="BodyText"/>
        <w:ind w:firstLine="415"/>
        <w:spacing w:line="2752" w:lineRule="exact"/>
        <w:rPr/>
      </w:pPr>
      <w:r>
        <w:rPr>
          <w:position w:val="-55"/>
        </w:rPr>
        <w:pict>
          <v:group id="_x0000_s16" style="mso-position-vertical-relative:line;mso-position-horizontal-relative:char;width:502pt;height:137.6pt;" filled="false" stroked="false" coordsize="10040,2752" coordorigin="0,0">
            <v:rect id="_x0000_s18" style="position:absolute;left:0;top:0;width:10040;height:2752;" fillcolor="#EDF0F2" filled="true" stroked="false"/>
            <v:shape id="_x0000_s20" style="position:absolute;left:39;top:49;width:9964;height:2558;" filled="false" stroked="false" type="#_x0000_t202">
              <v:fill on="false"/>
              <v:stroke on="false"/>
              <v:path/>
              <v:imagedata o:title=""/>
              <o:lock v:ext="edit" aspectratio="false"/>
              <v:textbox inset="0mm,0mm,0mm,0mm">
                <w:txbxContent>
                  <w:p>
                    <w:pPr>
                      <w:ind w:left="20"/>
                      <w:spacing w:before="20" w:line="188" w:lineRule="auto"/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</w:rPr>
                    </w:pPr>
                    <w:r>
                      <w:rPr>
                        <w:rFonts w:ascii="Microsoft YaHei" w:hAnsi="Microsoft YaHei" w:eastAsia="Microsoft YaHei" w:cs="Microsoft YaHei"/>
                        <w:sz w:val="22"/>
                        <w:szCs w:val="22"/>
                        <w:b/>
                        <w:bCs/>
                        <w:color w:val="00A0E9"/>
                        <w:spacing w:val="19"/>
                      </w:rPr>
                      <w:t>参考文献</w:t>
                    </w:r>
                  </w:p>
                  <w:p>
                    <w:pPr>
                      <w:ind w:left="29"/>
                      <w:spacing w:before="80" w:line="187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[1]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郭建康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柏艳红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梁优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小儿肠套叠水压灌肠复位后复发的影响因素及列线图预测模型构建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中国优生与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遗传杂志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,2022,30(11):2008-2015.</w:t>
                    </w:r>
                  </w:p>
                  <w:p>
                    <w:pPr>
                      <w:ind w:left="358" w:right="20" w:hanging="329"/>
                      <w:spacing w:before="46" w:line="258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[2]     Qingtao Y, Liandi X, Jun C, et al. Characteristics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intestinal-related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lymphoid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hyperplasia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in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children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4"/>
                      </w:rPr>
                      <w:t>and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its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8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correlation with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intussusception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of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7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children[J].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BMC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3"/>
                      </w:rPr>
                      <w:t>Pediat-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  <w:t>rics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5"/>
                      </w:rPr>
                      <w:t>,2022,22(1):641.</w:t>
                    </w:r>
                  </w:p>
                  <w:p>
                    <w:pPr>
                      <w:ind w:left="29"/>
                      <w:spacing w:before="58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[3]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孙蓬子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陈志红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4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陈婷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彩色多普勒超声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在小儿肠套叠与肠旋转不良鉴别诊断中的价值分析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现代医用影像学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,2022,31(7):1329-1331.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[4]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庞志英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万娜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8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张淑红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高频超声结合彩色多普勒经腹超声对小儿肠套叠的诊断价值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医疗装备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,2022,35(8):28-30.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[5]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王春晓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高频超声联合低频超声对小儿肠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套叠的诊断价值研究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当代医学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,2022,28(8):142-144.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[6]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范丽琴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腹部超声检查对小儿肠套叠的诊断价值及漏诊率和误诊率评价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现代医用影像学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,2022,31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(2):354-356.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[7]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李晓莹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2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小儿肠套叠诊断中联合采取腹部超声与浅表超声的诊断价值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中国医疗器械信息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,2021,27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(24):89-91.</w:t>
                    </w:r>
                  </w:p>
                  <w:p>
                    <w:pPr>
                      <w:ind w:left="29"/>
                      <w:spacing w:before="28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[8]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周华媛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许少媚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5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陈启红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等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高频彩色多普勒超声在诊断小儿肠套叠的临床价值分析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中外医学研究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4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,2021,19(1):86-88.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[9]  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朱晓改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高频彩色多普勒超声在诊断小儿肠套叠中的价值研究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6"/>
                      </w:rPr>
                      <w:t>甘肃科技纵横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,2021,50(3):94-96.</w:t>
                    </w:r>
                  </w:p>
                  <w:p>
                    <w:pPr>
                      <w:ind w:left="29"/>
                      <w:spacing w:before="27" w:line="186" w:lineRule="auto"/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</w:rPr>
                    </w:pP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[10]  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陈惠清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1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.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-9"/>
                      </w:rPr>
                      <w:t xml:space="preserve"> 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高频超声联合低频超声对小儿肠套叠诊断的应用效果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0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[J].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7"/>
                      </w:rPr>
                      <w:t>影像研究与医学应用</w:t>
                    </w:r>
                    <w:r>
                      <w:rPr>
                        <w:rFonts w:ascii="Microsoft YaHei" w:hAnsi="Microsoft YaHei" w:eastAsia="Microsoft YaHei" w:cs="Microsoft YaHei"/>
                        <w:sz w:val="13"/>
                        <w:szCs w:val="13"/>
                        <w:spacing w:val="-13"/>
                      </w:rPr>
                      <w:t xml:space="preserve"> 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7"/>
                      </w:rPr>
                      <w:t>,2021,5(</w:t>
                    </w:r>
                    <w:r>
                      <w:rPr>
                        <w:rFonts w:ascii="Times New Roman" w:hAnsi="Times New Roman" w:eastAsia="Times New Roman" w:cs="Times New Roman"/>
                        <w:sz w:val="13"/>
                        <w:szCs w:val="13"/>
                        <w:spacing w:val="6"/>
                      </w:rPr>
                      <w:t>5):61-62.</w:t>
                    </w:r>
                  </w:p>
                </w:txbxContent>
              </v:textbox>
            </v:shape>
            <v:group id="_x0000_s22" style="position:absolute;left:56;top:353;width:9927;height:10;" filled="false" stroked="false" coordsize="9927,10" coordorigin="0,0">
              <v:shape id="_x0000_s24" style="position:absolute;left:19;top:0;width:9897;height:10;" filled="false" strokecolor="#00A0E9" strokeweight="0.50pt" coordsize="9897,10" coordorigin="0,0" path="m5,5l9891,5e">
                <v:stroke dashstyle="dash" endcap="round" miterlimit="10"/>
              </v:shape>
              <v:shape id="_x0000_s26" style="position:absolute;left:0;top:0;width:9927;height:10;" filled="false" strokecolor="#00A0E9" strokeweight="0.50pt" coordsize="9927,10" coordorigin="0,0" path="m5,5l5,5m9921,5l9921,5e">
                <v:stroke endcap="round" miterlimit="10"/>
              </v:shape>
            </v:group>
          </v:group>
        </w:pict>
      </w:r>
    </w:p>
    <w:p>
      <w:pPr>
        <w:spacing w:line="277" w:lineRule="auto"/>
        <w:rPr>
          <w:rFonts w:ascii="Arial"/>
          <w:sz w:val="21"/>
        </w:rPr>
      </w:pPr>
      <w:r/>
    </w:p>
    <w:p>
      <w:pPr>
        <w:ind w:left="429"/>
        <w:spacing w:before="60" w:line="195" w:lineRule="exact"/>
        <w:rPr>
          <w:rFonts w:ascii="Candara" w:hAnsi="Candara" w:eastAsia="Candara" w:cs="Candara"/>
          <w:sz w:val="14"/>
          <w:szCs w:val="14"/>
        </w:rPr>
      </w:pPr>
      <w:r>
        <w:rPr>
          <w:rFonts w:ascii="Georgia" w:hAnsi="Georgia" w:eastAsia="Georgia" w:cs="Georgia"/>
          <w:sz w:val="16"/>
          <w:szCs w:val="16"/>
          <w:color w:val="800072"/>
          <w:position w:val="12"/>
        </w:rPr>
        <w:t>.</w:t>
      </w:r>
      <w:r>
        <w:rPr>
          <w:rFonts w:ascii="Georgia" w:hAnsi="Georgia" w:eastAsia="Georgia" w:cs="Georgia"/>
          <w:sz w:val="16"/>
          <w:szCs w:val="16"/>
          <w:color w:val="800072"/>
          <w:position w:val="1"/>
        </w:rPr>
        <w:t>130   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position w:val="1"/>
        </w:rPr>
        <w:t>中国医疗器械信息</w:t>
      </w:r>
      <w:r>
        <w:rPr>
          <w:rFonts w:ascii="Microsoft YaHei" w:hAnsi="Microsoft YaHei" w:eastAsia="Microsoft YaHei" w:cs="Microsoft YaHei"/>
          <w:sz w:val="14"/>
          <w:szCs w:val="14"/>
          <w:color w:val="00A0E9"/>
          <w:spacing w:val="26"/>
          <w:w w:val="101"/>
          <w:position w:val="1"/>
        </w:rPr>
        <w:t xml:space="preserve"> </w:t>
      </w:r>
      <w:r>
        <w:rPr>
          <w:rFonts w:ascii="Corbel" w:hAnsi="Corbel" w:eastAsia="Corbel" w:cs="Corbel"/>
          <w:sz w:val="14"/>
          <w:szCs w:val="14"/>
          <w:color w:val="00A0E9"/>
          <w:position w:val="2"/>
        </w:rPr>
        <w:t>|</w:t>
      </w:r>
      <w:r>
        <w:rPr>
          <w:rFonts w:ascii="Corbel" w:hAnsi="Corbel" w:eastAsia="Corbel" w:cs="Corbel"/>
          <w:sz w:val="14"/>
          <w:szCs w:val="14"/>
          <w:color w:val="00A0E9"/>
          <w:spacing w:val="16"/>
          <w:position w:val="2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China</w:t>
      </w:r>
      <w:r>
        <w:rPr>
          <w:rFonts w:ascii="Candara" w:hAnsi="Candara" w:eastAsia="Candara" w:cs="Candara"/>
          <w:sz w:val="14"/>
          <w:szCs w:val="14"/>
          <w:color w:val="00A0E9"/>
          <w:spacing w:val="15"/>
          <w:w w:val="102"/>
          <w:position w:val="1"/>
        </w:rPr>
        <w:t xml:space="preserve"> </w:t>
      </w:r>
      <w:r>
        <w:rPr>
          <w:rFonts w:ascii="Candara" w:hAnsi="Candara" w:eastAsia="Candara" w:cs="Candara"/>
          <w:sz w:val="14"/>
          <w:szCs w:val="14"/>
          <w:color w:val="00A0E9"/>
          <w:position w:val="1"/>
        </w:rPr>
        <w:t>Medical  Dev</w:t>
      </w:r>
      <w:r>
        <w:rPr>
          <w:rFonts w:ascii="Candara" w:hAnsi="Candara" w:eastAsia="Candara" w:cs="Candara"/>
          <w:sz w:val="14"/>
          <w:szCs w:val="14"/>
          <w:color w:val="00A0E9"/>
          <w:spacing w:val="-1"/>
          <w:position w:val="1"/>
        </w:rPr>
        <w:t>ice  Information</w:t>
      </w:r>
    </w:p>
    <w:p>
      <w:pPr>
        <w:spacing w:line="240" w:lineRule="exact"/>
        <w:rPr>
          <w:rFonts w:ascii="Arial" w:hAnsi="Arial" w:eastAsia="Arial" w:cs="Arial"/>
          <w:sz w:val="23"/>
          <w:szCs w:val="23"/>
        </w:rPr>
      </w:pPr>
      <w:r>
        <w:pict>
          <v:shape id="_x0000_s28" style="position:absolute;margin-left:46.4pt;margin-top:10pt;mso-position-vertical-relative:text;mso-position-horizontal-relative:text;width:0pt;height:0pt;z-index:251665408;" fillcolor="#999999" filled="true" stroked="false" coordsize="0,0" coordorigin="0,0" path="m,c0,0,0,0,0,0e"/>
        </w:pic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>中国知网</w:t>
      </w:r>
      <w:r>
        <w:rPr>
          <w:rFonts w:ascii="Microsoft YaHei" w:hAnsi="Microsoft YaHei" w:eastAsia="Microsoft YaHei" w:cs="Microsoft YaHei"/>
          <w:sz w:val="23"/>
          <w:szCs w:val="23"/>
          <w:color w:val="999999"/>
          <w:spacing w:val="4"/>
        </w:rPr>
        <w:t xml:space="preserve">     </w:t>
      </w:r>
      <w:r>
        <w:rPr>
          <w:rFonts w:ascii="Arial" w:hAnsi="Arial" w:eastAsia="Arial" w:cs="Arial"/>
          <w:sz w:val="23"/>
          <w:szCs w:val="23"/>
          <w:color w:val="999999"/>
        </w:rPr>
        <w:t>https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//w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 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,</w:t>
      </w:r>
      <w:r>
        <w:rPr>
          <w:rFonts w:ascii="Arial" w:hAnsi="Arial" w:eastAsia="Arial" w:cs="Arial"/>
          <w:sz w:val="23"/>
          <w:szCs w:val="23"/>
          <w:color w:val="999999"/>
          <w:spacing w:val="43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cxnk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>:i.</w:t>
      </w:r>
      <w:r>
        <w:rPr>
          <w:rFonts w:ascii="Arial" w:hAnsi="Arial" w:eastAsia="Arial" w:cs="Arial"/>
          <w:sz w:val="23"/>
          <w:szCs w:val="23"/>
          <w:color w:val="999999"/>
          <w:spacing w:val="4"/>
        </w:rPr>
        <w:t xml:space="preserve"> </w:t>
      </w:r>
      <w:r>
        <w:rPr>
          <w:rFonts w:ascii="Arial" w:hAnsi="Arial" w:eastAsia="Arial" w:cs="Arial"/>
          <w:sz w:val="23"/>
          <w:szCs w:val="23"/>
          <w:color w:val="999999"/>
        </w:rPr>
        <w:t>net</w:t>
      </w:r>
    </w:p>
    <w:sectPr>
      <w:type w:val="continuous"/>
      <w:pgSz w:w="11906" w:h="16158"/>
      <w:pgMar w:top="1" w:right="869" w:bottom="0" w:left="432" w:header="0" w:footer="0" w:gutter="0"/>
      <w:cols w:equalWidth="0" w:num="1">
        <w:col w:w="10605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Book Antiqua">
    <w:panose1 w:val="02040702050305030304"/>
    <w:charset w:val="00"/>
    <w:family w:val="auto"/>
    <w:pitch w:val="variable"/>
    <w:sig w:usb0="00000287" w:usb1="00000000" w:usb2="00000000" w:usb3="00000000" w:csb0="2000009F" w:csb1="DFD70000"/>
  </w:font>
  <w:font w:name="Candara">
    <w:panose1 w:val="020E0502030303020204"/>
    <w:charset w:val="00"/>
    <w:family w:val="auto"/>
    <w:pitch w:val="variable"/>
    <w:sig w:usb0="A00002EF" w:usb1="4000A44B" w:usb2="00000000" w:usb3="00000000" w:csb0="2000019F" w:csb1="00000000"/>
  </w:font>
  <w:font w:name="Corbel">
    <w:panose1 w:val="020B0503020204020204"/>
    <w:charset w:val="00"/>
    <w:family w:val="auto"/>
    <w:pitch w:val="variable"/>
    <w:sig w:usb0="A00002EF" w:usb1="4000A44B" w:usb2="00000000" w:usb3="00000000" w:csb0="2000019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Georgia">
    <w:panose1 w:val="02040502050405020303"/>
    <w:charset w:val="00"/>
    <w:family w:val="auto"/>
    <w:pitch w:val="variable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Times New Roman" w:hAnsi="Times New Roman" w:eastAsia="Times New Roman" w:cs="Times New Roman"/>
      <w:sz w:val="13"/>
      <w:szCs w:val="13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Times New Roman" w:hAnsi="Times New Roman" w:eastAsia="Times New Roman" w:cs="Times New Roman"/>
      <w:sz w:val="15"/>
      <w:szCs w:val="1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settings" Target="settings.xml"/><Relationship Id="rId8" Type="http://schemas.openxmlformats.org/officeDocument/2006/relationships/image" Target="media/image6.png"/><Relationship Id="rId7" Type="http://schemas.openxmlformats.org/officeDocument/2006/relationships/header" Target="header2.xml"/><Relationship Id="rId6" Type="http://schemas.openxmlformats.org/officeDocument/2006/relationships/image" Target="media/image5.png"/><Relationship Id="rId5" Type="http://schemas.openxmlformats.org/officeDocument/2006/relationships/image" Target="media/image4.png"/><Relationship Id="rId4" Type="http://schemas.openxmlformats.org/officeDocument/2006/relationships/image" Target="media/image3.jpeg"/><Relationship Id="rId3" Type="http://schemas.openxmlformats.org/officeDocument/2006/relationships/header" Target="header1.xml"/><Relationship Id="rId2" Type="http://schemas.openxmlformats.org/officeDocument/2006/relationships/image" Target="media/image2.png"/><Relationship Id="rId11" Type="http://schemas.openxmlformats.org/officeDocument/2006/relationships/fontTable" Target="fontTable.xml"/><Relationship Id="rId10" Type="http://schemas.openxmlformats.org/officeDocument/2006/relationships/styles" Target="styles.xml"/><Relationship Id="rId1" Type="http://schemas.openxmlformats.org/officeDocument/2006/relationships/image" Target="media/image1.pn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2.6.0 Build 4111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2025-03-17T22:05:49Z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2025-10-28T21:24:25</vt:filetime>
  </property>
</Properties>
</file>