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311"/>
        <w:spacing w:before="209" w:line="221" w:lineRule="auto"/>
        <w:outlineLvl w:val="0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腹部超声对小儿肠套叠的诊断价值分析</w:t>
      </w:r>
    </w:p>
    <w:p>
      <w:pPr>
        <w:ind w:left="5423"/>
        <w:spacing w:before="193" w:line="21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3"/>
        </w:rPr>
        <w:t>田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3"/>
        </w:rPr>
        <w:t>倩</w:t>
      </w:r>
    </w:p>
    <w:p>
      <w:pPr>
        <w:ind w:left="3198"/>
        <w:spacing w:before="42" w:line="2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（六盘水市妇幼保健院功能科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贵州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六盘水</w:t>
      </w:r>
      <w:r>
        <w:rPr>
          <w:rFonts w:ascii="KaiTi" w:hAnsi="KaiTi" w:eastAsia="KaiTi" w:cs="KaiTi"/>
          <w:sz w:val="20"/>
          <w:szCs w:val="20"/>
          <w:color w:val="231F20"/>
          <w:spacing w:val="16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553001）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601" w:hanging="7"/>
        <w:spacing w:before="65" w:line="321" w:lineRule="auto"/>
        <w:jc w:val="both"/>
        <w:rPr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6214617</wp:posOffset>
            </wp:positionH>
            <wp:positionV relativeFrom="paragraph">
              <wp:posOffset>619514</wp:posOffset>
            </wp:positionV>
            <wp:extent cx="98069" cy="9679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069" cy="96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31F20"/>
          <w:spacing w:val="-1"/>
        </w:rPr>
        <w:t>【摘要】</w:t>
      </w:r>
      <w:r>
        <w:rPr>
          <w:sz w:val="17"/>
          <w:szCs w:val="17"/>
          <w:b/>
          <w:bCs/>
          <w:color w:val="231F20"/>
          <w:spacing w:val="-1"/>
        </w:rPr>
        <w:t>目的：探讨腹部超声在小儿肠套叠中的应用价值，为小儿肠套叠的诊断、治疗提供有力依据。方法：选取六盘水市妇幼保健院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b/>
          <w:bCs/>
          <w:color w:val="231F20"/>
          <w:spacing w:val="-3"/>
        </w:rPr>
        <w:t>2023</w:t>
      </w:r>
      <w:r>
        <w:rPr>
          <w:sz w:val="17"/>
          <w:szCs w:val="17"/>
          <w:color w:val="231F20"/>
          <w:spacing w:val="-31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年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2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月—2024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年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2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月收治的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82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例小儿肠套叠患儿，在患儿入院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24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3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26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内均实施腹部超声检查，分析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82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例小儿肠套叠患儿的腹部超声</w:t>
      </w:r>
      <w:r>
        <w:rPr>
          <w:sz w:val="17"/>
          <w:szCs w:val="17"/>
          <w:color w:val="231F20"/>
        </w:rPr>
        <w:t xml:space="preserve">   </w:t>
      </w:r>
      <w:r>
        <w:rPr>
          <w:sz w:val="17"/>
          <w:szCs w:val="17"/>
          <w:b/>
          <w:bCs/>
          <w:color w:val="231F20"/>
          <w:spacing w:val="-2"/>
        </w:rPr>
        <w:t>检查结果，对比肠坏死患儿（肠坏死组）与非肠坏死患儿（非肠坏死组）的血运情况、套叠肠管间积液情况及水肿情况。结果：腹部超声</w:t>
      </w:r>
      <w:r>
        <w:rPr>
          <w:sz w:val="17"/>
          <w:szCs w:val="17"/>
          <w:color w:val="231F20"/>
          <w:spacing w:val="5"/>
        </w:rPr>
        <w:t xml:space="preserve">  </w:t>
      </w:r>
      <w:r>
        <w:rPr>
          <w:sz w:val="17"/>
          <w:szCs w:val="17"/>
          <w:b/>
          <w:bCs/>
          <w:color w:val="231F20"/>
          <w:spacing w:val="-2"/>
        </w:rPr>
        <w:t>检查显示，有</w:t>
      </w:r>
      <w:r>
        <w:rPr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75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例患儿被确诊为小儿肠套叠，5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例患儿被判断为疑似诊断，2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例患儿因临床表现模糊、无</w:t>
      </w:r>
      <w:r>
        <w:rPr>
          <w:sz w:val="17"/>
          <w:szCs w:val="17"/>
          <w:b/>
          <w:bCs/>
          <w:color w:val="231F20"/>
          <w:spacing w:val="-3"/>
        </w:rPr>
        <w:t>经典病症等因素被漏诊，腹部超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2"/>
        </w:rPr>
        <w:t>声诊断准确率为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2"/>
        </w:rPr>
        <w:t>91.46%（75/82）。在</w:t>
      </w:r>
      <w:r>
        <w:rPr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color w:val="231F20"/>
          <w:spacing w:val="-2"/>
        </w:rPr>
        <w:t>75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2"/>
        </w:rPr>
        <w:t>例确诊患儿中，患儿的包块形态较为规则且呈现为“</w:t>
      </w:r>
      <w:r>
        <w:rPr>
          <w:sz w:val="17"/>
          <w:szCs w:val="17"/>
          <w:color w:val="231F20"/>
          <w:spacing w:val="-63"/>
        </w:rPr>
        <w:t xml:space="preserve"> </w:t>
      </w:r>
      <w:r>
        <w:rPr>
          <w:sz w:val="17"/>
          <w:szCs w:val="17"/>
          <w:color w:val="231F20"/>
          <w:spacing w:val="-2"/>
        </w:rPr>
        <w:t>同心圆征</w:t>
      </w:r>
      <w:r>
        <w:rPr>
          <w:sz w:val="17"/>
          <w:szCs w:val="17"/>
          <w:color w:val="231F20"/>
          <w:spacing w:val="-64"/>
        </w:rPr>
        <w:t xml:space="preserve"> </w:t>
      </w:r>
      <w:r>
        <w:rPr>
          <w:sz w:val="17"/>
          <w:szCs w:val="17"/>
          <w:color w:val="231F20"/>
          <w:spacing w:val="-2"/>
        </w:rPr>
        <w:t>”与“套管征</w:t>
      </w:r>
      <w:r>
        <w:rPr>
          <w:sz w:val="17"/>
          <w:szCs w:val="17"/>
          <w:color w:val="231F20"/>
          <w:spacing w:val="-64"/>
        </w:rPr>
        <w:t xml:space="preserve"> </w:t>
      </w:r>
      <w:r>
        <w:rPr>
          <w:sz w:val="17"/>
          <w:szCs w:val="17"/>
          <w:color w:val="231F20"/>
          <w:spacing w:val="-2"/>
        </w:rPr>
        <w:t>”；手术治疗结果表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示有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36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例患儿出现肠坏死，46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例患儿为非肠坏死。肠坏死组的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1"/>
        </w:rPr>
        <w:t>CD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1"/>
        </w:rPr>
        <w:t>FI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14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分级可分为Ⅲ级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1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例，</w:t>
      </w:r>
      <w:r>
        <w:rPr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Ⅱ级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16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例，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Ⅰ</w:t>
      </w:r>
      <w:r>
        <w:rPr>
          <w:sz w:val="17"/>
          <w:szCs w:val="17"/>
          <w:color w:val="231F20"/>
          <w:spacing w:val="-68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级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19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例，血供丰富</w:t>
      </w:r>
      <w:r>
        <w:rPr>
          <w:sz w:val="17"/>
          <w:szCs w:val="17"/>
          <w:color w:val="231F20"/>
          <w:spacing w:val="-43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占有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"/>
        </w:rPr>
        <w:t>率为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1"/>
        </w:rPr>
        <w:t>2.78%；非肠坏死组的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CDFI </w:t>
      </w:r>
      <w:r>
        <w:rPr>
          <w:sz w:val="17"/>
          <w:szCs w:val="17"/>
          <w:color w:val="231F20"/>
          <w:spacing w:val="-1"/>
        </w:rPr>
        <w:t>分级可分为Ⅳ级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2"/>
        </w:rPr>
        <w:t>17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2"/>
        </w:rPr>
        <w:t>例，Ⅲ级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2"/>
        </w:rPr>
        <w:t>27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2"/>
        </w:rPr>
        <w:t>例，</w:t>
      </w:r>
      <w:r>
        <w:rPr>
          <w:sz w:val="17"/>
          <w:szCs w:val="17"/>
          <w:color w:val="231F20"/>
          <w:spacing w:val="-49"/>
        </w:rPr>
        <w:t xml:space="preserve"> </w:t>
      </w:r>
      <w:r>
        <w:rPr>
          <w:sz w:val="17"/>
          <w:szCs w:val="17"/>
          <w:color w:val="231F20"/>
          <w:spacing w:val="-2"/>
        </w:rPr>
        <w:t>Ⅱ级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2"/>
        </w:rPr>
        <w:t>2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2"/>
        </w:rPr>
        <w:t>例，血供丰富</w:t>
      </w:r>
      <w:r>
        <w:rPr>
          <w:sz w:val="17"/>
          <w:szCs w:val="17"/>
          <w:color w:val="231F20"/>
          <w:spacing w:val="-51"/>
        </w:rPr>
        <w:t xml:space="preserve"> </w:t>
      </w:r>
      <w:r>
        <w:rPr>
          <w:sz w:val="17"/>
          <w:szCs w:val="17"/>
          <w:color w:val="231F20"/>
          <w:spacing w:val="-2"/>
        </w:rPr>
        <w:t>占有率为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2"/>
        </w:rPr>
        <w:t>95.65%。肠坏死组与非肠坏死组患儿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的血运情况比较差异有统计学意义（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5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＜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0.05）。肠坏死组中套叠肠管间积液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34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例，无套叠肠管间积液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2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例；非</w:t>
      </w:r>
      <w:r>
        <w:rPr>
          <w:sz w:val="17"/>
          <w:szCs w:val="17"/>
          <w:b/>
          <w:bCs/>
          <w:color w:val="231F20"/>
          <w:spacing w:val="-5"/>
        </w:rPr>
        <w:t>肠坏死组中套叠肠管间积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3"/>
        </w:rPr>
        <w:t>液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15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例，无套叠肠管间积液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31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例。肠坏死组与非肠坏死组套叠肠管间积液情况比较差异有统计学意义（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6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＜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0.05）。肠坏死组</w:t>
      </w:r>
      <w:r>
        <w:rPr>
          <w:sz w:val="17"/>
          <w:szCs w:val="17"/>
          <w:b/>
          <w:bCs/>
          <w:color w:val="231F20"/>
          <w:spacing w:val="-4"/>
        </w:rPr>
        <w:t>中肠壁水</w:t>
      </w:r>
      <w:r>
        <w:rPr>
          <w:sz w:val="17"/>
          <w:szCs w:val="17"/>
          <w:color w:val="231F20"/>
        </w:rPr>
        <w:t xml:space="preserve">   </w:t>
      </w:r>
      <w:r>
        <w:rPr>
          <w:sz w:val="17"/>
          <w:szCs w:val="17"/>
          <w:b/>
          <w:bCs/>
          <w:color w:val="231F20"/>
          <w:spacing w:val="-8"/>
        </w:rPr>
        <w:t>肿</w:t>
      </w:r>
      <w:r>
        <w:rPr>
          <w:sz w:val="17"/>
          <w:szCs w:val="17"/>
          <w:color w:val="231F20"/>
          <w:spacing w:val="-46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≥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15</w:t>
      </w:r>
      <w:r>
        <w:rPr>
          <w:sz w:val="17"/>
          <w:szCs w:val="17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8"/>
        </w:rPr>
        <w:t>mm </w:t>
      </w:r>
      <w:r>
        <w:rPr>
          <w:sz w:val="17"/>
          <w:szCs w:val="17"/>
          <w:b/>
          <w:bCs/>
          <w:color w:val="231F20"/>
          <w:spacing w:val="-8"/>
        </w:rPr>
        <w:t>者有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26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例，肠壁水肿＜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15</w:t>
      </w:r>
      <w:r>
        <w:rPr>
          <w:sz w:val="17"/>
          <w:szCs w:val="17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8"/>
        </w:rPr>
        <w:t>mm </w:t>
      </w:r>
      <w:r>
        <w:rPr>
          <w:sz w:val="17"/>
          <w:szCs w:val="17"/>
          <w:b/>
          <w:bCs/>
          <w:color w:val="231F20"/>
          <w:spacing w:val="-8"/>
        </w:rPr>
        <w:t>者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10</w:t>
      </w:r>
      <w:r>
        <w:rPr>
          <w:sz w:val="17"/>
          <w:szCs w:val="17"/>
          <w:color w:val="231F20"/>
          <w:spacing w:val="-40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例；非肠坏死组中肠壁水肿</w:t>
      </w:r>
      <w:r>
        <w:rPr>
          <w:sz w:val="17"/>
          <w:szCs w:val="17"/>
          <w:color w:val="231F20"/>
          <w:spacing w:val="-65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≥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15</w:t>
      </w:r>
      <w:r>
        <w:rPr>
          <w:sz w:val="17"/>
          <w:szCs w:val="17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8"/>
        </w:rPr>
        <w:t>mm </w:t>
      </w:r>
      <w:r>
        <w:rPr>
          <w:sz w:val="17"/>
          <w:szCs w:val="17"/>
          <w:b/>
          <w:bCs/>
          <w:color w:val="231F20"/>
          <w:spacing w:val="-8"/>
        </w:rPr>
        <w:t>者有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14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例，肠壁水肿＜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15</w:t>
      </w:r>
      <w:r>
        <w:rPr>
          <w:sz w:val="17"/>
          <w:szCs w:val="17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8"/>
        </w:rPr>
        <w:t>mm </w:t>
      </w:r>
      <w:r>
        <w:rPr>
          <w:sz w:val="17"/>
          <w:szCs w:val="17"/>
          <w:b/>
          <w:bCs/>
          <w:color w:val="231F20"/>
          <w:spacing w:val="-8"/>
        </w:rPr>
        <w:t>者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32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8"/>
        </w:rPr>
        <w:t>例。肠坏死组与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6"/>
        </w:rPr>
        <w:t>非肠坏死组肠壁水肿情况对比差异有统计学意义</w:t>
      </w:r>
      <w:r>
        <w:rPr>
          <w:sz w:val="17"/>
          <w:szCs w:val="17"/>
          <w:b/>
          <w:bCs/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7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7"/>
        </w:rPr>
        <w:t>＜</w:t>
      </w:r>
      <w:r>
        <w:rPr>
          <w:sz w:val="17"/>
          <w:szCs w:val="17"/>
          <w:color w:val="231F20"/>
          <w:spacing w:val="-41"/>
        </w:rPr>
        <w:t xml:space="preserve"> </w:t>
      </w:r>
      <w:r>
        <w:rPr>
          <w:sz w:val="17"/>
          <w:szCs w:val="17"/>
          <w:b/>
          <w:bCs/>
          <w:color w:val="231F20"/>
          <w:spacing w:val="-7"/>
        </w:rPr>
        <w:t>0.05）。结论：腹部超声在小儿肠套叠应用中可满足其诊断病理要求，具有专属性佳、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效率高、安全便捷的优势，可帮助医师进一步了解患儿的腹腔情况，掌握其病情发展情况，为其诊断、治疗</w:t>
      </w:r>
      <w:r>
        <w:rPr>
          <w:sz w:val="17"/>
          <w:szCs w:val="17"/>
          <w:b/>
          <w:bCs/>
          <w:color w:val="231F20"/>
          <w:spacing w:val="-6"/>
        </w:rPr>
        <w:t>提供有利依据，值得应用。</w:t>
      </w:r>
    </w:p>
    <w:p>
      <w:pPr>
        <w:pStyle w:val="BodyText"/>
        <w:ind w:left="594"/>
        <w:spacing w:line="220" w:lineRule="auto"/>
        <w:rPr>
          <w:sz w:val="17"/>
          <w:szCs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2699524</wp:posOffset>
            </wp:positionH>
            <wp:positionV relativeFrom="paragraph">
              <wp:posOffset>14578</wp:posOffset>
            </wp:positionV>
            <wp:extent cx="96799" cy="9638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99" cy="9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</w:rPr>
        <w:t>【关键词】</w:t>
      </w:r>
      <w:r>
        <w:rPr>
          <w:sz w:val="17"/>
          <w:szCs w:val="17"/>
          <w:color w:val="231F20"/>
          <w:spacing w:val="-3"/>
        </w:rPr>
        <w:t>腹部超声；小儿肠套叠；肠坏死；</w:t>
      </w:r>
      <w:r>
        <w:rPr>
          <w:sz w:val="17"/>
          <w:szCs w:val="17"/>
          <w:color w:val="231F20"/>
          <w:spacing w:val="-4"/>
        </w:rPr>
        <w:t>套叠肠管间积液</w:t>
      </w:r>
    </w:p>
    <w:p>
      <w:pPr>
        <w:pStyle w:val="BodyText"/>
        <w:ind w:left="594"/>
        <w:spacing w:before="62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R445.1 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2096-3807（2024）22-0094-03</w:t>
      </w:r>
    </w:p>
    <w:p>
      <w:pPr>
        <w:spacing w:before="193"/>
        <w:rPr/>
      </w:pPr>
      <w:r/>
    </w:p>
    <w:p>
      <w:pPr>
        <w:sectPr>
          <w:headerReference w:type="default" r:id="rId1"/>
          <w:pgSz w:w="12246" w:h="16498"/>
          <w:pgMar w:top="1207" w:right="960" w:bottom="0" w:left="424" w:header="827" w:footer="0" w:gutter="0"/>
          <w:cols w:equalWidth="0" w:num="1">
            <w:col w:w="10862" w:space="0"/>
          </w:cols>
        </w:sectPr>
        <w:rPr/>
      </w:pPr>
    </w:p>
    <w:p>
      <w:pPr>
        <w:pStyle w:val="BodyText"/>
        <w:ind w:left="602" w:right="243" w:firstLine="403"/>
        <w:spacing w:before="37" w:line="277" w:lineRule="auto"/>
        <w:rPr/>
      </w:pPr>
      <w:r>
        <w:rPr>
          <w:color w:val="231F20"/>
          <w:spacing w:val="1"/>
        </w:rPr>
        <w:t>小儿肠套叠是一种临床高发疾病，4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10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"/>
        </w:rPr>
        <w:t>个月的婴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幼儿多发，多发于春末夏初时期。相关数据显示：65%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的患儿在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岁前患病，90%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的患儿在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岁前患病，其发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病率在肠梗阻中位居第一，容易对患儿的生</w:t>
      </w:r>
      <w:r>
        <w:rPr>
          <w:color w:val="231F20"/>
          <w:spacing w:val="4"/>
        </w:rPr>
        <w:t>长发育造成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不良影响</w:t>
      </w:r>
      <w:r>
        <w:rPr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[1]</w:t>
      </w:r>
      <w:r>
        <w:rPr>
          <w:color w:val="231F20"/>
          <w:spacing w:val="3"/>
        </w:rPr>
        <w:t>。该疾病常见于人体回盲部，其发病机制复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杂，患病因素与肠蠕动紊乱、饮食改变、病毒感</w:t>
      </w:r>
      <w:r>
        <w:rPr>
          <w:color w:val="231F20"/>
          <w:spacing w:val="4"/>
        </w:rPr>
        <w:t>染、遗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传因素等存在密切的关联，容易引发肠内容物通过障碍，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使患者出现呕吐、脱水、电解质紊乱、嗜睡等症</w:t>
      </w:r>
      <w:r>
        <w:rPr>
          <w:color w:val="231F20"/>
          <w:spacing w:val="4"/>
        </w:rPr>
        <w:t>状，严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重降低其生存质量。医护人员可通过患者的临床表现、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腹部超声或空气灌肠等方式进行疾病诊断，后结合其实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际情况采取个性化治疗</w:t>
      </w:r>
      <w:r>
        <w:rPr>
          <w:color w:val="231F20"/>
          <w:spacing w:val="-8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[2]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1"/>
        </w:rPr>
        <w:t>。血便属于小儿肠套叠的典型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症状，其主要发生在患者起病后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4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12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内，但部分患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者容易因血液积蓄肠腔，从而未出现血便。若患者未出 </w:t>
      </w:r>
      <w:r>
        <w:rPr>
          <w:color w:val="231F20"/>
          <w:spacing w:val="-3"/>
        </w:rPr>
        <w:t>现血便或腹部包块等典型症状，容易增加临床诊断难度，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因此存在一定的漏诊、误诊风险</w:t>
      </w:r>
      <w:r>
        <w:rPr>
          <w:color w:val="231F20"/>
          <w:spacing w:val="-4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[3]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9"/>
        </w:rPr>
        <w:t>。在我国经济发展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的带动下，超声诊断仪也得到广泛的普及，超声诊断应 </w:t>
      </w:r>
      <w:r>
        <w:rPr>
          <w:color w:val="231F20"/>
          <w:spacing w:val="4"/>
        </w:rPr>
        <w:t>用率也得到明显的提升，可有效应用于小儿肠套叠的诊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断中。为探讨腹部超声在小儿肠套叠中的应用价值，以 </w:t>
      </w:r>
      <w:r>
        <w:rPr>
          <w:color w:val="231F20"/>
          <w:spacing w:val="3"/>
        </w:rPr>
        <w:t>六盘水市妇幼保健院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2023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月—2024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月</w:t>
      </w:r>
      <w:r>
        <w:rPr>
          <w:color w:val="231F20"/>
          <w:spacing w:val="2"/>
        </w:rPr>
        <w:t>收治的</w:t>
      </w:r>
    </w:p>
    <w:p>
      <w:pPr>
        <w:pStyle w:val="BodyText"/>
        <w:ind w:left="605" w:right="253"/>
        <w:spacing w:before="1" w:line="248" w:lineRule="auto"/>
        <w:rPr/>
      </w:pPr>
      <w:r>
        <w:rPr>
          <w:color w:val="231F20"/>
          <w:spacing w:val="2"/>
        </w:rPr>
        <w:t>82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例小儿肠套叠患儿为例，为小儿肠套叠的诊断、治疗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提供有力依据，现报道如下。</w:t>
      </w:r>
    </w:p>
    <w:p>
      <w:pPr>
        <w:ind w:left="614"/>
        <w:spacing w:before="63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1015"/>
        <w:spacing w:before="61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605" w:right="243" w:firstLine="395"/>
        <w:spacing w:before="61" w:line="277" w:lineRule="auto"/>
        <w:rPr/>
      </w:pPr>
      <w:r>
        <w:rPr>
          <w:color w:val="231F20"/>
          <w:spacing w:val="-3"/>
        </w:rPr>
        <w:t>选取六盘水市妇幼保健院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2023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月—2024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月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收治的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82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例小儿肠套叠患儿，其中男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61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例，女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21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例；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年龄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0.4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～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5.0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岁，平均（1.78±0.46）岁；患</w:t>
      </w:r>
      <w:r>
        <w:rPr>
          <w:color w:val="231F20"/>
          <w:spacing w:val="1"/>
        </w:rPr>
        <w:t>儿均出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9" w:firstLine="2"/>
        <w:spacing w:before="38" w:line="277" w:lineRule="auto"/>
        <w:jc w:val="both"/>
        <w:rPr/>
      </w:pPr>
      <w:r>
        <w:rPr>
          <w:color w:val="231F20"/>
          <w:spacing w:val="6"/>
        </w:rPr>
        <w:t>现呕吐、脱水、电解质紊乱、嗜睡等症状，其中 57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出现腹部包块，25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例出现果酱样血便；55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例患儿在发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24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h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color w:val="231F20"/>
          <w:spacing w:val="3"/>
        </w:rPr>
        <w:t>内入</w:t>
      </w:r>
      <w:r>
        <w:rPr>
          <w:color w:val="231F20"/>
          <w:spacing w:val="-59"/>
        </w:rPr>
        <w:t xml:space="preserve"> </w:t>
      </w:r>
      <w:r>
        <w:rPr>
          <w:color w:val="231F20"/>
          <w:spacing w:val="3"/>
        </w:rPr>
        <w:t>院进行治疗，27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例患儿在发病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24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h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4"/>
        </w:rPr>
        <w:t>内入院进行治疗。本研究符合《赫尔辛基宣言》中的伦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理准则。</w:t>
      </w:r>
    </w:p>
    <w:p>
      <w:pPr>
        <w:pStyle w:val="BodyText"/>
        <w:ind w:left="416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right="60" w:firstLine="401"/>
        <w:spacing w:before="60" w:line="277" w:lineRule="auto"/>
        <w:rPr/>
      </w:pPr>
      <w:r>
        <w:rPr>
          <w:color w:val="231F20"/>
          <w:spacing w:val="-1"/>
        </w:rPr>
        <w:t>腹部超声检查：在患儿入院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24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内实施检查，采用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DC</w:t>
      </w:r>
      <w:r>
        <w:rPr>
          <w:color w:val="231F20"/>
          <w:spacing w:val="5"/>
        </w:rPr>
        <w:t>-8</w:t>
      </w:r>
      <w:r>
        <w:rPr>
          <w:rFonts w:ascii="Times New Roman" w:hAnsi="Times New Roman" w:eastAsia="Times New Roman" w:cs="Times New Roman"/>
          <w:color w:val="231F20"/>
        </w:rPr>
        <w:t>pro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全数字彩色多普勒超声诊断系统。医护人员需 </w:t>
      </w:r>
      <w:r>
        <w:rPr>
          <w:color w:val="231F20"/>
          <w:spacing w:val="5"/>
        </w:rPr>
        <w:t>在患儿情绪稳定的状态下进行检查，必要时由家属轻轻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安抚患儿，缓解其恐惧不安等心理，避免其在哭闹状态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下降低检查配合度。指导患儿采取仰卧位配合检查，可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在其腹部检查区域适量涂抹特殊凝胶，便于更好地显示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检查图像。利用低频探头对其进行全腹扫查，密切观察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患儿的肝、脾等超声表现，详细检查患儿是否出现实质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脏器病变。仔细观察其腹部肠管，详细记录肠管扩张程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度，查看是否出现腹部包块等等。若患儿出现腹部包块，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医护人员还需详细记录包块的大小、特点等信息。利用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高频探头检测包块内部结构情况，详细记录肠壁厚度、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腹腔积液等情况。检查完毕后患儿可在休息室内等待约</w:t>
      </w:r>
    </w:p>
    <w:p>
      <w:pPr>
        <w:pStyle w:val="BodyText"/>
        <w:ind w:left="5" w:right="68" w:firstLine="3"/>
        <w:spacing w:line="248" w:lineRule="auto"/>
        <w:rPr/>
      </w:pPr>
      <w:r>
        <w:rPr>
          <w:color w:val="231F20"/>
          <w:spacing w:val="6"/>
        </w:rPr>
        <w:t>30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color w:val="231F20"/>
          <w:spacing w:val="6"/>
        </w:rPr>
        <w:t>，根据计算机生成的图像检查患儿腹部区域实际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情况，后进行疾病诊断。</w:t>
      </w:r>
    </w:p>
    <w:p>
      <w:pPr>
        <w:pStyle w:val="BodyText"/>
        <w:ind w:left="416"/>
        <w:spacing w:before="62" w:line="220" w:lineRule="auto"/>
        <w:rPr/>
      </w:pPr>
      <w:r>
        <w:rPr>
          <w:color w:val="231F20"/>
          <w:spacing w:val="-3"/>
        </w:rPr>
        <w:t>1.3 超声诊断标准</w:t>
      </w:r>
    </w:p>
    <w:p>
      <w:pPr>
        <w:pStyle w:val="BodyText"/>
        <w:ind w:left="3" w:right="70" w:firstLine="403"/>
        <w:spacing w:before="61" w:line="275" w:lineRule="auto"/>
        <w:jc w:val="both"/>
        <w:rPr/>
      </w:pPr>
      <w:r>
        <w:rPr>
          <w:color w:val="231F20"/>
        </w:rPr>
        <w:t>（1）详细观察患儿的肠管横轴切面是否呈现出“靶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环征”或“同心圆征”</w:t>
      </w:r>
      <w:r>
        <w:rPr>
          <w:color w:val="231F20"/>
          <w:spacing w:val="-7"/>
        </w:rPr>
        <w:t>；（</w:t>
      </w:r>
      <w:r>
        <w:rPr>
          <w:color w:val="231F20"/>
          <w:spacing w:val="1"/>
        </w:rPr>
        <w:t>2）详细观察患儿的肠管纵轴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切面是否呈现出“套管征”或“假肾征”</w:t>
      </w:r>
      <w:r>
        <w:rPr>
          <w:sz w:val="11"/>
          <w:szCs w:val="11"/>
          <w:color w:val="231F20"/>
          <w:spacing w:val="2"/>
          <w:position w:val="9"/>
        </w:rPr>
        <w:t>[4]</w:t>
      </w:r>
      <w:r>
        <w:rPr>
          <w:color w:val="231F20"/>
          <w:spacing w:val="-1"/>
        </w:rPr>
        <w:t>；（</w:t>
      </w:r>
      <w:r>
        <w:rPr>
          <w:color w:val="231F20"/>
          <w:spacing w:val="2"/>
        </w:rPr>
        <w:t>3）检查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患儿是否伴发腹腔淋巴结肿大，查看其是否出现腹腔积</w:t>
      </w:r>
    </w:p>
    <w:p>
      <w:pPr>
        <w:spacing w:line="275" w:lineRule="auto"/>
        <w:sectPr>
          <w:type w:val="continuous"/>
          <w:pgSz w:w="12246" w:h="16498"/>
          <w:pgMar w:top="1207" w:right="960" w:bottom="0" w:left="424" w:header="827" w:footer="0" w:gutter="0"/>
          <w:cols w:equalWidth="0" w:num="2">
            <w:col w:w="5773" w:space="100"/>
            <w:col w:w="4990" w:space="0"/>
          </w:cols>
        </w:sectPr>
        <w:rPr/>
      </w:pPr>
    </w:p>
    <w:p>
      <w:pPr>
        <w:ind w:left="606"/>
        <w:spacing w:before="176" w:line="23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-3"/>
        </w:rPr>
        <w:t>94</w:t>
      </w:r>
    </w:p>
    <w:p>
      <w:pPr>
        <w:spacing w:line="232" w:lineRule="auto"/>
        <w:sectPr>
          <w:type w:val="continuous"/>
          <w:pgSz w:w="12246" w:h="16498"/>
          <w:pgMar w:top="1207" w:right="960" w:bottom="0" w:left="424" w:header="827" w:footer="0" w:gutter="0"/>
          <w:cols w:equalWidth="0" w:num="1">
            <w:col w:w="10862" w:space="0"/>
          </w:cols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4"/>
          <w:footerReference w:type="default" r:id="rId5"/>
          <w:pgSz w:w="12246" w:h="16498"/>
          <w:pgMar w:top="1208" w:right="949" w:bottom="868" w:left="424" w:header="826" w:footer="526" w:gutter="0"/>
          <w:cols w:equalWidth="0" w:num="1">
            <w:col w:w="10873" w:space="0"/>
          </w:cols>
        </w:sectPr>
        <w:rPr/>
      </w:pPr>
    </w:p>
    <w:p>
      <w:pPr>
        <w:pStyle w:val="BodyText"/>
        <w:ind w:left="611" w:right="269" w:hanging="6"/>
        <w:spacing w:before="39" w:line="266" w:lineRule="auto"/>
        <w:rPr/>
      </w:pPr>
      <w:r>
        <w:rPr>
          <w:color w:val="231F20"/>
          <w:spacing w:val="1"/>
        </w:rPr>
        <w:t>液</w:t>
      </w:r>
      <w:r>
        <w:rPr>
          <w:color w:val="231F20"/>
          <w:spacing w:val="-15"/>
        </w:rPr>
        <w:t>；（</w:t>
      </w:r>
      <w:r>
        <w:rPr>
          <w:color w:val="231F20"/>
          <w:spacing w:val="1"/>
        </w:rPr>
        <w:t>4）观察患儿是否出现呕吐、脱水、电解质紊</w:t>
      </w:r>
      <w:r>
        <w:rPr>
          <w:color w:val="231F20"/>
        </w:rPr>
        <w:t>乱、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嗜睡等临床表现，检查其是否出现腹部包块、血便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[5]</w:t>
      </w:r>
      <w:r>
        <w:rPr>
          <w:color w:val="231F20"/>
          <w:spacing w:val="-2"/>
        </w:rPr>
        <w:t>。</w:t>
      </w:r>
    </w:p>
    <w:p>
      <w:pPr>
        <w:pStyle w:val="BodyText"/>
        <w:ind w:left="1015"/>
        <w:spacing w:before="23" w:line="219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血供分级</w:t>
      </w:r>
    </w:p>
    <w:p>
      <w:pPr>
        <w:pStyle w:val="BodyText"/>
        <w:ind w:left="602" w:right="239" w:firstLine="398"/>
        <w:spacing w:before="62" w:line="277" w:lineRule="auto"/>
        <w:rPr/>
      </w:pPr>
      <w:r>
        <w:rPr>
          <w:color w:val="231F20"/>
          <w:spacing w:val="44"/>
        </w:rPr>
        <w:t>通过彩色多普勒血流成像（</w:t>
      </w:r>
      <w:r>
        <w:rPr>
          <w:rFonts w:ascii="Times New Roman" w:hAnsi="Times New Roman" w:eastAsia="Times New Roman" w:cs="Times New Roman"/>
          <w:color w:val="231F20"/>
        </w:rPr>
        <w:t>color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Doppler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flow </w:t>
      </w:r>
      <w:r>
        <w:rPr>
          <w:rFonts w:ascii="Times New Roman" w:hAnsi="Times New Roman" w:eastAsia="Times New Roman" w:cs="Times New Roman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CDFI</w:t>
      </w:r>
      <w:r>
        <w:rPr>
          <w:color w:val="231F20"/>
          <w:spacing w:val="-1"/>
        </w:rPr>
        <w:t>）观察小儿肠套叠包块内血流状态。医护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人员需采取低速血流模式获取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CDFI</w:t>
      </w:r>
      <w:r>
        <w:rPr>
          <w:color w:val="231F20"/>
          <w:spacing w:val="9"/>
        </w:rPr>
        <w:t>，后根据其实际情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况进行分级，可分为Ⅳ级、Ⅲ级、Ⅱ级与Ⅰ级，Ⅲ级与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Ⅳ级呈现血供丰富。若患儿的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CDFI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显示其杆状血流信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号＞ 20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个则可评定为Ⅳ级；杆状血流信号为 10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5"/>
        </w:rPr>
        <w:t>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20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则可评定为Ⅲ级；杆状血流信号为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9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个则可评定为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Ⅱ级；杆状血流信号＜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个则可评定为Ⅰ级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[6-7]</w:t>
      </w:r>
      <w:r>
        <w:rPr>
          <w:color w:val="231F20"/>
          <w:spacing w:val="-2"/>
        </w:rPr>
        <w:t>。</w:t>
      </w:r>
    </w:p>
    <w:p>
      <w:pPr>
        <w:pStyle w:val="BodyText"/>
        <w:ind w:left="1015"/>
        <w:spacing w:before="1" w:line="220" w:lineRule="auto"/>
        <w:rPr/>
      </w:pPr>
      <w:r>
        <w:rPr>
          <w:color w:val="231F20"/>
          <w:spacing w:val="-5"/>
        </w:rPr>
        <w:t>1.5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604" w:right="236" w:firstLine="396"/>
        <w:spacing w:before="62" w:line="276" w:lineRule="auto"/>
        <w:rPr/>
      </w:pPr>
      <w:r>
        <w:rPr>
          <w:color w:val="231F20"/>
        </w:rPr>
        <w:t>采用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28.0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统计软件进行数据分析，</w:t>
      </w:r>
      <w:r>
        <w:rPr>
          <w:color w:val="231F20"/>
          <w:spacing w:val="-1"/>
        </w:rPr>
        <w:t>符合正态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分布的计量资料以均数 ±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x</w:t>
      </w:r>
      <w:r>
        <w:rPr>
          <w:sz w:val="11"/>
          <w:szCs w:val="11"/>
          <w:color w:val="231F20"/>
          <w:spacing w:val="-3"/>
          <w:position w:val="9"/>
        </w:rPr>
        <w:t>-</w:t>
      </w:r>
      <w:r>
        <w:rPr>
          <w:sz w:val="11"/>
          <w:szCs w:val="11"/>
          <w:color w:val="231F20"/>
          <w:spacing w:val="35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s</w:t>
      </w:r>
      <w:r>
        <w:rPr>
          <w:color w:val="231F20"/>
          <w:spacing w:val="-4"/>
        </w:rPr>
        <w:t>）表示，采用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t</w:t>
      </w:r>
      <w:r>
        <w:rPr>
          <w:rFonts w:ascii="Times New Roman" w:hAnsi="Times New Roman" w:eastAsia="Times New Roman" w:cs="Times New Roman"/>
          <w:i/>
          <w:iCs/>
          <w:color w:val="231F20"/>
        </w:rPr>
        <w:t xml:space="preserve"> </w:t>
      </w:r>
      <w:r>
        <w:rPr>
          <w:color w:val="231F20"/>
          <w:spacing w:val="4"/>
        </w:rPr>
        <w:t>检验；计数资料以频数（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n</w:t>
      </w:r>
      <w:r>
        <w:rPr>
          <w:color w:val="231F20"/>
          <w:spacing w:val="4"/>
        </w:rPr>
        <w:t>）、百分率（%）表示，采用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4"/>
        </w:rPr>
        <w:t>χ</w:t>
      </w:r>
      <w:r>
        <w:rPr>
          <w:sz w:val="11"/>
          <w:szCs w:val="11"/>
          <w:color w:val="231F20"/>
          <w:spacing w:val="-4"/>
          <w:position w:val="9"/>
        </w:rPr>
        <w:t>2 </w:t>
      </w:r>
      <w:r>
        <w:rPr>
          <w:color w:val="231F20"/>
          <w:spacing w:val="-4"/>
        </w:rPr>
        <w:t>检验。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9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表示差异有统计学意义。</w:t>
      </w:r>
    </w:p>
    <w:p>
      <w:pPr>
        <w:ind w:left="602"/>
        <w:spacing w:before="2" w:line="226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1003"/>
        <w:spacing w:before="55" w:line="220" w:lineRule="auto"/>
        <w:rPr/>
      </w:pPr>
      <w:r>
        <w:rPr>
          <w:color w:val="231F20"/>
          <w:spacing w:val="-1"/>
        </w:rPr>
        <w:t>2.1 腹部超声检查结果</w:t>
      </w:r>
    </w:p>
    <w:p>
      <w:pPr>
        <w:pStyle w:val="BodyText"/>
        <w:ind w:left="604" w:right="249" w:firstLine="396"/>
        <w:spacing w:before="62" w:line="277" w:lineRule="auto"/>
        <w:rPr/>
      </w:pPr>
      <w:r>
        <w:rPr>
          <w:color w:val="231F20"/>
          <w:spacing w:val="-1"/>
        </w:rPr>
        <w:t>腹部超声检查显示，有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75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例（91.46%）患儿被确诊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为小儿肠套叠，5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例（6.10%）患儿被判断为疑似诊断，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例（2.44%）患儿因临床表现模糊、无经典病症等因素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被漏诊。在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75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例确诊患儿中，包块的形态较为规则且呈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现为 “同心圆征”与“套管征”。</w:t>
      </w:r>
    </w:p>
    <w:p>
      <w:pPr>
        <w:pStyle w:val="BodyText"/>
        <w:ind w:left="1003"/>
        <w:spacing w:line="219" w:lineRule="auto"/>
        <w:rPr/>
      </w:pPr>
      <w:r>
        <w:rPr>
          <w:color w:val="231F20"/>
          <w:spacing w:val="-1"/>
        </w:rPr>
        <w:t>2.2 肠坏死组与非肠坏死组患儿的血运情况对比</w:t>
      </w:r>
    </w:p>
    <w:p>
      <w:pPr>
        <w:pStyle w:val="BodyText"/>
        <w:ind w:left="604" w:right="240" w:firstLine="396"/>
        <w:spacing w:before="59" w:line="278" w:lineRule="auto"/>
        <w:rPr/>
      </w:pPr>
      <w:r>
        <w:rPr>
          <w:color w:val="231F20"/>
        </w:rPr>
        <w:t>根据手术治疗结果表示有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36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例患儿出现肠</w:t>
      </w:r>
      <w:r>
        <w:rPr>
          <w:color w:val="231F20"/>
          <w:spacing w:val="-1"/>
        </w:rPr>
        <w:t>坏死（肠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坏死组</w:t>
      </w:r>
      <w:r>
        <w:rPr>
          <w:color w:val="231F20"/>
          <w:spacing w:val="4"/>
        </w:rPr>
        <w:t>），</w:t>
      </w:r>
      <w:r>
        <w:rPr>
          <w:color w:val="231F20"/>
          <w:spacing w:val="2"/>
        </w:rPr>
        <w:t>46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例患儿为非肠坏死（非肠坏死组）。</w:t>
      </w:r>
      <w:r>
        <w:rPr>
          <w:color w:val="231F20"/>
          <w:spacing w:val="1"/>
        </w:rPr>
        <w:t>肠坏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死组的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CDFI </w:t>
      </w:r>
      <w:r>
        <w:rPr>
          <w:color w:val="231F20"/>
          <w:spacing w:val="-8"/>
        </w:rPr>
        <w:t>分级为Ⅲ级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例，</w:t>
      </w:r>
      <w:r>
        <w:rPr>
          <w:color w:val="231F20"/>
          <w:spacing w:val="-63"/>
        </w:rPr>
        <w:t xml:space="preserve"> </w:t>
      </w:r>
      <w:r>
        <w:rPr>
          <w:color w:val="231F20"/>
          <w:spacing w:val="-8"/>
        </w:rPr>
        <w:t>Ⅱ级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16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例，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Ⅰ级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19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血供丰富占有率为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2.78%；非肠坏死组的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CDFI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分级为</w:t>
      </w:r>
      <w:r>
        <w:rPr>
          <w:color w:val="231F20"/>
        </w:rPr>
        <w:t xml:space="preserve"> </w:t>
      </w:r>
      <w:r>
        <w:rPr>
          <w:color w:val="231F20"/>
        </w:rPr>
        <w:t>Ⅳ级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17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例，Ⅲ级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27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例，Ⅱ级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例，血供丰富占有率为 </w:t>
      </w:r>
      <w:r>
        <w:rPr>
          <w:color w:val="231F20"/>
          <w:spacing w:val="4"/>
        </w:rPr>
        <w:t>95.65%。肠坏死组与非肠坏死组患儿的血运情况比较，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0.05）。见表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1。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1491"/>
        <w:spacing w:before="52" w:line="22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肠坏死组与非肠坏死组的血运情况对比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单位：例</w:t>
      </w:r>
    </w:p>
    <w:p>
      <w:pPr>
        <w:spacing w:line="45" w:lineRule="exact"/>
        <w:rPr/>
      </w:pPr>
      <w:r/>
    </w:p>
    <w:tbl>
      <w:tblPr>
        <w:tblStyle w:val="TableNormal"/>
        <w:tblW w:w="4943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3"/>
        <w:gridCol w:w="687"/>
        <w:gridCol w:w="732"/>
        <w:gridCol w:w="783"/>
        <w:gridCol w:w="723"/>
        <w:gridCol w:w="835"/>
      </w:tblGrid>
      <w:tr>
        <w:trPr>
          <w:trHeight w:val="252" w:hRule="atLeast"/>
        </w:trPr>
        <w:tc>
          <w:tcPr>
            <w:tcW w:w="118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443"/>
              <w:spacing w:before="174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68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93"/>
              <w:spacing w:before="173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3073" w:type="dxa"/>
            <w:vAlign w:val="top"/>
            <w:gridSpan w:val="4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80"/>
              <w:spacing w:before="45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CDFI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定量</w:t>
            </w:r>
          </w:p>
        </w:tc>
      </w:tr>
      <w:tr>
        <w:trPr>
          <w:trHeight w:val="245" w:hRule="atLeast"/>
        </w:trPr>
        <w:tc>
          <w:tcPr>
            <w:tcW w:w="118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7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1"/>
              <w:spacing w:before="39" w:line="222" w:lineRule="auto"/>
              <w:rPr/>
            </w:pPr>
            <w:r>
              <w:rPr>
                <w:color w:val="231F20"/>
                <w:spacing w:val="-15"/>
              </w:rPr>
              <w:t>Ⅰ级</w:t>
            </w:r>
          </w:p>
        </w:tc>
        <w:tc>
          <w:tcPr>
            <w:tcW w:w="78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9"/>
              <w:spacing w:before="39" w:line="222" w:lineRule="auto"/>
              <w:rPr/>
            </w:pPr>
            <w:r>
              <w:rPr>
                <w:color w:val="231F20"/>
                <w:spacing w:val="-9"/>
              </w:rPr>
              <w:t>Ⅱ级</w:t>
            </w:r>
          </w:p>
        </w:tc>
        <w:tc>
          <w:tcPr>
            <w:tcW w:w="7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6"/>
              <w:spacing w:before="39" w:line="222" w:lineRule="auto"/>
              <w:rPr/>
            </w:pPr>
            <w:r>
              <w:rPr>
                <w:color w:val="231F20"/>
                <w:spacing w:val="-2"/>
              </w:rPr>
              <w:t>Ⅲ级</w:t>
            </w:r>
          </w:p>
        </w:tc>
        <w:tc>
          <w:tcPr>
            <w:tcW w:w="83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2"/>
              <w:spacing w:before="39" w:line="222" w:lineRule="auto"/>
              <w:rPr/>
            </w:pPr>
            <w:r>
              <w:rPr>
                <w:color w:val="231F20"/>
                <w:spacing w:val="-4"/>
              </w:rPr>
              <w:t>Ⅳ级</w:t>
            </w:r>
          </w:p>
        </w:tc>
      </w:tr>
      <w:tr>
        <w:trPr>
          <w:trHeight w:val="244" w:hRule="atLeast"/>
        </w:trPr>
        <w:tc>
          <w:tcPr>
            <w:tcW w:w="118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0"/>
              <w:spacing w:before="42" w:line="220" w:lineRule="auto"/>
              <w:rPr/>
            </w:pPr>
            <w:r>
              <w:rPr>
                <w:color w:val="231F20"/>
                <w:spacing w:val="-2"/>
              </w:rPr>
              <w:t>肠坏死组</w:t>
            </w:r>
          </w:p>
        </w:tc>
        <w:tc>
          <w:tcPr>
            <w:tcW w:w="68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77"/>
              <w:spacing w:before="41" w:line="222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  <w:tc>
          <w:tcPr>
            <w:tcW w:w="73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01"/>
              <w:spacing w:before="41" w:line="222" w:lineRule="auto"/>
              <w:rPr/>
            </w:pPr>
            <w:r>
              <w:rPr>
                <w:color w:val="231F20"/>
                <w:spacing w:val="-5"/>
              </w:rPr>
              <w:t>19</w:t>
            </w:r>
          </w:p>
        </w:tc>
        <w:tc>
          <w:tcPr>
            <w:tcW w:w="78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4"/>
              <w:spacing w:before="41" w:line="222" w:lineRule="auto"/>
              <w:rPr/>
            </w:pPr>
            <w:r>
              <w:rPr>
                <w:color w:val="231F20"/>
                <w:spacing w:val="-5"/>
              </w:rPr>
              <w:t>16</w:t>
            </w:r>
          </w:p>
        </w:tc>
        <w:tc>
          <w:tcPr>
            <w:tcW w:w="72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29"/>
              <w:spacing w:before="41" w:line="222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83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17"/>
              <w:spacing w:before="41" w:line="222" w:lineRule="auto"/>
              <w:rPr/>
            </w:pPr>
            <w:r>
              <w:rPr>
                <w:color w:val="231F20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1183" w:type="dxa"/>
            <w:vAlign w:val="top"/>
          </w:tcPr>
          <w:p>
            <w:pPr>
              <w:pStyle w:val="TableText"/>
              <w:ind w:left="204"/>
              <w:spacing w:before="54" w:line="214" w:lineRule="auto"/>
              <w:rPr/>
            </w:pPr>
            <w:r>
              <w:rPr>
                <w:color w:val="231F20"/>
                <w:spacing w:val="-2"/>
              </w:rPr>
              <w:t>非肠坏死组</w:t>
            </w:r>
          </w:p>
        </w:tc>
        <w:tc>
          <w:tcPr>
            <w:tcW w:w="687" w:type="dxa"/>
            <w:vAlign w:val="top"/>
          </w:tcPr>
          <w:p>
            <w:pPr>
              <w:pStyle w:val="TableText"/>
              <w:ind w:left="273"/>
              <w:spacing w:before="54" w:line="214" w:lineRule="auto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371"/>
              <w:spacing w:before="54" w:line="214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354"/>
              <w:spacing w:before="54" w:line="214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39"/>
              <w:spacing w:before="54" w:line="214" w:lineRule="auto"/>
              <w:rPr/>
            </w:pPr>
            <w:r>
              <w:rPr>
                <w:color w:val="231F20"/>
                <w:spacing w:val="-3"/>
              </w:rPr>
              <w:t>27</w:t>
            </w:r>
          </w:p>
        </w:tc>
        <w:tc>
          <w:tcPr>
            <w:tcW w:w="835" w:type="dxa"/>
            <w:vAlign w:val="top"/>
          </w:tcPr>
          <w:p>
            <w:pPr>
              <w:pStyle w:val="TableText"/>
              <w:ind w:left="348"/>
              <w:spacing w:before="54" w:line="214" w:lineRule="auto"/>
              <w:rPr/>
            </w:pPr>
            <w:r>
              <w:rPr>
                <w:color w:val="231F20"/>
                <w:spacing w:val="-5"/>
              </w:rPr>
              <w:t>17</w:t>
            </w:r>
          </w:p>
        </w:tc>
      </w:tr>
      <w:tr>
        <w:trPr>
          <w:trHeight w:val="262" w:hRule="atLeast"/>
        </w:trPr>
        <w:tc>
          <w:tcPr>
            <w:tcW w:w="1183" w:type="dxa"/>
            <w:vAlign w:val="top"/>
          </w:tcPr>
          <w:p>
            <w:pPr>
              <w:pStyle w:val="TableText"/>
              <w:ind w:left="535"/>
              <w:spacing w:before="41" w:line="211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6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3" w:type="dxa"/>
            <w:vAlign w:val="top"/>
          </w:tcPr>
          <w:p>
            <w:pPr>
              <w:pStyle w:val="TableText"/>
              <w:spacing w:before="61" w:line="220" w:lineRule="auto"/>
              <w:jc w:val="right"/>
              <w:rPr/>
            </w:pPr>
            <w:r>
              <w:rPr>
                <w:color w:val="231F20"/>
                <w:spacing w:val="-11"/>
              </w:rPr>
              <w:t>54.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31"/>
              <w:spacing w:before="61" w:line="220" w:lineRule="auto"/>
              <w:rPr/>
            </w:pPr>
            <w:r>
              <w:rPr>
                <w:color w:val="231F20"/>
                <w:spacing w:val="-3"/>
              </w:rPr>
              <w:t>370</w:t>
            </w:r>
          </w:p>
        </w:tc>
        <w:tc>
          <w:tcPr>
            <w:tcW w:w="8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1183" w:type="dxa"/>
            <w:vAlign w:val="top"/>
            <w:tcBorders>
              <w:bottom w:val="single" w:color="231F20" w:sz="4" w:space="0"/>
            </w:tcBorders>
          </w:tcPr>
          <w:p>
            <w:pPr>
              <w:ind w:left="544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68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56" w:line="225" w:lineRule="auto"/>
              <w:jc w:val="right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5"/>
              </w:rPr>
              <w:t>0.</w:t>
            </w:r>
          </w:p>
        </w:tc>
        <w:tc>
          <w:tcPr>
            <w:tcW w:w="7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"/>
              <w:spacing w:before="56" w:line="225" w:lineRule="auto"/>
              <w:rPr/>
            </w:pPr>
            <w:r>
              <w:rPr>
                <w:color w:val="231F20"/>
                <w:spacing w:val="-2"/>
              </w:rPr>
              <w:t>001</w:t>
            </w:r>
          </w:p>
        </w:tc>
        <w:tc>
          <w:tcPr>
            <w:tcW w:w="83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603" w:right="240" w:firstLine="400"/>
        <w:spacing w:before="66" w:line="277" w:lineRule="auto"/>
        <w:rPr/>
      </w:pPr>
      <w:r>
        <w:rPr>
          <w:color w:val="231F20"/>
          <w:spacing w:val="11"/>
        </w:rPr>
        <w:t>2.3</w:t>
      </w:r>
      <w:r>
        <w:rPr>
          <w:color w:val="231F20"/>
          <w:spacing w:val="81"/>
        </w:rPr>
        <w:t xml:space="preserve"> </w:t>
      </w:r>
      <w:r>
        <w:rPr>
          <w:color w:val="231F20"/>
          <w:spacing w:val="11"/>
        </w:rPr>
        <w:t>肠坏死组与非肠坏死组套叠肠管间积液情况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对比</w:t>
      </w:r>
    </w:p>
    <w:p>
      <w:pPr>
        <w:pStyle w:val="BodyText"/>
        <w:ind w:left="604" w:right="251" w:firstLine="396"/>
        <w:spacing w:before="2" w:line="258" w:lineRule="auto"/>
        <w:rPr/>
      </w:pPr>
      <w:r>
        <w:rPr>
          <w:color w:val="231F20"/>
          <w:spacing w:val="8"/>
        </w:rPr>
        <w:t>肠坏死组中套叠肠管间积液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8"/>
        </w:rPr>
        <w:t>34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8"/>
        </w:rPr>
        <w:t>例，无套叠肠</w:t>
      </w:r>
      <w:r>
        <w:rPr>
          <w:color w:val="231F20"/>
          <w:spacing w:val="7"/>
        </w:rPr>
        <w:t>管间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积液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例；非肠坏死组中套叠肠管间积液 15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例，无套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叠肠管间积液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31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例。肠坏死组与非肠坏死组套叠肠管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间积液情况比较，差异有统计学意义（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1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10"/>
        </w:rPr>
        <w:t>＜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0</w:t>
      </w:r>
      <w:r>
        <w:rPr>
          <w:color w:val="231F20"/>
          <w:spacing w:val="9"/>
        </w:rPr>
        <w:t>.05）。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见表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2。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4"/>
        <w:spacing w:before="58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肠坏死组与非肠坏死组套叠肠管间积液情况对比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（%）]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7"/>
        <w:gridCol w:w="700"/>
        <w:gridCol w:w="1305"/>
        <w:gridCol w:w="1680"/>
      </w:tblGrid>
      <w:tr>
        <w:trPr>
          <w:trHeight w:val="252" w:hRule="atLeast"/>
        </w:trPr>
        <w:tc>
          <w:tcPr>
            <w:tcW w:w="124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64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7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6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3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7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套叠肠管间积液</w:t>
            </w:r>
          </w:p>
        </w:tc>
        <w:tc>
          <w:tcPr>
            <w:tcW w:w="16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8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无套叠肠管间积液</w:t>
            </w:r>
          </w:p>
        </w:tc>
      </w:tr>
      <w:tr>
        <w:trPr>
          <w:trHeight w:val="244" w:hRule="atLeast"/>
        </w:trPr>
        <w:tc>
          <w:tcPr>
            <w:tcW w:w="124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02"/>
              <w:spacing w:before="40" w:line="220" w:lineRule="auto"/>
              <w:rPr/>
            </w:pPr>
            <w:r>
              <w:rPr>
                <w:color w:val="231F20"/>
                <w:spacing w:val="-2"/>
              </w:rPr>
              <w:t>肠坏死组</w:t>
            </w:r>
          </w:p>
        </w:tc>
        <w:tc>
          <w:tcPr>
            <w:tcW w:w="70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9"/>
              <w:spacing w:before="39" w:line="224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  <w:tc>
          <w:tcPr>
            <w:tcW w:w="130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79"/>
              <w:spacing w:before="39" w:line="224" w:lineRule="auto"/>
              <w:rPr/>
            </w:pPr>
            <w:r>
              <w:rPr>
                <w:color w:val="231F20"/>
                <w:spacing w:val="-2"/>
              </w:rPr>
              <w:t>34（94.44）</w:t>
            </w:r>
          </w:p>
        </w:tc>
        <w:tc>
          <w:tcPr>
            <w:tcW w:w="168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99"/>
              <w:spacing w:before="39" w:line="224" w:lineRule="auto"/>
              <w:rPr/>
            </w:pPr>
            <w:r>
              <w:rPr>
                <w:color w:val="231F20"/>
                <w:spacing w:val="-2"/>
              </w:rPr>
              <w:t>2（5.56）</w:t>
            </w:r>
          </w:p>
        </w:tc>
      </w:tr>
      <w:tr>
        <w:trPr>
          <w:trHeight w:val="249" w:hRule="atLeast"/>
        </w:trPr>
        <w:tc>
          <w:tcPr>
            <w:tcW w:w="1247" w:type="dxa"/>
            <w:vAlign w:val="top"/>
          </w:tcPr>
          <w:p>
            <w:pPr>
              <w:pStyle w:val="TableText"/>
              <w:ind w:left="225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非肠坏死组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315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ind w:left="288"/>
              <w:spacing w:before="52" w:line="215" w:lineRule="auto"/>
              <w:rPr/>
            </w:pPr>
            <w:r>
              <w:rPr>
                <w:color w:val="231F20"/>
                <w:spacing w:val="-3"/>
              </w:rPr>
              <w:t>15（32.61）</w:t>
            </w:r>
          </w:p>
        </w:tc>
        <w:tc>
          <w:tcPr>
            <w:tcW w:w="1680" w:type="dxa"/>
            <w:vAlign w:val="top"/>
          </w:tcPr>
          <w:p>
            <w:pPr>
              <w:pStyle w:val="TableText"/>
              <w:ind w:left="420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31（67.39）</w:t>
            </w:r>
          </w:p>
        </w:tc>
      </w:tr>
      <w:tr>
        <w:trPr>
          <w:trHeight w:val="262" w:hRule="atLeast"/>
        </w:trPr>
        <w:tc>
          <w:tcPr>
            <w:tcW w:w="1247" w:type="dxa"/>
            <w:vAlign w:val="top"/>
          </w:tcPr>
          <w:p>
            <w:pPr>
              <w:pStyle w:val="TableText"/>
              <w:ind w:left="556"/>
              <w:spacing w:before="40" w:line="211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7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0" w:type="dxa"/>
            <w:vAlign w:val="top"/>
          </w:tcPr>
          <w:p>
            <w:pPr>
              <w:pStyle w:val="TableText"/>
              <w:ind w:left="44"/>
              <w:spacing w:before="60" w:line="221" w:lineRule="auto"/>
              <w:rPr/>
            </w:pPr>
            <w:r>
              <w:rPr>
                <w:color w:val="231F20"/>
                <w:spacing w:val="-2"/>
              </w:rPr>
              <w:t>7.423</w:t>
            </w:r>
          </w:p>
        </w:tc>
      </w:tr>
      <w:tr>
        <w:trPr>
          <w:trHeight w:val="260" w:hRule="atLeast"/>
        </w:trPr>
        <w:tc>
          <w:tcPr>
            <w:tcW w:w="1247" w:type="dxa"/>
            <w:vAlign w:val="top"/>
            <w:tcBorders>
              <w:bottom w:val="single" w:color="231F20" w:sz="4" w:space="0"/>
            </w:tcBorders>
          </w:tcPr>
          <w:p>
            <w:pPr>
              <w:ind w:left="565"/>
              <w:spacing w:before="8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70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0.006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65" w:line="220" w:lineRule="auto"/>
        <w:rPr/>
      </w:pPr>
      <w:r>
        <w:rPr>
          <w:color w:val="231F20"/>
          <w:spacing w:val="-1"/>
        </w:rPr>
        <w:t>2.4 肠坏死组与非肠坏死组肠壁水肿情况对比</w:t>
      </w:r>
    </w:p>
    <w:p>
      <w:pPr>
        <w:pStyle w:val="BodyText"/>
        <w:ind w:left="7" w:right="70" w:firstLine="396"/>
        <w:spacing w:before="60" w:line="278" w:lineRule="auto"/>
        <w:rPr/>
      </w:pPr>
      <w:r>
        <w:rPr>
          <w:color w:val="231F20"/>
          <w:spacing w:val="4"/>
        </w:rPr>
        <w:t>肠坏死组中肠壁水肿≥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15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者有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26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4"/>
        </w:rPr>
        <w:t>例，肠壁水</w:t>
      </w:r>
      <w:r>
        <w:rPr>
          <w:color w:val="231F20"/>
        </w:rPr>
        <w:t xml:space="preserve"> </w:t>
      </w:r>
      <w:r>
        <w:rPr>
          <w:color w:val="231F20"/>
        </w:rPr>
        <w:t>肿＜ 15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 </w:t>
      </w:r>
      <w:r>
        <w:rPr>
          <w:color w:val="231F20"/>
        </w:rPr>
        <w:t>者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10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例；非肠坏死组中肠壁水肿≥ 15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 </w:t>
      </w:r>
      <w:r>
        <w:rPr>
          <w:color w:val="231F20"/>
          <w:spacing w:val="12"/>
        </w:rPr>
        <w:t>者有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2"/>
        </w:rPr>
        <w:t>14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例，肠壁水肿＜ 15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color w:val="231F20"/>
          <w:spacing w:val="12"/>
        </w:rPr>
        <w:t>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32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例。肠坏死组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与非肠坏死组肠壁水肿情况对比，差异有统计学意义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0.05）。见表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3。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474"/>
        <w:spacing w:before="53" w:line="221" w:lineRule="auto"/>
        <w:outlineLvl w:val="3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3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肠坏死组与非肠坏死组肠壁水肿情况对比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（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%）]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5"/>
        <w:gridCol w:w="615"/>
        <w:gridCol w:w="1625"/>
        <w:gridCol w:w="1637"/>
      </w:tblGrid>
      <w:tr>
        <w:trPr>
          <w:trHeight w:val="252" w:hRule="atLeast"/>
        </w:trPr>
        <w:tc>
          <w:tcPr>
            <w:tcW w:w="10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58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6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1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62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7"/>
              <w:spacing w:before="45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肠壁水肿≥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15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mm</w:t>
            </w:r>
          </w:p>
        </w:tc>
        <w:tc>
          <w:tcPr>
            <w:tcW w:w="163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8"/>
              <w:spacing w:before="45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肠壁水肿＜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15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05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95"/>
              <w:spacing w:before="40" w:line="220" w:lineRule="auto"/>
              <w:rPr/>
            </w:pPr>
            <w:r>
              <w:rPr>
                <w:color w:val="231F20"/>
                <w:spacing w:val="-2"/>
              </w:rPr>
              <w:t>肠坏死组</w:t>
            </w:r>
          </w:p>
        </w:tc>
        <w:tc>
          <w:tcPr>
            <w:tcW w:w="61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35"/>
              <w:spacing w:before="39" w:line="224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  <w:tc>
          <w:tcPr>
            <w:tcW w:w="162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64"/>
              <w:spacing w:before="39" w:line="224" w:lineRule="auto"/>
              <w:rPr/>
            </w:pPr>
            <w:r>
              <w:rPr>
                <w:color w:val="231F20"/>
                <w:spacing w:val="-2"/>
              </w:rPr>
              <w:t>26（72.22）</w:t>
            </w:r>
          </w:p>
        </w:tc>
        <w:tc>
          <w:tcPr>
            <w:tcW w:w="163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64"/>
              <w:spacing w:before="39" w:line="224" w:lineRule="auto"/>
              <w:rPr/>
            </w:pPr>
            <w:r>
              <w:rPr>
                <w:color w:val="231F20"/>
                <w:spacing w:val="-3"/>
              </w:rPr>
              <w:t>10（27.78）</w:t>
            </w:r>
          </w:p>
        </w:tc>
      </w:tr>
      <w:tr>
        <w:trPr>
          <w:trHeight w:val="249" w:hRule="atLeast"/>
        </w:trPr>
        <w:tc>
          <w:tcPr>
            <w:tcW w:w="1055" w:type="dxa"/>
            <w:vAlign w:val="top"/>
          </w:tcPr>
          <w:p>
            <w:pPr>
              <w:pStyle w:val="TableText"/>
              <w:ind w:left="119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非肠坏死组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31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374"/>
              <w:spacing w:before="52" w:line="215" w:lineRule="auto"/>
              <w:rPr/>
            </w:pPr>
            <w:r>
              <w:rPr>
                <w:color w:val="231F20"/>
                <w:spacing w:val="-3"/>
              </w:rPr>
              <w:t>14（30.43）</w:t>
            </w:r>
          </w:p>
        </w:tc>
        <w:tc>
          <w:tcPr>
            <w:tcW w:w="1637" w:type="dxa"/>
            <w:vAlign w:val="top"/>
          </w:tcPr>
          <w:p>
            <w:pPr>
              <w:pStyle w:val="TableText"/>
              <w:ind w:left="356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32（69.57）</w:t>
            </w:r>
          </w:p>
        </w:tc>
      </w:tr>
      <w:tr>
        <w:trPr>
          <w:trHeight w:val="261" w:hRule="atLeast"/>
        </w:trPr>
        <w:tc>
          <w:tcPr>
            <w:tcW w:w="1055" w:type="dxa"/>
            <w:vAlign w:val="top"/>
          </w:tcPr>
          <w:p>
            <w:pPr>
              <w:pStyle w:val="TableText"/>
              <w:ind w:left="450"/>
              <w:spacing w:before="40" w:line="210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spacing w:before="60" w:line="220" w:lineRule="auto"/>
              <w:jc w:val="right"/>
              <w:rPr/>
            </w:pPr>
            <w:r>
              <w:rPr>
                <w:color w:val="231F20"/>
                <w:spacing w:val="-14"/>
              </w:rPr>
              <w:t>12.</w:t>
            </w:r>
          </w:p>
        </w:tc>
        <w:tc>
          <w:tcPr>
            <w:tcW w:w="1637" w:type="dxa"/>
            <w:vAlign w:val="top"/>
          </w:tcPr>
          <w:p>
            <w:pPr>
              <w:pStyle w:val="TableText"/>
              <w:ind w:left="27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491</w:t>
            </w:r>
          </w:p>
        </w:tc>
      </w:tr>
      <w:tr>
        <w:trPr>
          <w:trHeight w:val="261" w:hRule="atLeast"/>
        </w:trPr>
        <w:tc>
          <w:tcPr>
            <w:tcW w:w="1055" w:type="dxa"/>
            <w:vAlign w:val="top"/>
            <w:tcBorders>
              <w:bottom w:val="single" w:color="231F20" w:sz="4" w:space="0"/>
            </w:tcBorders>
          </w:tcPr>
          <w:p>
            <w:pPr>
              <w:ind w:left="459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61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55" w:line="225" w:lineRule="auto"/>
              <w:jc w:val="right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5"/>
              </w:rPr>
              <w:t>0.</w:t>
            </w:r>
          </w:p>
        </w:tc>
        <w:tc>
          <w:tcPr>
            <w:tcW w:w="16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001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ind w:left="7"/>
        <w:spacing w:before="65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7" w:firstLine="403"/>
        <w:spacing w:before="57" w:line="277" w:lineRule="auto"/>
        <w:rPr/>
      </w:pPr>
      <w:r>
        <w:rPr>
          <w:color w:val="231F20"/>
          <w:spacing w:val="5"/>
        </w:rPr>
        <w:t>小儿肠套叠属于小儿外科高发疾病，主要发病区域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为回盲部，其发病机制较为复杂，与肠蠕动紊乱、肠痉挛、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回盲部活动幅度过大、先天性肠管畸形等相关。该疾病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容易导致患儿出现阵发性哭吵、腹部包块、果</w:t>
      </w:r>
      <w:r>
        <w:rPr>
          <w:color w:val="231F20"/>
          <w:spacing w:val="-5"/>
        </w:rPr>
        <w:t>酱样血便、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电解质紊乱、反应迟钝等临床表现，对其身心健康造成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不良影响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[8]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。医护人员可根据患儿的临床</w:t>
      </w:r>
      <w:r>
        <w:rPr>
          <w:color w:val="231F20"/>
          <w:spacing w:val="1"/>
        </w:rPr>
        <w:t>表现将其分为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原发性与继发性。该疾病的起病速度快、危害性强，容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易使患儿在短时间内出现血液供应不足，引发</w:t>
      </w:r>
      <w:r>
        <w:rPr>
          <w:color w:val="231F20"/>
          <w:spacing w:val="4"/>
        </w:rPr>
        <w:t>明显的机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体不适，从而出现肠内容物通过障碍。因小儿肠套叠主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要发病人群为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5"/>
        </w:rPr>
        <w:t>4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5"/>
        </w:rPr>
        <w:t>～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5"/>
        </w:rPr>
        <w:t>10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5"/>
        </w:rPr>
        <w:t>个月婴幼儿，其生长发育尚未完全，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对抗疾病免疫力低下，容易受疾病影响出现休克、死亡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等现象，严重威胁其生命健康。医护人员需仔细观察患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儿的临床表现，采取影像学检查等措施进行疾病诊断，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及时寻找病因且根据肠管坏死情况采取针对性</w:t>
      </w:r>
      <w:r>
        <w:rPr>
          <w:color w:val="231F20"/>
          <w:spacing w:val="-1"/>
        </w:rPr>
        <w:t>治疗方案，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为患儿的生命健康提供保障</w:t>
      </w:r>
      <w:r>
        <w:rPr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[9]</w:t>
      </w:r>
      <w:r>
        <w:rPr>
          <w:color w:val="231F20"/>
          <w:spacing w:val="-2"/>
        </w:rPr>
        <w:t>。</w:t>
      </w:r>
    </w:p>
    <w:p>
      <w:pPr>
        <w:pStyle w:val="BodyText"/>
        <w:ind w:left="7" w:right="70" w:firstLine="396"/>
        <w:spacing w:line="269" w:lineRule="auto"/>
        <w:jc w:val="both"/>
        <w:rPr/>
      </w:pPr>
      <w:r>
        <w:rPr>
          <w:color w:val="231F20"/>
          <w:spacing w:val="5"/>
        </w:rPr>
        <w:t>超声检查在我国临床应用中具有实施效果好、诊断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效率高的优势，并且还具有操作简单、便捷等优势，有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利于及时诊断病情，检测机体健康状态。腹部包块、果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酱样血便属于小儿肠套叠的典型症状，但部</w:t>
      </w:r>
      <w:r>
        <w:rPr>
          <w:color w:val="231F20"/>
          <w:spacing w:val="4"/>
        </w:rPr>
        <w:t>分患儿受血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液积蓄肠腔等影响，可能未出现该病症，从而增加疾病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诊断难度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position w:val="9"/>
        </w:rPr>
        <w:t>[10]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</w:rPr>
        <w:t>。医护人员可对患儿采取腹部超</w:t>
      </w:r>
      <w:r>
        <w:rPr>
          <w:color w:val="231F20"/>
          <w:spacing w:val="-1"/>
        </w:rPr>
        <w:t>声检查，根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据其横轴切面、纵轴切面情况进行疾病诊断，有效判断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疾病的发展情况。本文结果显示，有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75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例患儿包块的形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态较为规则且呈现为“同心圆征”与“套管征”，被确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诊为小儿肠套叠，其诊断准确率为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91.46%。82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</w:t>
      </w:r>
      <w:r>
        <w:rPr>
          <w:color w:val="231F20"/>
          <w:spacing w:val="-1"/>
        </w:rPr>
        <w:t>患儿中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36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例出现肠坏死，46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7"/>
        </w:rPr>
        <w:t>例为非肠坏死，其血运情况、套</w:t>
      </w:r>
    </w:p>
    <w:p>
      <w:pPr>
        <w:spacing w:line="269" w:lineRule="auto"/>
        <w:sectPr>
          <w:type w:val="continuous"/>
          <w:pgSz w:w="12246" w:h="16498"/>
          <w:pgMar w:top="1208" w:right="949" w:bottom="868" w:left="424" w:header="826" w:footer="526" w:gutter="0"/>
          <w:cols w:equalWidth="0" w:num="2">
            <w:col w:w="5769" w:space="100"/>
            <w:col w:w="5004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6"/>
          <w:footerReference w:type="default" r:id="rId7"/>
          <w:pgSz w:w="12246" w:h="16498"/>
          <w:pgMar w:top="1207" w:right="970" w:bottom="868" w:left="424" w:header="827" w:footer="526" w:gutter="0"/>
          <w:cols w:equalWidth="0" w:num="1">
            <w:col w:w="10851" w:space="0"/>
          </w:cols>
        </w:sectPr>
        <w:rPr/>
      </w:pPr>
    </w:p>
    <w:p>
      <w:pPr>
        <w:pStyle w:val="BodyText"/>
        <w:ind w:left="603" w:right="183" w:firstLine="4"/>
        <w:spacing w:before="39" w:line="277" w:lineRule="auto"/>
        <w:rPr/>
      </w:pPr>
      <w:r>
        <w:rPr>
          <w:color w:val="231F20"/>
          <w:spacing w:val="5"/>
        </w:rPr>
        <w:t>叠肠管间积液情况、水肿情况比较，差异有统计学意义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2"/>
        </w:rPr>
        <w:t>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0.05）。医护人员可根据横轴切面、纵轴切面情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况进行疾病诊断，查看是否呈现出“靶环征”或“同心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圆征”“套管征”或“假肾征”，其均可成为检测疾病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特点。同时，患儿的血运情况、套叠肠管间积液情况、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水肿情况均可有效检测套叠肠管是否出现坏死，便于更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好地根据其实际情况制定针对性治疗方案，从而提高医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疗服务水平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[11]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3"/>
        </w:rPr>
        <w:t>。本文结果显示，肠坏死组患儿的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CDFI  </w:t>
      </w:r>
      <w:r>
        <w:rPr>
          <w:color w:val="231F20"/>
          <w:spacing w:val="4"/>
        </w:rPr>
        <w:t>分级Ⅰ级、Ⅱ级居多，Ⅲ级、Ⅳ级较少，其呈血供不良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状态，血供丰富占有率较低，套叠肠管间积液较多。同时，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坏死肠管组患儿的肠壁呈现高度水肿，肠壁水肿≥ </w:t>
      </w:r>
      <w:r>
        <w:rPr>
          <w:color w:val="231F20"/>
        </w:rPr>
        <w:t>15mm </w:t>
      </w:r>
      <w:r>
        <w:rPr>
          <w:color w:val="231F20"/>
          <w:spacing w:val="5"/>
        </w:rPr>
        <w:t>者占比较高。医护人员还可从肠管坏死患儿</w:t>
      </w:r>
      <w:r>
        <w:rPr>
          <w:color w:val="231F20"/>
          <w:spacing w:val="4"/>
        </w:rPr>
        <w:t>中探查到液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体回声，进一步分析其疾病发展情况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[12]</w:t>
      </w:r>
      <w:r>
        <w:rPr>
          <w:color w:val="231F20"/>
          <w:spacing w:val="-1"/>
        </w:rPr>
        <w:t>。</w:t>
      </w:r>
    </w:p>
    <w:p>
      <w:pPr>
        <w:pStyle w:val="BodyText"/>
        <w:ind w:left="602" w:right="238" w:firstLine="398"/>
        <w:spacing w:before="17" w:line="276" w:lineRule="auto"/>
        <w:rPr/>
      </w:pPr>
      <w:r>
        <w:rPr>
          <w:color w:val="231F20"/>
          <w:spacing w:val="5"/>
        </w:rPr>
        <w:t>腹部超声应用在小儿肠套叠中，并不会使患儿产生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明显的机体不适或疼痛，易于患儿接受，必要时还可采 </w:t>
      </w:r>
      <w:r>
        <w:rPr>
          <w:color w:val="231F20"/>
          <w:spacing w:val="5"/>
        </w:rPr>
        <w:t>取重复检查。但医护人员在对患儿进行检查前，可由家 </w:t>
      </w:r>
      <w:r>
        <w:rPr>
          <w:color w:val="231F20"/>
          <w:spacing w:val="5"/>
        </w:rPr>
        <w:t>属安抚患儿的情绪，使其保持平静的状态更好</w:t>
      </w:r>
      <w:r>
        <w:rPr>
          <w:color w:val="231F20"/>
          <w:spacing w:val="4"/>
        </w:rPr>
        <w:t>地配合检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查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[13]</w:t>
      </w:r>
      <w:r>
        <w:rPr>
          <w:color w:val="231F20"/>
          <w:spacing w:val="1"/>
        </w:rPr>
        <w:t>。若患儿出现哭闹、情绪不稳定等现象，容</w:t>
      </w:r>
      <w:r>
        <w:rPr>
          <w:color w:val="231F20"/>
        </w:rPr>
        <w:t>易导致 </w:t>
      </w:r>
      <w:r>
        <w:rPr>
          <w:color w:val="231F20"/>
          <w:spacing w:val="4"/>
        </w:rPr>
        <w:t>腹腔内气体量过多，增高漏诊、误诊发生率。在小儿肠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套叠诊断中，若判断患儿为疑似诊断，应当密切观察其 </w:t>
      </w:r>
      <w:r>
        <w:rPr>
          <w:color w:val="231F20"/>
          <w:spacing w:val="4"/>
        </w:rPr>
        <w:t>临床表现，必要时可采取重复检查，预防出现漏诊、误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诊。随着腹部超声的进步与发展，其现已成为小儿肠套 </w:t>
      </w:r>
      <w:r>
        <w:rPr>
          <w:color w:val="231F20"/>
          <w:spacing w:val="5"/>
        </w:rPr>
        <w:t>叠的常见诊断技术，其图像可清晰显示患者腹腔情况， </w:t>
      </w:r>
      <w:r>
        <w:rPr>
          <w:color w:val="231F20"/>
          <w:spacing w:val="5"/>
        </w:rPr>
        <w:t>并且还具有特征显著、边缘规则的特点，有利于更好地 </w:t>
      </w:r>
      <w:r>
        <w:rPr>
          <w:color w:val="231F20"/>
          <w:spacing w:val="-1"/>
        </w:rPr>
        <w:t>进行疾病诊断，为后续的治疗方案提供有利依据 </w:t>
      </w:r>
      <w:r>
        <w:rPr>
          <w:sz w:val="11"/>
          <w:szCs w:val="11"/>
          <w:color w:val="231F20"/>
          <w:spacing w:val="-1"/>
          <w:position w:val="9"/>
        </w:rPr>
        <w:t>[14]</w:t>
      </w:r>
      <w:r>
        <w:rPr>
          <w:color w:val="231F20"/>
          <w:spacing w:val="-1"/>
        </w:rPr>
        <w:t>。同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时，其横轴切面、纵轴切面表现特点显著，可</w:t>
      </w:r>
      <w:r>
        <w:rPr>
          <w:color w:val="231F20"/>
          <w:spacing w:val="4"/>
        </w:rPr>
        <w:t>有效判断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肠套叠类型。在患儿患病早期，其组织水肿轻</w:t>
      </w:r>
      <w:r>
        <w:rPr>
          <w:color w:val="231F20"/>
          <w:spacing w:val="4"/>
        </w:rPr>
        <w:t>微，血流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动力学影响较小，并且临床表现较轻，不易引起重视。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但随着病情的发展，组织间压力增大，出现明显的水肿，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引发肠壁肌肉痉挛，产生血液循环受阻</w:t>
      </w:r>
      <w:r>
        <w:rPr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[15]</w:t>
      </w:r>
      <w:r>
        <w:rPr>
          <w:color w:val="231F20"/>
          <w:spacing w:val="-1"/>
        </w:rPr>
        <w:t>。</w:t>
      </w:r>
    </w:p>
    <w:p>
      <w:pPr>
        <w:pStyle w:val="BodyText"/>
        <w:ind w:left="603" w:right="183" w:firstLine="400"/>
        <w:spacing w:before="4" w:line="276" w:lineRule="auto"/>
        <w:jc w:val="both"/>
        <w:rPr/>
      </w:pPr>
      <w:r>
        <w:pict>
          <v:shape id="_x0000_s14" style="position:absolute;margin-left:30.0751pt;margin-top:68.7701pt;mso-position-vertical-relative:text;mso-position-horizontal-relative:text;width:510.25pt;height:0.5pt;z-index:251660288;" filled="false" strokecolor="#231F20" strokeweight="0.50pt" coordsize="10205,10" coordorigin="0,0" path="m0,5l10204,5e">
            <v:stroke joinstyle="miter" miterlimit="4"/>
          </v:shape>
        </w:pict>
      </w:r>
      <w:r>
        <w:rPr>
          <w:color w:val="231F20"/>
          <w:spacing w:val="5"/>
        </w:rPr>
        <w:t>综上所述，腹部超声在小儿肠套叠应用中可满足其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病理诊断要求，具有专属性佳、效率高、安全便捷的优势，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可帮助医师进一步了解患儿的腹腔情况，掌</w:t>
      </w:r>
      <w:r>
        <w:rPr>
          <w:color w:val="231F20"/>
          <w:spacing w:val="4"/>
        </w:rPr>
        <w:t>握其病情发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展情况，为其诊断、治疗提供有利依据，值得应用。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343" w:right="48" w:hanging="302"/>
        <w:spacing w:before="60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5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陈燕玲，谢丽玲，黄日林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腹部超声结合浅表超声对小儿肠套叠的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诊断作用分析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影像研究与医学应用，2024，8(2):169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-171.</w:t>
      </w:r>
    </w:p>
    <w:p>
      <w:pPr>
        <w:ind w:left="41"/>
        <w:spacing w:before="116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韩美兰，陈倩妮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腹部超声检查对小儿肠套叠的诊断效果分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析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</w:p>
    <w:p>
      <w:pPr>
        <w:ind w:left="345"/>
        <w:spacing w:before="116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现代医用影像学，2023，32(6):1178-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1181.</w:t>
      </w:r>
    </w:p>
    <w:p>
      <w:pPr>
        <w:ind w:left="355" w:right="49" w:hanging="314"/>
        <w:spacing w:before="115" w:line="31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陈伟纲，韦巧萍，尤宇晴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与腹部超声在小儿急性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阑尾炎临床诊断中的应用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中国基层医药，2022，29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(4):517-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520.</w:t>
      </w:r>
    </w:p>
    <w:p>
      <w:pPr>
        <w:ind w:left="343" w:right="48" w:hanging="302"/>
        <w:spacing w:before="95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5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范丽琴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腹部超声检查对小儿肠套叠的诊断价值及漏诊率和误诊率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评价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现代医用影像学，2022，31(2):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354-356.</w:t>
      </w:r>
    </w:p>
    <w:p>
      <w:pPr>
        <w:ind w:left="343" w:right="48" w:hanging="302"/>
        <w:spacing w:before="117" w:line="30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周春昂，乔磊，李沛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腹部超声联合浅表超声对于小儿肠套叠的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诊断价值解析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中文科技期刊数据库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引文版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)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医药卫生，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2022，27(9):38-39.</w:t>
      </w:r>
    </w:p>
    <w:p>
      <w:pPr>
        <w:ind w:left="347" w:right="48" w:hanging="306"/>
        <w:spacing w:before="117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46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张敏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腹部超声联合浅表超声对小儿肠套叠的诊断分析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中文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科技期刊数据库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全文版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)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医药卫生，2022，11(7):38-39.</w:t>
      </w:r>
    </w:p>
    <w:p>
      <w:pPr>
        <w:ind w:left="41"/>
        <w:spacing w:before="116" w:line="21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4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熊飞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探讨腹部超声联合浅表超声对小儿肠套叠的诊断价值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</w:p>
    <w:p>
      <w:pPr>
        <w:ind w:left="364"/>
        <w:spacing w:before="113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中国科技期刊数据库医药，2022，22(2):56-57.</w:t>
      </w:r>
    </w:p>
    <w:p>
      <w:pPr>
        <w:ind w:left="41"/>
        <w:spacing w:before="117" w:line="21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宁翠霞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彩超浅表探头经腹部探查在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小儿肠套叠诊断中的应用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</w:p>
    <w:p>
      <w:pPr>
        <w:ind w:left="364"/>
        <w:spacing w:before="113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中文科技期刊数据库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全文版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)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医药卫生，2022，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21(7):39-40.</w:t>
      </w:r>
    </w:p>
    <w:p>
      <w:pPr>
        <w:ind w:left="41"/>
        <w:spacing w:before="116" w:line="21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刘静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腹部超声联合高频超声在小儿肠套叠中的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诊断价值分析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</w:p>
    <w:p>
      <w:pPr>
        <w:ind w:left="364"/>
        <w:spacing w:before="113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中文科技期刊数据库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文摘版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)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医药卫生，2024，18(2):005.</w:t>
      </w:r>
    </w:p>
    <w:p>
      <w:pPr>
        <w:ind w:left="411" w:right="50" w:hanging="370"/>
        <w:spacing w:before="118" w:line="31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罗俊斌，曾育航，谢海鹏，等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分析腹部超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声联合浅表超声诊断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小儿肠套叠的临床价值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首都食品与医药，2022，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39(4):63-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64.</w:t>
      </w:r>
    </w:p>
    <w:p>
      <w:pPr>
        <w:ind w:left="399" w:right="51" w:hanging="358"/>
        <w:spacing w:before="92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庞志英，万娜，张淑红，等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高频超声结合彩色多普勒经腹超声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对小儿肠套叠的诊断价值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医疗装备，2022，35(8):28-30.</w:t>
      </w:r>
    </w:p>
    <w:p>
      <w:pPr>
        <w:ind w:left="407" w:right="48" w:hanging="366"/>
        <w:spacing w:before="117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杨龙华，杨琼，赵育军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小儿肠套叠超声引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导下水压灌肠复位后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复发原因及治疗分析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妇儿健康导刊，20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22，42(5):62-63.</w:t>
      </w:r>
    </w:p>
    <w:p>
      <w:pPr>
        <w:ind w:left="398" w:right="50" w:hanging="357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石露，刘望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高频超声结合彩色多普勒超声诊断小儿肠套叠的临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床意义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中华养生保健，2022，40(1):161-163.</w:t>
      </w:r>
    </w:p>
    <w:p>
      <w:pPr>
        <w:ind w:left="421" w:right="49" w:hanging="380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李风娟.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高频彩色多普勒超声在诊断小儿肠套叠中的应用分析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中文科技期刊数据库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文摘版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)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医药卫生，2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023，12(4):25-27.</w:t>
      </w:r>
    </w:p>
    <w:p>
      <w:pPr>
        <w:ind w:left="414" w:right="48" w:hanging="373"/>
        <w:spacing w:before="117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[15]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郑宗杰，曲振鹏，廖春旭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高频彩色多普勒超声在诊断小儿肠套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叠的临床价值分析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现代医用影像学，20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23，32(2):363-365.</w:t>
      </w:r>
    </w:p>
    <w:p>
      <w:pPr>
        <w:spacing w:line="279" w:lineRule="auto"/>
        <w:sectPr>
          <w:type w:val="continuous"/>
          <w:pgSz w:w="12246" w:h="16498"/>
          <w:pgMar w:top="1207" w:right="970" w:bottom="868" w:left="424" w:header="827" w:footer="526" w:gutter="0"/>
          <w:cols w:equalWidth="0" w:num="2">
            <w:col w:w="5768" w:space="100"/>
            <w:col w:w="4984" w:space="0"/>
          </w:cols>
        </w:sectPr>
        <w:rPr>
          <w:rFonts w:ascii="KaiTi" w:hAnsi="KaiTi" w:eastAsia="KaiTi" w:cs="KaiTi"/>
          <w:sz w:val="16"/>
          <w:szCs w:val="16"/>
        </w:rPr>
      </w:pPr>
    </w:p>
    <w:p>
      <w:pPr>
        <w:spacing w:line="365" w:lineRule="auto"/>
        <w:rPr>
          <w:rFonts w:ascii="Arial"/>
          <w:sz w:val="21"/>
        </w:rPr>
      </w:pPr>
      <w:r/>
    </w:p>
    <w:p>
      <w:pPr>
        <w:ind w:left="596"/>
        <w:spacing w:before="65" w:line="2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0"/>
        </w:rPr>
        <w:t>（上接第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93</w:t>
      </w:r>
      <w:r>
        <w:rPr>
          <w:rFonts w:ascii="KaiTi" w:hAnsi="KaiTi" w:eastAsia="KaiTi" w:cs="KaiTi"/>
          <w:sz w:val="20"/>
          <w:szCs w:val="20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页）</w:t>
      </w:r>
    </w:p>
    <w:p>
      <w:pPr>
        <w:spacing w:before="3"/>
        <w:rPr/>
      </w:pPr>
      <w:r/>
    </w:p>
    <w:p>
      <w:pPr>
        <w:sectPr>
          <w:type w:val="continuous"/>
          <w:pgSz w:w="12246" w:h="16498"/>
          <w:pgMar w:top="1207" w:right="970" w:bottom="868" w:left="424" w:header="827" w:footer="526" w:gutter="0"/>
          <w:cols w:equalWidth="0" w:num="1">
            <w:col w:w="10851" w:space="0"/>
          </w:cols>
        </w:sectPr>
        <w:rPr/>
      </w:pPr>
    </w:p>
    <w:p>
      <w:pPr>
        <w:ind w:left="947" w:right="280" w:hanging="311"/>
        <w:spacing w:before="1" w:line="28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叶波，赵珩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第八版国际肺癌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TNM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分期修订稿解读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中国肺癌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杂志，2016，19(06):337-342.</w:t>
      </w:r>
    </w:p>
    <w:p>
      <w:pPr>
        <w:ind w:left="941" w:right="280" w:hanging="305"/>
        <w:spacing w:before="129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王鑫，支修益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国际肺癌研究协会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IASLC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)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第八版肺癌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NM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分期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解读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[J/CD].</w:t>
      </w:r>
      <w:r>
        <w:rPr>
          <w:rFonts w:ascii="KaiTi" w:hAnsi="KaiTi" w:eastAsia="KaiTi" w:cs="KaiTi"/>
          <w:sz w:val="16"/>
          <w:szCs w:val="16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中华胸部外科电子杂志，2016，3(2):70-76.</w:t>
      </w:r>
    </w:p>
    <w:p>
      <w:pPr>
        <w:ind w:left="952" w:right="280" w:hanging="316"/>
        <w:spacing w:before="128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刘宝东，支修益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肺癌第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8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版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TNM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分期解读与展望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首都医科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大学学报，2016，37(6):753-757.</w:t>
      </w:r>
    </w:p>
    <w:p>
      <w:pPr>
        <w:ind w:left="946" w:right="280" w:hanging="310"/>
        <w:spacing w:before="129" w:line="30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2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洪永灯，黄旭苗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血清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CYFRA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21-1、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联合检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测在肺癌早期诊断中的应用价值分析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中国医药科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学，2024，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14(5):157-160.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2" w:right="49" w:hanging="303"/>
        <w:spacing w:before="3" w:line="30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5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刘海燕，邱晓晖，章辉庆，等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低剂量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扫描联合血清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Pro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GRP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鉴别老年小细胞肺癌与非小细胞肺癌的价值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中国老年学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杂志，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2024，44(2):285-288.</w:t>
      </w:r>
    </w:p>
    <w:p>
      <w:pPr>
        <w:ind w:left="362" w:right="50" w:hanging="363"/>
        <w:spacing w:before="127" w:line="31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0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李季，闫军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三期动态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增强扫描技术对右肺上叶</w:t>
      </w:r>
      <w:r>
        <w:rPr>
          <w:rFonts w:ascii="KaiTi" w:hAnsi="KaiTi" w:eastAsia="KaiTi" w:cs="KaiTi"/>
          <w:sz w:val="16"/>
          <w:szCs w:val="16"/>
          <w:color w:val="231F20"/>
          <w:spacing w:val="9"/>
        </w:rPr>
        <w:t>肺癌及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纵隔淋巴结转移临床诊断的应用价值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贵州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医药，2023，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47(11):1800-1802.</w:t>
      </w:r>
    </w:p>
    <w:p>
      <w:pPr>
        <w:ind w:left="362" w:right="48" w:hanging="362"/>
        <w:spacing w:before="119" w:line="30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沈朝军，姜研，沈艳，等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三期动态增强扫描在胃癌术前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分期以及淋巴结转移诊断中的应用价值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蚌埠医学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院学报，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2021，46(11):1595-1599.</w:t>
      </w:r>
    </w:p>
    <w:sectPr>
      <w:type w:val="continuous"/>
      <w:pgSz w:w="12246" w:h="16498"/>
      <w:pgMar w:top="1207" w:right="970" w:bottom="868" w:left="424" w:header="827" w:footer="526" w:gutter="0"/>
      <w:cols w:equalWidth="0" w:num="2">
        <w:col w:w="5809" w:space="100"/>
        <w:col w:w="49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51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3"/>
        <w:position w:val="1"/>
      </w:rPr>
      <w:t>95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6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3"/>
        <w:position w:val="1"/>
      </w:rPr>
      <w:t>96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1.2pt;margin-top:794.6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1.0251pt;margin-top:57.2814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5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1"/>
      </w:rPr>
      <w:t>2024</w:t>
    </w:r>
    <w:r>
      <w:rPr>
        <w:rFonts w:ascii="KaiTi" w:hAnsi="KaiTi" w:eastAsia="KaiTi" w:cs="KaiTi"/>
        <w:sz w:val="21"/>
        <w:szCs w:val="21"/>
        <w:color w:val="231F20"/>
        <w:spacing w:val="10"/>
      </w:rPr>
      <w:t>年11月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第8卷第22期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0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6" style="position:absolute;margin-left:21.2pt;margin-top:794.68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48.1905pt;margin-top:57.2814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63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2024年11月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第8卷第22期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2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0" style="position:absolute;margin-left:21.2pt;margin-top:794.68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2" style="position:absolute;margin-left:51.0251pt;margin-top:57.2814pt;mso-position-vertical-relative:page;mso-position-horizontal-relative:page;width:512.75pt;height:0.75pt;z-index:251663360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5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1"/>
      </w:rPr>
      <w:t>2024</w:t>
    </w:r>
    <w:r>
      <w:rPr>
        <w:rFonts w:ascii="KaiTi" w:hAnsi="KaiTi" w:eastAsia="KaiTi" w:cs="KaiTi"/>
        <w:sz w:val="21"/>
        <w:szCs w:val="21"/>
        <w:color w:val="231F20"/>
        <w:spacing w:val="10"/>
      </w:rPr>
      <w:t>年11月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第8卷第22期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2025-10-28T21:24:28</vt:filetime>
  </property>
</Properties>
</file>