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9138"/>
        <w:spacing w:before="103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8769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09"/>
        <w:spacing w:before="52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DOI:10.15971/j.cnki.cmdi.2024.08</w:t>
      </w:r>
      <w:r>
        <w:rPr>
          <w:sz w:val="18"/>
          <w:szCs w:val="18"/>
          <w:spacing w:val="-1"/>
        </w:rPr>
        <w:t>.034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595" w:right="859" w:firstLine="4"/>
        <w:spacing w:before="236" w:line="171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高频超声与低频超声联合检查诊断小儿肠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5"/>
        </w:rPr>
        <w:t>套叠的价值</w:t>
      </w:r>
    </w:p>
    <w:p>
      <w:pPr>
        <w:pStyle w:val="BodyText"/>
        <w:ind w:left="591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刘洁  郑天成  韦朝清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厦门长庚医院超声科      （福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建 厦门  </w:t>
      </w:r>
      <w:r>
        <w:rPr>
          <w:sz w:val="15"/>
          <w:szCs w:val="15"/>
          <w:spacing w:val="5"/>
        </w:rPr>
        <w:t>361000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599"/>
        <w:spacing w:before="45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1006-6586(2024)08-0125-03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ind w:firstLine="588"/>
        <w:spacing w:before="35" w:line="60" w:lineRule="exact"/>
        <w:rPr/>
      </w:pPr>
      <w:r>
        <w:rPr>
          <w:position w:val="-1"/>
        </w:rPr>
        <w:drawing>
          <wp:inline distT="0" distB="0" distL="0" distR="0">
            <wp:extent cx="6912005" cy="38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200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588"/>
        <w:spacing w:before="110" w:line="4965" w:lineRule="exact"/>
        <w:rPr/>
      </w:pPr>
      <w:r>
        <w:rPr>
          <w:position w:val="-99"/>
        </w:rPr>
        <w:pict>
          <v:shape id="_x0000_s2" style="mso-position-vertical-relative:line;mso-position-horizontal-relative:char;width:501.75pt;height:248.3pt;" fillcolor="#EDF0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5" w:right="56" w:hanging="942"/>
                    <w:spacing w:before="54" w:line="267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"/>
                    </w:rPr>
                    <w:t>内容提要：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目的：分析高频超声与低频超声联合检查诊断小儿肠套叠的价值。方法：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选取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2021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1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~2023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年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4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月本院收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治的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83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例疑似小儿肠套叠患儿，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所有患儿均接受高频超声、低频超声检查，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参考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X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线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空气灌肠检查结果，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2"/>
                    </w:rPr>
                    <w:t>分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析不同检查方式准确率。结果：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83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例疑似小儿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肠套叠患儿经低频超声检查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53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例为真阳性，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3"/>
                    </w:rPr>
                    <w:t>19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例为真阴性，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3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经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高频、低频超声联合检查，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例为真阳性，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>22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例为真阴性；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4"/>
                    </w:rPr>
                    <w:t>低频超声单独检查和高频超声与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3"/>
                    </w:rPr>
                    <w:t>低频超声联合检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>查误诊率、特异度对比无明显差异（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8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8"/>
                    </w:rPr>
                    <w:t>&gt;0.0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7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9"/>
                      <w:w w:val="98"/>
                    </w:rPr>
                    <w:t>），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</w:rPr>
                    <w:t>高频超声与低频超声联合检查准确度、灵敏度明显比低频超声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单独检查高（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3"/>
                    </w:rPr>
                    <w:t>），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漏诊率比低频超声单独检查低（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）。结论：小儿肠套叠应用高频超声与低频超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声联合检查，可以更准确地对患儿病情进行诊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>断，避免漏诊、误诊。</w:t>
                  </w:r>
                </w:p>
                <w:p>
                  <w:pPr>
                    <w:ind w:left="63"/>
                    <w:spacing w:line="237" w:lineRule="exact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键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词：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高频超声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低频超声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小儿肠套叠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准确率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诊断效能</w:t>
                  </w:r>
                </w:p>
                <w:p>
                  <w:pPr>
                    <w:ind w:left="63" w:right="956" w:hanging="5"/>
                    <w:spacing w:before="220" w:line="222" w:lineRule="auto"/>
                    <w:rPr>
                      <w:rFonts w:ascii="Book Antiqua" w:hAnsi="Book Antiqua" w:eastAsia="Book Antiqua" w:cs="Book Antiqua"/>
                      <w:sz w:val="19"/>
                      <w:szCs w:val="19"/>
                    </w:rPr>
                  </w:pP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Value of Combined Examination of High Frequency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Ultrasound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an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Low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Frequency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Ultrasound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in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5"/>
                    </w:rPr>
                    <w:t>Diagnosis of Intussu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4"/>
                    </w:rPr>
                    <w:t>sception in Children</w:t>
                  </w:r>
                </w:p>
                <w:p>
                  <w:pPr>
                    <w:ind w:left="59"/>
                    <w:spacing w:before="40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5"/>
                    </w:rPr>
                    <w:t>LIU Jie  ZHENG Tian-cheng  WEI Chao-qing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Department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Ultras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ound, Xiamen Changgeng Hospital    (Fujian Xiamen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361000)</w:t>
                  </w:r>
                </w:p>
                <w:p>
                  <w:pPr>
                    <w:ind w:left="57"/>
                    <w:spacing w:before="171" w:line="19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Abstract:    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Objective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 To analyze the value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children.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</w:p>
                <w:p>
                  <w:pPr>
                    <w:ind w:left="1014" w:right="42" w:firstLine="8"/>
                    <w:spacing w:before="49" w:line="269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83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suspected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children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admitted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our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hospital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January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2021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April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2023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selecte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d.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children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examined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low-f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diﬀerent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analyzed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referring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X-ray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air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enema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examination.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83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suspected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children with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53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 were true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positive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  19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 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true negative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ultrasonography, 60 cases were true positive and 22 cases were true negative by high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ultrasonography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ultrasonography.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There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signiﬁcant diﬀerence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 the misdiagnosis rate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speciﬁcity between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single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high frequency ultrasound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 low frequency ultrasound 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&gt;0.05).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sensitivity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 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low frequency ultrasoun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 were signiﬁcantly higher than that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 single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 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 the missed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 rate 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lower than that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single 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 xml:space="preserve">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Conclusion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combined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 ultrasound in children with intussusception can more accurately diagnose 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children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avoid missing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 misdiagnosis.</w:t>
                  </w:r>
                </w:p>
                <w:p>
                  <w:pPr>
                    <w:ind w:left="59"/>
                    <w:spacing w:before="21" w:line="19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Key words: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high-frequency ultrasound,   low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 ultrasound,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children,   accuracy rate,   diagnostic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eﬃciency</w:t>
                  </w:r>
                </w:p>
              </w:txbxContent>
            </v:textbox>
          </v:shape>
        </w:pict>
      </w:r>
    </w:p>
    <w:p>
      <w:pPr>
        <w:spacing w:before="1"/>
        <w:rPr/>
      </w:pPr>
      <w:r/>
    </w:p>
    <w:p>
      <w:pPr>
        <w:rPr/>
      </w:pPr>
      <w:r/>
    </w:p>
    <w:p>
      <w:pPr>
        <w:sectPr>
          <w:pgSz w:w="11906" w:h="16158"/>
          <w:pgMar w:top="0" w:right="0" w:bottom="0" w:left="432" w:header="0" w:footer="0" w:gutter="0"/>
          <w:cols w:equalWidth="0" w:num="1">
            <w:col w:w="11474" w:space="0"/>
          </w:cols>
        </w:sectPr>
        <w:rPr/>
      </w:pPr>
    </w:p>
    <w:p>
      <w:pPr>
        <w:pStyle w:val="BodyText"/>
        <w:ind w:left="590" w:firstLine="380"/>
        <w:spacing w:before="41" w:line="239" w:lineRule="auto"/>
        <w:tabs>
          <w:tab w:val="left" w:pos="5614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肠套叠是婴幼儿群体常见的一种外科急腹症疾病，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主要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指患儿部分肠管和附着肠系膜套入到邻近肠管中，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导致肠道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梗阻。小肠、结肠任何部位都可能发生肠套叠。肠套叠后患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儿肠管血管遭到压迫，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就会发生水肿、充血、腹痛、呕吐情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况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3"/>
          <w:position w:val="6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。婴幼儿群体由于年龄比较小，  胃肠功能还未完全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发育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成熟，一旦饮食结构发生改变，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就可能引发肠套叠。临床将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肠套叠划分为原发性、继发性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8"/>
        </w:rPr>
        <w:t>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种，婴幼儿群体更容易发生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原发性肠套叠，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发病占比达到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5"/>
        </w:rPr>
        <w:t>95%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，年龄比较大的儿童更容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易发生继发性肠套叠，发病占比为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4"/>
        </w:rPr>
        <w:t>5%</w:t>
      </w:r>
      <w:r>
        <w:rPr>
          <w:sz w:val="10"/>
          <w:szCs w:val="10"/>
          <w:spacing w:val="4"/>
          <w:position w:val="6"/>
        </w:rPr>
        <w:t>[2]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。在以往肠套叠诊断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中主要采取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7"/>
        </w:rPr>
        <w:t>X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线空气灌肠检查，但是许多肠梗阻患者在病情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早期肠腔中积气比较少，  没有明显的临床症状，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1"/>
        </w:rPr>
        <w:t>X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射线片难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以发现气液平面， 容易漏诊、误诊。加之，  儿童因为年龄小，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无法表达自身疼痛位置，</w:t>
      </w:r>
      <w:r>
        <w:rPr>
          <w:rFonts w:ascii="Microsoft YaHei" w:hAnsi="Microsoft YaHei" w:eastAsia="Microsoft YaHei" w:cs="Microsoft YaHei"/>
          <w:sz w:val="18"/>
          <w:szCs w:val="18"/>
          <w:spacing w:val="6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在检查过程中配合度比较低，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诊断</w:t>
      </w:r>
    </w:p>
    <w:p>
      <w:pPr>
        <w:ind w:left="588"/>
        <w:spacing w:before="1" w:line="222" w:lineRule="auto"/>
        <w:tabs>
          <w:tab w:val="left" w:pos="2175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594"/>
        <w:spacing w:before="1" w:line="237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收稿日期：</w:t>
      </w:r>
      <w:r>
        <w:rPr>
          <w:sz w:val="16"/>
          <w:szCs w:val="16"/>
        </w:rPr>
        <w:t>2023-07-06</w:t>
      </w:r>
    </w:p>
    <w:p>
      <w:pPr>
        <w:ind w:left="594"/>
        <w:spacing w:before="30" w:line="24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作者简介：</w:t>
      </w:r>
      <w:r>
        <w:rPr>
          <w:rFonts w:ascii="SimSun" w:hAnsi="SimSun" w:eastAsia="SimSun" w:cs="SimSun"/>
          <w:sz w:val="16"/>
          <w:szCs w:val="16"/>
        </w:rPr>
        <w:t>刘洁，主治医师，研究方向：妇产超声、腹部及</w:t>
      </w:r>
      <w:r>
        <w:rPr>
          <w:rFonts w:ascii="SimSun" w:hAnsi="SimSun" w:eastAsia="SimSun" w:cs="SimSun"/>
          <w:sz w:val="16"/>
          <w:szCs w:val="16"/>
          <w:spacing w:val="-1"/>
        </w:rPr>
        <w:t>浅表超声。</w:t>
      </w:r>
    </w:p>
    <w:p>
      <w:pPr>
        <w:spacing w:line="8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1" w:right="850"/>
        <w:spacing w:before="36" w:line="25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难度比较高。超声检查不会对机体造成创伤，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无痛、无放射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性，安全性比较高， 但目前，关于高频超声与低频超声联合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检查诊断小儿肠套叠的价值报道比较少， 故本研究特收集本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院收治的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11"/>
        </w:rPr>
        <w:t>83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例疑似小儿肠套叠患儿，对高频超声与低频超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声检查结果进行分析，现报告如下。</w:t>
      </w:r>
    </w:p>
    <w:p>
      <w:pPr>
        <w:ind w:left="141"/>
        <w:spacing w:before="228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121"/>
        <w:spacing w:before="125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right="701" w:firstLine="470"/>
        <w:spacing w:before="88" w:line="25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选取</w:t>
      </w:r>
      <w:r>
        <w:rPr>
          <w:sz w:val="18"/>
          <w:szCs w:val="18"/>
          <w:spacing w:val="9"/>
        </w:rPr>
        <w:t>2021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年</w:t>
      </w:r>
      <w:r>
        <w:rPr>
          <w:sz w:val="18"/>
          <w:szCs w:val="18"/>
          <w:spacing w:val="9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月</w:t>
      </w:r>
      <w:r>
        <w:rPr>
          <w:sz w:val="18"/>
          <w:szCs w:val="18"/>
          <w:spacing w:val="9"/>
        </w:rPr>
        <w:t>~2023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年</w:t>
      </w:r>
      <w:r>
        <w:rPr>
          <w:sz w:val="18"/>
          <w:szCs w:val="18"/>
          <w:spacing w:val="9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月本院收治的</w:t>
      </w:r>
      <w:r>
        <w:rPr>
          <w:sz w:val="18"/>
          <w:szCs w:val="18"/>
          <w:spacing w:val="9"/>
        </w:rPr>
        <w:t>83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例疑似小儿肠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套叠患儿，其中男 </w:t>
      </w:r>
      <w:r>
        <w:rPr>
          <w:sz w:val="18"/>
          <w:szCs w:val="18"/>
          <w:spacing w:val="7"/>
        </w:rPr>
        <w:t>45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例，女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7"/>
        </w:rPr>
        <w:t>38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例，年龄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7"/>
        </w:rPr>
        <w:t>8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个月</w:t>
      </w:r>
      <w:r>
        <w:rPr>
          <w:sz w:val="18"/>
          <w:szCs w:val="18"/>
          <w:spacing w:val="7"/>
        </w:rPr>
        <w:t>~10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岁，平均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3"/>
        </w:rPr>
        <w:t>5.4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±</w:t>
      </w:r>
      <w:r>
        <w:rPr>
          <w:sz w:val="18"/>
          <w:szCs w:val="18"/>
          <w:spacing w:val="-3"/>
        </w:rPr>
        <w:t>3.2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）岁，发病时间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3"/>
        </w:rPr>
        <w:t>3h~4d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，平均（</w:t>
      </w:r>
      <w:r>
        <w:rPr>
          <w:sz w:val="18"/>
          <w:szCs w:val="18"/>
          <w:spacing w:val="-3"/>
        </w:rPr>
        <w:t>2.1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±</w:t>
      </w:r>
      <w:r>
        <w:rPr>
          <w:sz w:val="18"/>
          <w:szCs w:val="18"/>
          <w:spacing w:val="-3"/>
        </w:rPr>
        <w:t>0.6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）</w:t>
      </w:r>
      <w:r>
        <w:rPr>
          <w:sz w:val="18"/>
          <w:szCs w:val="18"/>
          <w:spacing w:val="-3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；其中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3"/>
        </w:rPr>
        <w:t>31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存在阵发性哭闹、腹痛，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5"/>
        </w:rPr>
        <w:t>15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例存在腹泻，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5"/>
        </w:rPr>
        <w:t>18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例存在呕吐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症状，</w:t>
      </w:r>
    </w:p>
    <w:p>
      <w:pPr>
        <w:spacing w:line="251" w:lineRule="auto"/>
        <w:sectPr>
          <w:type w:val="continuous"/>
          <w:pgSz w:w="11906" w:h="16158"/>
          <w:pgMar w:top="0" w:right="0" w:bottom="0" w:left="432" w:header="0" w:footer="0" w:gutter="0"/>
          <w:cols w:equalWidth="0" w:num="2">
            <w:col w:w="5616" w:space="33"/>
            <w:col w:w="582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6795"/>
        <w:spacing w:before="210" w:line="194" w:lineRule="exact"/>
        <w:rPr>
          <w:rFonts w:ascii="Georgia" w:hAnsi="Georgia" w:eastAsia="Georgia" w:cs="Georgia"/>
          <w:sz w:val="16"/>
          <w:szCs w:val="16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6742505</wp:posOffset>
            </wp:positionH>
            <wp:positionV relativeFrom="paragraph">
              <wp:posOffset>-9622474</wp:posOffset>
            </wp:positionV>
            <wp:extent cx="6350" cy="720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  <w:position w:val="1"/>
        </w:rPr>
        <w:t>中国医疗器械信息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"/>
        </w:rPr>
        <w:t>125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2"/>
        </w:rPr>
        <w:t>.</w:t>
      </w:r>
    </w:p>
    <w:p>
      <w:pPr>
        <w:spacing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46.4pt;margin-top:10pt;mso-position-vertical-relative:text;mso-position-horizontal-relative:text;width:0pt;height:0pt;z-index:251659264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6158"/>
          <w:pgMar w:top="0" w:right="0" w:bottom="0" w:left="432" w:header="0" w:footer="0" w:gutter="0"/>
          <w:cols w:equalWidth="0" w:num="1">
            <w:col w:w="11474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98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536825</wp:posOffset>
            </wp:positionH>
            <wp:positionV relativeFrom="page">
              <wp:posOffset>0</wp:posOffset>
            </wp:positionV>
            <wp:extent cx="6350" cy="7200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487"/>
        <w:spacing w:before="103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498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22"/>
        <w:spacing w:before="77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3"/>
        </w:rPr>
        <w:t>20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例存在血便。本研究已经获得本院伦理委员会批准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同意。</w:t>
      </w:r>
    </w:p>
    <w:p>
      <w:pPr>
        <w:pStyle w:val="BodyText"/>
        <w:ind w:left="420" w:right="183" w:firstLine="384"/>
        <w:spacing w:before="88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纳入标准：①所有患者均存在腹泻、腹痛不同程度肠套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叠临床症状；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②年龄在 </w:t>
      </w:r>
      <w:r>
        <w:rPr>
          <w:sz w:val="18"/>
          <w:szCs w:val="18"/>
          <w:spacing w:val="1"/>
        </w:rPr>
        <w:t>12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周岁以下；③临床资料齐全；</w:t>
      </w:r>
      <w:r>
        <w:rPr>
          <w:rFonts w:ascii="Microsoft YaHei" w:hAnsi="Microsoft YaHei" w:eastAsia="Microsoft YaHei" w:cs="Microsoft YaHei"/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④对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研究内容完全知情，自愿参与研究且已签署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知情同意书。</w:t>
      </w:r>
    </w:p>
    <w:p>
      <w:pPr>
        <w:ind w:left="802"/>
        <w:spacing w:line="19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排除标准：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①肠坏死、肠道手术史、肠道恶性肿瘤；</w:t>
      </w:r>
    </w:p>
    <w:p>
      <w:pPr>
        <w:ind w:left="422" w:right="183"/>
        <w:spacing w:before="63" w:line="21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②心脏病、肝肾疾病、肺疾病；</w:t>
      </w:r>
      <w:r>
        <w:rPr>
          <w:rFonts w:ascii="Microsoft YaHei" w:hAnsi="Microsoft YaHei" w:eastAsia="Microsoft YaHei" w:cs="Microsoft YaHei"/>
          <w:sz w:val="18"/>
          <w:szCs w:val="18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③精神疾病；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④依从性特别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差的患者。</w:t>
      </w:r>
    </w:p>
    <w:p>
      <w:pPr>
        <w:pStyle w:val="BodyText"/>
        <w:ind w:left="440"/>
        <w:spacing w:before="91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left="420" w:right="183" w:firstLine="380"/>
        <w:spacing w:before="83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所有患儿均接受高频超声及低频超声检查。将彩色超声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低频诊断仪（日立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5"/>
        </w:rPr>
        <w:t>/</w:t>
      </w:r>
      <w:r>
        <w:rPr>
          <w:sz w:val="18"/>
          <w:szCs w:val="18"/>
        </w:rPr>
        <w:t>HI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VISION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AVIUS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）探头频率参数调整为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sz w:val="18"/>
          <w:szCs w:val="18"/>
          <w:spacing w:val="11"/>
        </w:rPr>
        <w:t>4~7</w:t>
      </w:r>
      <w:r>
        <w:rPr>
          <w:sz w:val="18"/>
          <w:szCs w:val="18"/>
        </w:rPr>
        <w:t>MHz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，彩色超声高频诊断仪（</w:t>
      </w:r>
      <w:r>
        <w:rPr>
          <w:sz w:val="18"/>
          <w:szCs w:val="18"/>
        </w:rPr>
        <w:t>GE</w:t>
      </w:r>
      <w:r>
        <w:rPr>
          <w:sz w:val="18"/>
          <w:szCs w:val="18"/>
          <w:spacing w:val="11"/>
        </w:rPr>
        <w:t>/</w:t>
      </w:r>
      <w:r>
        <w:rPr>
          <w:sz w:val="18"/>
          <w:szCs w:val="18"/>
        </w:rPr>
        <w:t>LOGIQ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</w:t>
      </w:r>
      <w:r>
        <w:rPr>
          <w:sz w:val="18"/>
          <w:szCs w:val="18"/>
          <w:spacing w:val="11"/>
        </w:rPr>
        <w:t>9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）探头频率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参数调整为</w:t>
      </w:r>
      <w:r>
        <w:rPr>
          <w:sz w:val="18"/>
          <w:szCs w:val="18"/>
          <w:spacing w:val="6"/>
        </w:rPr>
        <w:t>7~12</w:t>
      </w:r>
      <w:r>
        <w:rPr>
          <w:sz w:val="18"/>
          <w:szCs w:val="18"/>
        </w:rPr>
        <w:t>MHz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。患儿在检查时保持仰卧姿势，使用低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频探头对全腹进行探查，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观察腹腔中是否存在游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离液体、包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块以及肠管是否存在扩张。如果发现可疑包块需要重点进行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探查，仔细探查包块体积、心态、结构、周边淋巴结、肠管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扩张情况。分别使用高频超声、低频超声对肿块中血流情况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以及周围血流情况进行仔细观察， 借助彩色多普勒血流显像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判断肠套叠部位肠壁局部血流情况， 评估套叠近端有无肠梗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阻、异常回声、腹腔积液、肠管扩张或其他异常情况。</w:t>
      </w:r>
    </w:p>
    <w:p>
      <w:pPr>
        <w:ind w:left="419" w:right="33" w:firstLine="381"/>
        <w:spacing w:before="1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肠套叠典型声像图特征具体表现为：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①肠壁、横切面存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在“靶环征”“同心圆征”，明暗交替；②纵切面出现“套筒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征”，内管部分和外管部分分别为套入部、鞘部，反复套入，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随着时间延长患者肠壁增厚，且存在水肿症状；③血流显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像：长轴切面可观察到从肠系膜套口位置进入到肠内，  出现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条状血流，肠壁彩色血流为发现异常。</w:t>
      </w:r>
    </w:p>
    <w:p>
      <w:pPr>
        <w:pStyle w:val="BodyText"/>
        <w:ind w:left="440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3"/>
        </w:rPr>
        <w:t>1.3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观察指标</w:t>
      </w:r>
    </w:p>
    <w:p>
      <w:pPr>
        <w:pStyle w:val="BodyText"/>
        <w:ind w:left="421" w:right="182" w:firstLine="379"/>
        <w:spacing w:before="88" w:line="25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参考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射线空气灌肠检查结果，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判断小儿肠套叠诊断中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低频超声单独检查和高频超声与低频超声联合检查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阴性结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果，计算低频超声单独检查和高频超声与低频超声联合检查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特异度、灵敏度、准确度、误诊率及漏诊率。</w:t>
      </w:r>
    </w:p>
    <w:p>
      <w:pPr>
        <w:spacing w:before="25"/>
        <w:rPr/>
      </w:pPr>
      <w:r/>
    </w:p>
    <w:tbl>
      <w:tblPr>
        <w:tblStyle w:val="TableNormal"/>
        <w:tblW w:w="4875" w:type="dxa"/>
        <w:tblInd w:w="420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814"/>
        <w:gridCol w:w="812"/>
        <w:gridCol w:w="811"/>
        <w:gridCol w:w="812"/>
        <w:gridCol w:w="812"/>
        <w:gridCol w:w="814"/>
      </w:tblGrid>
      <w:tr>
        <w:trPr>
          <w:trHeight w:val="290" w:hRule="atLeast"/>
        </w:trPr>
        <w:tc>
          <w:tcPr>
            <w:shd w:val="clear" w:fill="0092D8"/>
            <w:tcW w:w="4875" w:type="dxa"/>
            <w:vAlign w:val="top"/>
            <w:gridSpan w:val="6"/>
          </w:tcPr>
          <w:p>
            <w:pPr>
              <w:ind w:left="31"/>
              <w:spacing w:before="55" w:line="24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3"/>
              </w:rPr>
              <w:t>表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"/>
              </w:rPr>
              <w:t>1.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3"/>
              </w:rPr>
              <w:t>低频超声单独检查和高频超声与低频超声联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2"/>
              </w:rPr>
              <w:t>合检查结果分析</w:t>
            </w:r>
          </w:p>
        </w:tc>
      </w:tr>
      <w:tr>
        <w:trPr>
          <w:trHeight w:val="444" w:hRule="atLeast"/>
        </w:trPr>
        <w:tc>
          <w:tcPr>
            <w:shd w:val="clear" w:fill="D9E0E3"/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ind w:left="90" w:right="27" w:hanging="64"/>
              <w:spacing w:before="168" w:line="245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X</w:t>
            </w:r>
            <w:r>
              <w:rPr>
                <w:rFonts w:ascii="SimHei" w:hAnsi="SimHei" w:eastAsia="SimHei" w:cs="SimHei"/>
                <w:sz w:val="15"/>
                <w:szCs w:val="15"/>
                <w:spacing w:val="11"/>
              </w:rPr>
              <w:t>射线空气</w:t>
            </w:r>
            <w:r>
              <w:rPr>
                <w:rFonts w:ascii="SimHei" w:hAnsi="SimHei" w:eastAsia="SimHei" w:cs="SimHei"/>
                <w:sz w:val="15"/>
                <w:szCs w:val="15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灌肠检查</w:t>
            </w:r>
          </w:p>
        </w:tc>
        <w:tc>
          <w:tcPr>
            <w:shd w:val="clear" w:fill="D9E0E3"/>
            <w:tcW w:w="1623" w:type="dxa"/>
            <w:vAlign w:val="top"/>
            <w:gridSpan w:val="2"/>
          </w:tcPr>
          <w:p>
            <w:pPr>
              <w:ind w:left="170"/>
              <w:spacing w:before="142" w:line="198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9"/>
                <w:position w:val="1"/>
              </w:rPr>
              <w:t>低频超声单独检查</w:t>
            </w:r>
          </w:p>
        </w:tc>
        <w:tc>
          <w:tcPr>
            <w:shd w:val="clear" w:fill="D9E0E3"/>
            <w:tcW w:w="1624" w:type="dxa"/>
            <w:vAlign w:val="top"/>
            <w:gridSpan w:val="2"/>
          </w:tcPr>
          <w:p>
            <w:pPr>
              <w:ind w:left="494" w:right="88" w:hanging="393"/>
              <w:spacing w:before="42" w:line="241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高频超声与低频超声</w:t>
            </w:r>
            <w:r>
              <w:rPr>
                <w:rFonts w:ascii="SimHei" w:hAnsi="SimHei" w:eastAsia="SimHei" w:cs="SimHei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8"/>
              </w:rPr>
              <w:t>联合检查</w:t>
            </w:r>
          </w:p>
        </w:tc>
        <w:tc>
          <w:tcPr>
            <w:shd w:val="clear" w:fill="D9E0E3"/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ind w:left="251"/>
              <w:spacing w:before="267" w:line="201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  <w:position w:val="1"/>
              </w:rPr>
              <w:t>合计</w:t>
            </w:r>
          </w:p>
        </w:tc>
      </w:tr>
      <w:tr>
        <w:trPr>
          <w:trHeight w:val="245" w:hRule="atLeast"/>
        </w:trPr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0E3"/>
            <w:tcW w:w="812" w:type="dxa"/>
            <w:vAlign w:val="top"/>
          </w:tcPr>
          <w:p>
            <w:pPr>
              <w:ind w:left="257"/>
              <w:spacing w:before="44" w:line="235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阳性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258"/>
              <w:spacing w:before="44" w:line="235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阴性</w:t>
            </w:r>
          </w:p>
        </w:tc>
        <w:tc>
          <w:tcPr>
            <w:shd w:val="clear" w:fill="D9E0E3"/>
            <w:tcW w:w="812" w:type="dxa"/>
            <w:vAlign w:val="top"/>
          </w:tcPr>
          <w:p>
            <w:pPr>
              <w:ind w:left="259"/>
              <w:spacing w:before="44" w:line="235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阳性</w:t>
            </w:r>
          </w:p>
        </w:tc>
        <w:tc>
          <w:tcPr>
            <w:shd w:val="clear" w:fill="D9E0E3"/>
            <w:tcW w:w="812" w:type="dxa"/>
            <w:vAlign w:val="top"/>
          </w:tcPr>
          <w:p>
            <w:pPr>
              <w:ind w:left="260"/>
              <w:spacing w:before="44" w:line="235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阴性</w:t>
            </w:r>
          </w:p>
        </w:tc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5" w:hRule="atLeast"/>
        </w:trPr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</w:tcBorders>
          </w:tcPr>
          <w:p>
            <w:pPr>
              <w:ind w:left="262"/>
              <w:spacing w:before="55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阳性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30"/>
              <w:spacing w:before="78" w:line="188" w:lineRule="auto"/>
              <w:rPr/>
            </w:pPr>
            <w:r>
              <w:rPr>
                <w:spacing w:val="1"/>
              </w:rPr>
              <w:t>53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68"/>
              <w:spacing w:before="80" w:line="185" w:lineRule="auto"/>
              <w:rPr/>
            </w:pPr>
            <w:r>
              <w:rPr/>
              <w:t>7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31"/>
              <w:spacing w:before="78" w:line="188" w:lineRule="auto"/>
              <w:rPr/>
            </w:pPr>
            <w:r>
              <w:rPr>
                <w:spacing w:val="1"/>
              </w:rPr>
              <w:t>60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71"/>
              <w:spacing w:before="78" w:line="188" w:lineRule="auto"/>
              <w:rPr/>
            </w:pPr>
            <w:r>
              <w:rPr/>
              <w:t>0</w:t>
            </w:r>
          </w:p>
        </w:tc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32"/>
              <w:spacing w:before="78" w:line="188" w:lineRule="auto"/>
              <w:rPr/>
            </w:pPr>
            <w:r>
              <w:rPr>
                <w:spacing w:val="1"/>
              </w:rPr>
              <w:t>60</w:t>
            </w:r>
          </w:p>
        </w:tc>
      </w:tr>
      <w:tr>
        <w:trPr>
          <w:trHeight w:val="245" w:hRule="atLeast"/>
        </w:trPr>
        <w:tc>
          <w:tcPr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60"/>
              <w:spacing w:before="55" w:line="16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>阴性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65"/>
              <w:spacing w:before="79" w:line="188" w:lineRule="auto"/>
              <w:rPr/>
            </w:pPr>
            <w:r>
              <w:rPr>
                <w:spacing w:val="2"/>
              </w:rPr>
              <w:t>4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41"/>
              <w:spacing w:before="79" w:line="188" w:lineRule="auto"/>
              <w:rPr/>
            </w:pPr>
            <w:r>
              <w:rPr>
                <w:spacing w:val="-3"/>
              </w:rPr>
              <w:t>19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83"/>
              <w:spacing w:before="79" w:line="188" w:lineRule="auto"/>
              <w:rPr/>
            </w:pPr>
            <w:r>
              <w:rPr/>
              <w:t>1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28"/>
              <w:spacing w:before="79" w:line="188" w:lineRule="auto"/>
              <w:rPr/>
            </w:pPr>
            <w:r>
              <w:rPr>
                <w:spacing w:val="3"/>
              </w:rPr>
              <w:t>22</w:t>
            </w:r>
          </w:p>
        </w:tc>
        <w:tc>
          <w:tcPr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29"/>
              <w:spacing w:before="79" w:line="188" w:lineRule="auto"/>
              <w:rPr/>
            </w:pPr>
            <w:r>
              <w:rPr>
                <w:spacing w:val="3"/>
              </w:rPr>
              <w:t>23</w:t>
            </w:r>
          </w:p>
        </w:tc>
      </w:tr>
      <w:tr>
        <w:trPr>
          <w:trHeight w:val="247" w:hRule="atLeast"/>
        </w:trPr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46"/>
              <w:spacing w:before="53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合计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30"/>
              <w:spacing w:before="81" w:line="185" w:lineRule="auto"/>
              <w:rPr/>
            </w:pPr>
            <w:r>
              <w:rPr>
                <w:spacing w:val="1"/>
              </w:rPr>
              <w:t>57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26"/>
              <w:spacing w:before="79" w:line="188" w:lineRule="auto"/>
              <w:rPr/>
            </w:pPr>
            <w:r>
              <w:rPr>
                <w:spacing w:val="3"/>
              </w:rPr>
              <w:t>26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31"/>
              <w:spacing w:before="79" w:line="188" w:lineRule="auto"/>
              <w:rPr/>
            </w:pPr>
            <w:r>
              <w:rPr>
                <w:spacing w:val="1"/>
              </w:rPr>
              <w:t>61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29"/>
              <w:spacing w:before="79" w:line="188" w:lineRule="auto"/>
              <w:rPr/>
            </w:pPr>
            <w:r>
              <w:rPr>
                <w:spacing w:val="3"/>
              </w:rPr>
              <w:t>22</w:t>
            </w:r>
          </w:p>
        </w:tc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36"/>
              <w:spacing w:before="79" w:line="188" w:lineRule="auto"/>
              <w:rPr/>
            </w:pPr>
            <w:r>
              <w:rPr/>
              <w:t>83</w:t>
            </w:r>
          </w:p>
        </w:tc>
      </w:tr>
    </w:tbl>
    <w:p>
      <w:pPr>
        <w:spacing w:line="113" w:lineRule="exact"/>
        <w:rPr>
          <w:rFonts w:ascii="Arial"/>
          <w:sz w:val="9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7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3" w:firstLine="376"/>
        <w:spacing w:before="87" w:line="24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采用</w:t>
      </w:r>
      <w:r>
        <w:rPr>
          <w:sz w:val="18"/>
          <w:szCs w:val="18"/>
        </w:rPr>
        <w:t>SPSS</w:t>
      </w:r>
      <w:r>
        <w:rPr>
          <w:sz w:val="18"/>
          <w:szCs w:val="18"/>
          <w:spacing w:val="4"/>
        </w:rPr>
        <w:t xml:space="preserve"> 24.0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统计学软件进行数据分析，计数资料采用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率表示，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组间比较采用</w:t>
      </w:r>
      <w:r>
        <w:rPr>
          <w:sz w:val="18"/>
          <w:szCs w:val="18"/>
          <w:i/>
          <w:iCs/>
          <w:spacing w:val="5"/>
        </w:rPr>
        <w:t>χ</w:t>
      </w:r>
      <w:r>
        <w:rPr>
          <w:sz w:val="10"/>
          <w:szCs w:val="10"/>
          <w:spacing w:val="5"/>
          <w:position w:val="10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检验，</w:t>
      </w:r>
      <w:r>
        <w:rPr>
          <w:sz w:val="18"/>
          <w:szCs w:val="18"/>
          <w:i/>
          <w:iCs/>
          <w:spacing w:val="5"/>
        </w:rPr>
        <w:t>P</w:t>
      </w:r>
      <w:r>
        <w:rPr>
          <w:sz w:val="18"/>
          <w:szCs w:val="18"/>
          <w:spacing w:val="5"/>
        </w:rPr>
        <w:t>&lt;0.05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为差异有统计学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意义。</w:t>
      </w:r>
    </w:p>
    <w:p>
      <w:pPr>
        <w:ind w:left="21"/>
        <w:spacing w:before="257" w:line="572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6" style="position:absolute;margin-left:0pt;margin-top:38.1613pt;mso-position-vertical-relative:text;mso-position-horizontal-relative:text;width:243.8pt;height:0.5pt;z-index:251660288;" filled="false" stroked="false" coordsize="4876,10" coordorigin="0,0">
            <v:shape id="_x0000_s8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10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结果</w:t>
      </w:r>
    </w:p>
    <w:p>
      <w:pPr>
        <w:pStyle w:val="BodyText"/>
        <w:ind w:left="3"/>
        <w:spacing w:before="132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7"/>
        </w:rPr>
        <w:t>2.1 X</w:t>
      </w:r>
      <w:r>
        <w:rPr>
          <w:sz w:val="18"/>
          <w:szCs w:val="18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射线空气灌肠检查结果分析</w:t>
      </w:r>
    </w:p>
    <w:p>
      <w:pPr>
        <w:pStyle w:val="BodyText"/>
        <w:ind w:left="3" w:right="161" w:firstLine="387"/>
        <w:spacing w:before="87" w:line="22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0"/>
        </w:rPr>
        <w:t>83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例疑似小儿肠套叠患儿经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0"/>
        </w:rPr>
        <w:t>X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射线空气灌肠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检查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9"/>
        </w:rPr>
        <w:t>60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确诊为小儿肠套叠，所占比例为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9"/>
        </w:rPr>
        <w:t>72.29%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，</w:t>
      </w:r>
      <w:r>
        <w:rPr>
          <w:sz w:val="18"/>
          <w:szCs w:val="18"/>
          <w:spacing w:val="9"/>
        </w:rPr>
        <w:t>23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例判断为非小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儿肠套叠，所占比例为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7"/>
        </w:rPr>
        <w:t>27.71%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</w:p>
    <w:p>
      <w:pPr>
        <w:pStyle w:val="BodyText"/>
        <w:ind w:left="3" w:right="162"/>
        <w:spacing w:before="86" w:line="21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1"/>
        </w:rPr>
        <w:t>2.2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低频超声单独检查和高频超声与低频超声联合检查结果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分析</w:t>
      </w:r>
    </w:p>
    <w:p>
      <w:pPr>
        <w:pStyle w:val="BodyText"/>
        <w:ind w:left="3" w:right="161" w:firstLine="388"/>
        <w:spacing w:before="89" w:line="23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0"/>
        </w:rPr>
        <w:t>83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例疑似小儿肠套叠患儿经低频超声检查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10"/>
        </w:rPr>
        <w:t>53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例为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真阳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性，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9"/>
        </w:rPr>
        <w:t>19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例为真阴性，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经高频、低频超声联合检查，</w:t>
      </w:r>
      <w:r>
        <w:rPr>
          <w:sz w:val="18"/>
          <w:szCs w:val="18"/>
          <w:spacing w:val="9"/>
        </w:rPr>
        <w:t>60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真阳性，</w:t>
      </w:r>
      <w:r>
        <w:rPr>
          <w:sz w:val="18"/>
          <w:szCs w:val="18"/>
          <w:spacing w:val="11"/>
        </w:rPr>
        <w:t>22</w:t>
      </w:r>
      <w:r>
        <w:rPr>
          <w:sz w:val="18"/>
          <w:szCs w:val="18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例为真阴性；</w:t>
      </w:r>
      <w:r>
        <w:rPr>
          <w:sz w:val="18"/>
          <w:szCs w:val="18"/>
          <w:spacing w:val="11"/>
        </w:rPr>
        <w:t>79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例有典型肠套叠超声声像图特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征，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9"/>
        </w:rPr>
        <w:t>79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例均具有同心圆特征，</w:t>
      </w:r>
      <w:r>
        <w:rPr>
          <w:sz w:val="18"/>
          <w:szCs w:val="18"/>
          <w:spacing w:val="9"/>
        </w:rPr>
        <w:t>4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例存在混合型包块，</w:t>
      </w:r>
      <w:r>
        <w:rPr>
          <w:sz w:val="18"/>
          <w:szCs w:val="18"/>
          <w:spacing w:val="9"/>
        </w:rPr>
        <w:t>7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在套筒征，见表 </w:t>
      </w:r>
      <w:r>
        <w:rPr>
          <w:sz w:val="18"/>
          <w:szCs w:val="18"/>
          <w:spacing w:val="4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</w:t>
      </w:r>
    </w:p>
    <w:p>
      <w:pPr>
        <w:pStyle w:val="BodyText"/>
        <w:ind w:left="3" w:right="162"/>
        <w:spacing w:before="88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1"/>
        </w:rPr>
        <w:t>2.3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低频超声单独检查和高频超声与低频超声联合检查诊断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效能分析</w:t>
      </w:r>
    </w:p>
    <w:p>
      <w:pPr>
        <w:pStyle w:val="BodyText"/>
        <w:ind w:left="3" w:right="10" w:firstLine="379"/>
        <w:spacing w:before="93" w:line="24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低频超声单独检查灵敏度为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7"/>
        </w:rPr>
        <w:t>88.33%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，特异度为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7"/>
        </w:rPr>
        <w:t>82.61%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准确度为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5"/>
        </w:rPr>
        <w:t>86.75%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，漏诊率为 </w:t>
      </w:r>
      <w:r>
        <w:rPr>
          <w:sz w:val="18"/>
          <w:szCs w:val="18"/>
          <w:spacing w:val="5"/>
        </w:rPr>
        <w:t>11.67%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，误诊率为 </w:t>
      </w:r>
      <w:r>
        <w:rPr>
          <w:sz w:val="18"/>
          <w:szCs w:val="18"/>
          <w:spacing w:val="5"/>
        </w:rPr>
        <w:t>1</w:t>
      </w:r>
      <w:r>
        <w:rPr>
          <w:sz w:val="18"/>
          <w:szCs w:val="18"/>
          <w:spacing w:val="4"/>
        </w:rPr>
        <w:t>7.39%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；高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频超声与低频超声联合检查灵敏度为 </w:t>
      </w:r>
      <w:r>
        <w:rPr>
          <w:sz w:val="18"/>
          <w:szCs w:val="18"/>
          <w:spacing w:val="13"/>
        </w:rPr>
        <w:t>100.00%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，特异度为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sz w:val="18"/>
          <w:szCs w:val="18"/>
          <w:spacing w:val="8"/>
        </w:rPr>
        <w:t>95.65%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，准确度为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8"/>
        </w:rPr>
        <w:t>98.80%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，漏诊率为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8"/>
        </w:rPr>
        <w:t>0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，误诊率为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8"/>
        </w:rPr>
        <w:t>4.35%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低频超声单独检查和高频超声与低频超声联合检查误诊率、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特异度对比无明显差异（</w:t>
      </w:r>
      <w:r>
        <w:rPr>
          <w:sz w:val="18"/>
          <w:szCs w:val="18"/>
          <w:i/>
          <w:iCs/>
          <w:spacing w:val="9"/>
        </w:rPr>
        <w:t>P</w:t>
      </w:r>
      <w:r>
        <w:rPr>
          <w:sz w:val="18"/>
          <w:szCs w:val="18"/>
          <w:spacing w:val="9"/>
        </w:rPr>
        <w:t>&gt;0.05</w:t>
      </w:r>
      <w:r>
        <w:rPr>
          <w:rFonts w:ascii="Microsoft YaHei" w:hAnsi="Microsoft YaHei" w:eastAsia="Microsoft YaHei" w:cs="Microsoft YaHei"/>
          <w:sz w:val="18"/>
          <w:szCs w:val="18"/>
          <w:spacing w:val="-21"/>
          <w:w w:val="50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高频超声与低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频超声联合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检查准确度、灵敏度明显比低频超声单独检查高（</w:t>
      </w:r>
      <w:r>
        <w:rPr>
          <w:sz w:val="18"/>
          <w:szCs w:val="18"/>
          <w:i/>
          <w:iCs/>
          <w:spacing w:val="10"/>
        </w:rPr>
        <w:t>P</w:t>
      </w:r>
      <w:r>
        <w:rPr>
          <w:sz w:val="18"/>
          <w:szCs w:val="18"/>
          <w:spacing w:val="10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40"/>
          <w:w w:val="93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漏诊率比低频超声单独检查低（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36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</w:p>
    <w:p>
      <w:pPr>
        <w:ind w:left="21"/>
        <w:spacing w:before="247" w:line="574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12" style="position:absolute;margin-left:0pt;margin-top:37.6145pt;mso-position-vertical-relative:text;mso-position-horizontal-relative:text;width:243.8pt;height:0.5pt;z-index:251661312;" filled="false" stroked="false" coordsize="4876,10" coordorigin="0,0">
            <v:shape id="_x0000_s14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16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讨论</w:t>
      </w:r>
    </w:p>
    <w:p>
      <w:pPr>
        <w:pStyle w:val="BodyText"/>
        <w:ind w:left="3" w:right="103" w:firstLine="379"/>
        <w:spacing w:before="132" w:line="25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肠套叠好发于儿童群体，  特别是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1"/>
        </w:rPr>
        <w:t>2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岁以下儿童， 发病特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征具有明显季节性， 发病原因比较复杂， 主要由于儿童年龄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比较小，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回盲部肠系还未完全完善、固定，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回盲部活动度比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较大，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由于肠系膜过长，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一旦便秘、饮食结构发生改变，  肠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功能紊乱，更容易发生肠套叠，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一旦发病患儿腹痛、呕吐，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腹部存在包块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0"/>
          <w:szCs w:val="10"/>
          <w:spacing w:val="8"/>
          <w:position w:val="6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。临床将肠套叠划分为继发性和原发性肠套</w:t>
      </w:r>
    </w:p>
    <w:p>
      <w:pPr>
        <w:spacing w:line="252" w:lineRule="auto"/>
        <w:sectPr>
          <w:headerReference w:type="default" r:id="rId3"/>
          <w:pgSz w:w="11906" w:h="16158"/>
          <w:pgMar w:top="1" w:right="858" w:bottom="0" w:left="432" w:header="0" w:footer="0" w:gutter="0"/>
          <w:cols w:equalWidth="0" w:num="2">
            <w:col w:w="5478" w:space="100"/>
            <w:col w:w="5038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tbl>
      <w:tblPr>
        <w:tblStyle w:val="TableNormal"/>
        <w:tblW w:w="10034" w:type="dxa"/>
        <w:tblInd w:w="418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770"/>
        <w:gridCol w:w="1097"/>
        <w:gridCol w:w="1433"/>
        <w:gridCol w:w="1433"/>
        <w:gridCol w:w="1433"/>
        <w:gridCol w:w="1433"/>
        <w:gridCol w:w="1435"/>
      </w:tblGrid>
      <w:tr>
        <w:trPr>
          <w:trHeight w:val="290" w:hRule="atLeast"/>
        </w:trPr>
        <w:tc>
          <w:tcPr>
            <w:shd w:val="clear" w:fill="0092D8"/>
            <w:tcW w:w="10034" w:type="dxa"/>
            <w:vAlign w:val="top"/>
            <w:gridSpan w:val="7"/>
          </w:tcPr>
          <w:p>
            <w:pPr>
              <w:ind w:left="32"/>
              <w:spacing w:before="55" w:line="24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12"/>
              </w:rPr>
              <w:t>表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12"/>
              </w:rPr>
              <w:t>2.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12"/>
              </w:rPr>
              <w:t>低频超声单独检查和高频超声与低频超声联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11"/>
              </w:rPr>
              <w:t>合检查诊断效能分析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770" w:type="dxa"/>
            <w:vAlign w:val="top"/>
          </w:tcPr>
          <w:p>
            <w:pPr>
              <w:ind w:left="728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项目</w:t>
            </w:r>
          </w:p>
        </w:tc>
        <w:tc>
          <w:tcPr>
            <w:shd w:val="clear" w:fill="D9E0E3"/>
            <w:tcW w:w="1097" w:type="dxa"/>
            <w:vAlign w:val="top"/>
          </w:tcPr>
          <w:p>
            <w:pPr>
              <w:ind w:left="506"/>
              <w:spacing w:before="97" w:line="11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position w:val="-1"/>
              </w:rPr>
              <w:t>n</w:t>
            </w:r>
          </w:p>
        </w:tc>
        <w:tc>
          <w:tcPr>
            <w:shd w:val="clear" w:fill="D9E0E3"/>
            <w:tcW w:w="1433" w:type="dxa"/>
            <w:vAlign w:val="top"/>
          </w:tcPr>
          <w:p>
            <w:pPr>
              <w:ind w:left="484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灵敏度</w:t>
            </w:r>
          </w:p>
        </w:tc>
        <w:tc>
          <w:tcPr>
            <w:shd w:val="clear" w:fill="D9E0E3"/>
            <w:tcW w:w="1433" w:type="dxa"/>
            <w:vAlign w:val="top"/>
          </w:tcPr>
          <w:p>
            <w:pPr>
              <w:ind w:left="481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特异度</w:t>
            </w:r>
          </w:p>
        </w:tc>
        <w:tc>
          <w:tcPr>
            <w:shd w:val="clear" w:fill="D9E0E3"/>
            <w:tcW w:w="1433" w:type="dxa"/>
            <w:vAlign w:val="top"/>
          </w:tcPr>
          <w:p>
            <w:pPr>
              <w:ind w:left="484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准确度</w:t>
            </w:r>
          </w:p>
        </w:tc>
        <w:tc>
          <w:tcPr>
            <w:shd w:val="clear" w:fill="D9E0E3"/>
            <w:tcW w:w="1433" w:type="dxa"/>
            <w:vAlign w:val="top"/>
          </w:tcPr>
          <w:p>
            <w:pPr>
              <w:ind w:left="482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漏诊率</w:t>
            </w:r>
          </w:p>
        </w:tc>
        <w:tc>
          <w:tcPr>
            <w:shd w:val="clear" w:fill="D9E0E3"/>
            <w:tcW w:w="1435" w:type="dxa"/>
            <w:vAlign w:val="top"/>
          </w:tcPr>
          <w:p>
            <w:pPr>
              <w:ind w:left="483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>误诊率</w:t>
            </w:r>
          </w:p>
        </w:tc>
      </w:tr>
      <w:tr>
        <w:trPr>
          <w:trHeight w:val="245" w:hRule="atLeast"/>
        </w:trPr>
        <w:tc>
          <w:tcPr>
            <w:tcW w:w="1770" w:type="dxa"/>
            <w:vAlign w:val="top"/>
            <w:tcBorders>
              <w:bottom w:val="single" w:color="9FA0A0" w:sz="2" w:space="0"/>
            </w:tcBorders>
          </w:tcPr>
          <w:p>
            <w:pPr>
              <w:ind w:left="244"/>
              <w:spacing w:before="50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低频超声单独检查</w:t>
            </w:r>
          </w:p>
        </w:tc>
        <w:tc>
          <w:tcPr>
            <w:tcW w:w="1097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475"/>
              <w:spacing w:before="76" w:line="188" w:lineRule="auto"/>
              <w:rPr/>
            </w:pPr>
            <w:r>
              <w:rPr/>
              <w:t>83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42"/>
              <w:spacing w:before="74" w:line="192" w:lineRule="auto"/>
              <w:rPr/>
            </w:pPr>
            <w:r>
              <w:rPr>
                <w:spacing w:val="3"/>
              </w:rPr>
              <w:t>88.33%(53/60)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42"/>
              <w:spacing w:before="74" w:line="192" w:lineRule="auto"/>
              <w:rPr/>
            </w:pPr>
            <w:r>
              <w:rPr>
                <w:spacing w:val="3"/>
              </w:rPr>
              <w:t>82.61%(19/23)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43"/>
              <w:spacing w:before="74" w:line="192" w:lineRule="auto"/>
              <w:rPr/>
            </w:pPr>
            <w:r>
              <w:rPr>
                <w:spacing w:val="3"/>
              </w:rPr>
              <w:t>86.75%(72/83)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95"/>
              <w:spacing w:before="74" w:line="192" w:lineRule="auto"/>
              <w:rPr/>
            </w:pPr>
            <w:r>
              <w:rPr>
                <w:spacing w:val="2"/>
              </w:rPr>
              <w:t>11.67%(7/60)</w:t>
            </w:r>
          </w:p>
        </w:tc>
        <w:tc>
          <w:tcPr>
            <w:tcW w:w="1435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93"/>
              <w:spacing w:before="74" w:line="192" w:lineRule="auto"/>
              <w:rPr/>
            </w:pPr>
            <w:r>
              <w:rPr>
                <w:spacing w:val="3"/>
              </w:rPr>
              <w:t>17.39%(4/23)</w:t>
            </w:r>
          </w:p>
        </w:tc>
      </w:tr>
      <w:tr>
        <w:trPr>
          <w:trHeight w:val="244" w:hRule="atLeast"/>
        </w:trPr>
        <w:tc>
          <w:tcPr>
            <w:shd w:val="clear" w:fill="F2F4F6"/>
            <w:tcW w:w="177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565"/>
              <w:spacing w:before="51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联合检查</w:t>
            </w:r>
          </w:p>
        </w:tc>
        <w:tc>
          <w:tcPr>
            <w:shd w:val="clear" w:fill="F2F4F6"/>
            <w:tcW w:w="1097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75"/>
              <w:spacing w:before="77" w:line="188" w:lineRule="auto"/>
              <w:rPr/>
            </w:pPr>
            <w:r>
              <w:rPr/>
              <w:t>83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11"/>
              <w:spacing w:before="74" w:line="192" w:lineRule="auto"/>
              <w:rPr/>
            </w:pPr>
            <w:r>
              <w:rPr>
                <w:spacing w:val="3"/>
              </w:rPr>
              <w:t>100.00%(60/60)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9"/>
              <w:spacing w:before="74" w:line="192" w:lineRule="auto"/>
              <w:rPr/>
            </w:pPr>
            <w:r>
              <w:rPr>
                <w:spacing w:val="4"/>
              </w:rPr>
              <w:t>95.65%(22/23)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40"/>
              <w:spacing w:before="74" w:line="192" w:lineRule="auto"/>
              <w:rPr/>
            </w:pPr>
            <w:r>
              <w:rPr>
                <w:spacing w:val="4"/>
              </w:rPr>
              <w:t>98.80%(82/83)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486"/>
              <w:spacing w:before="74" w:line="192" w:lineRule="auto"/>
              <w:rPr/>
            </w:pPr>
            <w:r>
              <w:rPr>
                <w:spacing w:val="3"/>
              </w:rPr>
              <w:t>0(0/60)</w:t>
            </w:r>
          </w:p>
        </w:tc>
        <w:tc>
          <w:tcPr>
            <w:shd w:val="clear" w:fill="F2F4F6"/>
            <w:tcW w:w="143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7"/>
              <w:spacing w:before="74" w:line="192" w:lineRule="auto"/>
              <w:rPr/>
            </w:pPr>
            <w:r>
              <w:rPr>
                <w:spacing w:val="4"/>
              </w:rPr>
              <w:t>4.35%(1/23)</w:t>
            </w:r>
          </w:p>
        </w:tc>
      </w:tr>
      <w:tr>
        <w:trPr>
          <w:trHeight w:val="245" w:hRule="atLeast"/>
        </w:trPr>
        <w:tc>
          <w:tcPr>
            <w:tcW w:w="177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809"/>
              <w:spacing w:before="56" w:line="213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12"/>
                <w:position w:val="-1"/>
              </w:rPr>
              <w:t>χ</w:t>
            </w:r>
            <w:r>
              <w:rPr>
                <w:sz w:val="8"/>
                <w:szCs w:val="8"/>
                <w:spacing w:val="12"/>
                <w:position w:val="4"/>
              </w:rPr>
              <w:t>2</w:t>
            </w:r>
          </w:p>
        </w:tc>
        <w:tc>
          <w:tcPr>
            <w:tcW w:w="1097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1"/>
              <w:spacing w:before="79" w:line="188" w:lineRule="auto"/>
              <w:rPr/>
            </w:pPr>
            <w:r>
              <w:rPr>
                <w:spacing w:val="3"/>
              </w:rPr>
              <w:t>5.4614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0"/>
              <w:spacing w:before="79" w:line="188" w:lineRule="auto"/>
              <w:rPr/>
            </w:pPr>
            <w:r>
              <w:rPr>
                <w:spacing w:val="3"/>
              </w:rPr>
              <w:t>0.0159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1"/>
              <w:spacing w:before="79" w:line="188" w:lineRule="auto"/>
              <w:rPr/>
            </w:pPr>
            <w:r>
              <w:rPr>
                <w:spacing w:val="3"/>
              </w:rPr>
              <w:t>7.2760</w:t>
            </w:r>
          </w:p>
        </w:tc>
        <w:tc>
          <w:tcPr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3"/>
              <w:spacing w:before="79" w:line="188" w:lineRule="auto"/>
              <w:rPr/>
            </w:pPr>
            <w:r>
              <w:rPr>
                <w:spacing w:val="3"/>
              </w:rPr>
              <w:t>5.4614</w:t>
            </w:r>
          </w:p>
        </w:tc>
        <w:tc>
          <w:tcPr>
            <w:tcW w:w="143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2"/>
              <w:spacing w:before="79" w:line="188" w:lineRule="auto"/>
              <w:rPr/>
            </w:pPr>
            <w:r>
              <w:rPr>
                <w:spacing w:val="3"/>
              </w:rPr>
              <w:t>0.8976</w:t>
            </w:r>
          </w:p>
        </w:tc>
      </w:tr>
      <w:tr>
        <w:trPr>
          <w:trHeight w:val="247" w:hRule="atLeast"/>
        </w:trPr>
        <w:tc>
          <w:tcPr>
            <w:shd w:val="clear" w:fill="F2F4F6"/>
            <w:tcW w:w="1770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831"/>
              <w:spacing w:before="77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shd w:val="clear" w:fill="F2F4F6"/>
            <w:tcW w:w="1097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6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32"/>
              <w:spacing w:before="79" w:line="188" w:lineRule="auto"/>
              <w:rPr/>
            </w:pPr>
            <w:r>
              <w:rPr>
                <w:spacing w:val="4"/>
              </w:rPr>
              <w:t>&lt;0.05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0"/>
              <w:spacing w:before="79" w:line="188" w:lineRule="auto"/>
              <w:rPr/>
            </w:pPr>
            <w:r>
              <w:rPr>
                <w:spacing w:val="3"/>
              </w:rPr>
              <w:t>0.8997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33"/>
              <w:spacing w:before="79" w:line="188" w:lineRule="auto"/>
              <w:rPr/>
            </w:pPr>
            <w:r>
              <w:rPr>
                <w:spacing w:val="4"/>
              </w:rPr>
              <w:t>&lt;0.05</w:t>
            </w:r>
          </w:p>
        </w:tc>
        <w:tc>
          <w:tcPr>
            <w:shd w:val="clear" w:fill="F2F4F6"/>
            <w:tcW w:w="143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34"/>
              <w:spacing w:before="79" w:line="188" w:lineRule="auto"/>
              <w:rPr/>
            </w:pPr>
            <w:r>
              <w:rPr>
                <w:spacing w:val="4"/>
              </w:rPr>
              <w:t>&lt;0.05</w:t>
            </w:r>
          </w:p>
        </w:tc>
        <w:tc>
          <w:tcPr>
            <w:shd w:val="clear" w:fill="F2F4F6"/>
            <w:tcW w:w="143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34"/>
              <w:spacing w:before="79" w:line="188" w:lineRule="auto"/>
              <w:rPr/>
            </w:pPr>
            <w:r>
              <w:rPr>
                <w:spacing w:val="4"/>
              </w:rPr>
              <w:t>&gt;0.05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ind w:left="429"/>
        <w:spacing w:before="61" w:line="201" w:lineRule="exact"/>
        <w:rPr>
          <w:rFonts w:ascii="Candara" w:hAnsi="Candara" w:eastAsia="Candara" w:cs="Candara"/>
          <w:sz w:val="14"/>
          <w:szCs w:val="14"/>
        </w:rPr>
      </w:pPr>
      <w:r>
        <w:rPr>
          <w:rFonts w:ascii="Georgia" w:hAnsi="Georgia" w:eastAsia="Georgia" w:cs="Georgia"/>
          <w:sz w:val="16"/>
          <w:szCs w:val="16"/>
          <w:color w:val="800072"/>
          <w:position w:val="12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  <w:position w:val="1"/>
        </w:rPr>
        <w:t>126</w:t>
      </w:r>
      <w:r>
        <w:rPr>
          <w:rFonts w:ascii="Georgia" w:hAnsi="Georgia" w:eastAsia="Georgia" w:cs="Georgia"/>
          <w:sz w:val="16"/>
          <w:szCs w:val="16"/>
          <w:color w:val="800072"/>
          <w:spacing w:val="1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position w:val="1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6"/>
          <w:position w:val="1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6"/>
          <w:position w:val="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Information</w:t>
      </w:r>
    </w:p>
    <w:p>
      <w:pPr>
        <w:spacing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18" style="position:absolute;margin-left:46.4pt;margin-top:9.9996pt;mso-position-vertical-relative:text;mso-position-horizontal-relative:text;width:0pt;height:0pt;z-index:251663360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6158"/>
          <w:pgMar w:top="1" w:right="858" w:bottom="0" w:left="432" w:header="0" w:footer="0" w:gutter="0"/>
          <w:cols w:equalWidth="0" w:num="1">
            <w:col w:w="10616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before="1"/>
        <w:rPr/>
      </w:pPr>
      <w:r/>
    </w:p>
    <w:p>
      <w:pPr>
        <w:rPr/>
      </w:pPr>
      <w:r/>
    </w:p>
    <w:p>
      <w:pPr>
        <w:sectPr>
          <w:headerReference w:type="default" r:id="rId5"/>
          <w:pgSz w:w="11906" w:h="16158"/>
          <w:pgMar w:top="1191" w:right="684" w:bottom="0" w:left="432" w:header="0" w:footer="0" w:gutter="0"/>
          <w:cols w:equalWidth="0" w:num="1">
            <w:col w:w="10790" w:space="0"/>
          </w:cols>
        </w:sectPr>
        <w:rPr/>
      </w:pPr>
    </w:p>
    <w:p>
      <w:pPr>
        <w:pStyle w:val="BodyText"/>
        <w:ind w:left="590" w:right="185" w:firstLine="3"/>
        <w:spacing w:before="33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叠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8"/>
        </w:rPr>
        <w:t>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种，其中原发性肠套叠占比达到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8"/>
        </w:rPr>
        <w:t>95%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，患儿套叠肠管周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围并无器质性病变。如果患儿为不典型肠套叠仅依靠患儿临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床症状难以对患儿病情进行准确判断，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导致患儿错过最佳治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疗时间，引发严重并发症，严重影响患儿预后。</w:t>
      </w:r>
    </w:p>
    <w:p>
      <w:pPr>
        <w:pStyle w:val="BodyText"/>
        <w:ind w:left="590" w:right="22" w:firstLine="417"/>
        <w:spacing w:before="26" w:line="24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目前，在小儿肠套叠诊断中主要借助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5"/>
        </w:rPr>
        <w:t>X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射线透视进行空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气灌肠复位对患儿病情进行判断， 但这种检查方式会受到患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儿肠存活力、肠套叠病因等因素影响，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在小儿肠套叠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早期诊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断中存在一定限制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0"/>
          <w:szCs w:val="10"/>
          <w:spacing w:val="7"/>
          <w:position w:val="6"/>
        </w:rPr>
        <w:t>[4]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。近年来，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超声在腹部疾病诊断中广泛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应用，在诊断过程中通过对机体组织进行超声波发射，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再对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发射的超声波进行收集、分析，</w:t>
      </w:r>
      <w:r>
        <w:rPr>
          <w:rFonts w:ascii="Microsoft YaHei" w:hAnsi="Microsoft YaHei" w:eastAsia="Microsoft YaHei" w:cs="Microsoft YaHei"/>
          <w:sz w:val="18"/>
          <w:szCs w:val="18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从而判断组织病变情况，  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析套筒征、混合性肿块、肠套叠超声声像图特征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7"/>
          <w:position w:val="6"/>
        </w:rPr>
        <w:t>[5]</w:t>
      </w:r>
      <w:r>
        <w:rPr>
          <w:sz w:val="10"/>
          <w:szCs w:val="10"/>
          <w:spacing w:val="-3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但是在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肠套叠具体部位病变情况诊断时，低频超声检查清晰度不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佳，加之，肠道生理解剖结构比较特殊，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比较弯曲，诊断结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果准确率难以保障， 容易发生误诊、漏诊。患儿如果症状疑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似肠套叠，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可以通过高频超声对患儿病情进行诊断，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借助高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频超声能更加清晰地观察到肠管壁中非常细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小的病变，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儿肠套叠诊断中高频超声特异性强，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准确率高。高频超声可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以对长短轴切面进行扫查，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能更加直观的观察到患儿肠管扩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张情况及套叠肠管鞘部、套入部，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为临床医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生判断患儿病情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提供更多参考性依据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0"/>
          <w:szCs w:val="10"/>
          <w:spacing w:val="5"/>
          <w:position w:val="6"/>
        </w:rPr>
        <w:t>[6]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。相较于低频超声，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高频超声分辨率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更高，但是单独应用低频超声或者高频超声对肠套叠患儿病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情进行诊断，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容易受长期干扰， 影响诊断结果准确性，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为进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一步提高小儿肠套叠诊断准确性，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可以将低频超声和高频超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声联合起来使用， 二者相互弥补，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可以提高诊断信息可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靠性。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研究表明，在小儿肠套叠诊断中低频联合高频超声可以检出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同心圆征、混合性肿块、肠壁水肿、套筒征等典型声像征。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分析其原因主要是加入高频超声后，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探头频率更高，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肠套叠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部位病变图像质量更高，  因此，能更清晰、准确地判断肠套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叠典型声像征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0"/>
          <w:szCs w:val="10"/>
          <w:spacing w:val="8"/>
          <w:position w:val="6"/>
        </w:rPr>
        <w:t>[7]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。本研究中分别使用日立</w:t>
      </w:r>
      <w:r>
        <w:rPr>
          <w:sz w:val="18"/>
          <w:szCs w:val="18"/>
          <w:spacing w:val="8"/>
        </w:rPr>
        <w:t>/</w:t>
      </w:r>
      <w:r>
        <w:rPr>
          <w:sz w:val="18"/>
          <w:szCs w:val="18"/>
        </w:rPr>
        <w:t>HI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VISION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AVIUS 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彩色超声低频诊断仪和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</w:rPr>
        <w:t>GE</w:t>
      </w:r>
      <w:r>
        <w:rPr>
          <w:sz w:val="18"/>
          <w:szCs w:val="18"/>
          <w:spacing w:val="11"/>
        </w:rPr>
        <w:t>/</w:t>
      </w:r>
      <w:r>
        <w:rPr>
          <w:sz w:val="18"/>
          <w:szCs w:val="18"/>
        </w:rPr>
        <w:t>LOGIQ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</w:rPr>
        <w:t>E</w:t>
      </w:r>
      <w:r>
        <w:rPr>
          <w:sz w:val="18"/>
          <w:szCs w:val="18"/>
          <w:spacing w:val="11"/>
        </w:rPr>
        <w:t>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彩色超声高频诊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断仪，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探头频率参数分别调整为</w:t>
      </w:r>
      <w:r>
        <w:rPr>
          <w:sz w:val="18"/>
          <w:szCs w:val="18"/>
          <w:spacing w:val="9"/>
        </w:rPr>
        <w:t>4~7</w:t>
      </w:r>
      <w:r>
        <w:rPr>
          <w:sz w:val="18"/>
          <w:szCs w:val="18"/>
        </w:rPr>
        <w:t>MHz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、</w:t>
      </w:r>
      <w:r>
        <w:rPr>
          <w:sz w:val="18"/>
          <w:szCs w:val="18"/>
          <w:spacing w:val="9"/>
        </w:rPr>
        <w:t>7~12</w:t>
      </w:r>
      <w:r>
        <w:rPr>
          <w:sz w:val="18"/>
          <w:szCs w:val="18"/>
        </w:rPr>
        <w:t>MHz</w:t>
      </w:r>
      <w:r>
        <w:rPr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对患儿进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行诊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断发现，高频超声诊断图像分辨率有了明显的提升，</w:t>
      </w:r>
      <w:r>
        <w:rPr>
          <w:rFonts w:ascii="Microsoft YaHei" w:hAnsi="Microsoft YaHei" w:eastAsia="Microsoft YaHei" w:cs="Microsoft YaHei"/>
          <w:sz w:val="18"/>
          <w:szCs w:val="18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可以进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一步提升诊断结果准确性。观察发现，</w:t>
      </w:r>
      <w:r>
        <w:rPr>
          <w:sz w:val="18"/>
          <w:szCs w:val="18"/>
          <w:spacing w:val="6"/>
        </w:rPr>
        <w:t>83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例疑似小儿肠套叠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患儿经</w:t>
      </w:r>
      <w:r>
        <w:rPr>
          <w:sz w:val="18"/>
          <w:szCs w:val="18"/>
          <w:spacing w:val="7"/>
        </w:rPr>
        <w:t>X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射线钡灌肠检查</w:t>
      </w:r>
      <w:r>
        <w:rPr>
          <w:sz w:val="18"/>
          <w:szCs w:val="18"/>
          <w:spacing w:val="7"/>
        </w:rPr>
        <w:t>60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例确诊为小儿肠套叠，所占比例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" w:firstLine="6"/>
        <w:spacing w:before="23" w:line="24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为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"/>
        </w:rPr>
        <w:t>72.29%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，</w:t>
      </w:r>
      <w:r>
        <w:rPr>
          <w:sz w:val="18"/>
          <w:szCs w:val="18"/>
          <w:spacing w:val="2"/>
        </w:rPr>
        <w:t>23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例判断为非小儿肠套叠，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所占比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例为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"/>
        </w:rPr>
        <w:t>27.71%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sz w:val="18"/>
          <w:szCs w:val="18"/>
          <w:spacing w:val="6"/>
        </w:rPr>
        <w:t>83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例疑似小儿肠套叠患儿经低频超声检查</w:t>
      </w:r>
      <w:r>
        <w:rPr>
          <w:sz w:val="18"/>
          <w:szCs w:val="18"/>
          <w:spacing w:val="6"/>
        </w:rPr>
        <w:t>53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例为真阳性，</w:t>
      </w:r>
      <w:r>
        <w:rPr>
          <w:sz w:val="18"/>
          <w:szCs w:val="18"/>
          <w:spacing w:val="6"/>
        </w:rPr>
        <w:t>19</w:t>
      </w:r>
      <w:r>
        <w:rPr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例为真阴性，经高频、低频超声联合检查，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8"/>
        </w:rPr>
        <w:t>60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例为真阳性，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22</w:t>
      </w:r>
      <w:r>
        <w:rPr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例为真阴性；</w:t>
      </w:r>
      <w:r>
        <w:rPr>
          <w:sz w:val="18"/>
          <w:szCs w:val="18"/>
          <w:spacing w:val="3"/>
        </w:rPr>
        <w:t>79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例有典型肠套叠超声声像图特征，</w:t>
      </w:r>
      <w:r>
        <w:rPr>
          <w:sz w:val="18"/>
          <w:szCs w:val="18"/>
          <w:spacing w:val="3"/>
        </w:rPr>
        <w:t>79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例均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具有同心圆特征， </w:t>
      </w:r>
      <w:r>
        <w:rPr>
          <w:sz w:val="18"/>
          <w:szCs w:val="18"/>
          <w:spacing w:val="1"/>
        </w:rPr>
        <w:t>4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例存在混合型包块， </w:t>
      </w:r>
      <w:r>
        <w:rPr>
          <w:sz w:val="18"/>
          <w:szCs w:val="18"/>
          <w:spacing w:val="1"/>
        </w:rPr>
        <w:t>7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例存在套筒征；低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频超声单独检查灵敏度为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7"/>
        </w:rPr>
        <w:t>88.33%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，特异度为 </w:t>
      </w:r>
      <w:r>
        <w:rPr>
          <w:sz w:val="18"/>
          <w:szCs w:val="18"/>
          <w:spacing w:val="7"/>
        </w:rPr>
        <w:t>82.61%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，准确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度为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5"/>
        </w:rPr>
        <w:t>86.75%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，漏诊率为 </w:t>
      </w:r>
      <w:r>
        <w:rPr>
          <w:sz w:val="18"/>
          <w:szCs w:val="18"/>
          <w:spacing w:val="5"/>
        </w:rPr>
        <w:t>11.67%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，误诊率为 </w:t>
      </w:r>
      <w:r>
        <w:rPr>
          <w:sz w:val="18"/>
          <w:szCs w:val="18"/>
          <w:spacing w:val="5"/>
        </w:rPr>
        <w:t>17.39%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；高频超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声与低频超声联合检查灵敏度为 </w:t>
      </w:r>
      <w:r>
        <w:rPr>
          <w:sz w:val="18"/>
          <w:szCs w:val="18"/>
          <w:spacing w:val="4"/>
        </w:rPr>
        <w:t>100.00%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，特异度为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4"/>
        </w:rPr>
        <w:t>95.65%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准确度为</w:t>
      </w:r>
      <w:r>
        <w:rPr>
          <w:rFonts w:ascii="Microsoft YaHei" w:hAnsi="Microsoft YaHei" w:eastAsia="Microsoft YaHei" w:cs="Microsoft YaHei"/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7"/>
        </w:rPr>
        <w:t>98.80%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，漏诊率为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7"/>
        </w:rPr>
        <w:t>0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，误诊率为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7"/>
        </w:rPr>
        <w:t>4.35%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；低频超声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单独检查和高频超声与低频超声联合检查误诊率、特异度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对比无明显差异（</w:t>
      </w:r>
      <w:r>
        <w:rPr>
          <w:sz w:val="18"/>
          <w:szCs w:val="18"/>
          <w:i/>
          <w:iCs/>
          <w:spacing w:val="10"/>
        </w:rPr>
        <w:t>P</w:t>
      </w:r>
      <w:r>
        <w:rPr>
          <w:sz w:val="18"/>
          <w:szCs w:val="18"/>
          <w:spacing w:val="10"/>
        </w:rPr>
        <w:t>&gt;0.05</w:t>
      </w:r>
      <w:r>
        <w:rPr>
          <w:rFonts w:ascii="Microsoft YaHei" w:hAnsi="Microsoft YaHei" w:eastAsia="Microsoft YaHei" w:cs="Microsoft YaHei"/>
          <w:sz w:val="18"/>
          <w:szCs w:val="18"/>
          <w:spacing w:val="-3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高频超声与低频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超声联合检查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准确度、灵敏度明显比低频超声单独检查高（</w:t>
      </w:r>
      <w:r>
        <w:rPr>
          <w:sz w:val="18"/>
          <w:szCs w:val="18"/>
          <w:i/>
          <w:iCs/>
          <w:spacing w:val="10"/>
        </w:rPr>
        <w:t>P</w:t>
      </w:r>
      <w:r>
        <w:rPr>
          <w:sz w:val="18"/>
          <w:szCs w:val="18"/>
          <w:spacing w:val="10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诊率比低频超声单独检查低（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）。结果数据进一步表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明，在小儿肠套叠诊断中低频联合高频超声诊断比单一的低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频超声诊断更加具有诊断优势。但是需要注意的是在检查过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程中要避免患儿哭闹，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以免血流信号受到影响， 进而影响到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检查结果准确性。借助超声波可以清晰观察到患儿套入肠壁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存在回声减低、水肿情况，  如果相较于正常群体，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肠壁中血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流增多，无肠间隙游离液症状，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则为单纯性肠套叠，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患儿经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过空气灌肠复位治疗病情可以得到良好改善。但是如果患者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套入部分肠管壁回声下降，</w:t>
      </w:r>
      <w:r>
        <w:rPr>
          <w:rFonts w:ascii="Microsoft YaHei" w:hAnsi="Microsoft YaHei" w:eastAsia="Microsoft YaHei" w:cs="Microsoft YaHei"/>
          <w:sz w:val="18"/>
          <w:szCs w:val="18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存在明显的增厚， 在空气灌肠复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位治疗过程中需要密切对患者相关症状、生命体征进行监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测，如果患儿套叠肠管结构比较模糊，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局部肠壁出现明显的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水肿增厚，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肠壁血流信号完全消失，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且存在肠蠕动减弱、腹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腔积液，可能患儿病情比较危重，  已经出现肠穿孔、肠坏死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等情况，应及时采取手术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sz w:val="10"/>
          <w:szCs w:val="10"/>
          <w:spacing w:val="7"/>
          <w:position w:val="6"/>
        </w:rPr>
        <w:t>[8]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</w:p>
    <w:p>
      <w:pPr>
        <w:ind w:firstLine="380"/>
        <w:spacing w:before="7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综上所述，低频联合高频超声诊断小儿肠套叠不会对患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儿机体造成创伤， 无禁忌症，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无辐射，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价格低廉，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可以重复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进行操作，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可以准确观察到套筒征、同心圆征、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混合性肿块、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肠壁水肿及其他肠套叠典型声像征，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准确对患儿病情进行诊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断，具有非常高的应用价值。但是本研究因为研究时间限制，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抽取样本量较少， 研究结果准确性还有待提升，</w:t>
      </w:r>
      <w:r>
        <w:rPr>
          <w:rFonts w:ascii="Microsoft YaHei" w:hAnsi="Microsoft YaHei" w:eastAsia="Microsoft YaHei" w:cs="Microsoft YaHei"/>
          <w:sz w:val="18"/>
          <w:szCs w:val="18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后续可以将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研究时间延长，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进一步扩大样本量，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从而提升研究结果准确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性，为小儿肠套叠诊断、治疗提供更多参考依据。</w:t>
      </w:r>
    </w:p>
    <w:p>
      <w:pPr>
        <w:spacing w:line="248" w:lineRule="auto"/>
        <w:sectPr>
          <w:type w:val="continuous"/>
          <w:pgSz w:w="11906" w:h="16158"/>
          <w:pgMar w:top="1191" w:right="684" w:bottom="0" w:left="432" w:header="0" w:footer="0" w:gutter="0"/>
          <w:cols w:equalWidth="0" w:num="2">
            <w:col w:w="5650" w:space="100"/>
            <w:col w:w="5040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firstLine="588"/>
        <w:spacing w:line="2176" w:lineRule="exact"/>
        <w:rPr/>
      </w:pPr>
      <w:r>
        <w:rPr>
          <w:position w:val="-43"/>
        </w:rPr>
        <w:pict>
          <v:group id="_x0000_s20" style="mso-position-vertical-relative:line;mso-position-horizontal-relative:char;width:501.75pt;height:108.8pt;" filled="false" stroked="false" coordsize="10035,2176" coordorigin="0,0">
            <v:rect id="_x0000_s22" style="position:absolute;left:0;top:0;width:10035;height:2176;" fillcolor="#EDF0F2" filled="true" stroked="false"/>
            <v:shape id="_x0000_s24" style="position:absolute;left:39;top:49;width:7617;height:19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29"/>
                      <w:spacing w:before="89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闫明惠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李学广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张宁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频超声联合低频超声诊断小儿肠套叠的效能分析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中国实用医刊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,2022,49(14):86-89.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[2]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王佳慧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袁二伟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低频联合高频超声对小儿肠套叠的诊断效果研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影像科学与光化学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,2020,38(5):906-909.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庞志英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万娜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张淑红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高频超声结合彩色多普勒经腹超声对小儿肠套叠的诊断价值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医疗装备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,2022,35(8):28-30.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[4]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柏禹竹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汪雪雁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唐玉英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高低频超声结合在诊断小儿肠套叠中的应用价值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分子影像学杂志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,2022,45(5):697-700.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周华媛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许少媚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陈启红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高频彩色多普勒超声在诊断小儿肠套叠的临床价值分析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中外医学研究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,2021,19(1):86-88.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[6]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郭丽丽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赖绮玲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阎光辉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高频超声检查在小儿肠套叠诊断中的应用价值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中国医药科学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,2020,10(5):208-21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>0,218.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[7]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成宇璐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赖东霞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梁丽萍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高频超声探头检查在小儿急性腹部疾病诊断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中的应用价值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中外医学研究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,2020,18(30):64-66.</w:t>
                    </w:r>
                  </w:p>
                  <w:p>
                    <w:pPr>
                      <w:ind w:left="29"/>
                      <w:spacing w:before="25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[8]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郑宗杰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曲振鹏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廖春旭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频彩色多普勒超声在诊断小儿肠套叠的临床价值分析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,2023,32(2):363-365.</w:t>
                    </w:r>
                  </w:p>
                </w:txbxContent>
              </v:textbox>
            </v:shape>
            <v:group id="_x0000_s26" style="position:absolute;left:56;top:353;width:9922;height:10;" filled="false" stroked="false" coordsize="9922,10" coordorigin="0,0">
              <v:shape id="_x0000_s28" style="position:absolute;left:19;top:0;width:9892;height:10;" filled="false" strokecolor="#00A0E9" strokeweight="0.50pt" coordsize="9892,10" coordorigin="0,0" path="m5,5l9886,5e">
                <v:stroke dashstyle="dash" endcap="round" miterlimit="10"/>
              </v:shape>
              <v:shape id="_x0000_s30" style="position:absolute;left:0;top:0;width:9922;height:10;" filled="false" strokecolor="#00A0E9" strokeweight="0.50pt" coordsize="9922,10" coordorigin="0,0" path="m5,5l5,5m9916,5l9916,5e">
                <v:stroke endcap="round" miterlimit="10"/>
              </v:shape>
            </v:group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795"/>
        <w:spacing w:before="60" w:line="195" w:lineRule="exact"/>
        <w:rPr>
          <w:rFonts w:ascii="Georgia" w:hAnsi="Georgia" w:eastAsia="Georgia" w:cs="Georgia"/>
          <w:sz w:val="16"/>
          <w:szCs w:val="16"/>
        </w:rPr>
      </w:pP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Information 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position w:val="1"/>
        </w:rPr>
        <w:t>中国医疗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  <w:position w:val="1"/>
        </w:rPr>
        <w:t>器械信息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"/>
        </w:rPr>
        <w:t>127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2"/>
        </w:rPr>
        <w:t>.</w:t>
      </w:r>
    </w:p>
    <w:p>
      <w:pPr>
        <w:spacing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32" style="position:absolute;margin-left:46.4pt;margin-top:10pt;mso-position-vertical-relative:text;mso-position-horizontal-relative:text;width:0pt;height:0pt;z-index:251664384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sectPr>
      <w:type w:val="continuous"/>
      <w:pgSz w:w="11906" w:h="16158"/>
      <w:pgMar w:top="1191" w:right="684" w:bottom="0" w:left="432" w:header="0" w:footer="0" w:gutter="0"/>
      <w:cols w:equalWidth="0" w:num="1">
        <w:col w:w="107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8" w:lineRule="auto"/>
      <w:rPr>
        <w:rFonts w:ascii="Arial"/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7016825</wp:posOffset>
          </wp:positionH>
          <wp:positionV relativeFrom="page">
            <wp:posOffset>0</wp:posOffset>
          </wp:positionV>
          <wp:extent cx="6350" cy="7200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spacing w:line="299" w:lineRule="auto"/>
      <w:rPr>
        <w:rFonts w:ascii="Arial"/>
        <w:sz w:val="21"/>
      </w:rPr>
    </w:pPr>
    <w:r/>
  </w:p>
  <w:p>
    <w:pPr>
      <w:ind w:left="9138"/>
      <w:spacing w:before="103" w:line="167" w:lineRule="auto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b/>
        <w:bCs/>
        <w:spacing w:val="-2"/>
      </w:rPr>
      <w:t>临床应用研究</w:t>
    </w:r>
  </w:p>
  <w:p>
    <w:pPr>
      <w:pStyle w:val="BodyText"/>
      <w:ind w:left="8769"/>
      <w:spacing w:line="204" w:lineRule="auto"/>
      <w:rPr>
        <w:sz w:val="16"/>
        <w:szCs w:val="16"/>
      </w:rPr>
    </w:pPr>
    <w:r>
      <w:rPr>
        <w:sz w:val="16"/>
        <w:szCs w:val="16"/>
        <w:color w:val="00A0E9"/>
        <w:spacing w:val="-5"/>
      </w:rPr>
      <w:t>Clinical Application Research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2025-03-17T22:08:54Z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2025-10-28T21:24:27</vt:filetime>
  </property>
</Properties>
</file>