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840" w:right="5653" w:hanging="28"/>
        <w:spacing w:before="58" w:line="256" w:lineRule="auto"/>
        <w:rPr>
          <w:sz w:val="14"/>
          <w:szCs w:val="14"/>
        </w:rPr>
      </w:pPr>
      <w:r>
        <w:rPr>
          <w:color w:val="231F20"/>
          <w:spacing w:val="5"/>
        </w:rPr>
        <w:t>江西中医药大学学报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2022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月第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34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卷第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期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  <w:w w:val="92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  <w:w w:val="9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  <w:w w:val="92"/>
        </w:rPr>
        <w:t>JIANGXI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  <w:w w:val="92"/>
        </w:rPr>
        <w:t>UNIVERSITY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w w:val="9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w w:val="92"/>
        </w:rPr>
        <w:t>CM  </w:t>
      </w:r>
      <w:r>
        <w:rPr>
          <w:sz w:val="14"/>
          <w:szCs w:val="14"/>
          <w:color w:val="231F20"/>
          <w:w w:val="92"/>
        </w:rPr>
        <w:t>2022</w:t>
      </w:r>
      <w:r>
        <w:rPr>
          <w:sz w:val="14"/>
          <w:szCs w:val="14"/>
          <w:color w:val="231F20"/>
          <w:spacing w:val="-34"/>
        </w:rPr>
        <w:t xml:space="preserve"> </w:t>
      </w:r>
      <w:r>
        <w:rPr>
          <w:sz w:val="14"/>
          <w:szCs w:val="14"/>
          <w:color w:val="231F20"/>
          <w:w w:val="92"/>
        </w:rPr>
        <w:t>Vol.</w:t>
      </w:r>
      <w:r>
        <w:rPr>
          <w:sz w:val="14"/>
          <w:szCs w:val="14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w w:val="92"/>
        </w:rPr>
        <w:t>34</w:t>
      </w:r>
      <w:r>
        <w:rPr>
          <w:sz w:val="14"/>
          <w:szCs w:val="14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w w:val="92"/>
        </w:rPr>
        <w:t>No.3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17" w:right="72" w:hanging="239"/>
        <w:spacing w:before="133" w:line="210" w:lineRule="auto"/>
        <w:rPr>
          <w:sz w:val="41"/>
          <w:szCs w:val="41"/>
        </w:rPr>
      </w:pPr>
      <w:r>
        <w:rPr>
          <w:sz w:val="41"/>
          <w:szCs w:val="41"/>
          <w:b/>
          <w:bCs/>
          <w:color w:val="231F20"/>
          <w:spacing w:val="-4"/>
        </w:rPr>
        <w:t>《不完全性肠梗阻中医临床诊疗专家共识》临床一致性</w:t>
      </w:r>
      <w:r>
        <w:rPr>
          <w:sz w:val="41"/>
          <w:szCs w:val="41"/>
          <w:color w:val="231F20"/>
          <w:spacing w:val="17"/>
        </w:rPr>
        <w:t xml:space="preserve"> </w:t>
      </w:r>
      <w:r>
        <w:rPr>
          <w:sz w:val="41"/>
          <w:szCs w:val="41"/>
          <w:b/>
          <w:bCs/>
          <w:color w:val="231F20"/>
          <w:spacing w:val="-6"/>
        </w:rPr>
        <w:t>再评价研究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814" w:right="69" w:firstLine="22"/>
        <w:spacing w:before="72" w:line="246" w:lineRule="auto"/>
        <w:jc w:val="both"/>
        <w:rPr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★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 xml:space="preserve">  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李志田</w:t>
      </w:r>
      <w:r>
        <w:rPr>
          <w:rFonts w:ascii="KaiTi" w:hAnsi="KaiTi" w:eastAsia="KaiTi" w:cs="KaiTi"/>
          <w:sz w:val="22"/>
          <w:szCs w:val="22"/>
          <w:color w:val="231F20"/>
          <w:spacing w:val="-39"/>
          <w:position w:val="-2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1    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李龙华</w:t>
      </w:r>
      <w:r>
        <w:rPr>
          <w:rFonts w:ascii="KaiTi" w:hAnsi="KaiTi" w:eastAsia="KaiTi" w:cs="KaiTi"/>
          <w:sz w:val="22"/>
          <w:szCs w:val="22"/>
          <w:color w:val="231F20"/>
          <w:spacing w:val="-50"/>
          <w:position w:val="-2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2,3     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江一平</w:t>
      </w:r>
      <w:r>
        <w:rPr>
          <w:rFonts w:ascii="KaiTi" w:hAnsi="KaiTi" w:eastAsia="KaiTi" w:cs="KaiTi"/>
          <w:sz w:val="22"/>
          <w:szCs w:val="22"/>
          <w:color w:val="231F20"/>
          <w:spacing w:val="-49"/>
          <w:position w:val="-2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2,3    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王木兰</w:t>
      </w:r>
      <w:r>
        <w:rPr>
          <w:rFonts w:ascii="KaiTi" w:hAnsi="KaiTi" w:eastAsia="KaiTi" w:cs="KaiTi"/>
          <w:sz w:val="22"/>
          <w:szCs w:val="22"/>
          <w:color w:val="231F20"/>
          <w:spacing w:val="-52"/>
          <w:position w:val="-2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4    </w:t>
      </w:r>
      <w:r>
        <w:rPr>
          <w:rFonts w:ascii="KaiTi" w:hAnsi="KaiTi" w:eastAsia="KaiTi" w:cs="KaiTi"/>
          <w:sz w:val="22"/>
          <w:szCs w:val="22"/>
          <w:color w:val="231F20"/>
          <w:spacing w:val="-3"/>
          <w:position w:val="-2"/>
        </w:rPr>
        <w:t>华石瑶</w:t>
      </w:r>
      <w:r>
        <w:rPr>
          <w:rFonts w:ascii="KaiTi" w:hAnsi="KaiTi" w:eastAsia="KaiTi" w:cs="KaiTi"/>
          <w:sz w:val="22"/>
          <w:szCs w:val="22"/>
          <w:color w:val="231F20"/>
          <w:spacing w:val="-49"/>
          <w:position w:val="-2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2,3   </w:t>
      </w:r>
      <w:r>
        <w:rPr>
          <w:sz w:val="12"/>
          <w:szCs w:val="12"/>
          <w:color w:val="231F20"/>
          <w:spacing w:val="-4"/>
          <w:position w:val="8"/>
        </w:rPr>
        <w:t xml:space="preserve"> </w:t>
      </w:r>
      <w:r>
        <w:rPr>
          <w:rFonts w:ascii="KaiTi" w:hAnsi="KaiTi" w:eastAsia="KaiTi" w:cs="KaiTi"/>
          <w:sz w:val="22"/>
          <w:szCs w:val="22"/>
          <w:color w:val="231F20"/>
          <w:spacing w:val="-4"/>
          <w:position w:val="-2"/>
        </w:rPr>
        <w:t>胡佳</w:t>
      </w:r>
      <w:r>
        <w:rPr>
          <w:rFonts w:ascii="KaiTi" w:hAnsi="KaiTi" w:eastAsia="KaiTi" w:cs="KaiTi"/>
          <w:sz w:val="22"/>
          <w:szCs w:val="22"/>
          <w:color w:val="231F20"/>
          <w:spacing w:val="-50"/>
          <w:position w:val="-2"/>
        </w:rPr>
        <w:t xml:space="preserve"> </w:t>
      </w:r>
      <w:r>
        <w:rPr>
          <w:sz w:val="12"/>
          <w:szCs w:val="12"/>
          <w:color w:val="231F20"/>
          <w:spacing w:val="-4"/>
          <w:position w:val="8"/>
        </w:rPr>
        <w:t>2,3    </w:t>
      </w:r>
      <w:r>
        <w:rPr>
          <w:rFonts w:ascii="KaiTi" w:hAnsi="KaiTi" w:eastAsia="KaiTi" w:cs="KaiTi"/>
          <w:sz w:val="22"/>
          <w:szCs w:val="22"/>
          <w:color w:val="231F20"/>
          <w:spacing w:val="-4"/>
          <w:position w:val="-2"/>
        </w:rPr>
        <w:t>邓长卿</w:t>
      </w:r>
      <w:r>
        <w:rPr>
          <w:rFonts w:ascii="KaiTi" w:hAnsi="KaiTi" w:eastAsia="KaiTi" w:cs="KaiTi"/>
          <w:sz w:val="22"/>
          <w:szCs w:val="22"/>
          <w:color w:val="231F20"/>
          <w:spacing w:val="-49"/>
          <w:position w:val="-2"/>
        </w:rPr>
        <w:t xml:space="preserve"> </w:t>
      </w:r>
      <w:r>
        <w:rPr>
          <w:sz w:val="12"/>
          <w:szCs w:val="12"/>
          <w:color w:val="231F20"/>
          <w:spacing w:val="-4"/>
          <w:position w:val="8"/>
        </w:rPr>
        <w:t>2,3    </w:t>
      </w:r>
      <w:r>
        <w:rPr>
          <w:rFonts w:ascii="KaiTi" w:hAnsi="KaiTi" w:eastAsia="KaiTi" w:cs="KaiTi"/>
          <w:sz w:val="22"/>
          <w:szCs w:val="22"/>
          <w:color w:val="231F20"/>
          <w:spacing w:val="-4"/>
          <w:position w:val="-2"/>
        </w:rPr>
        <w:t>许嵩</w:t>
      </w:r>
      <w:r>
        <w:rPr>
          <w:rFonts w:ascii="KaiTi" w:hAnsi="KaiTi" w:eastAsia="KaiTi" w:cs="KaiTi"/>
          <w:sz w:val="22"/>
          <w:szCs w:val="22"/>
          <w:color w:val="231F20"/>
          <w:spacing w:val="-49"/>
          <w:position w:val="-2"/>
        </w:rPr>
        <w:t xml:space="preserve"> </w:t>
      </w:r>
      <w:r>
        <w:rPr>
          <w:sz w:val="12"/>
          <w:szCs w:val="12"/>
          <w:color w:val="231F20"/>
          <w:spacing w:val="-4"/>
          <w:position w:val="8"/>
        </w:rPr>
        <w:t>2,3</w:t>
      </w:r>
      <w:r>
        <w:rPr>
          <w:sz w:val="22"/>
          <w:szCs w:val="22"/>
          <w:color w:val="231F20"/>
          <w:spacing w:val="-4"/>
          <w:position w:val="-2"/>
        </w:rPr>
        <w:t>（1.</w:t>
      </w:r>
      <w:r>
        <w:rPr>
          <w:sz w:val="22"/>
          <w:szCs w:val="22"/>
          <w:color w:val="231F20"/>
          <w:spacing w:val="-44"/>
          <w:position w:val="-2"/>
        </w:rPr>
        <w:t xml:space="preserve"> </w:t>
      </w:r>
      <w:r>
        <w:rPr>
          <w:sz w:val="22"/>
          <w:szCs w:val="22"/>
          <w:color w:val="231F20"/>
          <w:spacing w:val="-4"/>
          <w:position w:val="-2"/>
        </w:rPr>
        <w:t>江西中</w:t>
      </w:r>
      <w:r>
        <w:rPr>
          <w:sz w:val="22"/>
          <w:szCs w:val="22"/>
          <w:color w:val="231F20"/>
          <w:position w:val="-2"/>
        </w:rPr>
        <w:t xml:space="preserve"> </w:t>
      </w:r>
      <w:r>
        <w:rPr>
          <w:sz w:val="22"/>
          <w:szCs w:val="22"/>
          <w:color w:val="231F20"/>
          <w:spacing w:val="-3"/>
        </w:rPr>
        <w:t>医药大学研究生院  南昌</w:t>
      </w:r>
      <w:r>
        <w:rPr>
          <w:sz w:val="22"/>
          <w:szCs w:val="22"/>
          <w:color w:val="231F20"/>
          <w:spacing w:val="44"/>
        </w:rPr>
        <w:t xml:space="preserve"> </w:t>
      </w:r>
      <w:r>
        <w:rPr>
          <w:sz w:val="22"/>
          <w:szCs w:val="22"/>
          <w:color w:val="231F20"/>
          <w:spacing w:val="-3"/>
        </w:rPr>
        <w:t>330004</w:t>
      </w:r>
      <w:r>
        <w:rPr>
          <w:sz w:val="22"/>
          <w:szCs w:val="22"/>
          <w:color w:val="231F20"/>
          <w:spacing w:val="-45"/>
        </w:rPr>
        <w:t xml:space="preserve"> </w:t>
      </w:r>
      <w:r>
        <w:rPr>
          <w:sz w:val="22"/>
          <w:szCs w:val="22"/>
          <w:color w:val="231F20"/>
          <w:spacing w:val="-3"/>
        </w:rPr>
        <w:t>；2.</w:t>
      </w:r>
      <w:r>
        <w:rPr>
          <w:sz w:val="22"/>
          <w:szCs w:val="22"/>
          <w:color w:val="231F20"/>
          <w:spacing w:val="-44"/>
        </w:rPr>
        <w:t xml:space="preserve"> </w:t>
      </w:r>
      <w:r>
        <w:rPr>
          <w:sz w:val="22"/>
          <w:szCs w:val="22"/>
          <w:color w:val="231F20"/>
          <w:spacing w:val="-3"/>
        </w:rPr>
        <w:t>江西中医药大学附</w:t>
      </w:r>
      <w:r>
        <w:rPr>
          <w:sz w:val="22"/>
          <w:szCs w:val="22"/>
          <w:color w:val="231F20"/>
          <w:spacing w:val="-4"/>
        </w:rPr>
        <w:t>属医院  南昌</w:t>
      </w:r>
      <w:r>
        <w:rPr>
          <w:sz w:val="22"/>
          <w:szCs w:val="22"/>
          <w:color w:val="231F20"/>
          <w:spacing w:val="43"/>
        </w:rPr>
        <w:t xml:space="preserve"> </w:t>
      </w:r>
      <w:r>
        <w:rPr>
          <w:sz w:val="22"/>
          <w:szCs w:val="22"/>
          <w:color w:val="231F20"/>
          <w:spacing w:val="-4"/>
        </w:rPr>
        <w:t>330006</w:t>
      </w:r>
      <w:r>
        <w:rPr>
          <w:sz w:val="22"/>
          <w:szCs w:val="22"/>
          <w:color w:val="231F20"/>
          <w:spacing w:val="-44"/>
        </w:rPr>
        <w:t xml:space="preserve"> </w:t>
      </w:r>
      <w:r>
        <w:rPr>
          <w:sz w:val="22"/>
          <w:szCs w:val="22"/>
          <w:color w:val="231F20"/>
          <w:spacing w:val="-4"/>
        </w:rPr>
        <w:t>；3.</w:t>
      </w:r>
      <w:r>
        <w:rPr>
          <w:sz w:val="22"/>
          <w:szCs w:val="22"/>
          <w:color w:val="231F20"/>
          <w:spacing w:val="-45"/>
        </w:rPr>
        <w:t xml:space="preserve"> </w:t>
      </w:r>
      <w:r>
        <w:rPr>
          <w:sz w:val="22"/>
          <w:szCs w:val="22"/>
          <w:color w:val="231F20"/>
          <w:spacing w:val="-4"/>
        </w:rPr>
        <w:t>江西中医消化临</w:t>
      </w:r>
      <w:r>
        <w:rPr>
          <w:sz w:val="22"/>
          <w:szCs w:val="22"/>
          <w:color w:val="231F20"/>
        </w:rPr>
        <w:t xml:space="preserve"> </w:t>
      </w:r>
      <w:r>
        <w:rPr>
          <w:sz w:val="22"/>
          <w:szCs w:val="22"/>
          <w:color w:val="231F20"/>
          <w:spacing w:val="-4"/>
        </w:rPr>
        <w:t>床研究基地  南昌 330006</w:t>
      </w:r>
      <w:r>
        <w:rPr>
          <w:sz w:val="22"/>
          <w:szCs w:val="22"/>
          <w:color w:val="231F20"/>
          <w:spacing w:val="-35"/>
        </w:rPr>
        <w:t xml:space="preserve"> </w:t>
      </w:r>
      <w:r>
        <w:rPr>
          <w:sz w:val="22"/>
          <w:szCs w:val="22"/>
          <w:color w:val="231F20"/>
          <w:spacing w:val="-4"/>
        </w:rPr>
        <w:t>；4.</w:t>
      </w:r>
      <w:r>
        <w:rPr>
          <w:sz w:val="22"/>
          <w:szCs w:val="22"/>
          <w:color w:val="231F20"/>
          <w:spacing w:val="-45"/>
        </w:rPr>
        <w:t xml:space="preserve"> </w:t>
      </w:r>
      <w:r>
        <w:rPr>
          <w:sz w:val="22"/>
          <w:szCs w:val="22"/>
          <w:color w:val="231F20"/>
          <w:spacing w:val="-4"/>
        </w:rPr>
        <w:t>江西中医药大学  南昌 330004）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815" w:hanging="102"/>
        <w:spacing w:before="77" w:line="251" w:lineRule="auto"/>
        <w:jc w:val="both"/>
        <w:rPr>
          <w:rFonts w:ascii="KaiTi" w:hAnsi="KaiTi" w:eastAsia="KaiTi" w:cs="KaiT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-243379</wp:posOffset>
                </wp:positionH>
                <wp:positionV relativeFrom="paragraph">
                  <wp:posOffset>1380813</wp:posOffset>
                </wp:positionV>
                <wp:extent cx="919480" cy="359409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243379" y="1380813"/>
                          <a:ext cx="919480" cy="3594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47" w:line="232" w:lineRule="auto"/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5"/>
                              </w:rPr>
                              <w:t xml:space="preserve">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19.1637pt;margin-top:108.725pt;mso-position-vertical-relative:text;mso-position-horizontal-relative:text;width:72.4pt;height:28.3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47" w:line="232" w:lineRule="auto"/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5"/>
                        </w:rPr>
                        <w:t xml:space="preserve">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48717</wp:posOffset>
                </wp:positionH>
                <wp:positionV relativeFrom="paragraph">
                  <wp:posOffset>739874</wp:posOffset>
                </wp:positionV>
                <wp:extent cx="342265" cy="162051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48717" y="739874"/>
                          <a:ext cx="342265" cy="1620519"/>
                        </a:xfrm>
                        <a:prstGeom prst="rect">
                          <a:avLst/>
                        </a:prstGeom>
                        <a:solidFill>
                          <a:srgbClr val="63636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3.836pt;margin-top:58.2578pt;mso-position-vertical-relative:text;mso-position-horizontal-relative:text;width:26.95pt;height:127.6pt;z-index:-251658240;" fillcolor="#636366" filled="true" stroked="false"/>
            </w:pict>
          </mc:Fallback>
        </mc:AlternateContent>
      </w:r>
      <w:r>
        <w:pict>
          <v:shape id="_x0000_s8" style="position:absolute;margin-left:6.46286pt;margin-top:97.0369pt;mso-position-vertical-relative:text;mso-position-horizontal-relative:text;width:17.45pt;height:50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FFFFF"/>
                    </w:rPr>
                    <w:t>临床研究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231F20"/>
          <w:spacing w:val="-8"/>
        </w:rPr>
        <w:t>［摘要］目的：</w:t>
      </w:r>
      <w:r>
        <w:rPr>
          <w:rFonts w:ascii="KaiTi" w:hAnsi="KaiTi" w:eastAsia="KaiTi" w:cs="KaiTi"/>
          <w:color w:val="231F20"/>
          <w:spacing w:val="-8"/>
        </w:rPr>
        <w:t>《不完全性肠梗阻中医临床诊疗专家共识》的临床一致性再评价，促进共识的推</w:t>
      </w:r>
      <w:r>
        <w:rPr>
          <w:rFonts w:ascii="KaiTi" w:hAnsi="KaiTi" w:eastAsia="KaiTi" w:cs="KaiTi"/>
          <w:color w:val="231F20"/>
          <w:spacing w:val="-9"/>
        </w:rPr>
        <w:t>广应用及诊疗指南的制定。</w:t>
      </w:r>
      <w:r>
        <w:rPr>
          <w:rFonts w:ascii="Microsoft YaHei" w:hAnsi="Microsoft YaHei" w:eastAsia="Microsoft YaHei" w:cs="Microsoft YaHei"/>
          <w:color w:val="231F20"/>
          <w:spacing w:val="-9"/>
        </w:rPr>
        <w:t>方法：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选取有代表性的全国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37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省市</w:t>
      </w:r>
      <w:r>
        <w:rPr>
          <w:color w:val="231F20"/>
          <w:spacing w:val="-1"/>
        </w:rPr>
        <w:t>9</w:t>
      </w:r>
      <w:r>
        <w:rPr>
          <w:color w:val="231F20"/>
          <w:spacing w:val="-19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家不同地区及不同等</w:t>
      </w:r>
      <w:r>
        <w:rPr>
          <w:rFonts w:ascii="KaiTi" w:hAnsi="KaiTi" w:eastAsia="KaiTi" w:cs="KaiTi"/>
          <w:color w:val="231F20"/>
          <w:spacing w:val="-2"/>
        </w:rPr>
        <w:t>级的医疗单位作为共识临床一致性再评价对象，完成病例信息的采集，一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7"/>
        </w:rPr>
        <w:t>致性测评表填写，诊断、治疗与预防调摄方面的一致性评价。</w:t>
      </w:r>
      <w:r>
        <w:rPr>
          <w:rFonts w:ascii="Microsoft YaHei" w:hAnsi="Microsoft YaHei" w:eastAsia="Microsoft YaHei" w:cs="Microsoft YaHei"/>
          <w:color w:val="231F20"/>
          <w:spacing w:val="-7"/>
        </w:rPr>
        <w:t>结果</w:t>
      </w:r>
      <w:r>
        <w:rPr>
          <w:rFonts w:ascii="KaiTi" w:hAnsi="KaiTi" w:eastAsia="KaiTi" w:cs="KaiTi"/>
          <w:color w:val="231F20"/>
          <w:spacing w:val="-7"/>
        </w:rPr>
        <w:t>：所收集的</w:t>
      </w:r>
      <w:r>
        <w:rPr>
          <w:rFonts w:ascii="KaiTi" w:hAnsi="KaiTi" w:eastAsia="KaiTi" w:cs="KaiTi"/>
          <w:color w:val="231F20"/>
          <w:spacing w:val="-26"/>
        </w:rPr>
        <w:t xml:space="preserve"> </w:t>
      </w:r>
      <w:r>
        <w:rPr>
          <w:color w:val="231F20"/>
          <w:spacing w:val="-7"/>
        </w:rPr>
        <w:t>102</w:t>
      </w:r>
      <w:r>
        <w:rPr>
          <w:color w:val="231F20"/>
          <w:spacing w:val="-46"/>
        </w:rPr>
        <w:t xml:space="preserve"> </w:t>
      </w:r>
      <w:r>
        <w:rPr>
          <w:rFonts w:ascii="KaiTi" w:hAnsi="KaiTi" w:eastAsia="KaiTi" w:cs="KaiTi"/>
          <w:color w:val="231F20"/>
          <w:spacing w:val="-7"/>
        </w:rPr>
        <w:t>例不完全性肠梗阻临床病例，中医疾病诊断、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中医疾病诊断依据、西医疾病诊断、西医疾病诊断依据总体一致率均达到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color w:val="231F20"/>
          <w:spacing w:val="-1"/>
        </w:rPr>
        <w:t>90%</w:t>
      </w:r>
      <w:r>
        <w:rPr>
          <w:color w:val="231F20"/>
          <w:spacing w:val="-22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以上</w:t>
      </w:r>
      <w:r>
        <w:rPr>
          <w:rFonts w:ascii="KaiTi" w:hAnsi="KaiTi" w:eastAsia="KaiTi" w:cs="KaiTi"/>
          <w:color w:val="231F20"/>
          <w:spacing w:val="-2"/>
        </w:rPr>
        <w:t>，证候诊断总体一致率为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color w:val="231F20"/>
          <w:spacing w:val="-2"/>
        </w:rPr>
        <w:t>72.5%</w:t>
      </w:r>
      <w:r>
        <w:rPr>
          <w:rFonts w:ascii="KaiTi" w:hAnsi="KaiTi" w:eastAsia="KaiTi" w:cs="KaiTi"/>
          <w:color w:val="231F20"/>
          <w:spacing w:val="-2"/>
        </w:rPr>
        <w:t>，证候诊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断依据整体一致率为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color w:val="231F20"/>
          <w:spacing w:val="1"/>
        </w:rPr>
        <w:t>70.6%</w:t>
      </w:r>
      <w:r>
        <w:rPr>
          <w:rFonts w:ascii="KaiTi" w:hAnsi="KaiTi" w:eastAsia="KaiTi" w:cs="KaiTi"/>
          <w:color w:val="231F20"/>
          <w:spacing w:val="1"/>
        </w:rPr>
        <w:t>，治则和方药总体</w:t>
      </w:r>
      <w:r>
        <w:rPr>
          <w:rFonts w:ascii="KaiTi" w:hAnsi="KaiTi" w:eastAsia="KaiTi" w:cs="KaiTi"/>
          <w:color w:val="231F20"/>
        </w:rPr>
        <w:t>一致率均仅为</w:t>
      </w:r>
      <w:r>
        <w:rPr>
          <w:color w:val="231F20"/>
        </w:rPr>
        <w:t>50%</w:t>
      </w:r>
      <w:r>
        <w:rPr>
          <w:color w:val="231F20"/>
          <w:spacing w:val="-35"/>
        </w:rPr>
        <w:t xml:space="preserve"> </w:t>
      </w:r>
      <w:r>
        <w:rPr>
          <w:rFonts w:ascii="KaiTi" w:hAnsi="KaiTi" w:eastAsia="KaiTi" w:cs="KaiTi"/>
          <w:color w:val="231F20"/>
        </w:rPr>
        <w:t>左右，其它治法总体一致率仅有</w:t>
      </w:r>
      <w:r>
        <w:rPr>
          <w:rFonts w:ascii="KaiTi" w:hAnsi="KaiTi" w:eastAsia="KaiTi" w:cs="KaiTi"/>
          <w:color w:val="231F20"/>
          <w:spacing w:val="-37"/>
        </w:rPr>
        <w:t xml:space="preserve"> </w:t>
      </w:r>
      <w:r>
        <w:rPr>
          <w:color w:val="231F20"/>
        </w:rPr>
        <w:t>30.4%</w:t>
      </w:r>
      <w:r>
        <w:rPr>
          <w:rFonts w:ascii="KaiTi" w:hAnsi="KaiTi" w:eastAsia="KaiTi" w:cs="KaiTi"/>
          <w:color w:val="231F20"/>
        </w:rPr>
        <w:t>，预防调摄总体一致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率</w:t>
      </w:r>
      <w:r>
        <w:rPr>
          <w:rFonts w:ascii="KaiTi" w:hAnsi="KaiTi" w:eastAsia="KaiTi" w:cs="KaiTi"/>
          <w:color w:val="231F20"/>
          <w:spacing w:val="-38"/>
        </w:rPr>
        <w:t xml:space="preserve"> </w:t>
      </w:r>
      <w:r>
        <w:rPr>
          <w:color w:val="231F20"/>
          <w:spacing w:val="-1"/>
        </w:rPr>
        <w:t>53.9%</w:t>
      </w:r>
      <w:r>
        <w:rPr>
          <w:rFonts w:ascii="KaiTi" w:hAnsi="KaiTi" w:eastAsia="KaiTi" w:cs="KaiTi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结论</w:t>
      </w:r>
      <w:r>
        <w:rPr>
          <w:rFonts w:ascii="KaiTi" w:hAnsi="KaiTi" w:eastAsia="KaiTi" w:cs="KaiTi"/>
          <w:color w:val="231F20"/>
          <w:spacing w:val="-1"/>
        </w:rPr>
        <w:t>：该共识在不完全性肠梗阻疾病诊断中，临床一致性较高，基本符合临床实践。但在治疗方面，因存在个人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-3"/>
        </w:rPr>
        <w:t>经验及各地区各医疗机构具体情况不同，临床一致性偏低。</w:t>
      </w:r>
    </w:p>
    <w:p>
      <w:pPr>
        <w:pStyle w:val="BodyText"/>
        <w:ind w:left="830" w:right="5567" w:hanging="117"/>
        <w:spacing w:before="12" w:line="227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［关键词］</w:t>
      </w:r>
      <w:r>
        <w:rPr>
          <w:rFonts w:ascii="KaiTi" w:hAnsi="KaiTi" w:eastAsia="KaiTi" w:cs="KaiTi"/>
          <w:color w:val="231F20"/>
          <w:spacing w:val="-4"/>
        </w:rPr>
        <w:t>不完全性肠梗阻；一致性再评价；专家共识</w:t>
      </w:r>
      <w:r>
        <w:rPr>
          <w:rFonts w:ascii="KaiTi" w:hAnsi="KaiTi" w:eastAsia="KaiTi" w:cs="KaiT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中图分类号</w:t>
      </w:r>
      <w:r>
        <w:rPr>
          <w:rFonts w:ascii="KaiTi" w:hAnsi="KaiTi" w:eastAsia="KaiTi" w:cs="KaiTi"/>
          <w:color w:val="231F20"/>
          <w:spacing w:val="-3"/>
        </w:rPr>
        <w:t>：</w:t>
      </w:r>
      <w:r>
        <w:rPr>
          <w:color w:val="231F20"/>
          <w:spacing w:val="-3"/>
        </w:rPr>
        <w:t>R26    </w:t>
      </w:r>
      <w:r>
        <w:rPr>
          <w:rFonts w:ascii="Microsoft YaHei" w:hAnsi="Microsoft YaHei" w:eastAsia="Microsoft YaHei" w:cs="Microsoft YaHei"/>
          <w:color w:val="231F20"/>
          <w:spacing w:val="-3"/>
        </w:rPr>
        <w:t>文献标识码</w:t>
      </w:r>
      <w:r>
        <w:rPr>
          <w:rFonts w:ascii="KaiTi" w:hAnsi="KaiTi" w:eastAsia="KaiTi" w:cs="KaiTi"/>
          <w:color w:val="231F20"/>
          <w:spacing w:val="-3"/>
        </w:rPr>
        <w:t>：</w:t>
      </w:r>
      <w:r>
        <w:rPr>
          <w:color w:val="231F20"/>
          <w:spacing w:val="-3"/>
        </w:rPr>
        <w:t>A</w:t>
      </w:r>
    </w:p>
    <w:p>
      <w:pPr>
        <w:ind w:left="817" w:right="70" w:hanging="4"/>
        <w:spacing w:before="300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Re-evaluation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Consistency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of the Expert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Conse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nsus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Clinical Management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Incomplete Intestinal Obstruction in Chin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ese Medicine</w:t>
      </w:r>
    </w:p>
    <w:p>
      <w:pPr>
        <w:pStyle w:val="BodyText"/>
        <w:ind w:left="812"/>
        <w:spacing w:before="272" w:line="219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LI Zhi-tian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1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LI Long-hua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2</w:t>
      </w:r>
      <w:r>
        <w:rPr>
          <w:sz w:val="10"/>
          <w:szCs w:val="10"/>
          <w:color w:val="231F20"/>
          <w:spacing w:val="-3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JIANG Yi-ping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2</w:t>
      </w:r>
      <w:r>
        <w:rPr>
          <w:sz w:val="10"/>
          <w:szCs w:val="10"/>
          <w:color w:val="231F20"/>
          <w:spacing w:val="-3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WANG Mu-lan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4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HUA Shi-yao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2</w:t>
      </w:r>
      <w:r>
        <w:rPr>
          <w:sz w:val="10"/>
          <w:szCs w:val="10"/>
          <w:color w:val="231F20"/>
          <w:spacing w:val="-3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HU Jia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2</w:t>
      </w:r>
      <w:r>
        <w:rPr>
          <w:sz w:val="10"/>
          <w:szCs w:val="10"/>
          <w:color w:val="231F20"/>
          <w:spacing w:val="-3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DENG Chang-qing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2</w:t>
      </w:r>
      <w:r>
        <w:rPr>
          <w:sz w:val="10"/>
          <w:szCs w:val="10"/>
          <w:color w:val="231F20"/>
          <w:spacing w:val="-3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, XU Song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2</w:t>
      </w:r>
      <w:r>
        <w:rPr>
          <w:sz w:val="10"/>
          <w:szCs w:val="10"/>
          <w:color w:val="231F20"/>
          <w:spacing w:val="-4"/>
          <w:position w:val="7"/>
        </w:rPr>
        <w:t>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3</w:t>
      </w:r>
    </w:p>
    <w:p>
      <w:pPr>
        <w:ind w:left="830"/>
        <w:spacing w:before="57" w:line="24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. Graduate School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Jiangxi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University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Medicine,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Nanch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ang 330004, China;</w:t>
      </w:r>
    </w:p>
    <w:p>
      <w:pPr>
        <w:ind w:left="812"/>
        <w:spacing w:before="40" w:line="24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Department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Spleen and Gastroenterology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, 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Affiliated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Hospital ofJiangxi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University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Medicine,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position w:val="3"/>
        </w:rPr>
        <w:t>Nanchang 330006, China;</w:t>
      </w:r>
    </w:p>
    <w:p>
      <w:pPr>
        <w:ind w:left="816"/>
        <w:spacing w:before="41" w:line="23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Digestive Clinical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Research Base,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Jiangxi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University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Medicine,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Nanchang 330006, China;</w:t>
      </w:r>
    </w:p>
    <w:p>
      <w:pPr>
        <w:ind w:left="811"/>
        <w:spacing w:before="41" w:line="23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Jiangxi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University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Medicine,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3"/>
        </w:rPr>
        <w:t>Nan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position w:val="3"/>
        </w:rPr>
        <w:t>chang 330004, China.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11" w:right="67" w:firstLine="15"/>
        <w:spacing w:before="59" w:line="287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12"/>
        </w:rPr>
        <w:t>[Abstract]</w:t>
      </w:r>
      <w:r>
        <w:rPr>
          <w:rFonts w:ascii="Times New Roman" w:hAnsi="Times New Roman" w:eastAsia="Times New Roman" w:cs="Times New Roman"/>
          <w:b/>
          <w:b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-12"/>
        </w:rPr>
        <w:t>Objective:</w:t>
      </w:r>
      <w:r>
        <w:rPr>
          <w:rFonts w:ascii="Times New Roman" w:hAnsi="Times New Roman" w:eastAsia="Times New Roman" w:cs="Times New Roman"/>
          <w:b/>
          <w:bCs/>
          <w:color w:val="231F20"/>
          <w:spacing w:val="25"/>
          <w:w w:val="102"/>
        </w:rPr>
        <w:t xml:space="preserve"> </w:t>
      </w:r>
      <w:r>
        <w:rPr>
          <w:color w:val="231F20"/>
          <w:spacing w:val="-12"/>
        </w:rPr>
        <w:t>Clinical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consistency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reevaluation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Expert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Consensus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Clinica</w:t>
      </w:r>
      <w:r>
        <w:rPr>
          <w:color w:val="231F20"/>
          <w:spacing w:val="-13"/>
        </w:rPr>
        <w:t>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Incomplete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Inteinal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Obstruction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promotes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promotion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application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consensus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formulation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diagnosis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t</w:t>
      </w:r>
      <w:r>
        <w:rPr>
          <w:color w:val="231F20"/>
          <w:spacing w:val="-16"/>
        </w:rPr>
        <w:t>reatment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guidelines.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-18"/>
        </w:rPr>
        <w:t>Methods: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</w:rPr>
        <w:t xml:space="preserve"> </w:t>
      </w:r>
      <w:r>
        <w:rPr>
          <w:color w:val="231F20"/>
          <w:spacing w:val="-18"/>
        </w:rPr>
        <w:t>Nine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</w:rPr>
        <w:t>representative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8"/>
        </w:rPr>
        <w:t>medical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8"/>
        </w:rPr>
        <w:t>units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8"/>
        </w:rPr>
        <w:t>different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</w:rPr>
        <w:t>regions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different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</w:rPr>
        <w:t>levels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6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</w:rPr>
        <w:t>provinces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cities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8"/>
        </w:rPr>
        <w:t>we</w:t>
      </w:r>
      <w:r>
        <w:rPr>
          <w:color w:val="231F20"/>
          <w:spacing w:val="-19"/>
        </w:rPr>
        <w:t>re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selected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9"/>
        </w:rPr>
        <w:t>as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9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clinical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consistency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reevaluation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obj</w:t>
      </w:r>
      <w:r>
        <w:rPr>
          <w:color w:val="231F20"/>
          <w:spacing w:val="-19"/>
        </w:rPr>
        <w:t>ects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complete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collection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9"/>
        </w:rPr>
        <w:t>case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information,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9"/>
        </w:rPr>
        <w:t>filling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consistency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evaluation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9"/>
        </w:rPr>
        <w:t>form,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consistency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evaluation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diagnosis,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treatment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prevention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adjustment.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-16"/>
        </w:rPr>
        <w:t>Results:</w:t>
      </w:r>
      <w:r>
        <w:rPr>
          <w:rFonts w:ascii="Times New Roman" w:hAnsi="Times New Roman" w:eastAsia="Times New Roman" w:cs="Times New Roman"/>
          <w:b/>
          <w:bCs/>
          <w:color w:val="231F20"/>
          <w:spacing w:val="17"/>
        </w:rPr>
        <w:t xml:space="preserve"> </w:t>
      </w:r>
      <w:r>
        <w:rPr>
          <w:color w:val="231F20"/>
          <w:spacing w:val="-16"/>
        </w:rPr>
        <w:t>The 102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incomplete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intestinal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obstruction,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TCM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disease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dia</w:t>
      </w:r>
      <w:r>
        <w:rPr>
          <w:color w:val="231F20"/>
          <w:spacing w:val="-12"/>
        </w:rPr>
        <w:t>gnosis,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TCM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disease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diagnosis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western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medicine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disease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diagnosis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above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90%,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72.5%,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70.6%,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50%,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30.4%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prevention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adjustment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53.9%.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-14"/>
        </w:rPr>
        <w:t>Conclusion: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 xml:space="preserve"> </w:t>
      </w:r>
      <w:r>
        <w:rPr>
          <w:color w:val="231F20"/>
          <w:spacing w:val="-14"/>
        </w:rPr>
        <w:t>This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consensus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has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high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consistency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4"/>
        </w:rPr>
        <w:t>incomplete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intestinal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0"/>
        </w:rPr>
        <w:t>obstruction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0"/>
        </w:rPr>
        <w:t>diseases,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0"/>
        </w:rPr>
        <w:t>is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0"/>
        </w:rPr>
        <w:t>basica</w:t>
      </w:r>
      <w:r>
        <w:rPr>
          <w:color w:val="231F20"/>
          <w:spacing w:val="-21"/>
        </w:rPr>
        <w:t>lly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1"/>
        </w:rPr>
        <w:t>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1"/>
        </w:rPr>
        <w:t>line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1"/>
        </w:rPr>
        <w:t>with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1"/>
        </w:rPr>
        <w:t>clinical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1"/>
        </w:rPr>
        <w:t>practice.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1"/>
        </w:rPr>
        <w:t>However,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1"/>
        </w:rPr>
        <w:t>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1"/>
        </w:rPr>
        <w:t>terms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1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1"/>
        </w:rPr>
        <w:t>treatment,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1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1"/>
        </w:rPr>
        <w:t>clinical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1"/>
        </w:rPr>
        <w:t>consistency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different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due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20"/>
        </w:rPr>
        <w:t>to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different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20"/>
        </w:rPr>
        <w:t>personal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experience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20"/>
        </w:rPr>
        <w:t>regional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medical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institutions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0"/>
        </w:rPr>
        <w:t>specific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0"/>
        </w:rPr>
        <w:t>co</w:t>
      </w:r>
      <w:r>
        <w:rPr>
          <w:color w:val="231F20"/>
          <w:spacing w:val="-21"/>
        </w:rPr>
        <w:t>nditions.</w:t>
      </w:r>
    </w:p>
    <w:p>
      <w:pPr>
        <w:pStyle w:val="BodyText"/>
        <w:ind w:left="827"/>
        <w:spacing w:before="5" w:line="226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14"/>
        </w:rPr>
        <w:t>[Key words] </w:t>
      </w:r>
      <w:r>
        <w:rPr>
          <w:color w:val="231F20"/>
          <w:spacing w:val="-14"/>
        </w:rPr>
        <w:t>Incomplete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4"/>
        </w:rPr>
        <w:t>Intestinal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4"/>
        </w:rPr>
        <w:t>Obstruction</w:t>
      </w:r>
      <w:r>
        <w:rPr>
          <w:rFonts w:ascii="KaiTi" w:hAnsi="KaiTi" w:eastAsia="KaiTi" w:cs="KaiTi"/>
          <w:color w:val="231F20"/>
          <w:spacing w:val="-14"/>
        </w:rPr>
        <w:t>；</w:t>
      </w:r>
      <w:r>
        <w:rPr>
          <w:color w:val="231F20"/>
          <w:spacing w:val="-14"/>
        </w:rPr>
        <w:t>Consiformity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4"/>
        </w:rPr>
        <w:t>Reevaluation</w:t>
      </w:r>
      <w:r>
        <w:rPr>
          <w:rFonts w:ascii="KaiTi" w:hAnsi="KaiTi" w:eastAsia="KaiTi" w:cs="KaiTi"/>
          <w:color w:val="231F20"/>
          <w:spacing w:val="-14"/>
        </w:rPr>
        <w:t>；</w:t>
      </w:r>
      <w:r>
        <w:rPr>
          <w:color w:val="231F20"/>
          <w:spacing w:val="-14"/>
        </w:rPr>
        <w:t>Expert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4"/>
        </w:rPr>
        <w:t>C</w:t>
      </w:r>
      <w:r>
        <w:rPr>
          <w:color w:val="231F20"/>
          <w:spacing w:val="-15"/>
        </w:rPr>
        <w:t>onsensus</w:t>
      </w:r>
    </w:p>
    <w:p>
      <w:pPr>
        <w:spacing w:before="165"/>
        <w:rPr/>
      </w:pPr>
      <w:r/>
    </w:p>
    <w:p>
      <w:pPr>
        <w:sectPr>
          <w:headerReference w:type="default" r:id="rId1"/>
          <w:footerReference w:type="default" r:id="rId2"/>
          <w:pgSz w:w="12076" w:h="17178"/>
          <w:pgMar w:top="400" w:right="1151" w:bottom="1209" w:left="407" w:header="0" w:footer="876" w:gutter="0"/>
          <w:cols w:equalWidth="0" w:num="1">
            <w:col w:w="10517" w:space="0"/>
          </w:cols>
        </w:sectPr>
        <w:rPr/>
      </w:pPr>
    </w:p>
    <w:p>
      <w:pPr>
        <w:pStyle w:val="BodyText"/>
        <w:ind w:left="821" w:right="360" w:firstLine="414"/>
        <w:spacing w:before="41" w:line="277" w:lineRule="auto"/>
        <w:rPr>
          <w:sz w:val="21"/>
          <w:szCs w:val="21"/>
        </w:rPr>
      </w:pPr>
      <w:r>
        <w:pict>
          <v:shape id="_x0000_s10" style="position:absolute;margin-left:40.6254pt;margin-top:47.212pt;mso-position-vertical-relative:text;mso-position-horizontal-relative:text;width:120.6pt;height:0.4pt;z-index:251663360;" filled="false" strokecolor="#231F20" strokeweight="0.35pt" coordsize="2411,8" coordorigin="0,0" path="m0,3l2411,3e">
            <v:stroke joinstyle="miter" miterlimit="10"/>
          </v:shape>
        </w:pict>
      </w:r>
      <w:r>
        <w:rPr>
          <w:sz w:val="21"/>
          <w:szCs w:val="21"/>
          <w:color w:val="231F20"/>
          <w:spacing w:val="-2"/>
        </w:rPr>
        <w:t>不完全性肠梗阻是临床上消化内科、普外科等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2"/>
        </w:rPr>
        <w:t>常见的疾病之一，是指各种原因引起部分肠腔内容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68" w:hanging="6"/>
        <w:spacing w:before="41" w:line="27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物无法正常通过肠道，出现腹痛、腹胀、恶心或并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3"/>
        </w:rPr>
        <w:t>呕吐、肛门排气排便减少等临床表现的病症。目前</w:t>
      </w:r>
    </w:p>
    <w:p>
      <w:pPr>
        <w:spacing w:line="272" w:lineRule="auto"/>
        <w:sectPr>
          <w:type w:val="continuous"/>
          <w:pgSz w:w="12076" w:h="17178"/>
          <w:pgMar w:top="400" w:right="1151" w:bottom="1209" w:left="407" w:header="0" w:footer="876" w:gutter="0"/>
          <w:cols w:equalWidth="0" w:num="2">
            <w:col w:w="5764" w:space="100"/>
            <w:col w:w="4653" w:space="0"/>
          </w:cols>
        </w:sectPr>
        <w:rPr>
          <w:sz w:val="21"/>
          <w:szCs w:val="21"/>
        </w:rPr>
      </w:pPr>
    </w:p>
    <w:p>
      <w:pPr>
        <w:spacing w:line="465" w:lineRule="auto"/>
        <w:rPr>
          <w:rFonts w:ascii="Arial"/>
          <w:sz w:val="21"/>
        </w:rPr>
      </w:pPr>
      <w:r>
        <w:pict>
          <v:shape id="_x0000_s12" style="position:absolute;margin-left:30.4822pt;margin-top:-662.429pt;mso-position-vertical-relative:text;mso-position-horizontal-relative:text;width:0.75pt;height:387.55pt;z-index:-251657216;" filled="false" strokecolor="#231F20" strokeweight="0.75pt" coordsize="15,7750" coordorigin="0,0" path="m7,0l7,7750e">
            <v:stroke joinstyle="miter" miterlimit="4"/>
          </v:shape>
        </w:pict>
      </w:r>
      <w:r>
        <w:pict>
          <v:shape id="_x0000_s14" style="position:absolute;margin-left:30.8572pt;margin-top:-662.804pt;mso-position-vertical-relative:text;mso-position-horizontal-relative:text;width:230.7pt;height:0.75pt;z-index:251662336;" filled="false" strokecolor="#231F20" strokeweight="0.75pt" coordsize="4613,15" coordorigin="0,0" path="m4613,7l0,7e">
            <v:stroke joinstyle="miter" miterlimit="4"/>
          </v:shape>
        </w:pict>
      </w:r>
      <w:r/>
    </w:p>
    <w:p>
      <w:pPr>
        <w:pStyle w:val="BodyText"/>
        <w:ind w:left="810" w:right="67"/>
        <w:spacing w:before="50" w:line="2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基金项目：江西省卫计委科技项目（20195337</w:t>
      </w:r>
      <w:r>
        <w:rPr>
          <w:sz w:val="15"/>
          <w:szCs w:val="15"/>
          <w:color w:val="231F20"/>
          <w:spacing w:val="-29"/>
        </w:rPr>
        <w:t>）；</w:t>
      </w:r>
      <w:r>
        <w:rPr>
          <w:sz w:val="15"/>
          <w:szCs w:val="15"/>
          <w:color w:val="231F20"/>
        </w:rPr>
        <w:t>国家中医药管理局中医药标准化项目（SATCM-2015-BZ〈121〉</w:t>
      </w:r>
      <w:r>
        <w:rPr>
          <w:sz w:val="15"/>
          <w:szCs w:val="15"/>
          <w:color w:val="231F20"/>
          <w:spacing w:val="-29"/>
        </w:rPr>
        <w:t>）；</w:t>
      </w:r>
      <w:r>
        <w:rPr>
          <w:sz w:val="15"/>
          <w:szCs w:val="15"/>
          <w:color w:val="231F20"/>
        </w:rPr>
        <w:t>江西省中医药管理局中医药科研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计划项目（2020A0005）。</w:t>
      </w:r>
    </w:p>
    <w:p>
      <w:pPr>
        <w:pStyle w:val="BodyText"/>
        <w:ind w:left="812"/>
        <w:spacing w:before="1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通信作者：许嵩。E-mail: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6"/>
        </w:rPr>
        <w:t>xusongplx@126.com。</w:t>
      </w:r>
    </w:p>
    <w:p>
      <w:pPr>
        <w:spacing w:line="212" w:lineRule="auto"/>
        <w:sectPr>
          <w:type w:val="continuous"/>
          <w:pgSz w:w="12076" w:h="17178"/>
          <w:pgMar w:top="400" w:right="1151" w:bottom="1209" w:left="407" w:header="0" w:footer="876" w:gutter="0"/>
          <w:cols w:equalWidth="0" w:num="1">
            <w:col w:w="10517" w:space="0"/>
          </w:cols>
        </w:sectPr>
        <w:rPr>
          <w:sz w:val="15"/>
          <w:szCs w:val="15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254" w:right="749" w:hanging="1681"/>
        <w:spacing w:before="58" w:line="205" w:lineRule="auto"/>
        <w:rPr/>
      </w:pPr>
      <w:r>
        <w:rPr>
          <w:color w:val="231F20"/>
          <w:spacing w:val="-5"/>
        </w:rPr>
        <w:t>李志田等：《不完全性肠梗阻中医临床诊疗专家共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识》临床一致性再评价研究</w:t>
      </w:r>
    </w:p>
    <w:p>
      <w:pPr>
        <w:spacing w:line="205" w:lineRule="auto"/>
        <w:sectPr>
          <w:headerReference w:type="default" r:id="rId3"/>
          <w:footerReference w:type="default" r:id="rId4"/>
          <w:pgSz w:w="12076" w:h="17178"/>
          <w:pgMar w:top="400" w:right="484" w:bottom="1209" w:left="407" w:header="0" w:footer="876" w:gutter="0"/>
          <w:cols w:equalWidth="0" w:num="1">
            <w:col w:w="11183" w:space="0"/>
          </w:cols>
        </w:sectPr>
        <w:rPr/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813" w:right="355" w:firstLine="4"/>
        <w:spacing w:before="68" w:line="27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现代医学对本病的治疗以纠正肠梗阻引起的水电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8"/>
        </w:rPr>
        <w:t>解质及酸碱平衡紊乱和解除梗阻状态为主。主要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治疗方法有禁食、胃肠减压、补液、控制感染、营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7"/>
        </w:rPr>
        <w:t>养支持等</w:t>
      </w:r>
      <w:r>
        <w:rPr>
          <w:sz w:val="12"/>
          <w:szCs w:val="12"/>
          <w:color w:val="231F20"/>
          <w:spacing w:val="7"/>
          <w:position w:val="9"/>
        </w:rPr>
        <w:t>［1</w:t>
      </w:r>
      <w:r>
        <w:rPr>
          <w:sz w:val="12"/>
          <w:szCs w:val="12"/>
          <w:color w:val="231F20"/>
          <w:spacing w:val="3"/>
          <w:position w:val="9"/>
        </w:rPr>
        <w:t>］</w:t>
      </w:r>
      <w:r>
        <w:rPr>
          <w:sz w:val="21"/>
          <w:szCs w:val="21"/>
          <w:color w:val="231F20"/>
          <w:spacing w:val="-44"/>
          <w:w w:val="86"/>
        </w:rPr>
        <w:t>，</w:t>
      </w:r>
      <w:r>
        <w:rPr>
          <w:sz w:val="21"/>
          <w:szCs w:val="21"/>
          <w:color w:val="231F20"/>
          <w:spacing w:val="7"/>
        </w:rPr>
        <w:t>必要时行手术治疗。部分患者常反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4"/>
        </w:rPr>
        <w:t>复发作或多次手术治疗，增加了经济及社会负担。</w:t>
      </w:r>
    </w:p>
    <w:p>
      <w:pPr>
        <w:pStyle w:val="BodyText"/>
        <w:ind w:left="815" w:right="286" w:firstLine="441"/>
        <w:spacing w:before="5" w:line="27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中医古典文献并无不完全性肠梗阻病名记载，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9"/>
        </w:rPr>
        <w:t>根据其临床表现，归属于中医学“腹痛”“胃痛”“肠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3"/>
        </w:rPr>
        <w:t>结”等范畴</w:t>
      </w:r>
      <w:r>
        <w:rPr>
          <w:sz w:val="12"/>
          <w:szCs w:val="12"/>
          <w:color w:val="231F20"/>
          <w:spacing w:val="3"/>
          <w:position w:val="9"/>
        </w:rPr>
        <w:t>［2］</w:t>
      </w:r>
      <w:r>
        <w:rPr>
          <w:sz w:val="21"/>
          <w:szCs w:val="21"/>
          <w:color w:val="231F20"/>
          <w:spacing w:val="3"/>
        </w:rPr>
        <w:t>。中医学在本病的研究上亦</w:t>
      </w:r>
      <w:r>
        <w:rPr>
          <w:sz w:val="21"/>
          <w:szCs w:val="21"/>
          <w:color w:val="231F20"/>
          <w:spacing w:val="2"/>
        </w:rPr>
        <w:t>取得了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一定成果，本项目组成员在总结现有研究成果的基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9" w:lineRule="auto"/>
        <w:rPr>
          <w:rFonts w:ascii="Arial"/>
          <w:sz w:val="21"/>
        </w:rPr>
      </w:pPr>
      <w:r>
        <w:pict>
          <v:shape id="_x0000_s18" style="position:absolute;margin-left:9.29517pt;margin-top:2.13818pt;mso-position-vertical-relative:text;mso-position-horizontal-relative:text;width:230.7pt;height:0.75pt;z-index:251667456;" filled="false" strokecolor="#231F20" strokeweight="0.75pt" coordsize="4613,15" coordorigin="0,0" path="m0,7l4613,7e">
            <v:stroke joinstyle="miter" miterlimit="4"/>
          </v:shape>
        </w:pict>
      </w:r>
      <w:r>
        <w:pict>
          <v:shape id="_x0000_s20" style="position:absolute;margin-left:239.589pt;margin-top:2.51318pt;mso-position-vertical-relative:text;mso-position-horizontal-relative:text;width:0.75pt;height:387.55pt;z-index:251666432;" filled="false" strokecolor="#231F20" strokeweight="0.75pt" coordsize="15,7750" coordorigin="0,0" path="m7,0l7,7750e">
            <v:stroke joinstyle="miter" miterlimit="4"/>
          </v:shape>
        </w:pict>
      </w:r>
      <w:r/>
    </w:p>
    <w:p>
      <w:pPr>
        <w:pStyle w:val="BodyText"/>
        <w:ind w:right="648" w:firstLine="4"/>
        <w:spacing w:before="68" w:line="280" w:lineRule="auto"/>
        <w:jc w:val="both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2747086</wp:posOffset>
                </wp:positionH>
                <wp:positionV relativeFrom="paragraph">
                  <wp:posOffset>3778864</wp:posOffset>
                </wp:positionV>
                <wp:extent cx="919480" cy="359409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2747086" y="3778864"/>
                          <a:ext cx="919480" cy="3594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47" w:line="232" w:lineRule="auto"/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5"/>
                              </w:rPr>
                              <w:t xml:space="preserve">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16.306pt;margin-top:297.548pt;mso-position-vertical-relative:text;mso-position-horizontal-relative:text;width:72.4pt;height:28.3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47" w:line="232" w:lineRule="auto"/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5"/>
                        </w:rPr>
                        <w:t xml:space="preserve">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4" style="position:absolute;margin-left:239.306pt;margin-top:247.081pt;mso-position-vertical-relative:text;mso-position-horizontal-relative:text;width:26.95pt;height:127.6pt;z-index:251664384;" fillcolor="#63636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795"/>
                    <w:spacing w:before="157" w:line="17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FFFFF"/>
                    </w:rPr>
                    <w:t>临床研究</w:t>
                  </w:r>
                </w:p>
              </w:txbxContent>
            </v:textbox>
          </v:shape>
        </w:pict>
      </w:r>
      <w:r>
        <w:rPr>
          <w:sz w:val="21"/>
          <w:szCs w:val="21"/>
          <w:color w:val="231F20"/>
          <w:spacing w:val="-2"/>
        </w:rPr>
        <w:t>础上及中医临床指南修订专家总指导组和脾胃病专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2"/>
        </w:rPr>
        <w:t>家指导组的指导和监督下，项目组本着推荐有循证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医学证据的不完全性肠梗阻中医诊断与治疗，明确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7"/>
        </w:rPr>
        <w:t>不完全性肠梗阻的病名诊断、证候诊断、鉴别诊断、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2"/>
        </w:rPr>
        <w:t>及诊疗规范为目的编写了《不完全性肠梗阻中</w:t>
      </w:r>
      <w:r>
        <w:rPr>
          <w:sz w:val="21"/>
          <w:szCs w:val="21"/>
          <w:color w:val="231F20"/>
          <w:spacing w:val="-3"/>
        </w:rPr>
        <w:t>医临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床诊疗专家共识》</w:t>
      </w:r>
      <w:r>
        <w:rPr>
          <w:sz w:val="12"/>
          <w:szCs w:val="12"/>
          <w:color w:val="231F20"/>
          <w:spacing w:val="-5"/>
          <w:position w:val="9"/>
        </w:rPr>
        <w:t>［3］</w:t>
      </w:r>
      <w:r>
        <w:rPr>
          <w:sz w:val="21"/>
          <w:szCs w:val="21"/>
          <w:color w:val="231F20"/>
          <w:spacing w:val="-5"/>
        </w:rPr>
        <w:t>。共识起草过程中，为便于共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识的起草及有完善的证据支持，项目组在多家中心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医疗机构收集符合不完全性肠梗阻诊断的临床病例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11"/>
        </w:rPr>
        <w:t>200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1"/>
        </w:rPr>
        <w:t>份，并进行了临床一致性评价。具体数据见表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1"/>
        </w:rPr>
        <w:t>1。</w:t>
      </w:r>
    </w:p>
    <w:p>
      <w:pPr>
        <w:spacing w:line="280" w:lineRule="auto"/>
        <w:sectPr>
          <w:type w:val="continuous"/>
          <w:pgSz w:w="12076" w:h="17178"/>
          <w:pgMar w:top="400" w:right="484" w:bottom="1209" w:left="407" w:header="0" w:footer="876" w:gutter="0"/>
          <w:cols w:equalWidth="0" w:num="2">
            <w:col w:w="5759" w:space="100"/>
            <w:col w:w="5325" w:space="0"/>
          </w:cols>
        </w:sectPr>
        <w:rPr>
          <w:sz w:val="21"/>
          <w:szCs w:val="21"/>
        </w:rPr>
      </w:pPr>
    </w:p>
    <w:p>
      <w:pPr>
        <w:pStyle w:val="BodyText"/>
        <w:ind w:left="3975"/>
        <w:spacing w:before="12" w:line="237" w:lineRule="exact"/>
        <w:outlineLvl w:val="0"/>
        <w:rPr>
          <w:sz w:val="16"/>
          <w:szCs w:val="16"/>
        </w:rPr>
      </w:pPr>
      <w:r>
        <w:rPr>
          <w:rFonts w:ascii="KaiTi" w:hAnsi="KaiTi" w:eastAsia="KaiTi" w:cs="KaiTi"/>
          <w:color w:val="231F20"/>
          <w:spacing w:val="2"/>
          <w:position w:val="1"/>
        </w:rPr>
        <w:t>表</w:t>
      </w:r>
      <w:r>
        <w:rPr>
          <w:color w:val="231F20"/>
          <w:spacing w:val="2"/>
          <w:position w:val="1"/>
        </w:rPr>
        <w:t>1  </w:t>
      </w:r>
      <w:r>
        <w:rPr>
          <w:rFonts w:ascii="KaiTi" w:hAnsi="KaiTi" w:eastAsia="KaiTi" w:cs="KaiTi"/>
          <w:color w:val="231F20"/>
          <w:spacing w:val="2"/>
          <w:position w:val="1"/>
        </w:rPr>
        <w:t>共识临床应用一致性评价统计表（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  <w:position w:val="1"/>
        </w:rPr>
        <w:t>n</w:t>
      </w:r>
      <w:r>
        <w:rPr>
          <w:color w:val="231F20"/>
          <w:spacing w:val="1"/>
          <w:position w:val="1"/>
        </w:rPr>
        <w:t>=200</w:t>
      </w:r>
      <w:r>
        <w:rPr>
          <w:rFonts w:ascii="KaiTi" w:hAnsi="KaiTi" w:eastAsia="KaiTi" w:cs="KaiTi"/>
          <w:color w:val="231F20"/>
          <w:spacing w:val="1"/>
          <w:position w:val="1"/>
        </w:rPr>
        <w:t>）</w:t>
      </w:r>
      <w:r>
        <w:rPr>
          <w:rFonts w:ascii="KaiTi" w:hAnsi="KaiTi" w:eastAsia="KaiTi" w:cs="KaiTi"/>
          <w:color w:val="231F20"/>
          <w:position w:val="1"/>
        </w:rPr>
        <w:t xml:space="preserve">                          </w:t>
      </w:r>
      <w:r>
        <w:rPr>
          <w:sz w:val="16"/>
          <w:szCs w:val="16"/>
          <w:color w:val="231F20"/>
          <w:spacing w:val="1"/>
          <w:position w:val="1"/>
        </w:rPr>
        <w:t>%</w:t>
      </w:r>
    </w:p>
    <w:tbl>
      <w:tblPr>
        <w:tblStyle w:val="TableNormal"/>
        <w:tblW w:w="9642" w:type="dxa"/>
        <w:tblInd w:w="8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4"/>
        <w:gridCol w:w="1220"/>
        <w:gridCol w:w="1789"/>
        <w:gridCol w:w="1119"/>
        <w:gridCol w:w="1341"/>
        <w:gridCol w:w="1073"/>
        <w:gridCol w:w="1231"/>
        <w:gridCol w:w="1205"/>
      </w:tblGrid>
      <w:tr>
        <w:trPr>
          <w:trHeight w:val="231" w:hRule="atLeast"/>
        </w:trPr>
        <w:tc>
          <w:tcPr>
            <w:tcW w:w="66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06"/>
              <w:spacing w:before="154" w:line="211" w:lineRule="auto"/>
              <w:rPr/>
            </w:pPr>
            <w:r>
              <w:rPr>
                <w:color w:val="231F20"/>
                <w:spacing w:val="-1"/>
              </w:rPr>
              <w:t>类别</w:t>
            </w:r>
          </w:p>
        </w:tc>
        <w:tc>
          <w:tcPr>
            <w:tcW w:w="178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741"/>
              <w:spacing w:before="155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  <w:tc>
          <w:tcPr>
            <w:tcW w:w="4764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46"/>
              <w:spacing w:before="37" w:line="208" w:lineRule="auto"/>
              <w:rPr/>
            </w:pPr>
            <w:r>
              <w:rPr>
                <w:color w:val="231F20"/>
                <w:spacing w:val="-2"/>
              </w:rPr>
              <w:t>一致性</w:t>
            </w:r>
          </w:p>
        </w:tc>
        <w:tc>
          <w:tcPr>
            <w:tcW w:w="120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12"/>
              <w:spacing w:before="152" w:line="215" w:lineRule="auto"/>
              <w:rPr/>
            </w:pPr>
            <w:r>
              <w:rPr>
                <w:color w:val="231F20"/>
                <w:spacing w:val="-2"/>
              </w:rPr>
              <w:t>总体一致率</w:t>
            </w:r>
          </w:p>
        </w:tc>
      </w:tr>
      <w:tr>
        <w:trPr>
          <w:trHeight w:val="233" w:hRule="atLeast"/>
        </w:trPr>
        <w:tc>
          <w:tcPr>
            <w:tcW w:w="66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0"/>
              <w:spacing w:before="40" w:line="208" w:lineRule="auto"/>
              <w:rPr/>
            </w:pPr>
            <w:r>
              <w:rPr>
                <w:color w:val="231F20"/>
                <w:spacing w:val="-2"/>
              </w:rPr>
              <w:t>一致</w:t>
            </w:r>
          </w:p>
        </w:tc>
        <w:tc>
          <w:tcPr>
            <w:tcW w:w="13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39" w:line="210" w:lineRule="auto"/>
              <w:rPr/>
            </w:pPr>
            <w:r>
              <w:rPr>
                <w:color w:val="231F20"/>
                <w:spacing w:val="-6"/>
              </w:rPr>
              <w:t>比较一致</w:t>
            </w:r>
          </w:p>
        </w:tc>
        <w:tc>
          <w:tcPr>
            <w:tcW w:w="10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62"/>
              <w:spacing w:before="39" w:line="211" w:lineRule="auto"/>
              <w:rPr/>
            </w:pPr>
            <w:r>
              <w:rPr>
                <w:color w:val="231F20"/>
                <w:spacing w:val="-2"/>
              </w:rPr>
              <w:t>一般</w:t>
            </w:r>
          </w:p>
        </w:tc>
        <w:tc>
          <w:tcPr>
            <w:tcW w:w="12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0"/>
              <w:spacing w:before="40" w:line="208" w:lineRule="auto"/>
              <w:rPr/>
            </w:pPr>
            <w:r>
              <w:rPr>
                <w:color w:val="231F20"/>
                <w:spacing w:val="-2"/>
              </w:rPr>
              <w:t>不一致</w:t>
            </w:r>
          </w:p>
        </w:tc>
        <w:tc>
          <w:tcPr>
            <w:tcW w:w="120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" w:hRule="atLeast"/>
        </w:trPr>
        <w:tc>
          <w:tcPr>
            <w:tcW w:w="664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2"/>
              <w:spacing w:before="52" w:line="211" w:lineRule="auto"/>
              <w:rPr/>
            </w:pPr>
            <w:r>
              <w:rPr>
                <w:color w:val="231F20"/>
                <w:spacing w:val="-1"/>
              </w:rPr>
              <w:t>诊断</w:t>
            </w:r>
          </w:p>
        </w:tc>
        <w:tc>
          <w:tcPr>
            <w:tcW w:w="1220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364"/>
              <w:spacing w:before="159" w:line="211" w:lineRule="auto"/>
              <w:rPr/>
            </w:pPr>
            <w:r>
              <w:rPr>
                <w:color w:val="231F20"/>
                <w:spacing w:val="-4"/>
              </w:rPr>
              <w:t>中医诊断</w:t>
            </w:r>
          </w:p>
        </w:tc>
        <w:tc>
          <w:tcPr>
            <w:tcW w:w="17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0"/>
              <w:spacing w:before="39" w:line="210" w:lineRule="auto"/>
              <w:rPr/>
            </w:pPr>
            <w:r>
              <w:rPr>
                <w:color w:val="231F20"/>
                <w:spacing w:val="-3"/>
              </w:rPr>
              <w:t>中医疾病诊断</w:t>
            </w:r>
          </w:p>
        </w:tc>
        <w:tc>
          <w:tcPr>
            <w:tcW w:w="11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7"/>
              <w:spacing w:before="36" w:line="214" w:lineRule="auto"/>
              <w:rPr/>
            </w:pPr>
            <w:r>
              <w:rPr>
                <w:color w:val="231F20"/>
                <w:spacing w:val="-10"/>
              </w:rPr>
              <w:t>85.5</w:t>
            </w:r>
          </w:p>
        </w:tc>
        <w:tc>
          <w:tcPr>
            <w:tcW w:w="13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0"/>
              <w:spacing w:before="36" w:line="214" w:lineRule="auto"/>
              <w:rPr/>
            </w:pPr>
            <w:r>
              <w:rPr>
                <w:color w:val="231F20"/>
                <w:spacing w:val="-12"/>
              </w:rPr>
              <w:t>10.0</w:t>
            </w:r>
          </w:p>
        </w:tc>
        <w:tc>
          <w:tcPr>
            <w:tcW w:w="10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4"/>
              <w:spacing w:before="36" w:line="214" w:lineRule="auto"/>
              <w:rPr/>
            </w:pPr>
            <w:r>
              <w:rPr>
                <w:color w:val="231F20"/>
                <w:spacing w:val="-10"/>
              </w:rPr>
              <w:t>4.5</w:t>
            </w:r>
          </w:p>
        </w:tc>
        <w:tc>
          <w:tcPr>
            <w:tcW w:w="12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1"/>
              <w:spacing w:before="36" w:line="214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8"/>
              <w:spacing w:before="36" w:line="214" w:lineRule="auto"/>
              <w:rPr/>
            </w:pPr>
            <w:r>
              <w:rPr>
                <w:color w:val="231F20"/>
                <w:spacing w:val="-9"/>
              </w:rPr>
              <w:t>95.5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9" w:type="dxa"/>
            <w:vAlign w:val="top"/>
          </w:tcPr>
          <w:p>
            <w:pPr>
              <w:pStyle w:val="TableText"/>
              <w:ind w:left="260"/>
              <w:spacing w:before="47" w:line="210" w:lineRule="auto"/>
              <w:rPr/>
            </w:pPr>
            <w:r>
              <w:rPr>
                <w:color w:val="231F20"/>
                <w:spacing w:val="-3"/>
              </w:rPr>
              <w:t>中医疾病诊断依据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6"/>
              <w:spacing w:before="43" w:line="214" w:lineRule="auto"/>
              <w:rPr/>
            </w:pPr>
            <w:r>
              <w:rPr>
                <w:color w:val="231F20"/>
                <w:spacing w:val="-9"/>
              </w:rPr>
              <w:t>69.0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7"/>
              <w:spacing w:before="43" w:line="214" w:lineRule="auto"/>
              <w:rPr/>
            </w:pPr>
            <w:r>
              <w:rPr>
                <w:color w:val="231F20"/>
                <w:spacing w:val="-9"/>
              </w:rPr>
              <w:t>26.0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6"/>
              <w:spacing w:before="43" w:line="214" w:lineRule="auto"/>
              <w:rPr/>
            </w:pPr>
            <w:r>
              <w:rPr>
                <w:color w:val="231F20"/>
                <w:spacing w:val="-11"/>
              </w:rPr>
              <w:t>5.0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1"/>
              <w:spacing w:before="43" w:line="214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8"/>
              <w:spacing w:before="43" w:line="214" w:lineRule="auto"/>
              <w:rPr/>
            </w:pPr>
            <w:r>
              <w:rPr>
                <w:color w:val="231F20"/>
                <w:spacing w:val="-9"/>
              </w:rPr>
              <w:t>95.0</w:t>
            </w:r>
          </w:p>
        </w:tc>
      </w:tr>
      <w:tr>
        <w:trPr>
          <w:trHeight w:val="238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9"/>
              <w:spacing w:before="167" w:line="211" w:lineRule="auto"/>
              <w:rPr/>
            </w:pPr>
            <w:r>
              <w:rPr>
                <w:color w:val="231F20"/>
                <w:spacing w:val="-1"/>
              </w:rPr>
              <w:t>西医诊断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05"/>
              <w:spacing w:before="47" w:line="208" w:lineRule="auto"/>
              <w:rPr/>
            </w:pPr>
            <w:r>
              <w:rPr>
                <w:color w:val="231F20"/>
                <w:spacing w:val="-1"/>
              </w:rPr>
              <w:t>西医疾病诊断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5"/>
              <w:spacing w:before="44" w:line="212" w:lineRule="auto"/>
              <w:rPr/>
            </w:pPr>
            <w:r>
              <w:rPr>
                <w:color w:val="231F20"/>
                <w:spacing w:val="-9"/>
              </w:rPr>
              <w:t>94.0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576"/>
              <w:spacing w:before="44" w:line="212" w:lineRule="auto"/>
              <w:rPr/>
            </w:pPr>
            <w:r>
              <w:rPr>
                <w:color w:val="231F20"/>
                <w:spacing w:val="-11"/>
              </w:rPr>
              <w:t>5.5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2"/>
              <w:spacing w:before="44" w:line="212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4"/>
              <w:spacing w:before="44" w:line="212" w:lineRule="auto"/>
              <w:rPr/>
            </w:pPr>
            <w:r>
              <w:rPr>
                <w:color w:val="231F20"/>
                <w:spacing w:val="-11"/>
              </w:rPr>
              <w:t>0.5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8"/>
              <w:spacing w:before="44" w:line="212" w:lineRule="auto"/>
              <w:rPr/>
            </w:pPr>
            <w:r>
              <w:rPr>
                <w:color w:val="231F20"/>
                <w:spacing w:val="-9"/>
              </w:rPr>
              <w:t>99.5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9" w:type="dxa"/>
            <w:vAlign w:val="top"/>
          </w:tcPr>
          <w:p>
            <w:pPr>
              <w:pStyle w:val="TableText"/>
              <w:ind w:left="245"/>
              <w:spacing w:before="47" w:line="209" w:lineRule="auto"/>
              <w:rPr/>
            </w:pPr>
            <w:r>
              <w:rPr>
                <w:color w:val="231F20"/>
                <w:spacing w:val="-1"/>
              </w:rPr>
              <w:t>西医疾病诊断依据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5"/>
              <w:spacing w:before="45" w:line="212" w:lineRule="auto"/>
              <w:rPr/>
            </w:pPr>
            <w:r>
              <w:rPr>
                <w:color w:val="231F20"/>
                <w:spacing w:val="-9"/>
              </w:rPr>
              <w:t>51.5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5"/>
              <w:spacing w:before="45" w:line="212" w:lineRule="auto"/>
              <w:rPr/>
            </w:pPr>
            <w:r>
              <w:rPr>
                <w:color w:val="231F20"/>
                <w:spacing w:val="-9"/>
              </w:rPr>
              <w:t>40.5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7"/>
              <w:spacing w:before="45" w:line="212" w:lineRule="auto"/>
              <w:rPr/>
            </w:pPr>
            <w:r>
              <w:rPr>
                <w:color w:val="231F20"/>
                <w:spacing w:val="-11"/>
              </w:rPr>
              <w:t>6.0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4"/>
              <w:spacing w:before="45" w:line="212" w:lineRule="auto"/>
              <w:rPr/>
            </w:pPr>
            <w:r>
              <w:rPr>
                <w:color w:val="231F20"/>
                <w:spacing w:val="-11"/>
              </w:rPr>
              <w:t>2.0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8"/>
              <w:spacing w:before="45" w:line="212" w:lineRule="auto"/>
              <w:rPr/>
            </w:pPr>
            <w:r>
              <w:rPr>
                <w:color w:val="231F20"/>
                <w:spacing w:val="-9"/>
              </w:rPr>
              <w:t>92.0</w:t>
            </w:r>
          </w:p>
        </w:tc>
      </w:tr>
      <w:tr>
        <w:trPr>
          <w:trHeight w:val="238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8"/>
              <w:spacing w:before="169" w:line="212" w:lineRule="auto"/>
              <w:rPr/>
            </w:pPr>
            <w:r>
              <w:rPr>
                <w:color w:val="231F20"/>
                <w:spacing w:val="-1"/>
              </w:rPr>
              <w:t>辨证分类</w:t>
            </w:r>
          </w:p>
          <w:p>
            <w:pPr>
              <w:pStyle w:val="TableText"/>
              <w:ind w:left="509"/>
              <w:spacing w:before="176" w:line="204" w:lineRule="auto"/>
              <w:rPr/>
            </w:pPr>
            <w:r>
              <w:rPr>
                <w:color w:val="231F20"/>
                <w:spacing w:val="-2"/>
              </w:rPr>
              <w:t>治则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562"/>
              <w:spacing w:before="50" w:line="205" w:lineRule="auto"/>
              <w:rPr/>
            </w:pPr>
            <w:r>
              <w:rPr>
                <w:color w:val="231F20"/>
                <w:spacing w:val="-1"/>
              </w:rPr>
              <w:t>证候分类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2"/>
              <w:spacing w:before="46" w:line="210" w:lineRule="auto"/>
              <w:rPr/>
            </w:pPr>
            <w:r>
              <w:rPr>
                <w:color w:val="231F20"/>
                <w:spacing w:val="-9"/>
              </w:rPr>
              <w:t>45.5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4"/>
              <w:spacing w:before="46" w:line="210" w:lineRule="auto"/>
              <w:rPr/>
            </w:pPr>
            <w:r>
              <w:rPr>
                <w:color w:val="231F20"/>
                <w:spacing w:val="-9"/>
              </w:rPr>
              <w:t>48.5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4"/>
              <w:spacing w:before="46" w:line="210" w:lineRule="auto"/>
              <w:rPr/>
            </w:pPr>
            <w:r>
              <w:rPr>
                <w:color w:val="231F20"/>
                <w:spacing w:val="-10"/>
              </w:rPr>
              <w:t>4.5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57"/>
              <w:spacing w:before="46" w:line="210" w:lineRule="auto"/>
              <w:rPr/>
            </w:pPr>
            <w:r>
              <w:rPr>
                <w:color w:val="231F20"/>
                <w:spacing w:val="-14"/>
              </w:rPr>
              <w:t>1.5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8"/>
              <w:spacing w:before="46" w:line="210" w:lineRule="auto"/>
              <w:rPr/>
            </w:pPr>
            <w:r>
              <w:rPr>
                <w:color w:val="231F20"/>
                <w:spacing w:val="-9"/>
              </w:rPr>
              <w:t>94.0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02"/>
              <w:spacing w:before="49" w:line="207" w:lineRule="auto"/>
              <w:rPr/>
            </w:pPr>
            <w:r>
              <w:rPr>
                <w:color w:val="231F20"/>
                <w:spacing w:val="-1"/>
              </w:rPr>
              <w:t>证候诊断依据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2"/>
              <w:spacing w:before="47" w:line="210" w:lineRule="auto"/>
              <w:rPr/>
            </w:pPr>
            <w:r>
              <w:rPr>
                <w:color w:val="231F20"/>
                <w:spacing w:val="-9"/>
              </w:rPr>
              <w:t>41.0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4"/>
              <w:spacing w:before="47" w:line="210" w:lineRule="auto"/>
              <w:rPr/>
            </w:pPr>
            <w:r>
              <w:rPr>
                <w:color w:val="231F20"/>
                <w:spacing w:val="-9"/>
              </w:rPr>
              <w:t>48.0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8"/>
              <w:spacing w:before="47" w:line="210" w:lineRule="auto"/>
              <w:rPr/>
            </w:pPr>
            <w:r>
              <w:rPr>
                <w:color w:val="231F20"/>
                <w:spacing w:val="-11"/>
              </w:rPr>
              <w:t>8.5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4"/>
              <w:spacing w:before="47" w:line="210" w:lineRule="auto"/>
              <w:rPr/>
            </w:pPr>
            <w:r>
              <w:rPr>
                <w:color w:val="231F20"/>
                <w:spacing w:val="-11"/>
              </w:rPr>
              <w:t>2.5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70"/>
              <w:spacing w:before="47" w:line="210" w:lineRule="auto"/>
              <w:rPr/>
            </w:pPr>
            <w:r>
              <w:rPr>
                <w:color w:val="231F20"/>
                <w:spacing w:val="-10"/>
              </w:rPr>
              <w:t>89.0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9" w:type="dxa"/>
            <w:vAlign w:val="top"/>
          </w:tcPr>
          <w:p>
            <w:pPr>
              <w:pStyle w:val="TableText"/>
              <w:ind w:left="725"/>
              <w:spacing w:before="52" w:line="204" w:lineRule="auto"/>
              <w:rPr/>
            </w:pPr>
            <w:r>
              <w:rPr>
                <w:color w:val="231F20"/>
                <w:spacing w:val="-2"/>
              </w:rPr>
              <w:t>治则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7"/>
              <w:spacing w:before="47" w:line="209" w:lineRule="auto"/>
              <w:rPr/>
            </w:pPr>
            <w:r>
              <w:rPr>
                <w:color w:val="231F20"/>
                <w:spacing w:val="-10"/>
              </w:rPr>
              <w:t>34.5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4"/>
              <w:spacing w:before="47" w:line="209" w:lineRule="auto"/>
              <w:rPr/>
            </w:pPr>
            <w:r>
              <w:rPr>
                <w:color w:val="231F20"/>
                <w:spacing w:val="-9"/>
              </w:rPr>
              <w:t>41.0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360"/>
              <w:spacing w:before="47" w:line="209" w:lineRule="auto"/>
              <w:rPr/>
            </w:pPr>
            <w:r>
              <w:rPr>
                <w:color w:val="231F20"/>
                <w:spacing w:val="-12"/>
              </w:rPr>
              <w:t>15.5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4"/>
              <w:spacing w:before="47" w:line="209" w:lineRule="auto"/>
              <w:rPr/>
            </w:pPr>
            <w:r>
              <w:rPr>
                <w:color w:val="231F20"/>
                <w:spacing w:val="-11"/>
              </w:rPr>
              <w:t>9.0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7"/>
              <w:spacing w:before="47" w:line="209" w:lineRule="auto"/>
              <w:rPr/>
            </w:pPr>
            <w:r>
              <w:rPr>
                <w:color w:val="231F20"/>
                <w:spacing w:val="-9"/>
              </w:rPr>
              <w:t>75.5</w:t>
            </w:r>
          </w:p>
        </w:tc>
      </w:tr>
      <w:tr>
        <w:trPr>
          <w:trHeight w:val="476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5"/>
              <w:spacing w:before="171" w:line="212" w:lineRule="auto"/>
              <w:rPr/>
            </w:pPr>
            <w:r>
              <w:rPr>
                <w:color w:val="231F20"/>
                <w:spacing w:val="-2"/>
              </w:rPr>
              <w:t>治疗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507"/>
              <w:spacing w:before="172" w:line="211" w:lineRule="auto"/>
              <w:rPr/>
            </w:pPr>
            <w:r>
              <w:rPr>
                <w:color w:val="231F20"/>
                <w:spacing w:val="-1"/>
              </w:rPr>
              <w:t>方药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723"/>
              <w:spacing w:before="52" w:line="211" w:lineRule="auto"/>
              <w:rPr/>
            </w:pPr>
            <w:r>
              <w:rPr>
                <w:color w:val="231F20"/>
                <w:spacing w:val="-1"/>
              </w:rPr>
              <w:t>方药</w:t>
            </w:r>
          </w:p>
          <w:p>
            <w:pPr>
              <w:pStyle w:val="TableText"/>
              <w:ind w:left="169"/>
              <w:spacing w:before="56" w:line="201" w:lineRule="auto"/>
              <w:rPr/>
            </w:pPr>
            <w:r>
              <w:rPr>
                <w:color w:val="231F20"/>
                <w:spacing w:val="-1"/>
              </w:rPr>
              <w:t>主要药物组成与用法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24"/>
              <w:spacing w:before="47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23.5</w:t>
            </w:r>
          </w:p>
          <w:p>
            <w:pPr>
              <w:pStyle w:val="TableText"/>
              <w:ind w:left="424"/>
              <w:spacing w:before="8" w:line="206" w:lineRule="auto"/>
              <w:rPr/>
            </w:pPr>
            <w:r>
              <w:rPr>
                <w:color w:val="231F20"/>
                <w:spacing w:val="-9"/>
              </w:rPr>
              <w:t>26.5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9"/>
              <w:spacing w:before="47" w:line="231" w:lineRule="exact"/>
              <w:rPr/>
            </w:pPr>
            <w:r>
              <w:rPr>
                <w:color w:val="231F20"/>
                <w:spacing w:val="-10"/>
                <w:position w:val="1"/>
              </w:rPr>
              <w:t>33.3</w:t>
            </w:r>
          </w:p>
          <w:p>
            <w:pPr>
              <w:pStyle w:val="TableText"/>
              <w:ind w:left="494"/>
              <w:spacing w:before="8" w:line="206" w:lineRule="auto"/>
              <w:rPr/>
            </w:pPr>
            <w:r>
              <w:rPr>
                <w:color w:val="231F20"/>
                <w:spacing w:val="-9"/>
              </w:rPr>
              <w:t>43.5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6"/>
              <w:spacing w:before="47" w:line="231" w:lineRule="exact"/>
              <w:rPr/>
            </w:pPr>
            <w:r>
              <w:rPr>
                <w:color w:val="231F20"/>
                <w:spacing w:val="-11"/>
                <w:position w:val="1"/>
              </w:rPr>
              <w:t>5.9</w:t>
            </w:r>
          </w:p>
          <w:p>
            <w:pPr>
              <w:pStyle w:val="TableText"/>
              <w:ind w:left="360"/>
              <w:spacing w:before="8" w:line="206" w:lineRule="auto"/>
              <w:rPr/>
            </w:pPr>
            <w:r>
              <w:rPr>
                <w:color w:val="231F20"/>
                <w:spacing w:val="-12"/>
              </w:rPr>
              <w:t>12.5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467"/>
              <w:spacing w:before="47" w:line="231" w:lineRule="exact"/>
              <w:rPr/>
            </w:pPr>
            <w:r>
              <w:rPr>
                <w:color w:val="231F20"/>
                <w:spacing w:val="-10"/>
                <w:position w:val="1"/>
              </w:rPr>
              <w:t>37.3</w:t>
            </w:r>
          </w:p>
          <w:p>
            <w:pPr>
              <w:pStyle w:val="TableText"/>
              <w:ind w:left="478"/>
              <w:spacing w:before="8" w:line="206" w:lineRule="auto"/>
              <w:rPr/>
            </w:pPr>
            <w:r>
              <w:rPr>
                <w:color w:val="231F20"/>
                <w:spacing w:val="-12"/>
              </w:rPr>
              <w:t>17.5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8"/>
              <w:spacing w:before="47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56.8</w:t>
            </w:r>
          </w:p>
          <w:p>
            <w:pPr>
              <w:pStyle w:val="TableText"/>
              <w:ind w:left="467"/>
              <w:spacing w:before="8" w:line="206" w:lineRule="auto"/>
              <w:rPr/>
            </w:pPr>
            <w:r>
              <w:rPr>
                <w:color w:val="231F20"/>
                <w:spacing w:val="-9"/>
              </w:rPr>
              <w:t>70.0</w:t>
            </w:r>
          </w:p>
        </w:tc>
      </w:tr>
      <w:tr>
        <w:trPr>
          <w:trHeight w:val="237" w:hRule="atLeast"/>
        </w:trPr>
        <w:tc>
          <w:tcPr>
            <w:tcW w:w="6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</w:tcPr>
          <w:p>
            <w:pPr>
              <w:pStyle w:val="TableText"/>
              <w:ind w:left="443"/>
              <w:spacing w:before="54" w:line="199" w:lineRule="auto"/>
              <w:rPr/>
            </w:pPr>
            <w:r>
              <w:rPr>
                <w:color w:val="231F20"/>
                <w:spacing w:val="-5"/>
              </w:rPr>
              <w:t>中成药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19"/>
              <w:spacing w:before="54" w:line="199" w:lineRule="auto"/>
              <w:rPr/>
            </w:pPr>
            <w:r>
              <w:rPr>
                <w:color w:val="231F20"/>
                <w:spacing w:val="-3"/>
              </w:rPr>
              <w:t>中成药与用法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503"/>
              <w:spacing w:before="50" w:line="204" w:lineRule="auto"/>
              <w:rPr/>
            </w:pPr>
            <w:r>
              <w:rPr>
                <w:color w:val="231F20"/>
                <w:spacing w:val="-11"/>
              </w:rPr>
              <w:t>0.5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509"/>
              <w:spacing w:before="50" w:line="204" w:lineRule="auto"/>
              <w:rPr/>
            </w:pPr>
            <w:r>
              <w:rPr>
                <w:color w:val="231F20"/>
                <w:spacing w:val="-12"/>
              </w:rPr>
              <w:t>12.0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360"/>
              <w:spacing w:before="50" w:line="204" w:lineRule="auto"/>
              <w:rPr/>
            </w:pPr>
            <w:r>
              <w:rPr>
                <w:color w:val="231F20"/>
                <w:spacing w:val="-12"/>
              </w:rPr>
              <w:t>12.0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463"/>
              <w:spacing w:before="50" w:line="204" w:lineRule="auto"/>
              <w:rPr/>
            </w:pPr>
            <w:r>
              <w:rPr>
                <w:color w:val="231F20"/>
                <w:spacing w:val="-9"/>
              </w:rPr>
              <w:t>75.5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81"/>
              <w:spacing w:before="50" w:line="204" w:lineRule="auto"/>
              <w:rPr/>
            </w:pPr>
            <w:r>
              <w:rPr>
                <w:color w:val="231F20"/>
                <w:spacing w:val="-12"/>
              </w:rPr>
              <w:t>12.5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</w:tcPr>
          <w:p>
            <w:pPr>
              <w:pStyle w:val="TableText"/>
              <w:ind w:left="346"/>
              <w:spacing w:before="55" w:line="200" w:lineRule="auto"/>
              <w:rPr/>
            </w:pPr>
            <w:r>
              <w:rPr>
                <w:color w:val="231F20"/>
                <w:spacing w:val="-1"/>
              </w:rPr>
              <w:t>其他治法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162"/>
              <w:spacing w:before="55" w:line="200" w:lineRule="auto"/>
              <w:rPr/>
            </w:pPr>
            <w:r>
              <w:rPr>
                <w:color w:val="231F20"/>
                <w:spacing w:val="-1"/>
              </w:rPr>
              <w:t>其他治法与治疗方案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505"/>
              <w:spacing w:before="53" w:line="203" w:lineRule="auto"/>
              <w:rPr/>
            </w:pPr>
            <w:r>
              <w:rPr>
                <w:color w:val="231F20"/>
                <w:spacing w:val="-11"/>
              </w:rPr>
              <w:t>8.5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499"/>
              <w:spacing w:before="53" w:line="203" w:lineRule="auto"/>
              <w:rPr/>
            </w:pPr>
            <w:r>
              <w:rPr>
                <w:color w:val="231F20"/>
                <w:spacing w:val="-10"/>
              </w:rPr>
              <w:t>35.5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6"/>
              <w:spacing w:before="53" w:line="203" w:lineRule="auto"/>
              <w:rPr/>
            </w:pPr>
            <w:r>
              <w:rPr>
                <w:color w:val="231F20"/>
                <w:spacing w:val="-11"/>
              </w:rPr>
              <w:t>2.0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464"/>
              <w:spacing w:before="53" w:line="203" w:lineRule="auto"/>
              <w:rPr/>
            </w:pPr>
            <w:r>
              <w:rPr>
                <w:color w:val="231F20"/>
                <w:spacing w:val="-9"/>
              </w:rPr>
              <w:t>54.0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65"/>
              <w:spacing w:before="53" w:line="203" w:lineRule="auto"/>
              <w:rPr/>
            </w:pPr>
            <w:r>
              <w:rPr>
                <w:color w:val="231F20"/>
                <w:spacing w:val="-9"/>
              </w:rPr>
              <w:t>44.0</w:t>
            </w:r>
          </w:p>
        </w:tc>
      </w:tr>
      <w:tr>
        <w:trPr>
          <w:trHeight w:val="246" w:hRule="atLeast"/>
        </w:trPr>
        <w:tc>
          <w:tcPr>
            <w:tcW w:w="664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7"/>
              <w:spacing w:before="57" w:line="206" w:lineRule="auto"/>
              <w:rPr/>
            </w:pPr>
            <w:r>
              <w:rPr>
                <w:color w:val="231F20"/>
                <w:spacing w:val="-1"/>
              </w:rPr>
              <w:t>调摄与预防</w:t>
            </w:r>
          </w:p>
        </w:tc>
        <w:tc>
          <w:tcPr>
            <w:tcW w:w="17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3"/>
              <w:spacing w:before="57" w:line="206" w:lineRule="auto"/>
              <w:rPr/>
            </w:pPr>
            <w:r>
              <w:rPr>
                <w:color w:val="231F20"/>
                <w:spacing w:val="-1"/>
              </w:rPr>
              <w:t>调摄与预防措施</w:t>
            </w:r>
          </w:p>
        </w:tc>
        <w:tc>
          <w:tcPr>
            <w:tcW w:w="11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2"/>
              <w:spacing w:before="53" w:line="211" w:lineRule="auto"/>
              <w:rPr/>
            </w:pPr>
            <w:r>
              <w:rPr>
                <w:color w:val="231F20"/>
                <w:spacing w:val="-9"/>
              </w:rPr>
              <w:t>42.0</w:t>
            </w:r>
          </w:p>
        </w:tc>
        <w:tc>
          <w:tcPr>
            <w:tcW w:w="13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99"/>
              <w:spacing w:before="53" w:line="211" w:lineRule="auto"/>
              <w:rPr/>
            </w:pPr>
            <w:r>
              <w:rPr>
                <w:color w:val="231F20"/>
                <w:spacing w:val="-10"/>
              </w:rPr>
              <w:t>33.5</w:t>
            </w:r>
          </w:p>
        </w:tc>
        <w:tc>
          <w:tcPr>
            <w:tcW w:w="10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5"/>
              <w:spacing w:before="53" w:line="211" w:lineRule="auto"/>
              <w:rPr/>
            </w:pPr>
            <w:r>
              <w:rPr>
                <w:color w:val="231F20"/>
                <w:spacing w:val="-11"/>
              </w:rPr>
              <w:t>0.5</w:t>
            </w:r>
          </w:p>
        </w:tc>
        <w:tc>
          <w:tcPr>
            <w:tcW w:w="123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4"/>
              <w:spacing w:before="53" w:line="211" w:lineRule="auto"/>
              <w:rPr/>
            </w:pPr>
            <w:r>
              <w:rPr>
                <w:color w:val="231F20"/>
                <w:spacing w:val="-9"/>
              </w:rPr>
              <w:t>24.0</w:t>
            </w:r>
          </w:p>
        </w:tc>
        <w:tc>
          <w:tcPr>
            <w:tcW w:w="12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6"/>
              <w:spacing w:before="53" w:line="211" w:lineRule="auto"/>
              <w:rPr/>
            </w:pPr>
            <w:r>
              <w:rPr>
                <w:color w:val="231F20"/>
                <w:spacing w:val="-9"/>
              </w:rPr>
              <w:t>75.5</w:t>
            </w:r>
          </w:p>
        </w:tc>
      </w:tr>
    </w:tbl>
    <w:p>
      <w:pPr>
        <w:spacing w:line="100" w:lineRule="exact"/>
        <w:rPr>
          <w:rFonts w:ascii="Arial"/>
          <w:sz w:val="8"/>
        </w:rPr>
      </w:pPr>
      <w:r/>
    </w:p>
    <w:p>
      <w:pPr>
        <w:spacing w:line="100" w:lineRule="exact"/>
        <w:sectPr>
          <w:type w:val="continuous"/>
          <w:pgSz w:w="12076" w:h="17178"/>
          <w:pgMar w:top="400" w:right="484" w:bottom="1209" w:left="407" w:header="0" w:footer="876" w:gutter="0"/>
          <w:cols w:equalWidth="0" w:num="1">
            <w:col w:w="11183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pStyle w:val="BodyText"/>
        <w:ind w:left="813" w:right="355" w:firstLine="418"/>
        <w:spacing w:before="55" w:line="26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此次临床一致性评价结果反映出在本病的诊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疗上虽然大部分条目一致性较好，但对于本病的治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7"/>
        </w:rPr>
        <w:t>疗方案尚存在一些经验治疗的问题。共识颁布以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47" w:line="276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2"/>
          <w:position w:val="1"/>
        </w:rPr>
        <w:t>1.3</w:t>
      </w:r>
      <w:r>
        <w:rPr>
          <w:sz w:val="21"/>
          <w:szCs w:val="21"/>
          <w:color w:val="231F20"/>
          <w:spacing w:val="3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2"/>
          <w:position w:val="1"/>
        </w:rPr>
        <w:t>评价标准</w:t>
      </w:r>
    </w:p>
    <w:p>
      <w:pPr>
        <w:pStyle w:val="BodyText"/>
        <w:ind w:right="733" w:firstLine="418"/>
        <w:spacing w:before="41" w:line="26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此次评价标准是根据所观察病例临床实际诊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疗情况同共识推荐诊疗对比，按百分比的评分进行</w:t>
      </w:r>
    </w:p>
    <w:p>
      <w:pPr>
        <w:spacing w:line="264" w:lineRule="auto"/>
        <w:sectPr>
          <w:type w:val="continuous"/>
          <w:pgSz w:w="12076" w:h="17178"/>
          <w:pgMar w:top="400" w:right="484" w:bottom="1209" w:left="407" w:header="0" w:footer="876" w:gutter="0"/>
          <w:cols w:equalWidth="0" w:num="2">
            <w:col w:w="5760" w:space="100"/>
            <w:col w:w="5324" w:space="0"/>
          </w:cols>
        </w:sectPr>
        <w:rPr>
          <w:sz w:val="21"/>
          <w:szCs w:val="21"/>
        </w:rPr>
      </w:pPr>
    </w:p>
    <w:p>
      <w:pPr>
        <w:pStyle w:val="BodyText"/>
        <w:ind w:left="817" w:right="352" w:hanging="5"/>
        <w:spacing w:before="27" w:line="27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来，为进一步评价其临床适用性，促进本病诊疗专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家共识意见的推广应用，充分发挥中医药治疗本病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的特色，项目组扩大了临床病例收集范围，对共识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2"/>
        </w:rPr>
        <w:t>内容进行了临床一致性再评价。具体内容如下。</w:t>
      </w:r>
    </w:p>
    <w:p>
      <w:pPr>
        <w:pStyle w:val="BodyText"/>
        <w:ind w:left="833"/>
        <w:spacing w:before="1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资料和方法</w:t>
      </w:r>
    </w:p>
    <w:p>
      <w:pPr>
        <w:pStyle w:val="BodyText"/>
        <w:ind w:left="833"/>
        <w:spacing w:before="5" w:line="278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4"/>
          <w:position w:val="1"/>
        </w:rPr>
        <w:t>1.1</w:t>
      </w:r>
      <w:r>
        <w:rPr>
          <w:sz w:val="21"/>
          <w:szCs w:val="21"/>
          <w:color w:val="231F20"/>
          <w:spacing w:val="12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4"/>
          <w:position w:val="1"/>
        </w:rPr>
        <w:t>资料来源</w:t>
      </w:r>
    </w:p>
    <w:p>
      <w:pPr>
        <w:pStyle w:val="BodyText"/>
        <w:ind w:left="813" w:right="273" w:firstLine="418"/>
        <w:spacing w:before="36" w:line="27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此次再评价选取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3"/>
        </w:rPr>
        <w:t>6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3"/>
        </w:rPr>
        <w:t>省市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3"/>
        </w:rPr>
        <w:t>9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3"/>
        </w:rPr>
        <w:t>家不同地区及不同等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级的医疗单位作为共识临床一致性再评价对象，具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体包括江西中医药大学附属医院、广州中医药大学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第一附属医院、浙江省中医院、湖南中医药大学第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2"/>
        </w:rPr>
        <w:t>一附属医院、上海中医药大学附属岳阳中西医结合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1"/>
        </w:rPr>
        <w:t>医院、深圳市宝安区中医院、宜春市中医院、重庆市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2"/>
        </w:rPr>
        <w:t>綦江区中医院、杭州市桐庐县中医院。采用前瞻性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2"/>
        </w:rPr>
        <w:t>及回顾性病例调查分析方法，于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2"/>
        </w:rPr>
        <w:t>9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2"/>
        </w:rPr>
        <w:t>家医院共收集了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符合不完全性肠梗阻诊断的门诊及住院病例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5"/>
        </w:rPr>
        <w:t>102份。</w:t>
      </w:r>
    </w:p>
    <w:p>
      <w:pPr>
        <w:pStyle w:val="BodyText"/>
        <w:ind w:left="833"/>
        <w:spacing w:line="287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2"/>
          <w:position w:val="1"/>
        </w:rPr>
        <w:t>1.2</w:t>
      </w:r>
      <w:r>
        <w:rPr>
          <w:sz w:val="21"/>
          <w:szCs w:val="21"/>
          <w:color w:val="231F20"/>
          <w:spacing w:val="2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2"/>
          <w:position w:val="1"/>
        </w:rPr>
        <w:t>研究方法</w:t>
      </w:r>
    </w:p>
    <w:p>
      <w:pPr>
        <w:pStyle w:val="BodyText"/>
        <w:ind w:left="815" w:right="285" w:firstLine="419"/>
        <w:spacing w:before="29" w:line="25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项目开始前期，按照临床一致性评价要求对病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8"/>
        </w:rPr>
        <w:t>例收集人员进行培训，使病例收集者达到项目要求，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完成《不完全性肠梗阻中医临床诊疗应用评价病例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调查表》填写；将收集的数据资料进行频数统计分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6"/>
        </w:rPr>
        <w:t>析，并将分析结果与共识进行整体一致性评价。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34"/>
        <w:spacing w:line="27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定性评价</w:t>
      </w:r>
      <w:r>
        <w:rPr>
          <w:sz w:val="12"/>
          <w:szCs w:val="12"/>
          <w:color w:val="231F20"/>
          <w:spacing w:val="6"/>
          <w:position w:val="9"/>
        </w:rPr>
        <w:t>［4</w:t>
      </w:r>
      <w:r>
        <w:rPr>
          <w:sz w:val="12"/>
          <w:szCs w:val="12"/>
          <w:color w:val="231F20"/>
          <w:spacing w:val="-5"/>
          <w:position w:val="9"/>
        </w:rPr>
        <w:t>］</w:t>
      </w:r>
      <w:r>
        <w:rPr>
          <w:sz w:val="21"/>
          <w:szCs w:val="21"/>
          <w:color w:val="231F20"/>
          <w:spacing w:val="-50"/>
          <w:w w:val="98"/>
        </w:rPr>
        <w:t>，</w:t>
      </w:r>
      <w:r>
        <w:rPr>
          <w:sz w:val="21"/>
          <w:szCs w:val="21"/>
          <w:color w:val="231F20"/>
          <w:spacing w:val="6"/>
        </w:rPr>
        <w:t>≥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6"/>
        </w:rPr>
        <w:t>80%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6"/>
        </w:rPr>
        <w:t>为一致，60%~79%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6"/>
        </w:rPr>
        <w:t>为比较一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致，40%~59%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9"/>
        </w:rPr>
        <w:t>为一般</w:t>
      </w:r>
      <w:r>
        <w:rPr>
          <w:sz w:val="21"/>
          <w:szCs w:val="21"/>
          <w:color w:val="231F20"/>
          <w:spacing w:val="-11"/>
        </w:rPr>
        <w:t>，＜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9"/>
        </w:rPr>
        <w:t>40%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9"/>
        </w:rPr>
        <w:t>为不一致。当评价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为“不一致”时，应分析并填写不一致原因</w:t>
      </w:r>
      <w:r>
        <w:rPr>
          <w:sz w:val="21"/>
          <w:szCs w:val="21"/>
          <w:color w:val="231F20"/>
          <w:spacing w:val="-4"/>
        </w:rPr>
        <w:t>。项目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未填写时，均视为不一致。总体一致率为一致与比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4"/>
        </w:rPr>
        <w:t>较一致之和。</w:t>
      </w:r>
    </w:p>
    <w:p>
      <w:pPr>
        <w:pStyle w:val="BodyText"/>
        <w:ind w:left="5"/>
        <w:spacing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2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结果</w:t>
      </w:r>
    </w:p>
    <w:p>
      <w:pPr>
        <w:pStyle w:val="BodyText"/>
        <w:ind w:left="5"/>
        <w:spacing w:before="4" w:line="280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1"/>
          <w:position w:val="1"/>
        </w:rPr>
        <w:t>2.1</w:t>
      </w:r>
      <w:r>
        <w:rPr>
          <w:sz w:val="21"/>
          <w:szCs w:val="21"/>
          <w:color w:val="231F20"/>
          <w:spacing w:val="7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1"/>
          <w:position w:val="1"/>
        </w:rPr>
        <w:t>一般情况</w:t>
      </w:r>
    </w:p>
    <w:p>
      <w:pPr>
        <w:pStyle w:val="BodyText"/>
        <w:ind w:left="3" w:right="733" w:firstLine="417"/>
        <w:spacing w:before="40" w:line="27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此次扩选一致性评价病例时间范围为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3"/>
        </w:rPr>
        <w:t>201</w:t>
      </w:r>
      <w:r>
        <w:rPr>
          <w:sz w:val="21"/>
          <w:szCs w:val="21"/>
          <w:color w:val="231F20"/>
          <w:spacing w:val="2"/>
        </w:rPr>
        <w:t>7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2"/>
        </w:rPr>
        <w:t>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10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月—2020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年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3"/>
        </w:rPr>
        <w:t>12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月，较共识起草时一致性</w:t>
      </w:r>
      <w:r>
        <w:rPr>
          <w:sz w:val="21"/>
          <w:szCs w:val="21"/>
          <w:color w:val="231F20"/>
          <w:spacing w:val="-4"/>
        </w:rPr>
        <w:t>评价选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取病例时间跨度更长。调查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sz w:val="21"/>
          <w:szCs w:val="21"/>
          <w:color w:val="231F20"/>
          <w:spacing w:val="6"/>
        </w:rPr>
        <w:t>102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6"/>
        </w:rPr>
        <w:t>份病例中，男性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60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7"/>
        </w:rPr>
        <w:t>例，女性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7"/>
        </w:rPr>
        <w:t>42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7"/>
        </w:rPr>
        <w:t>例；平均年龄为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7"/>
        </w:rPr>
        <w:t>60.92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7"/>
        </w:rPr>
        <w:t>岁；60~69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7"/>
        </w:rPr>
        <w:t>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人群分布最多，为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4"/>
        </w:rPr>
        <w:t>30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4"/>
        </w:rPr>
        <w:t>例。具体分布情况如图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5"/>
        </w:rPr>
        <w:t>1。</w:t>
      </w:r>
    </w:p>
    <w:p>
      <w:pPr>
        <w:spacing w:line="2474" w:lineRule="exact"/>
        <w:rPr/>
      </w:pPr>
      <w:r>
        <w:rPr>
          <w:position w:val="-49"/>
        </w:rPr>
        <w:drawing>
          <wp:inline distT="0" distB="0" distL="0" distR="0">
            <wp:extent cx="2861999" cy="157057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1999" cy="15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58"/>
        <w:spacing w:before="56" w:line="212" w:lineRule="auto"/>
        <w:outlineLvl w:val="1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3"/>
        </w:rPr>
        <w:t>图</w:t>
      </w:r>
      <w:r>
        <w:rPr>
          <w:color w:val="231F20"/>
          <w:spacing w:val="-3"/>
        </w:rPr>
        <w:t>1  </w:t>
      </w:r>
      <w:r>
        <w:rPr>
          <w:rFonts w:ascii="KaiTi" w:hAnsi="KaiTi" w:eastAsia="KaiTi" w:cs="KaiTi"/>
          <w:color w:val="231F20"/>
          <w:spacing w:val="-3"/>
        </w:rPr>
        <w:t>年龄分布情况</w:t>
      </w:r>
    </w:p>
    <w:p>
      <w:pPr>
        <w:spacing w:line="212" w:lineRule="auto"/>
        <w:sectPr>
          <w:type w:val="continuous"/>
          <w:pgSz w:w="12076" w:h="17178"/>
          <w:pgMar w:top="400" w:right="484" w:bottom="1209" w:left="407" w:header="0" w:footer="876" w:gutter="0"/>
          <w:cols w:equalWidth="0" w:num="2">
            <w:col w:w="5757" w:space="100"/>
            <w:col w:w="5327" w:space="0"/>
          </w:cols>
        </w:sectPr>
        <w:rPr>
          <w:rFonts w:ascii="KaiTi" w:hAnsi="KaiTi" w:eastAsia="KaiTi" w:cs="KaiTi"/>
        </w:rPr>
      </w:pPr>
    </w:p>
    <w:p>
      <w:pPr>
        <w:spacing w:line="260" w:lineRule="auto"/>
        <w:rPr>
          <w:rFonts w:ascii="Arial"/>
          <w:sz w:val="21"/>
        </w:rPr>
      </w:pPr>
      <w:r>
        <w:pict>
          <v:shape id="_x0000_s28" style="position:absolute;margin-left:30.8572pt;margin-top:0.375pt;mso-position-vertical-relative:text;mso-position-horizontal-relative:text;width:230.7pt;height:0.75pt;z-index:251668480;" filled="false" strokecolor="#231F20" strokeweight="0.75pt" coordsize="4613,15" coordorigin="0,0" path="m4613,7l0,7e">
            <v:stroke joinstyle="miter" miterlimit="4"/>
          </v:shape>
        </w:pict>
      </w:r>
      <w:r>
        <w:pict>
          <v:shape id="_x0000_s30" style="position:absolute;margin-left:30.4822pt;margin-top:0.75pt;mso-position-vertical-relative:text;mso-position-horizontal-relative:text;width:0.75pt;height:387.55pt;z-index:251670528;" filled="false" strokecolor="#231F20" strokeweight="0.75pt" coordsize="15,7750" coordorigin="0,0" path="m7,0l7,7750e">
            <v:stroke joinstyle="miter" miterlimit="4"/>
          </v:shape>
        </w:pict>
      </w:r>
      <w:r/>
    </w:p>
    <w:p>
      <w:pPr>
        <w:pStyle w:val="BodyText"/>
        <w:ind w:left="816"/>
        <w:spacing w:before="69" w:line="282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3"/>
          <w:position w:val="1"/>
        </w:rPr>
        <w:t>2.2</w:t>
      </w:r>
      <w:r>
        <w:rPr>
          <w:sz w:val="21"/>
          <w:szCs w:val="21"/>
          <w:color w:val="231F20"/>
          <w:spacing w:val="2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3"/>
          <w:position w:val="1"/>
        </w:rPr>
        <w:t>诊断</w:t>
      </w:r>
    </w:p>
    <w:p>
      <w:pPr>
        <w:pStyle w:val="BodyText"/>
        <w:ind w:left="696" w:right="155" w:firstLine="119"/>
        <w:spacing w:before="16" w:line="27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2.2.1</w:t>
      </w:r>
      <w:r>
        <w:rPr>
          <w:sz w:val="21"/>
          <w:szCs w:val="21"/>
          <w:color w:val="231F20"/>
          <w:spacing w:val="3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中医疾病诊断与中医疾病诊断依据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4"/>
        </w:rPr>
        <w:t>102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7"/>
        </w:rPr>
        <w:t>份病例中，与共识对比，中医疾病诊断一致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7"/>
        </w:rPr>
        <w:t>19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7"/>
        </w:rPr>
        <w:t>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9"/>
        </w:rPr>
        <w:t>（18.6%</w:t>
      </w:r>
      <w:r>
        <w:rPr>
          <w:sz w:val="21"/>
          <w:szCs w:val="21"/>
          <w:color w:val="231F20"/>
          <w:spacing w:val="-7"/>
        </w:rPr>
        <w:t>），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9"/>
        </w:rPr>
        <w:t>较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9"/>
        </w:rPr>
        <w:t>一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9"/>
        </w:rPr>
        <w:t>致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9"/>
        </w:rPr>
        <w:t>75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9"/>
        </w:rPr>
        <w:t>例（73.5%</w:t>
      </w:r>
      <w:r>
        <w:rPr>
          <w:sz w:val="21"/>
          <w:szCs w:val="21"/>
          <w:color w:val="231F20"/>
          <w:spacing w:val="-7"/>
        </w:rPr>
        <w:t>），</w:t>
      </w:r>
      <w:r>
        <w:rPr>
          <w:sz w:val="21"/>
          <w:szCs w:val="21"/>
          <w:color w:val="231F20"/>
          <w:spacing w:val="-56"/>
        </w:rPr>
        <w:t xml:space="preserve"> </w:t>
      </w:r>
      <w:r>
        <w:rPr>
          <w:sz w:val="21"/>
          <w:szCs w:val="21"/>
          <w:color w:val="231F20"/>
          <w:spacing w:val="-9"/>
        </w:rPr>
        <w:t>不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9"/>
        </w:rPr>
        <w:t>一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9"/>
        </w:rPr>
        <w:t>致 1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9"/>
        </w:rPr>
        <w:t>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（1.0%），未给出中医诊断者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5"/>
        </w:rPr>
        <w:t>7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5"/>
        </w:rPr>
        <w:t>例（6.9%），</w:t>
      </w:r>
      <w:r>
        <w:rPr>
          <w:sz w:val="21"/>
          <w:szCs w:val="21"/>
          <w:color w:val="231F20"/>
          <w:spacing w:val="-6"/>
        </w:rPr>
        <w:t>总一致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率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92.1%。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</w:rPr>
        <w:t>一致病例中肠结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19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例（18.6%</w:t>
      </w:r>
      <w:r>
        <w:rPr>
          <w:sz w:val="21"/>
          <w:szCs w:val="21"/>
          <w:color w:val="231F20"/>
          <w:spacing w:val="5"/>
        </w:rPr>
        <w:t>），</w:t>
      </w:r>
      <w:r>
        <w:rPr>
          <w:sz w:val="21"/>
          <w:szCs w:val="21"/>
          <w:color w:val="231F20"/>
        </w:rPr>
        <w:t>较一 </w:t>
      </w:r>
      <w:r>
        <w:rPr>
          <w:sz w:val="21"/>
          <w:szCs w:val="21"/>
          <w:color w:val="231F20"/>
          <w:spacing w:val="-2"/>
        </w:rPr>
        <w:t>致病例中腹痛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2"/>
        </w:rPr>
        <w:t>56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2"/>
        </w:rPr>
        <w:t>例（54.9%）、肠积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2"/>
        </w:rPr>
        <w:t>4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2"/>
        </w:rPr>
        <w:t>例（3.9%</w:t>
      </w:r>
      <w:r>
        <w:rPr>
          <w:sz w:val="21"/>
          <w:szCs w:val="21"/>
          <w:color w:val="231F20"/>
          <w:spacing w:val="-3"/>
        </w:rPr>
        <w:t>）、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便秘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2"/>
        </w:rPr>
        <w:t>例（3.9%）、外科病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2"/>
        </w:rPr>
        <w:t>例（3.9%）、肠癌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2"/>
        </w:rPr>
        <w:t>1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5"/>
        </w:rPr>
        <w:t>例（1.0%）、肠痹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5"/>
        </w:rPr>
        <w:t>2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5"/>
        </w:rPr>
        <w:t>例（2.0%）、腹胀病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5"/>
        </w:rPr>
        <w:t>2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5"/>
        </w:rPr>
        <w:t>例（2.0%</w:t>
      </w:r>
      <w:r>
        <w:rPr>
          <w:sz w:val="21"/>
          <w:szCs w:val="21"/>
          <w:color w:val="231F20"/>
          <w:spacing w:val="-16"/>
        </w:rPr>
        <w:t>）、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胃痞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例（1.0%）、胃胀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例（1.0%）。不一致病 </w:t>
      </w:r>
      <w:r>
        <w:rPr>
          <w:sz w:val="21"/>
          <w:szCs w:val="21"/>
          <w:color w:val="231F20"/>
          <w:spacing w:val="6"/>
        </w:rPr>
        <w:t>例中发热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6"/>
        </w:rPr>
        <w:t>1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6"/>
        </w:rPr>
        <w:t>例（1.0%</w:t>
      </w:r>
      <w:r>
        <w:rPr>
          <w:sz w:val="21"/>
          <w:szCs w:val="21"/>
          <w:color w:val="231F20"/>
          <w:spacing w:val="-39"/>
        </w:rPr>
        <w:t>），</w:t>
      </w:r>
      <w:r>
        <w:rPr>
          <w:sz w:val="21"/>
          <w:szCs w:val="21"/>
          <w:color w:val="231F20"/>
          <w:spacing w:val="6"/>
        </w:rPr>
        <w:t>不符合不完全性肠梗阻中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医诊断特点。中医疾病诊断依据一致率为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8"/>
        </w:rPr>
        <w:t>17.6%，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较一致率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72.6%，一般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2.0%，不一致率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7.8%，总一 </w:t>
      </w:r>
      <w:r>
        <w:rPr>
          <w:sz w:val="21"/>
          <w:szCs w:val="21"/>
          <w:color w:val="231F20"/>
          <w:spacing w:val="12"/>
        </w:rPr>
        <w:t>致率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12"/>
        </w:rPr>
        <w:t>90.2%。</w:t>
      </w:r>
    </w:p>
    <w:p>
      <w:pPr>
        <w:pStyle w:val="BodyText"/>
        <w:ind w:left="814" w:right="239" w:firstLine="2"/>
        <w:spacing w:before="21" w:line="268" w:lineRule="auto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-243379</wp:posOffset>
                </wp:positionH>
                <wp:positionV relativeFrom="paragraph">
                  <wp:posOffset>1011485</wp:posOffset>
                </wp:positionV>
                <wp:extent cx="919480" cy="35940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243379" y="1011485"/>
                          <a:ext cx="919480" cy="3594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47" w:line="232" w:lineRule="auto"/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5"/>
                              </w:rPr>
                              <w:t xml:space="preserve">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-19.1637pt;margin-top:79.6446pt;mso-position-vertical-relative:text;mso-position-horizontal-relative:text;width:72.4pt;height:28.3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47" w:line="232" w:lineRule="auto"/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5"/>
                        </w:rPr>
                        <w:t xml:space="preserve">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34" style="position:absolute;margin-left:3.836pt;margin-top:29.1769pt;mso-position-vertical-relative:text;mso-position-horizontal-relative:text;width:26.95pt;height:127.6pt;z-index:251669504;" fillcolor="#636366" filled="true" stroked="false"/>
        </w:pict>
      </w:r>
      <w:r>
        <w:pict>
          <v:shape id="_x0000_s36" style="position:absolute;margin-left:6.46286pt;margin-top:67.956pt;mso-position-vertical-relative:text;mso-position-horizontal-relative:text;width:17.45pt;height:50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FFFFF"/>
                    </w:rPr>
                    <w:t>临床研究</w:t>
                  </w:r>
                </w:p>
              </w:txbxContent>
            </v:textbox>
          </v:shape>
        </w:pict>
      </w:r>
      <w:r>
        <w:rPr>
          <w:sz w:val="21"/>
          <w:szCs w:val="21"/>
          <w:color w:val="231F20"/>
          <w:spacing w:val="-5"/>
        </w:rPr>
        <w:t>2.2.2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西医疾病诊断与西医疾病诊断依据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 </w:t>
      </w:r>
      <w:r>
        <w:rPr>
          <w:sz w:val="21"/>
          <w:szCs w:val="21"/>
          <w:color w:val="231F20"/>
          <w:spacing w:val="-6"/>
        </w:rPr>
        <w:t>与共识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0"/>
        </w:rPr>
        <w:t>对比，西医疾病诊断一致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0"/>
        </w:rPr>
        <w:t>77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0"/>
        </w:rPr>
        <w:t>例（75.5%</w:t>
      </w:r>
      <w:r>
        <w:rPr>
          <w:sz w:val="21"/>
          <w:szCs w:val="21"/>
          <w:color w:val="231F20"/>
          <w:spacing w:val="-20"/>
        </w:rPr>
        <w:t>），</w:t>
      </w:r>
      <w:r>
        <w:rPr>
          <w:sz w:val="21"/>
          <w:szCs w:val="21"/>
          <w:color w:val="231F20"/>
          <w:spacing w:val="-10"/>
        </w:rPr>
        <w:t>较一致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11"/>
        </w:rPr>
        <w:t>25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9"/>
        </w:rPr>
        <w:t>例（24.5%</w:t>
      </w:r>
      <w:r>
        <w:rPr>
          <w:sz w:val="21"/>
          <w:szCs w:val="21"/>
          <w:color w:val="231F20"/>
          <w:spacing w:val="-13"/>
        </w:rPr>
        <w:t>），</w:t>
      </w:r>
      <w:r>
        <w:rPr>
          <w:sz w:val="21"/>
          <w:szCs w:val="21"/>
          <w:color w:val="231F20"/>
          <w:spacing w:val="-9"/>
        </w:rPr>
        <w:t>总一致率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9"/>
        </w:rPr>
        <w:t>100.0%。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9"/>
        </w:rPr>
        <w:t>一致病例中不完全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性肠梗阻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</w:rPr>
        <w:t>77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例（75.5%</w:t>
      </w:r>
      <w:r>
        <w:rPr>
          <w:sz w:val="21"/>
          <w:szCs w:val="21"/>
          <w:color w:val="231F20"/>
          <w:spacing w:val="-45"/>
        </w:rPr>
        <w:t>），</w:t>
      </w:r>
      <w:r>
        <w:rPr>
          <w:sz w:val="21"/>
          <w:szCs w:val="21"/>
          <w:color w:val="231F20"/>
        </w:rPr>
        <w:t>较一致病例中肠梗阻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25 </w:t>
      </w:r>
      <w:r>
        <w:rPr>
          <w:sz w:val="21"/>
          <w:szCs w:val="21"/>
          <w:color w:val="231F20"/>
          <w:spacing w:val="-11"/>
        </w:rPr>
        <w:t>例（24.5%）。西医疾病诊断依据一致率为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11"/>
        </w:rPr>
        <w:t>72.5%，比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较一致率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1"/>
        </w:rPr>
        <w:t>26.5%，一般为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-11"/>
        </w:rPr>
        <w:t>1.0%，总一致率为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1"/>
        </w:rPr>
        <w:t>99.0%。</w:t>
      </w:r>
    </w:p>
    <w:p>
      <w:pPr>
        <w:pStyle w:val="BodyText"/>
        <w:ind w:left="812" w:right="155" w:firstLine="3"/>
        <w:spacing w:before="22" w:line="26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2.2.3 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证候诊断及证候诊断依据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 xml:space="preserve">  </w:t>
      </w:r>
      <w:r>
        <w:rPr>
          <w:sz w:val="21"/>
          <w:szCs w:val="21"/>
          <w:color w:val="231F20"/>
          <w:spacing w:val="-10"/>
        </w:rPr>
        <w:t>中医证候分型中，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18"/>
        </w:rPr>
        <w:t>有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8"/>
        </w:rPr>
        <w:t>5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8"/>
        </w:rPr>
        <w:t>例（4.9%）未给出证候诊断，60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18"/>
        </w:rPr>
        <w:t>例（58.8%）一致，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0"/>
        </w:rPr>
        <w:t>较一致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10"/>
        </w:rPr>
        <w:t>14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10"/>
        </w:rPr>
        <w:t>例（13.7%</w:t>
      </w:r>
      <w:r>
        <w:rPr>
          <w:sz w:val="21"/>
          <w:szCs w:val="21"/>
          <w:color w:val="231F20"/>
          <w:spacing w:val="-11"/>
        </w:rPr>
        <w:t>），</w:t>
      </w:r>
      <w:r>
        <w:rPr>
          <w:sz w:val="21"/>
          <w:szCs w:val="21"/>
          <w:color w:val="231F20"/>
          <w:spacing w:val="-10"/>
        </w:rPr>
        <w:t>一般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10"/>
        </w:rPr>
        <w:t>13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10"/>
        </w:rPr>
        <w:t>例（12.8%</w:t>
      </w:r>
      <w:r>
        <w:rPr>
          <w:sz w:val="21"/>
          <w:szCs w:val="21"/>
          <w:color w:val="231F20"/>
          <w:spacing w:val="-11"/>
        </w:rPr>
        <w:t>），</w:t>
      </w:r>
      <w:r>
        <w:rPr>
          <w:sz w:val="21"/>
          <w:szCs w:val="21"/>
          <w:color w:val="231F20"/>
          <w:spacing w:val="-10"/>
        </w:rPr>
        <w:t>不一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致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4"/>
        </w:rPr>
        <w:t>10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4"/>
        </w:rPr>
        <w:t>例（9.8%</w:t>
      </w:r>
      <w:r>
        <w:rPr>
          <w:sz w:val="21"/>
          <w:szCs w:val="21"/>
          <w:color w:val="231F20"/>
          <w:spacing w:val="-5"/>
        </w:rPr>
        <w:t>），</w:t>
      </w:r>
      <w:r>
        <w:rPr>
          <w:sz w:val="21"/>
          <w:szCs w:val="21"/>
          <w:color w:val="231F20"/>
          <w:spacing w:val="-4"/>
        </w:rPr>
        <w:t>总一致率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4"/>
        </w:rPr>
        <w:t>72.5%。证候诊断总一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致率较低，不一致病例中，饮食积滞证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11"/>
        </w:rPr>
        <w:t>4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11"/>
        </w:rPr>
        <w:t>例、气血亏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8"/>
        </w:rPr>
        <w:t>虚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18"/>
        </w:rPr>
        <w:t>1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8"/>
        </w:rPr>
        <w:t>例、气阴两虚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8"/>
        </w:rPr>
        <w:t>1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8"/>
        </w:rPr>
        <w:t>例、肝胃不和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8"/>
        </w:rPr>
        <w:t>1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8"/>
        </w:rPr>
        <w:t>例、寒湿证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-18"/>
        </w:rPr>
        <w:t>1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18"/>
        </w:rPr>
        <w:t>例、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食积胃肠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11"/>
        </w:rPr>
        <w:t>2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11"/>
        </w:rPr>
        <w:t>例，这些证候诊断，共识中均未提及。证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候诊断依据中，一致率为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4"/>
        </w:rPr>
        <w:t>55.9%，比较一致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4"/>
        </w:rPr>
        <w:t>14.7%，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一般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-11"/>
        </w:rPr>
        <w:t>12.8%，不一致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-11"/>
        </w:rPr>
        <w:t>16.6%，总一致率为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11"/>
        </w:rPr>
        <w:t>70.6%。</w:t>
      </w:r>
    </w:p>
    <w:p>
      <w:pPr>
        <w:pStyle w:val="BodyText"/>
        <w:ind w:left="816"/>
        <w:spacing w:before="27" w:line="280" w:lineRule="exact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color w:val="231F20"/>
          <w:spacing w:val="-15"/>
          <w:position w:val="1"/>
        </w:rPr>
        <w:t>2.3</w:t>
      </w:r>
      <w:r>
        <w:rPr>
          <w:sz w:val="21"/>
          <w:szCs w:val="21"/>
          <w:color w:val="231F20"/>
          <w:spacing w:val="11"/>
          <w:position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5"/>
          <w:position w:val="1"/>
        </w:rPr>
        <w:t>治疗</w:t>
      </w:r>
    </w:p>
    <w:p>
      <w:pPr>
        <w:pStyle w:val="BodyText"/>
        <w:ind w:left="696" w:right="126" w:firstLine="119"/>
        <w:spacing w:before="26" w:line="27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4"/>
        </w:rPr>
        <w:t>2.3.1  </w:t>
      </w:r>
      <w:r>
        <w:rPr>
          <w:rFonts w:ascii="FangSong" w:hAnsi="FangSong" w:eastAsia="FangSong" w:cs="FangSong"/>
          <w:sz w:val="21"/>
          <w:szCs w:val="21"/>
          <w:color w:val="231F20"/>
          <w:spacing w:val="-14"/>
        </w:rPr>
        <w:t>治则一致性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-14"/>
        </w:rPr>
        <w:t>102份调查病例中，28位（2</w:t>
      </w:r>
      <w:r>
        <w:rPr>
          <w:sz w:val="21"/>
          <w:szCs w:val="21"/>
          <w:color w:val="231F20"/>
          <w:spacing w:val="-15"/>
        </w:rPr>
        <w:t>7.5%）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患者未提及治则，32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6"/>
        </w:rPr>
        <w:t>例（31.4%） 为一致，20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6"/>
        </w:rPr>
        <w:t>例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3"/>
        </w:rPr>
        <w:t>（19.6%）比较一致，9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13"/>
        </w:rPr>
        <w:t>例（8.8%）一般，13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13"/>
        </w:rPr>
        <w:t>例（12.7%）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16" w:firstLine="7"/>
        <w:spacing w:before="68" w:line="27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为不一致，整体不一致率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3"/>
        </w:rPr>
        <w:t>40.2%，总一致率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3"/>
        </w:rPr>
        <w:t>51.0%。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1"/>
        </w:rPr>
        <w:t>不一致病例中，治则多因辨证限定，如辨证为“寒湿</w:t>
      </w:r>
      <w:r>
        <w:rPr>
          <w:sz w:val="21"/>
          <w:szCs w:val="21"/>
          <w:color w:val="231F20"/>
          <w:spacing w:val="3"/>
        </w:rPr>
        <w:t xml:space="preserve">   </w:t>
      </w:r>
      <w:r>
        <w:rPr>
          <w:sz w:val="21"/>
          <w:szCs w:val="21"/>
          <w:color w:val="231F20"/>
          <w:spacing w:val="-10"/>
        </w:rPr>
        <w:t>证”，治则为“温化寒湿，通调肠腑”；“气阴两虚”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8"/>
        </w:rPr>
        <w:t>治则为“健脾益气，养阴通腑”，共识中均未提及。</w:t>
      </w:r>
    </w:p>
    <w:p>
      <w:pPr>
        <w:pStyle w:val="BodyText"/>
        <w:ind w:right="141" w:firstLine="119"/>
        <w:spacing w:line="26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2.3.2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方药组成及用法一致性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 </w:t>
      </w:r>
      <w:r>
        <w:rPr>
          <w:sz w:val="21"/>
          <w:szCs w:val="21"/>
          <w:color w:val="231F20"/>
          <w:spacing w:val="-2"/>
        </w:rPr>
        <w:t>102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2"/>
        </w:rPr>
        <w:t>位患者当中，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共有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3"/>
        </w:rPr>
        <w:t>78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3"/>
        </w:rPr>
        <w:t>位患者使用了中药，中药使用率占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3"/>
        </w:rPr>
        <w:t>76.5%，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1"/>
        </w:rPr>
        <w:t>使用中药用法多以口服为主，灌肠为辅。24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21"/>
        </w:rPr>
        <w:t>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（23.5%） 为一致，34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5"/>
        </w:rPr>
        <w:t>例（33.3%） 比较一致，6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5"/>
        </w:rPr>
        <w:t>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（5.9%） 一般，14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3"/>
        </w:rPr>
        <w:t>例（13.7%） 为不一致，总体不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一致率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6"/>
        </w:rPr>
        <w:t>37.3%，方药整体一致率为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6"/>
        </w:rPr>
        <w:t>56.8%。不一致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4"/>
        </w:rPr>
        <w:t>方药中多以各地区医疗机构专家自身经验用方为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主，或因患者病情夹杂它证，暂予以方药顾它证；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8"/>
        </w:rPr>
        <w:t>梗阻予以西医治疗为主。</w:t>
      </w:r>
    </w:p>
    <w:p>
      <w:pPr>
        <w:pStyle w:val="BodyText"/>
        <w:ind w:left="117" w:right="98" w:firstLine="2"/>
        <w:spacing w:before="60" w:line="26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2.3.3</w:t>
      </w:r>
      <w:r>
        <w:rPr>
          <w:sz w:val="21"/>
          <w:szCs w:val="21"/>
          <w:color w:val="231F20"/>
          <w:spacing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中成药及其它疗法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 xml:space="preserve">  </w:t>
      </w:r>
      <w:r>
        <w:rPr>
          <w:sz w:val="21"/>
          <w:szCs w:val="21"/>
          <w:color w:val="231F20"/>
          <w:spacing w:val="-5"/>
        </w:rPr>
        <w:t>此次调查中，</w:t>
      </w:r>
      <w:r>
        <w:rPr>
          <w:sz w:val="21"/>
          <w:szCs w:val="21"/>
          <w:color w:val="231F20"/>
          <w:spacing w:val="-6"/>
        </w:rPr>
        <w:t>102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6"/>
        </w:rPr>
        <w:t>位患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0"/>
        </w:rPr>
        <w:t>者仅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10"/>
        </w:rPr>
        <w:t>6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10"/>
        </w:rPr>
        <w:t>位患者使用了中成药，使用率极低，仅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10"/>
        </w:rPr>
        <w:t>5.9%，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使用中成药的作用均为理气消胀止痛。有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2"/>
        </w:rPr>
        <w:t>31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1"/>
        </w:rPr>
        <w:t>份病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9"/>
        </w:rPr>
        <w:t>例使用了其它疗法，使用率为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9"/>
        </w:rPr>
        <w:t>30.4%，15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9"/>
        </w:rPr>
        <w:t>例（14.7%）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与共识一致，16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4"/>
        </w:rPr>
        <w:t>例（15.7%） 比较一致，其它疗法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整体一致率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30.4%。其它疗法包括有中药外敷、针  </w:t>
      </w:r>
      <w:r>
        <w:rPr>
          <w:sz w:val="21"/>
          <w:szCs w:val="21"/>
          <w:color w:val="231F20"/>
          <w:spacing w:val="-14"/>
        </w:rPr>
        <w:t>灸、灌肠、中药涂擦、穴位贴敷、耳针。</w:t>
      </w:r>
    </w:p>
    <w:p>
      <w:pPr>
        <w:pStyle w:val="BodyText"/>
        <w:ind w:left="118" w:right="98" w:firstLine="1"/>
        <w:spacing w:before="56" w:line="26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2.3.4 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预防调摄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2"/>
        </w:rPr>
        <w:t>关于不完全性肠梗阻病人的预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0"/>
        </w:rPr>
        <w:t>防调摄，部分医疗机构存在未用情况，102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9"/>
        </w:rPr>
        <w:t>份病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例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4"/>
        </w:rPr>
        <w:t>中仅有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4"/>
        </w:rPr>
        <w:t>55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4"/>
        </w:rPr>
        <w:t>例提及</w:t>
      </w:r>
      <w:r>
        <w:rPr>
          <w:sz w:val="21"/>
          <w:szCs w:val="21"/>
          <w:color w:val="231F20"/>
          <w:spacing w:val="-63"/>
        </w:rPr>
        <w:t xml:space="preserve"> </w:t>
      </w:r>
      <w:r>
        <w:rPr>
          <w:sz w:val="21"/>
          <w:szCs w:val="21"/>
          <w:color w:val="231F20"/>
          <w:spacing w:val="4"/>
        </w:rPr>
        <w:t>了预防调摄，23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4"/>
        </w:rPr>
        <w:t>例（22.5%）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病例一致，32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4"/>
        </w:rPr>
        <w:t>例（31.4%） 比较一致，总一致率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"/>
        </w:rPr>
        <w:t>53.9%。见表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1"/>
        </w:rPr>
        <w:t>2。</w:t>
      </w:r>
    </w:p>
    <w:p>
      <w:pPr>
        <w:pStyle w:val="BodyText"/>
        <w:ind w:left="123"/>
        <w:spacing w:before="19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3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讨论</w:t>
      </w:r>
    </w:p>
    <w:p>
      <w:pPr>
        <w:pStyle w:val="BodyText"/>
        <w:ind w:left="116" w:right="210" w:firstLine="420"/>
        <w:spacing w:line="27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综合上述各医疗机构评价结果，在不完全性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肠梗阻的诊断方面，中医疾病诊断、中医疾病诊断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2"/>
        </w:rPr>
        <w:t>依据、西医疾病诊断、西医疾病诊断依据总一致率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6"/>
        </w:rPr>
        <w:t>均达到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6"/>
        </w:rPr>
        <w:t>90.0%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6"/>
        </w:rPr>
        <w:t>以上，西医疾病诊断总一致率甚至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达到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1"/>
        </w:rPr>
        <w:t>100.0%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1"/>
        </w:rPr>
        <w:t>；辨证分类总一致率较低，其中证候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诊断总一致率为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</w:rPr>
        <w:t>72.5%，证候诊断依据总一致率为 </w:t>
      </w:r>
      <w:r>
        <w:rPr>
          <w:sz w:val="21"/>
          <w:szCs w:val="21"/>
          <w:color w:val="231F20"/>
          <w:spacing w:val="3"/>
        </w:rPr>
        <w:t>70.6%。收集病例中，有少数病例辨证为饮食积滞</w:t>
      </w:r>
    </w:p>
    <w:p>
      <w:pPr>
        <w:spacing w:line="274" w:lineRule="auto"/>
        <w:sectPr>
          <w:headerReference w:type="default" r:id="rId6"/>
          <w:footerReference w:type="default" r:id="rId7"/>
          <w:pgSz w:w="12076" w:h="17178"/>
          <w:pgMar w:top="1482" w:right="1007" w:bottom="1209" w:left="407" w:header="1210" w:footer="876" w:gutter="0"/>
          <w:cols w:equalWidth="0" w:num="2">
            <w:col w:w="5643" w:space="100"/>
            <w:col w:w="4918" w:space="0"/>
          </w:cols>
        </w:sectPr>
        <w:rPr>
          <w:sz w:val="21"/>
          <w:szCs w:val="21"/>
        </w:rPr>
      </w:pPr>
    </w:p>
    <w:p>
      <w:pPr>
        <w:pStyle w:val="BodyText"/>
        <w:ind w:left="3750"/>
        <w:spacing w:line="242" w:lineRule="auto"/>
        <w:outlineLvl w:val="2"/>
        <w:rPr>
          <w:sz w:val="16"/>
          <w:szCs w:val="16"/>
        </w:rPr>
      </w:pPr>
      <w:r>
        <w:rPr>
          <w:rFonts w:ascii="KaiTi" w:hAnsi="KaiTi" w:eastAsia="KaiTi" w:cs="KaiTi"/>
          <w:color w:val="231F20"/>
          <w:spacing w:val="2"/>
        </w:rPr>
        <w:t>表</w:t>
      </w:r>
      <w:r>
        <w:rPr>
          <w:color w:val="231F20"/>
          <w:spacing w:val="2"/>
        </w:rPr>
        <w:t>2  </w:t>
      </w:r>
      <w:r>
        <w:rPr>
          <w:rFonts w:ascii="KaiTi" w:hAnsi="KaiTi" w:eastAsia="KaiTi" w:cs="KaiTi"/>
          <w:color w:val="231F20"/>
          <w:spacing w:val="2"/>
        </w:rPr>
        <w:t>共识临床应用一致性再评价统计表（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n</w:t>
      </w:r>
      <w:r>
        <w:rPr>
          <w:color w:val="231F20"/>
          <w:spacing w:val="2"/>
        </w:rPr>
        <w:t>=102</w:t>
      </w:r>
      <w:r>
        <w:rPr>
          <w:rFonts w:ascii="KaiTi" w:hAnsi="KaiTi" w:eastAsia="KaiTi" w:cs="KaiTi"/>
          <w:color w:val="231F20"/>
          <w:spacing w:val="2"/>
        </w:rPr>
        <w:t>）</w:t>
      </w:r>
      <w:r>
        <w:rPr>
          <w:rFonts w:ascii="KaiTi" w:hAnsi="KaiTi" w:eastAsia="KaiTi" w:cs="KaiTi"/>
          <w:color w:val="231F20"/>
          <w:spacing w:val="2"/>
        </w:rPr>
        <w:t xml:space="preserve">                          </w:t>
      </w:r>
      <w:r>
        <w:rPr>
          <w:sz w:val="16"/>
          <w:szCs w:val="16"/>
          <w:color w:val="231F20"/>
          <w:spacing w:val="2"/>
        </w:rPr>
        <w:t>%</w:t>
      </w:r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1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5"/>
        <w:gridCol w:w="1226"/>
        <w:gridCol w:w="1687"/>
        <w:gridCol w:w="1133"/>
        <w:gridCol w:w="1350"/>
        <w:gridCol w:w="1091"/>
        <w:gridCol w:w="1244"/>
        <w:gridCol w:w="1205"/>
      </w:tblGrid>
      <w:tr>
        <w:trPr>
          <w:trHeight w:val="274" w:hRule="atLeast"/>
        </w:trPr>
        <w:tc>
          <w:tcPr>
            <w:tcW w:w="69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5"/>
              <w:spacing w:before="197" w:line="211" w:lineRule="auto"/>
              <w:rPr/>
            </w:pPr>
            <w:r>
              <w:rPr>
                <w:color w:val="231F20"/>
                <w:spacing w:val="-1"/>
              </w:rPr>
              <w:t>类别</w:t>
            </w:r>
          </w:p>
        </w:tc>
        <w:tc>
          <w:tcPr>
            <w:tcW w:w="168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11"/>
              <w:spacing w:before="19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  <w:tc>
          <w:tcPr>
            <w:tcW w:w="4818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72"/>
              <w:spacing w:before="61" w:line="208" w:lineRule="auto"/>
              <w:rPr/>
            </w:pPr>
            <w:r>
              <w:rPr>
                <w:color w:val="231F20"/>
                <w:spacing w:val="-2"/>
              </w:rPr>
              <w:t>一致性</w:t>
            </w:r>
          </w:p>
        </w:tc>
        <w:tc>
          <w:tcPr>
            <w:tcW w:w="120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1"/>
              <w:spacing w:before="196" w:line="214" w:lineRule="auto"/>
              <w:rPr/>
            </w:pPr>
            <w:r>
              <w:rPr>
                <w:color w:val="231F20"/>
                <w:spacing w:val="-2"/>
              </w:rPr>
              <w:t>总体一致率</w:t>
            </w:r>
          </w:p>
        </w:tc>
      </w:tr>
      <w:tr>
        <w:trPr>
          <w:trHeight w:val="272" w:hRule="atLeast"/>
        </w:trPr>
        <w:tc>
          <w:tcPr>
            <w:tcW w:w="69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5"/>
              <w:spacing w:before="60" w:line="208" w:lineRule="auto"/>
              <w:rPr/>
            </w:pPr>
            <w:r>
              <w:rPr>
                <w:color w:val="231F20"/>
                <w:spacing w:val="-2"/>
              </w:rPr>
              <w:t>一致</w:t>
            </w:r>
          </w:p>
        </w:tc>
        <w:tc>
          <w:tcPr>
            <w:tcW w:w="135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5"/>
              <w:spacing w:before="58" w:line="210" w:lineRule="auto"/>
              <w:rPr/>
            </w:pPr>
            <w:r>
              <w:rPr>
                <w:color w:val="231F20"/>
                <w:spacing w:val="-6"/>
              </w:rPr>
              <w:t>比较一致</w:t>
            </w:r>
          </w:p>
        </w:tc>
        <w:tc>
          <w:tcPr>
            <w:tcW w:w="109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2"/>
              <w:spacing w:before="59" w:line="211" w:lineRule="auto"/>
              <w:rPr/>
            </w:pPr>
            <w:r>
              <w:rPr>
                <w:color w:val="231F20"/>
                <w:spacing w:val="-2"/>
              </w:rPr>
              <w:t>一般</w:t>
            </w:r>
          </w:p>
        </w:tc>
        <w:tc>
          <w:tcPr>
            <w:tcW w:w="12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6"/>
              <w:spacing w:before="60" w:line="208" w:lineRule="auto"/>
              <w:rPr/>
            </w:pPr>
            <w:r>
              <w:rPr>
                <w:color w:val="231F20"/>
                <w:spacing w:val="-2"/>
              </w:rPr>
              <w:t>不一致</w:t>
            </w:r>
          </w:p>
        </w:tc>
        <w:tc>
          <w:tcPr>
            <w:tcW w:w="120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695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52" w:line="211" w:lineRule="auto"/>
              <w:rPr/>
            </w:pPr>
            <w:r>
              <w:rPr>
                <w:color w:val="231F20"/>
                <w:spacing w:val="-1"/>
              </w:rPr>
              <w:t>诊断</w:t>
            </w:r>
          </w:p>
        </w:tc>
        <w:tc>
          <w:tcPr>
            <w:tcW w:w="1226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394"/>
              <w:spacing w:before="197" w:line="211" w:lineRule="auto"/>
              <w:rPr/>
            </w:pPr>
            <w:r>
              <w:rPr>
                <w:color w:val="231F20"/>
                <w:spacing w:val="-4"/>
              </w:rPr>
              <w:t>中医诊断</w:t>
            </w:r>
          </w:p>
        </w:tc>
        <w:tc>
          <w:tcPr>
            <w:tcW w:w="16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1"/>
              <w:spacing w:before="59" w:line="211" w:lineRule="auto"/>
              <w:rPr/>
            </w:pPr>
            <w:r>
              <w:rPr>
                <w:color w:val="231F20"/>
                <w:spacing w:val="-3"/>
              </w:rPr>
              <w:t>中医疾病诊断</w:t>
            </w:r>
          </w:p>
        </w:tc>
        <w:tc>
          <w:tcPr>
            <w:tcW w:w="11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0"/>
              <w:spacing w:before="54" w:line="238" w:lineRule="auto"/>
              <w:rPr/>
            </w:pPr>
            <w:r>
              <w:rPr>
                <w:color w:val="231F20"/>
                <w:spacing w:val="-12"/>
              </w:rPr>
              <w:t>18.6</w:t>
            </w:r>
          </w:p>
        </w:tc>
        <w:tc>
          <w:tcPr>
            <w:tcW w:w="13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8"/>
              <w:spacing w:before="54" w:line="238" w:lineRule="auto"/>
              <w:rPr/>
            </w:pPr>
            <w:r>
              <w:rPr>
                <w:color w:val="231F20"/>
                <w:spacing w:val="-9"/>
              </w:rPr>
              <w:t>73.5</w:t>
            </w:r>
          </w:p>
        </w:tc>
        <w:tc>
          <w:tcPr>
            <w:tcW w:w="10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3"/>
              <w:spacing w:before="54" w:line="238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6"/>
              <w:spacing w:before="54" w:line="238" w:lineRule="auto"/>
              <w:rPr/>
            </w:pPr>
            <w:r>
              <w:rPr>
                <w:color w:val="231F20"/>
                <w:spacing w:val="-11"/>
              </w:rPr>
              <w:t>7.9</w:t>
            </w:r>
          </w:p>
        </w:tc>
        <w:tc>
          <w:tcPr>
            <w:tcW w:w="12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2"/>
              <w:spacing w:before="54" w:line="238" w:lineRule="auto"/>
              <w:rPr/>
            </w:pPr>
            <w:r>
              <w:rPr>
                <w:color w:val="231F20"/>
                <w:spacing w:val="-9"/>
              </w:rPr>
              <w:t>92.1</w:t>
            </w:r>
          </w:p>
        </w:tc>
      </w:tr>
      <w:tr>
        <w:trPr>
          <w:trHeight w:val="277" w:hRule="atLeast"/>
        </w:trPr>
        <w:tc>
          <w:tcPr>
            <w:tcW w:w="6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7" w:type="dxa"/>
            <w:vAlign w:val="top"/>
          </w:tcPr>
          <w:p>
            <w:pPr>
              <w:pStyle w:val="TableText"/>
              <w:ind w:left="231"/>
              <w:spacing w:before="64" w:line="212" w:lineRule="auto"/>
              <w:rPr/>
            </w:pPr>
            <w:r>
              <w:rPr>
                <w:color w:val="231F20"/>
                <w:spacing w:val="-3"/>
              </w:rPr>
              <w:t>中医疾病诊断依据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81"/>
              <w:spacing w:before="61" w:line="237" w:lineRule="auto"/>
              <w:rPr/>
            </w:pPr>
            <w:r>
              <w:rPr>
                <w:color w:val="231F20"/>
                <w:spacing w:val="-12"/>
              </w:rPr>
              <w:t>17.6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38"/>
              <w:spacing w:before="61" w:line="237" w:lineRule="auto"/>
              <w:rPr/>
            </w:pPr>
            <w:r>
              <w:rPr>
                <w:color w:val="231F20"/>
                <w:spacing w:val="-9"/>
              </w:rPr>
              <w:t>72.6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27"/>
              <w:spacing w:before="61" w:line="237" w:lineRule="auto"/>
              <w:rPr/>
            </w:pPr>
            <w:r>
              <w:rPr>
                <w:color w:val="231F20"/>
                <w:spacing w:val="-11"/>
              </w:rPr>
              <w:t>2.0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46"/>
              <w:spacing w:before="61" w:line="237" w:lineRule="auto"/>
              <w:rPr/>
            </w:pPr>
            <w:r>
              <w:rPr>
                <w:color w:val="231F20"/>
                <w:spacing w:val="-11"/>
              </w:rPr>
              <w:t>7.8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2"/>
              <w:spacing w:before="61" w:line="237" w:lineRule="auto"/>
              <w:rPr/>
            </w:pPr>
            <w:r>
              <w:rPr>
                <w:color w:val="231F20"/>
                <w:spacing w:val="-9"/>
              </w:rPr>
              <w:t>90.2</w:t>
            </w:r>
          </w:p>
        </w:tc>
      </w:tr>
      <w:tr>
        <w:trPr>
          <w:trHeight w:val="276" w:hRule="atLeast"/>
        </w:trPr>
        <w:tc>
          <w:tcPr>
            <w:tcW w:w="6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0"/>
              <w:spacing w:before="204" w:line="211" w:lineRule="auto"/>
              <w:rPr/>
            </w:pPr>
            <w:r>
              <w:rPr>
                <w:color w:val="231F20"/>
                <w:spacing w:val="-1"/>
              </w:rPr>
              <w:t>西医诊断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377"/>
              <w:spacing w:before="66" w:line="211" w:lineRule="auto"/>
              <w:rPr/>
            </w:pPr>
            <w:r>
              <w:rPr>
                <w:color w:val="231F20"/>
                <w:spacing w:val="-1"/>
              </w:rPr>
              <w:t>西医疾病诊断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66"/>
              <w:spacing w:before="62" w:line="235" w:lineRule="auto"/>
              <w:rPr/>
            </w:pPr>
            <w:r>
              <w:rPr>
                <w:color w:val="231F20"/>
                <w:spacing w:val="-9"/>
              </w:rPr>
              <w:t>75.5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39"/>
              <w:spacing w:before="62" w:line="235" w:lineRule="auto"/>
              <w:rPr/>
            </w:pPr>
            <w:r>
              <w:rPr>
                <w:color w:val="231F20"/>
                <w:spacing w:val="-9"/>
              </w:rPr>
              <w:t>24.5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33"/>
              <w:spacing w:before="62" w:line="235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47"/>
              <w:spacing w:before="62" w:line="235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356"/>
              <w:spacing w:before="62" w:line="235" w:lineRule="auto"/>
              <w:rPr/>
            </w:pPr>
            <w:r>
              <w:rPr>
                <w:color w:val="231F20"/>
                <w:spacing w:val="-10"/>
              </w:rPr>
              <w:t>100.0</w:t>
            </w:r>
          </w:p>
        </w:tc>
      </w:tr>
      <w:tr>
        <w:trPr>
          <w:trHeight w:val="278" w:hRule="atLeast"/>
        </w:trPr>
        <w:tc>
          <w:tcPr>
            <w:tcW w:w="6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7" w:type="dxa"/>
            <w:vAlign w:val="top"/>
          </w:tcPr>
          <w:p>
            <w:pPr>
              <w:pStyle w:val="TableText"/>
              <w:ind w:left="217"/>
              <w:spacing w:before="66" w:line="212" w:lineRule="auto"/>
              <w:rPr/>
            </w:pPr>
            <w:r>
              <w:rPr>
                <w:color w:val="231F20"/>
                <w:spacing w:val="-1"/>
              </w:rPr>
              <w:t>西医疾病诊断依据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67"/>
              <w:spacing w:before="64" w:line="235" w:lineRule="auto"/>
              <w:rPr/>
            </w:pPr>
            <w:r>
              <w:rPr>
                <w:color w:val="231F20"/>
                <w:spacing w:val="-9"/>
              </w:rPr>
              <w:t>72.5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39"/>
              <w:spacing w:before="64" w:line="235" w:lineRule="auto"/>
              <w:rPr/>
            </w:pPr>
            <w:r>
              <w:rPr>
                <w:color w:val="231F20"/>
                <w:spacing w:val="-9"/>
              </w:rPr>
              <w:t>26.5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40"/>
              <w:spacing w:before="64" w:line="235" w:lineRule="auto"/>
              <w:rPr/>
            </w:pPr>
            <w:r>
              <w:rPr>
                <w:color w:val="231F20"/>
                <w:spacing w:val="-14"/>
              </w:rPr>
              <w:t>1.0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47"/>
              <w:spacing w:before="64" w:line="235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2"/>
              <w:spacing w:before="64" w:line="235" w:lineRule="auto"/>
              <w:rPr/>
            </w:pPr>
            <w:r>
              <w:rPr>
                <w:color w:val="231F20"/>
                <w:spacing w:val="-9"/>
              </w:rPr>
              <w:t>99.0</w:t>
            </w:r>
          </w:p>
        </w:tc>
      </w:tr>
      <w:tr>
        <w:trPr>
          <w:trHeight w:val="276" w:hRule="atLeast"/>
        </w:trPr>
        <w:tc>
          <w:tcPr>
            <w:tcW w:w="6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9"/>
              <w:spacing w:before="206" w:line="212" w:lineRule="auto"/>
              <w:rPr/>
            </w:pPr>
            <w:r>
              <w:rPr>
                <w:color w:val="231F20"/>
                <w:spacing w:val="-1"/>
              </w:rPr>
              <w:t>辨证分类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534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证候分类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68"/>
              <w:spacing w:before="64" w:line="233" w:lineRule="auto"/>
              <w:rPr/>
            </w:pPr>
            <w:r>
              <w:rPr>
                <w:color w:val="231F20"/>
                <w:spacing w:val="-9"/>
              </w:rPr>
              <w:t>58.8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53"/>
              <w:spacing w:before="64" w:line="233" w:lineRule="auto"/>
              <w:rPr/>
            </w:pPr>
            <w:r>
              <w:rPr>
                <w:color w:val="231F20"/>
                <w:spacing w:val="-12"/>
              </w:rPr>
              <w:t>13.7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361"/>
              <w:spacing w:before="64" w:line="233" w:lineRule="auto"/>
              <w:rPr/>
            </w:pPr>
            <w:r>
              <w:rPr>
                <w:color w:val="231F20"/>
                <w:spacing w:val="-12"/>
              </w:rPr>
              <w:t>12.8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21"/>
              <w:spacing w:before="64" w:line="233" w:lineRule="auto"/>
              <w:rPr/>
            </w:pPr>
            <w:r>
              <w:rPr>
                <w:color w:val="231F20"/>
                <w:spacing w:val="-12"/>
              </w:rPr>
              <w:t>14.7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1"/>
              <w:spacing w:before="64" w:line="233" w:lineRule="auto"/>
              <w:rPr/>
            </w:pPr>
            <w:r>
              <w:rPr>
                <w:color w:val="231F20"/>
                <w:spacing w:val="-9"/>
              </w:rPr>
              <w:t>72.5</w:t>
            </w:r>
          </w:p>
        </w:tc>
      </w:tr>
      <w:tr>
        <w:trPr>
          <w:trHeight w:val="277" w:hRule="atLeast"/>
        </w:trPr>
        <w:tc>
          <w:tcPr>
            <w:tcW w:w="6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7" w:type="dxa"/>
            <w:vAlign w:val="top"/>
          </w:tcPr>
          <w:p>
            <w:pPr>
              <w:pStyle w:val="TableText"/>
              <w:ind w:left="374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证候诊断依据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68"/>
              <w:spacing w:before="65" w:line="233" w:lineRule="auto"/>
              <w:rPr/>
            </w:pPr>
            <w:r>
              <w:rPr>
                <w:color w:val="231F20"/>
                <w:spacing w:val="-9"/>
              </w:rPr>
              <w:t>55.9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53"/>
              <w:spacing w:before="65" w:line="233" w:lineRule="auto"/>
              <w:rPr/>
            </w:pPr>
            <w:r>
              <w:rPr>
                <w:color w:val="231F20"/>
                <w:spacing w:val="-12"/>
              </w:rPr>
              <w:t>14.7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361"/>
              <w:spacing w:before="65" w:line="233" w:lineRule="auto"/>
              <w:rPr/>
            </w:pPr>
            <w:r>
              <w:rPr>
                <w:color w:val="231F20"/>
                <w:spacing w:val="-12"/>
              </w:rPr>
              <w:t>12.8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21"/>
              <w:spacing w:before="65" w:line="233" w:lineRule="auto"/>
              <w:rPr/>
            </w:pPr>
            <w:r>
              <w:rPr>
                <w:color w:val="231F20"/>
                <w:spacing w:val="-12"/>
              </w:rPr>
              <w:t>16.6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1"/>
              <w:spacing w:before="65" w:line="233" w:lineRule="auto"/>
              <w:rPr/>
            </w:pPr>
            <w:r>
              <w:rPr>
                <w:color w:val="231F20"/>
                <w:spacing w:val="-9"/>
              </w:rPr>
              <w:t>70.6</w:t>
            </w:r>
          </w:p>
        </w:tc>
      </w:tr>
      <w:tr>
        <w:trPr>
          <w:trHeight w:val="277" w:hRule="atLeast"/>
        </w:trPr>
        <w:tc>
          <w:tcPr>
            <w:tcW w:w="695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6"/>
              <w:spacing w:before="52" w:line="212" w:lineRule="auto"/>
              <w:rPr/>
            </w:pPr>
            <w:r>
              <w:rPr>
                <w:color w:val="231F20"/>
                <w:spacing w:val="-2"/>
              </w:rPr>
              <w:t>治疗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540"/>
              <w:spacing w:before="70" w:line="212" w:lineRule="auto"/>
              <w:rPr/>
            </w:pPr>
            <w:r>
              <w:rPr>
                <w:color w:val="231F20"/>
                <w:spacing w:val="-2"/>
              </w:rPr>
              <w:t>治则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697"/>
              <w:spacing w:before="70" w:line="212" w:lineRule="auto"/>
              <w:rPr/>
            </w:pPr>
            <w:r>
              <w:rPr>
                <w:color w:val="231F20"/>
                <w:spacing w:val="-2"/>
              </w:rPr>
              <w:t>治则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70"/>
              <w:spacing w:before="65" w:line="232" w:lineRule="auto"/>
              <w:rPr/>
            </w:pPr>
            <w:r>
              <w:rPr>
                <w:color w:val="231F20"/>
                <w:spacing w:val="-10"/>
              </w:rPr>
              <w:t>31.4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53"/>
              <w:spacing w:before="65" w:line="232" w:lineRule="auto"/>
              <w:rPr/>
            </w:pPr>
            <w:r>
              <w:rPr>
                <w:color w:val="231F20"/>
                <w:spacing w:val="-12"/>
              </w:rPr>
              <w:t>19.6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29"/>
              <w:spacing w:before="65" w:line="232" w:lineRule="auto"/>
              <w:rPr/>
            </w:pPr>
            <w:r>
              <w:rPr>
                <w:color w:val="231F20"/>
                <w:spacing w:val="-11"/>
              </w:rPr>
              <w:t>8.8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05"/>
              <w:spacing w:before="65" w:line="232" w:lineRule="auto"/>
              <w:rPr/>
            </w:pPr>
            <w:r>
              <w:rPr>
                <w:color w:val="231F20"/>
                <w:spacing w:val="-9"/>
              </w:rPr>
              <w:t>40.2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2"/>
              <w:spacing w:before="65" w:line="232" w:lineRule="auto"/>
              <w:rPr/>
            </w:pPr>
            <w:r>
              <w:rPr>
                <w:color w:val="231F20"/>
                <w:spacing w:val="-9"/>
              </w:rPr>
              <w:t>51.0</w:t>
            </w:r>
          </w:p>
        </w:tc>
      </w:tr>
      <w:tr>
        <w:trPr>
          <w:trHeight w:val="277" w:hRule="atLeast"/>
        </w:trPr>
        <w:tc>
          <w:tcPr>
            <w:tcW w:w="69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</w:tcPr>
          <w:p>
            <w:pPr>
              <w:pStyle w:val="TableText"/>
              <w:ind w:left="538"/>
              <w:spacing w:before="71" w:line="211" w:lineRule="auto"/>
              <w:rPr/>
            </w:pPr>
            <w:r>
              <w:rPr>
                <w:color w:val="231F20"/>
                <w:spacing w:val="-1"/>
              </w:rPr>
              <w:t>方药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695"/>
              <w:spacing w:before="71" w:line="211" w:lineRule="auto"/>
              <w:rPr/>
            </w:pPr>
            <w:r>
              <w:rPr>
                <w:color w:val="231F20"/>
                <w:spacing w:val="-1"/>
              </w:rPr>
              <w:t>方药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68"/>
              <w:spacing w:before="66" w:line="231" w:lineRule="auto"/>
              <w:rPr/>
            </w:pPr>
            <w:r>
              <w:rPr>
                <w:color w:val="231F20"/>
                <w:spacing w:val="-9"/>
              </w:rPr>
              <w:t>23.5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42"/>
              <w:spacing w:before="66" w:line="231" w:lineRule="auto"/>
              <w:rPr/>
            </w:pPr>
            <w:r>
              <w:rPr>
                <w:color w:val="231F20"/>
                <w:spacing w:val="-10"/>
              </w:rPr>
              <w:t>33.3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27"/>
              <w:spacing w:before="66" w:line="231" w:lineRule="auto"/>
              <w:rPr/>
            </w:pPr>
            <w:r>
              <w:rPr>
                <w:color w:val="231F20"/>
                <w:spacing w:val="-11"/>
              </w:rPr>
              <w:t>5.9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10"/>
              <w:spacing w:before="66" w:line="231" w:lineRule="auto"/>
              <w:rPr/>
            </w:pPr>
            <w:r>
              <w:rPr>
                <w:color w:val="231F20"/>
                <w:spacing w:val="-10"/>
              </w:rPr>
              <w:t>37.3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2"/>
              <w:spacing w:before="66" w:line="231" w:lineRule="auto"/>
              <w:rPr/>
            </w:pPr>
            <w:r>
              <w:rPr>
                <w:color w:val="231F20"/>
                <w:spacing w:val="-9"/>
              </w:rPr>
              <w:t>56.8</w:t>
            </w:r>
          </w:p>
        </w:tc>
      </w:tr>
      <w:tr>
        <w:trPr>
          <w:trHeight w:val="276" w:hRule="atLeast"/>
        </w:trPr>
        <w:tc>
          <w:tcPr>
            <w:tcW w:w="69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</w:tcPr>
          <w:p>
            <w:pPr>
              <w:pStyle w:val="TableText"/>
              <w:ind w:left="475"/>
              <w:spacing w:before="71" w:line="211" w:lineRule="auto"/>
              <w:rPr/>
            </w:pPr>
            <w:r>
              <w:rPr>
                <w:color w:val="231F20"/>
                <w:spacing w:val="-5"/>
              </w:rPr>
              <w:t>中成药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391"/>
              <w:spacing w:before="71" w:line="211" w:lineRule="auto"/>
              <w:rPr/>
            </w:pPr>
            <w:r>
              <w:rPr>
                <w:color w:val="231F20"/>
                <w:spacing w:val="-3"/>
              </w:rPr>
              <w:t>中成药与用法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65"/>
              <w:spacing w:before="161" w:line="105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637"/>
              <w:spacing w:before="161" w:line="105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92"/>
              <w:spacing w:before="161" w:line="105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606"/>
              <w:spacing w:before="161" w:line="105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566"/>
              <w:spacing w:before="161" w:line="105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69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78"/>
              <w:spacing w:before="71" w:line="214" w:lineRule="auto"/>
              <w:rPr/>
            </w:pPr>
            <w:r>
              <w:rPr>
                <w:color w:val="231F20"/>
                <w:spacing w:val="-1"/>
              </w:rPr>
              <w:t>其他治法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135"/>
              <w:spacing w:before="71" w:line="214" w:lineRule="auto"/>
              <w:rPr/>
            </w:pPr>
            <w:r>
              <w:rPr>
                <w:color w:val="231F20"/>
                <w:spacing w:val="-1"/>
              </w:rPr>
              <w:t>其他治法与治疗方案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81"/>
              <w:spacing w:before="68" w:line="230" w:lineRule="auto"/>
              <w:rPr/>
            </w:pPr>
            <w:r>
              <w:rPr>
                <w:color w:val="231F20"/>
                <w:spacing w:val="-12"/>
              </w:rPr>
              <w:t>14.7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53"/>
              <w:spacing w:before="68" w:line="230" w:lineRule="auto"/>
              <w:rPr/>
            </w:pPr>
            <w:r>
              <w:rPr>
                <w:color w:val="231F20"/>
                <w:spacing w:val="-12"/>
              </w:rPr>
              <w:t>15.7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434"/>
              <w:spacing w:before="68" w:line="230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509"/>
              <w:spacing w:before="68" w:line="230" w:lineRule="auto"/>
              <w:rPr/>
            </w:pPr>
            <w:r>
              <w:rPr>
                <w:color w:val="231F20"/>
                <w:spacing w:val="-9"/>
              </w:rPr>
              <w:t>69.6</w:t>
            </w:r>
          </w:p>
        </w:tc>
        <w:tc>
          <w:tcPr>
            <w:tcW w:w="1205" w:type="dxa"/>
            <w:vAlign w:val="top"/>
          </w:tcPr>
          <w:p>
            <w:pPr>
              <w:pStyle w:val="TableText"/>
              <w:ind w:left="425"/>
              <w:spacing w:before="68" w:line="230" w:lineRule="auto"/>
              <w:rPr/>
            </w:pPr>
            <w:r>
              <w:rPr>
                <w:color w:val="231F20"/>
                <w:spacing w:val="-10"/>
              </w:rPr>
              <w:t>30.4</w:t>
            </w:r>
          </w:p>
        </w:tc>
      </w:tr>
      <w:tr>
        <w:trPr>
          <w:trHeight w:val="285" w:hRule="atLeast"/>
        </w:trPr>
        <w:tc>
          <w:tcPr>
            <w:tcW w:w="69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9"/>
              <w:spacing w:before="73" w:line="211" w:lineRule="auto"/>
              <w:rPr/>
            </w:pPr>
            <w:r>
              <w:rPr>
                <w:color w:val="231F20"/>
                <w:spacing w:val="-1"/>
              </w:rPr>
              <w:t>调摄与预防</w:t>
            </w:r>
          </w:p>
        </w:tc>
        <w:tc>
          <w:tcPr>
            <w:tcW w:w="16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6"/>
              <w:spacing w:before="73" w:line="211" w:lineRule="auto"/>
              <w:rPr/>
            </w:pPr>
            <w:r>
              <w:rPr>
                <w:color w:val="231F20"/>
                <w:spacing w:val="-1"/>
              </w:rPr>
              <w:t>调摄与预防措施</w:t>
            </w:r>
          </w:p>
        </w:tc>
        <w:tc>
          <w:tcPr>
            <w:tcW w:w="11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8"/>
              <w:spacing w:before="68" w:line="238" w:lineRule="auto"/>
              <w:rPr/>
            </w:pPr>
            <w:r>
              <w:rPr>
                <w:color w:val="231F20"/>
                <w:spacing w:val="-9"/>
              </w:rPr>
              <w:t>22.5</w:t>
            </w:r>
          </w:p>
        </w:tc>
        <w:tc>
          <w:tcPr>
            <w:tcW w:w="13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2"/>
              <w:spacing w:before="68" w:line="238" w:lineRule="auto"/>
              <w:rPr/>
            </w:pPr>
            <w:r>
              <w:rPr>
                <w:color w:val="231F20"/>
                <w:spacing w:val="-10"/>
              </w:rPr>
              <w:t>31.4</w:t>
            </w:r>
          </w:p>
        </w:tc>
        <w:tc>
          <w:tcPr>
            <w:tcW w:w="10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4"/>
              <w:spacing w:before="68" w:line="238" w:lineRule="auto"/>
              <w:rPr/>
            </w:pPr>
            <w:r>
              <w:rPr>
                <w:color w:val="231F20"/>
                <w:spacing w:val="-11"/>
              </w:rPr>
              <w:t>0.0</w:t>
            </w:r>
          </w:p>
        </w:tc>
        <w:tc>
          <w:tcPr>
            <w:tcW w:w="12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6"/>
              <w:spacing w:before="68" w:line="238" w:lineRule="auto"/>
              <w:rPr/>
            </w:pPr>
            <w:r>
              <w:rPr>
                <w:color w:val="231F20"/>
                <w:spacing w:val="-9"/>
              </w:rPr>
              <w:t>46.1</w:t>
            </w:r>
          </w:p>
        </w:tc>
        <w:tc>
          <w:tcPr>
            <w:tcW w:w="12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2"/>
              <w:spacing w:before="68" w:line="238" w:lineRule="auto"/>
              <w:rPr/>
            </w:pPr>
            <w:r>
              <w:rPr>
                <w:color w:val="231F20"/>
                <w:spacing w:val="-9"/>
              </w:rPr>
              <w:t>53.9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076" w:h="17178"/>
          <w:pgMar w:top="1482" w:right="1007" w:bottom="1209" w:left="407" w:header="1210" w:footer="876" w:gutter="0"/>
          <w:cols w:equalWidth="0" w:num="1">
            <w:col w:w="1066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12" w:right="191"/>
        <w:spacing w:before="68" w:line="271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6"/>
        </w:rPr>
        <w:t>证、气血亏虚证、气阴两虚证、肝胃不和证、寒湿证、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2"/>
        </w:rPr>
        <w:t>食积胃肠证，共识均未提及，有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2"/>
        </w:rPr>
        <w:t>5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2"/>
        </w:rPr>
        <w:t>例未给出证候诊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断，致使证候诊断不一致率占比较高。分析不一致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7"/>
        </w:rPr>
        <w:t>原因：其一，实际临床过程中，患者病情表现复杂，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多并非表现单一证型，常夹杂其它非共识证候，甚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以非共识证候为主，影响辨证。其二，不同医疗机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构临床医师辨证水平及辨证侧重点不同，使所得证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候与共识证候表现不同。其三，项目组在整理病例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资料过程中发现，有少数中医医疗机构在患者入院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诊疗过程中，所书写的临床病例并非中医病例，故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2"/>
        </w:rPr>
        <w:t>存在未提及患者证候诊断情况。</w:t>
      </w:r>
    </w:p>
    <w:p>
      <w:pPr>
        <w:pStyle w:val="BodyText"/>
        <w:ind w:left="811" w:right="195" w:firstLine="422"/>
        <w:spacing w:before="16" w:line="27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对比表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1"/>
        </w:rPr>
        <w:t>1、表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1"/>
        </w:rPr>
        <w:t>不完全性肠梗阻的诊断数据可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知，在表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-4"/>
        </w:rPr>
        <w:t>1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4"/>
        </w:rPr>
        <w:t>和表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4"/>
        </w:rPr>
        <w:t>2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4"/>
        </w:rPr>
        <w:t>诊断数据中，中医疾病诊断、中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医疾病诊断依据、西医疾病诊断、西医疾病诊断依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3"/>
        </w:rPr>
        <w:t>据总一致率均达到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3"/>
        </w:rPr>
        <w:t>90.0%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3"/>
        </w:rPr>
        <w:t>以上，两表对比，总一致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率差异不大，但观察数据可知，表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2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3"/>
        </w:rPr>
        <w:t>中中医疾病诊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断一致率仅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7"/>
        </w:rPr>
        <w:t>18.6%，远远低于表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7"/>
        </w:rPr>
        <w:t>1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7"/>
        </w:rPr>
        <w:t>中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7"/>
        </w:rPr>
        <w:t>85.5%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7"/>
        </w:rPr>
        <w:t>一致率。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项目组在整理各临床机构评价数据后认为，一致率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4"/>
        </w:rPr>
        <w:t>相差较大的主要原因在于，表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-4"/>
        </w:rPr>
        <w:t>1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4"/>
        </w:rPr>
        <w:t>中数据所涉及临床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机构多为参与共识制定单位，对不完全性肠梗阻等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3"/>
        </w:rPr>
        <w:t>认识与共识的观点较一致，表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3"/>
        </w:rPr>
        <w:t>2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3"/>
        </w:rPr>
        <w:t>中数据所涉及医疗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机构多未参加共识的制定，且较表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-4"/>
        </w:rPr>
        <w:t>1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4"/>
        </w:rPr>
        <w:t>中医疗机构更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偏重基层医疗机构，故一致率相差较大。但整体来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2"/>
        </w:rPr>
        <w:t>看，各医疗机构临床医师对不完全性肠梗阻中医疾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3"/>
        </w:rPr>
        <w:t>病诊断认识相对较充分，故总一致率均在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3"/>
        </w:rPr>
        <w:t>90.0%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3"/>
        </w:rPr>
        <w:t>以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上。证候诊断方面，表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</w:rPr>
        <w:t>总一致率为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92.0%，表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2 </w:t>
      </w:r>
      <w:r>
        <w:rPr>
          <w:sz w:val="21"/>
          <w:szCs w:val="21"/>
          <w:color w:val="231F20"/>
        </w:rPr>
        <w:t>总一致率为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</w:rPr>
        <w:t>72.5%，总一致率差异较明显；分析认 </w:t>
      </w:r>
      <w:r>
        <w:rPr>
          <w:sz w:val="21"/>
          <w:szCs w:val="21"/>
          <w:color w:val="231F20"/>
          <w:spacing w:val="-2"/>
        </w:rPr>
        <w:t>为，同中医疾病诊断原因相同，选取的调查研究机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6"/>
        </w:rPr>
        <w:t>构不同，对结果有一定的影响。</w:t>
      </w:r>
    </w:p>
    <w:p>
      <w:pPr>
        <w:pStyle w:val="BodyText"/>
        <w:ind w:left="812" w:right="197" w:firstLine="423"/>
        <w:spacing w:before="18" w:line="26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在不完全性肠梗阻治疗方面，此次调查结果显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2"/>
        </w:rPr>
        <w:t>示，在治则一致性及方药一致性方面，总一致率均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6"/>
        </w:rPr>
        <w:t>仅为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6"/>
        </w:rPr>
        <w:t>50.0%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6"/>
        </w:rPr>
        <w:t>左右，其它治法总一致率甚</w:t>
      </w:r>
      <w:r>
        <w:rPr>
          <w:sz w:val="21"/>
          <w:szCs w:val="21"/>
          <w:color w:val="231F20"/>
          <w:spacing w:val="-7"/>
        </w:rPr>
        <w:t>仅有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7"/>
        </w:rPr>
        <w:t>30.4%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7"/>
        </w:rPr>
        <w:t>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显著低于表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-1"/>
        </w:rPr>
        <w:t>1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1"/>
        </w:rPr>
        <w:t>数据中治则总一致率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1"/>
        </w:rPr>
        <w:t>89.0%，方药总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一致率超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5"/>
        </w:rPr>
        <w:t>70.0%，其它治法总一致率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5"/>
        </w:rPr>
        <w:t>44.</w:t>
      </w:r>
      <w:r>
        <w:rPr>
          <w:sz w:val="21"/>
          <w:szCs w:val="21"/>
          <w:color w:val="231F20"/>
          <w:spacing w:val="-6"/>
        </w:rPr>
        <w:t>0%。究其原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1"/>
        </w:rPr>
        <w:t>因，项目组讨论认为，存在多种影响因素。其一，此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2"/>
        </w:rPr>
        <w:t>次收集的临床数据中，有部分病例未提及治则、方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1"/>
        </w:rPr>
        <w:t>药等，对于此部分病例，均评价为不一致，致使总一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7"/>
        </w:rPr>
        <w:t>致率较低；若仅针对提及治则及方药病例统计分析，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则两者总一致率分别为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70.3%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74.4%，同专家共 </w:t>
      </w:r>
      <w:r>
        <w:rPr>
          <w:sz w:val="21"/>
          <w:szCs w:val="21"/>
          <w:color w:val="231F20"/>
          <w:spacing w:val="-2"/>
        </w:rPr>
        <w:t>识符合程度较高，基本符合共识内容；究其未提及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7"/>
        </w:rPr>
        <w:t>原因，项目组经回访病例收集者了解相关信息发现，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部分患者选择手术治疗，故在后期治疗过程中未予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以中医中药治疗是一方面原因；另一方面，易存在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部分中医医疗机构中药使用率不高，在疾病诊疗过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7"/>
        </w:rPr>
        <w:t>程中未使用任何中医治疗措施，仅停留在辨证阶段。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其二，不同临床机构不同医师的个人辨证选方用药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0" style="position:absolute;margin-left:13.2451pt;margin-top:0.375pt;mso-position-vertical-relative:text;mso-position-horizontal-relative:text;width:230.7pt;height:0.75pt;z-index:251673600;" filled="false" strokecolor="#231F20" strokeweight="0.75pt" coordsize="4613,15" coordorigin="0,0" path="m0,7l4613,7e">
            <v:stroke joinstyle="miter" miterlimit="4"/>
          </v:shape>
        </w:pict>
      </w:r>
      <w:r>
        <w:pict>
          <v:shape id="_x0000_s42" style="position:absolute;margin-left:243.539pt;margin-top:0.75pt;mso-position-vertical-relative:text;mso-position-horizontal-relative:text;width:0.75pt;height:387.55pt;z-index:251677696;" filled="false" strokecolor="#231F20" strokeweight="0.75pt" coordsize="15,7750" coordorigin="0,0" path="m7,0l7,7750e">
            <v:stroke joinstyle="miter" miterlimit="4"/>
          </v:shape>
        </w:pic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9" w:right="666" w:firstLine="3"/>
        <w:spacing w:before="68" w:line="29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经验不同，致使所辨证候诊断及所选方药同共识有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2"/>
        </w:rPr>
        <w:t>所差别。其三，关于其它疗法使用率不高问题，项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1"/>
        </w:rPr>
        <w:t>目组认为，与患者对中医认识局限性有一定关系，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2"/>
        </w:rPr>
        <w:t>部分患者尚对中医中药认识有一定的不足，认为中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医治疗方法仅口服中药治疗，患者对使用中医其它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11"/>
        </w:rPr>
        <w:t>疗法不理解，怀疑其疗效，易在临床中导致一些医疗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2"/>
        </w:rPr>
        <w:t>范围之外的问题，致使部分医疗机构部分医师在临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8"/>
        </w:rPr>
        <w:t>床过程中较少使用中医特色疗法。</w:t>
      </w:r>
    </w:p>
    <w:p>
      <w:pPr>
        <w:pStyle w:val="BodyText"/>
        <w:ind w:left="80" w:right="654" w:firstLine="423"/>
        <w:spacing w:before="3" w:line="293" w:lineRule="auto"/>
        <w:jc w:val="both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2797250</wp:posOffset>
                </wp:positionH>
                <wp:positionV relativeFrom="paragraph">
                  <wp:posOffset>2036684</wp:posOffset>
                </wp:positionV>
                <wp:extent cx="919480" cy="35940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797250" y="2036684"/>
                          <a:ext cx="919480" cy="3594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47" w:line="232" w:lineRule="auto"/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5"/>
                              </w:rPr>
                              <w:t xml:space="preserve">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4"/>
                                <w:szCs w:val="24"/>
                                <w:color w:val="FFFFFF"/>
                                <w:spacing w:val="45"/>
                                <w:w w:val="103"/>
                              </w:rPr>
                              <w:t>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220.256pt;margin-top:160.369pt;mso-position-vertical-relative:text;mso-position-horizontal-relative:text;width:72.4pt;height:28.3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47" w:line="232" w:lineRule="auto"/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5"/>
                        </w:rPr>
                        <w:t xml:space="preserve">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FFFFFF"/>
                          <w:spacing w:val="45"/>
                          <w:w w:val="103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46" style="position:absolute;margin-left:243.256pt;margin-top:109.901pt;mso-position-vertical-relative:text;mso-position-horizontal-relative:text;width:26.95pt;height:127.6pt;z-index:251674624;" fillcolor="#636366" filled="true" stroked="false"/>
        </w:pict>
      </w:r>
      <w:r>
        <w:pict>
          <v:shape id="_x0000_s48" style="position:absolute;margin-left:245.883pt;margin-top:148.68pt;mso-position-vertical-relative:text;mso-position-horizontal-relative:text;width:17.45pt;height:50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FFFFF"/>
                    </w:rPr>
                    <w:t>临床研究</w:t>
                  </w:r>
                </w:p>
              </w:txbxContent>
            </v:textbox>
          </v:shape>
        </w:pict>
      </w:r>
      <w:r>
        <w:rPr>
          <w:sz w:val="21"/>
          <w:szCs w:val="21"/>
          <w:color w:val="231F20"/>
          <w:spacing w:val="-3"/>
        </w:rPr>
        <w:t>另外，因《不完全性肠梗阻中医临床诊疗专家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2"/>
        </w:rPr>
        <w:t>共识》并未提及具体中成药物，故表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2"/>
        </w:rPr>
        <w:t>未统计其一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致率；表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3"/>
        </w:rPr>
        <w:t>所显示中成药统计数据，源于共识起草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之初，根据德尔菲法原则，经专家推荐，有数种中成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2"/>
        </w:rPr>
        <w:t>药入选共识初稿，评价过程参考共识初稿所致；后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2"/>
        </w:rPr>
        <w:t>因所推荐中成药其说明书临床适应症不包括本病，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2"/>
        </w:rPr>
        <w:t>根据专家组讨论意见，予以删除，故本共识终稿未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8"/>
        </w:rPr>
        <w:t>推荐中成药物。对比表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8"/>
        </w:rPr>
        <w:t>1、表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8"/>
        </w:rPr>
        <w:t>2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8"/>
        </w:rPr>
        <w:t>数据亦可发现，</w:t>
      </w:r>
      <w:r>
        <w:rPr>
          <w:sz w:val="21"/>
          <w:szCs w:val="21"/>
          <w:color w:val="231F20"/>
          <w:spacing w:val="-9"/>
        </w:rPr>
        <w:t>表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9"/>
        </w:rPr>
        <w:t>1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中方药一致率统计是独立进行，但表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7"/>
        </w:rPr>
        <w:t>却合并</w:t>
      </w:r>
      <w:r>
        <w:rPr>
          <w:sz w:val="21"/>
          <w:szCs w:val="21"/>
          <w:color w:val="231F20"/>
          <w:spacing w:val="-8"/>
        </w:rPr>
        <w:t>分析。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原因在于，项目组认为，临床实践中，方药是密不可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2"/>
        </w:rPr>
        <w:t>分的一个整体，所运用中药均为所开处方加减，故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8"/>
        </w:rPr>
        <w:t>方药的一致性应是高度一致的，故合并分析。</w:t>
      </w:r>
    </w:p>
    <w:p>
      <w:pPr>
        <w:pStyle w:val="BodyText"/>
        <w:ind w:left="79"/>
        <w:spacing w:before="1" w:line="210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不足与展望</w:t>
      </w:r>
    </w:p>
    <w:p>
      <w:pPr>
        <w:pStyle w:val="BodyText"/>
        <w:ind w:left="79" w:right="733" w:firstLine="296"/>
        <w:spacing w:before="25" w:line="29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《不完全性肠梗阻中医临床诊疗专家共识》临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2"/>
        </w:rPr>
        <w:t>床一致性再评价结果显示，该共识在不完全性肠梗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阻疾病诊断中，临床一致性较高，基本符合临床实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8"/>
        </w:rPr>
        <w:t>践。但在治疗方面，因存在个人经验及各地区各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2"/>
        </w:rPr>
        <w:t>医疗机构具体情况不同，临床一致性偏低。然而本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2"/>
        </w:rPr>
        <w:t>次再评价，仅是对共识颁布以来质量水平的初步评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估，因受研究条件所限，评价范围相对较窄、评价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病例较少，故项目组认为，本标准需进一步推广应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用，提高相关医疗工作人员对本病的认识，对本共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识中未提及，但临床运用较多的药物及方法需进一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步加强研究，重新评价其循证医学证据等级，完善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标准相关内容，从而提高共识的质量水平及临床适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5"/>
        </w:rPr>
        <w:t>应性，促进共识的推广及本病指南的制定。</w:t>
      </w:r>
    </w:p>
    <w:p>
      <w:pPr>
        <w:ind w:left="2020"/>
        <w:spacing w:line="202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参考文献</w:t>
      </w:r>
    </w:p>
    <w:p>
      <w:pPr>
        <w:pStyle w:val="BodyText"/>
        <w:ind w:left="400" w:right="734" w:hanging="401"/>
        <w:spacing w:before="89" w:line="2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［1］陈小朝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9"/>
        </w:rPr>
        <w:t>杨向东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9"/>
        </w:rPr>
        <w:t>中西医治疗不全性肠梗阻概况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9"/>
        </w:rPr>
        <w:t>现代临床医学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2020,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8"/>
        </w:rPr>
        <w:t>46(5):381-383.</w:t>
      </w:r>
    </w:p>
    <w:p>
      <w:pPr>
        <w:pStyle w:val="BodyText"/>
        <w:ind w:left="402" w:right="739" w:hanging="403"/>
        <w:spacing w:before="70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［2］李智慧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李钰慧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蔡春江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不完全肠梗阻（肠结</w:t>
      </w:r>
      <w:r>
        <w:rPr>
          <w:sz w:val="15"/>
          <w:szCs w:val="15"/>
          <w:color w:val="231F20"/>
          <w:spacing w:val="-4"/>
        </w:rPr>
        <w:t>病）的中医理论探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源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9"/>
        </w:rPr>
        <w:t>[J]. 中国中医药现代远程教育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9"/>
        </w:rPr>
        <w:t>2019,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17(1):103-105.</w:t>
      </w:r>
    </w:p>
    <w:p>
      <w:pPr>
        <w:pStyle w:val="BodyText"/>
        <w:ind w:left="402" w:right="732" w:hanging="403"/>
        <w:spacing w:before="7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［3］中华中医药学会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6"/>
        </w:rPr>
        <w:t>不完全性肠梗阻中医临床诊疗</w:t>
      </w:r>
      <w:r>
        <w:rPr>
          <w:sz w:val="15"/>
          <w:szCs w:val="15"/>
          <w:color w:val="231F20"/>
          <w:spacing w:val="5"/>
        </w:rPr>
        <w:t>专家共识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>GS</w:t>
      </w:r>
      <w:r>
        <w:rPr>
          <w:sz w:val="15"/>
          <w:szCs w:val="15"/>
          <w:color w:val="231F20"/>
          <w:spacing w:val="5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CACM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5"/>
        </w:rPr>
        <w:t>233-2019[S].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5"/>
        </w:rPr>
        <w:t>北京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5"/>
        </w:rPr>
        <w:t>: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中华中医药学</w:t>
      </w:r>
      <w:r>
        <w:rPr>
          <w:sz w:val="15"/>
          <w:szCs w:val="15"/>
          <w:color w:val="231F20"/>
          <w:spacing w:val="-6"/>
        </w:rPr>
        <w:t>会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6"/>
        </w:rPr>
        <w:t>,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6"/>
        </w:rPr>
        <w:t>2019.</w:t>
      </w:r>
    </w:p>
    <w:p>
      <w:pPr>
        <w:pStyle w:val="BodyText"/>
        <w:ind w:left="404" w:right="734" w:hanging="404"/>
        <w:spacing w:before="7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［4］刘孟宇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杨伟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3"/>
        </w:rPr>
        <w:t>赵学尧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3"/>
        </w:rPr>
        <w:t>等．中医临床诊疗指南应</w:t>
      </w:r>
      <w:r>
        <w:rPr>
          <w:sz w:val="15"/>
          <w:szCs w:val="15"/>
          <w:color w:val="231F20"/>
          <w:spacing w:val="-4"/>
        </w:rPr>
        <w:t>用评价方法研究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中华中医药杂志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0"/>
        </w:rPr>
        <w:t>,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0"/>
        </w:rPr>
        <w:t>2016,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0"/>
        </w:rPr>
        <w:t>31(2):552-</w:t>
      </w:r>
      <w:r>
        <w:rPr>
          <w:sz w:val="15"/>
          <w:szCs w:val="15"/>
          <w:color w:val="231F20"/>
          <w:spacing w:val="-11"/>
        </w:rPr>
        <w:t>554．</w:t>
      </w:r>
    </w:p>
    <w:p>
      <w:pPr>
        <w:pStyle w:val="BodyText"/>
        <w:ind w:left="1500"/>
        <w:spacing w:before="70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4"/>
        </w:rPr>
        <w:t>（收稿日期：</w:t>
      </w:r>
      <w:r>
        <w:rPr>
          <w:color w:val="231F20"/>
          <w:spacing w:val="-4"/>
        </w:rPr>
        <w:t>2021-08-06</w:t>
      </w:r>
      <w:r>
        <w:rPr>
          <w:rFonts w:ascii="KaiTi" w:hAnsi="KaiTi" w:eastAsia="KaiTi" w:cs="KaiTi"/>
          <w:color w:val="231F20"/>
          <w:spacing w:val="-4"/>
        </w:rPr>
        <w:t>）编辑：王河宝</w:t>
      </w:r>
    </w:p>
    <w:sectPr>
      <w:headerReference w:type="default" r:id="rId8"/>
      <w:footerReference w:type="default" r:id="rId9"/>
      <w:pgSz w:w="12076" w:h="17178"/>
      <w:pgMar w:top="1482" w:right="484" w:bottom="1209" w:left="407" w:header="935" w:footer="876" w:gutter="0"/>
      <w:cols w:equalWidth="0" w:num="2">
        <w:col w:w="5680" w:space="100"/>
        <w:col w:w="54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1"/>
      <w:spacing w:line="322" w:lineRule="exact"/>
      <w:rPr>
        <w:sz w:val="23"/>
        <w:szCs w:val="23"/>
      </w:rPr>
    </w:pPr>
    <w:r>
      <w:rPr>
        <w:sz w:val="23"/>
        <w:szCs w:val="23"/>
        <w:color w:val="231F20"/>
        <w:spacing w:val="-25"/>
        <w:position w:val="2"/>
      </w:rPr>
      <w:t>·32</w:t>
    </w:r>
    <w:r>
      <w:rPr>
        <w:sz w:val="23"/>
        <w:szCs w:val="23"/>
        <w:color w:val="231F20"/>
        <w:spacing w:val="-18"/>
        <w:position w:val="2"/>
      </w:rPr>
      <w:t xml:space="preserve"> </w:t>
    </w:r>
    <w:r>
      <w:rPr>
        <w:sz w:val="23"/>
        <w:szCs w:val="23"/>
        <w:color w:val="231F20"/>
        <w:spacing w:val="-25"/>
        <w:position w:val="2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1"/>
      <w:spacing w:line="322" w:lineRule="exact"/>
      <w:rPr>
        <w:sz w:val="23"/>
        <w:szCs w:val="23"/>
      </w:rPr>
    </w:pPr>
    <w:r>
      <w:rPr>
        <w:sz w:val="23"/>
        <w:szCs w:val="23"/>
        <w:color w:val="231F20"/>
        <w:spacing w:val="-25"/>
        <w:position w:val="2"/>
      </w:rPr>
      <w:t>·33</w:t>
    </w:r>
    <w:r>
      <w:rPr>
        <w:sz w:val="23"/>
        <w:szCs w:val="23"/>
        <w:color w:val="231F20"/>
        <w:spacing w:val="-18"/>
        <w:position w:val="2"/>
      </w:rPr>
      <w:t xml:space="preserve"> </w:t>
    </w:r>
    <w:r>
      <w:rPr>
        <w:sz w:val="23"/>
        <w:szCs w:val="23"/>
        <w:color w:val="231F20"/>
        <w:spacing w:val="-25"/>
        <w:position w:val="2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1"/>
      <w:spacing w:line="322" w:lineRule="exact"/>
      <w:rPr>
        <w:sz w:val="23"/>
        <w:szCs w:val="23"/>
      </w:rPr>
    </w:pPr>
    <w:r>
      <w:rPr>
        <w:sz w:val="23"/>
        <w:szCs w:val="23"/>
        <w:color w:val="231F20"/>
        <w:spacing w:val="-25"/>
        <w:position w:val="2"/>
      </w:rPr>
      <w:t>·34</w:t>
    </w:r>
    <w:r>
      <w:rPr>
        <w:sz w:val="23"/>
        <w:szCs w:val="23"/>
        <w:color w:val="231F20"/>
        <w:spacing w:val="-18"/>
        <w:position w:val="2"/>
      </w:rPr>
      <w:t xml:space="preserve"> </w:t>
    </w:r>
    <w:r>
      <w:rPr>
        <w:sz w:val="23"/>
        <w:szCs w:val="23"/>
        <w:color w:val="231F20"/>
        <w:spacing w:val="-25"/>
        <w:position w:val="2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1"/>
      <w:spacing w:line="322" w:lineRule="exact"/>
      <w:rPr>
        <w:sz w:val="23"/>
        <w:szCs w:val="23"/>
      </w:rPr>
    </w:pPr>
    <w:r>
      <w:rPr>
        <w:sz w:val="23"/>
        <w:szCs w:val="23"/>
        <w:color w:val="231F20"/>
        <w:spacing w:val="-25"/>
        <w:position w:val="2"/>
      </w:rPr>
      <w:t>·35</w:t>
    </w:r>
    <w:r>
      <w:rPr>
        <w:sz w:val="23"/>
        <w:szCs w:val="23"/>
        <w:color w:val="231F20"/>
        <w:spacing w:val="-18"/>
        <w:position w:val="2"/>
      </w:rPr>
      <w:t xml:space="preserve"> </w:t>
    </w:r>
    <w:r>
      <w:rPr>
        <w:sz w:val="23"/>
        <w:szCs w:val="23"/>
        <w:color w:val="231F20"/>
        <w:spacing w:val="-25"/>
        <w:position w:val="2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49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20.4pt;margin-top:831.49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"/>
      <w:spacing w:before="52" w:line="212" w:lineRule="auto"/>
      <w:rPr/>
    </w:pPr>
    <w:r>
      <w:pict>
        <v:shape id="WordPictureWatermark26" style="position:absolute;margin-left:20.4pt;margin-top:831.49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-1"/>
      </w:rPr>
      <w:t>江西中医药大学学报  2022</w:t>
    </w:r>
    <w:r>
      <w:rPr>
        <w:color w:val="231F20"/>
        <w:spacing w:val="-36"/>
      </w:rPr>
      <w:t xml:space="preserve"> </w:t>
    </w:r>
    <w:r>
      <w:rPr>
        <w:color w:val="231F20"/>
        <w:spacing w:val="-1"/>
      </w:rPr>
      <w:t>年</w:t>
    </w:r>
    <w:r>
      <w:rPr>
        <w:color w:val="231F20"/>
        <w:spacing w:val="-37"/>
      </w:rPr>
      <w:t xml:space="preserve"> </w:t>
    </w:r>
    <w:r>
      <w:rPr>
        <w:color w:val="231F20"/>
        <w:spacing w:val="-1"/>
      </w:rPr>
      <w:t>6</w:t>
    </w:r>
    <w:r>
      <w:rPr>
        <w:color w:val="231F20"/>
        <w:spacing w:val="-37"/>
      </w:rPr>
      <w:t xml:space="preserve"> </w:t>
    </w:r>
    <w:r>
      <w:rPr>
        <w:color w:val="231F20"/>
        <w:spacing w:val="-1"/>
      </w:rPr>
      <w:t>月第</w:t>
    </w:r>
    <w:r>
      <w:rPr>
        <w:color w:val="231F20"/>
        <w:spacing w:val="-36"/>
      </w:rPr>
      <w:t xml:space="preserve"> </w:t>
    </w:r>
    <w:r>
      <w:rPr>
        <w:color w:val="231F20"/>
        <w:spacing w:val="-1"/>
      </w:rPr>
      <w:t>34</w:t>
    </w:r>
    <w:r>
      <w:rPr>
        <w:color w:val="231F20"/>
        <w:spacing w:val="-39"/>
      </w:rPr>
      <w:t xml:space="preserve"> </w:t>
    </w:r>
    <w:r>
      <w:rPr>
        <w:color w:val="231F20"/>
        <w:spacing w:val="-1"/>
      </w:rPr>
      <w:t>卷第</w:t>
    </w:r>
    <w:r>
      <w:rPr>
        <w:color w:val="231F20"/>
        <w:spacing w:val="-35"/>
      </w:rPr>
      <w:t xml:space="preserve"> </w:t>
    </w:r>
    <w:r>
      <w:rPr>
        <w:color w:val="231F20"/>
        <w:spacing w:val="-1"/>
      </w:rPr>
      <w:t>3</w:t>
    </w:r>
    <w:r>
      <w:rPr>
        <w:color w:val="231F20"/>
        <w:spacing w:val="-41"/>
      </w:rPr>
      <w:t xml:space="preserve"> </w:t>
    </w:r>
    <w:r>
      <w:rPr>
        <w:color w:val="231F20"/>
        <w:spacing w:val="-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54" w:right="749" w:hanging="1681"/>
      <w:spacing w:before="106" w:line="221" w:lineRule="auto"/>
      <w:rPr/>
    </w:pPr>
    <w:r>
      <w:pict>
        <v:shape id="WordPictureWatermark38" style="position:absolute;margin-left:20.4pt;margin-top:831.498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color w:val="231F20"/>
        <w:spacing w:val="-5"/>
      </w:rPr>
      <w:t>李志田等：《不完全性肠梗阻中医临床诊疗专家共</w:t>
    </w:r>
    <w:r>
      <w:rPr>
        <w:color w:val="231F20"/>
        <w:spacing w:val="4"/>
      </w:rPr>
      <w:t xml:space="preserve"> </w:t>
    </w:r>
    <w:r>
      <w:rPr>
        <w:color w:val="231F20"/>
        <w:spacing w:val="1"/>
      </w:rPr>
      <w:t>识》临床一致性再评价研究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4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2022-09-15T10:48:33Z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2025-10-28T21:22:48</vt:filetime>
  </property>
</Properties>
</file>