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04" w:lineRule="auto"/>
        <w:rPr>
          <w:rFonts w:ascii="Arial"/>
          <w:sz w:val="21"/>
        </w:rPr>
      </w:pPr>
      <w:r/>
    </w:p>
    <w:p>
      <w:pPr>
        <w:ind w:right="57"/>
        <w:spacing w:before="129" w:line="198" w:lineRule="auto"/>
        <w:jc w:val="righ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7"/>
          <w:position w:val="2"/>
        </w:rPr>
        <w:t>肿瘤综合治疗电子杂志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7"/>
          <w:position w:val="2"/>
        </w:rPr>
        <w:t>2017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7"/>
          <w:position w:val="2"/>
        </w:rPr>
        <w:t>年第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7"/>
          <w:position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7"/>
          <w:position w:val="2"/>
        </w:rPr>
        <w:t>卷第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7"/>
          <w:position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7"/>
          <w:position w:val="2"/>
        </w:rPr>
        <w:t>期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  <w:position w:val="2"/>
        </w:rPr>
        <w:t xml:space="preserve">                              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7"/>
          <w:position w:val="2"/>
        </w:rPr>
        <w:t>●    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7"/>
          <w:position w:val="-3"/>
        </w:rPr>
        <w:t>中国循证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7"/>
          <w:position w:val="-3"/>
        </w:rPr>
        <w:t>指南共识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67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7"/>
          <w:position w:val="2"/>
        </w:rPr>
        <w:t>●    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color w:val="231F20"/>
          <w:spacing w:val="6"/>
          <w:position w:val="-4"/>
        </w:rPr>
        <w:t>13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757"/>
        <w:spacing w:before="149" w:line="219" w:lineRule="auto"/>
        <w:rPr>
          <w:sz w:val="46"/>
          <w:szCs w:val="46"/>
        </w:rPr>
      </w:pPr>
      <w:r>
        <w:rPr>
          <w:sz w:val="46"/>
          <w:szCs w:val="46"/>
          <w:color w:val="231F20"/>
          <w:spacing w:val="-6"/>
        </w:rPr>
        <w:t>胃癌腹膜转移防治中国专家共识</w:t>
      </w:r>
    </w:p>
    <w:p>
      <w:pPr>
        <w:spacing w:before="46"/>
        <w:rPr/>
      </w:pPr>
      <w:r/>
    </w:p>
    <w:p>
      <w:pPr>
        <w:sectPr>
          <w:headerReference w:type="default" r:id="rId1"/>
          <w:pgSz w:w="11906" w:h="16158"/>
          <w:pgMar w:top="400" w:right="1058" w:bottom="0" w:left="407" w:header="0" w:footer="0" w:gutter="0"/>
          <w:cols w:equalWidth="0" w:num="1">
            <w:col w:w="10439" w:space="0"/>
          </w:cols>
        </w:sectPr>
        <w:rPr/>
      </w:pPr>
    </w:p>
    <w:p>
      <w:pPr>
        <w:ind w:left="705"/>
        <w:spacing w:before="46" w:line="19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中国抗癌协会胃癌专业委员会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674" w:right="262" w:firstLine="455"/>
        <w:spacing w:before="68" w:line="308" w:lineRule="auto"/>
        <w:jc w:val="both"/>
        <w:rPr/>
      </w:pPr>
      <w:r>
        <w:rPr>
          <w:color w:val="231F20"/>
          <w:spacing w:val="-3"/>
        </w:rPr>
        <w:t>胃癌是严重威胁人类健康的一种恶性疾病，全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球胃癌每年新增</w:t>
      </w:r>
      <w:r>
        <w:rPr>
          <w:rFonts w:ascii="Times New Roman" w:hAnsi="Times New Roman" w:eastAsia="Times New Roman" w:cs="Times New Roman"/>
          <w:color w:val="231F20"/>
          <w:spacing w:val="1"/>
        </w:rPr>
        <w:t>95</w:t>
      </w:r>
      <w:r>
        <w:rPr>
          <w:color w:val="231F20"/>
          <w:spacing w:val="1"/>
        </w:rPr>
        <w:t>万例，死亡</w:t>
      </w:r>
      <w:r>
        <w:rPr>
          <w:rFonts w:ascii="Times New Roman" w:hAnsi="Times New Roman" w:eastAsia="Times New Roman" w:cs="Times New Roman"/>
          <w:color w:val="231F20"/>
          <w:spacing w:val="1"/>
        </w:rPr>
        <w:t>72</w:t>
      </w:r>
      <w:r>
        <w:rPr>
          <w:color w:val="231F20"/>
          <w:spacing w:val="1"/>
        </w:rPr>
        <w:t>万例，其中</w:t>
      </w:r>
      <w:r>
        <w:rPr>
          <w:rFonts w:ascii="Times New Roman" w:hAnsi="Times New Roman" w:eastAsia="Times New Roman" w:cs="Times New Roman"/>
          <w:color w:val="231F20"/>
          <w:spacing w:val="1"/>
        </w:rPr>
        <w:t>70%</w:t>
      </w:r>
      <w:r>
        <w:rPr>
          <w:color w:val="231F20"/>
          <w:spacing w:val="1"/>
        </w:rPr>
        <w:t>来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自亚洲，而中国患者就占了将近一半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6"/>
          <w:position w:val="9"/>
        </w:rPr>
        <w:t>[1,2] </w:t>
      </w:r>
      <w:r>
        <w:rPr>
          <w:color w:val="231F20"/>
          <w:spacing w:val="6"/>
        </w:rPr>
        <w:t>。腹</w:t>
      </w:r>
      <w:r>
        <w:rPr>
          <w:color w:val="231F20"/>
          <w:spacing w:val="5"/>
        </w:rPr>
        <w:t>膜转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移复发是晚期胃癌患者死亡的首要原因之一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3"/>
        </w:rPr>
        <w:t>；所谓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腹膜转移，是指胃癌原发灶癌细胞经血行、淋巴或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腹膜直接种植生长所致的癌症转移形式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5"/>
          <w:position w:val="9"/>
        </w:rPr>
        <w:t>[3,4] </w:t>
      </w:r>
      <w:r>
        <w:rPr>
          <w:color w:val="231F20"/>
          <w:spacing w:val="5"/>
        </w:rPr>
        <w:t>。将近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20%</w:t>
      </w:r>
      <w:r>
        <w:rPr>
          <w:color w:val="231F20"/>
          <w:spacing w:val="1"/>
        </w:rPr>
        <w:t>的胃癌患者在术前或术中诊断有腹膜</w:t>
      </w:r>
      <w:r>
        <w:rPr>
          <w:color w:val="231F20"/>
        </w:rPr>
        <w:t>转移，超 </w:t>
      </w:r>
      <w:r>
        <w:rPr>
          <w:color w:val="231F20"/>
          <w:spacing w:val="2"/>
        </w:rPr>
        <w:t>过</w:t>
      </w:r>
      <w:r>
        <w:rPr>
          <w:rFonts w:ascii="Times New Roman" w:hAnsi="Times New Roman" w:eastAsia="Times New Roman" w:cs="Times New Roman"/>
          <w:color w:val="231F20"/>
          <w:spacing w:val="2"/>
        </w:rPr>
        <w:t>50%</w:t>
      </w:r>
      <w:r>
        <w:rPr>
          <w:color w:val="231F20"/>
          <w:spacing w:val="2"/>
        </w:rPr>
        <w:t>的</w:t>
      </w:r>
      <w:r>
        <w:rPr>
          <w:rFonts w:ascii="Times New Roman" w:hAnsi="Times New Roman" w:eastAsia="Times New Roman" w:cs="Times New Roman"/>
          <w:color w:val="231F20"/>
          <w:spacing w:val="2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2"/>
          <w:position w:val="-3"/>
        </w:rPr>
        <w:t>3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7"/>
          <w:position w:val="-3"/>
        </w:rPr>
        <w:t xml:space="preserve"> </w:t>
      </w:r>
      <w:r>
        <w:rPr>
          <w:color w:val="231F20"/>
          <w:spacing w:val="2"/>
        </w:rPr>
        <w:t>、</w:t>
      </w:r>
      <w:r>
        <w:rPr>
          <w:rFonts w:ascii="Times New Roman" w:hAnsi="Times New Roman" w:eastAsia="Times New Roman" w:cs="Times New Roman"/>
          <w:color w:val="231F20"/>
          <w:spacing w:val="2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2"/>
          <w:position w:val="-3"/>
        </w:rPr>
        <w:t>4</w:t>
      </w:r>
      <w:r>
        <w:rPr>
          <w:color w:val="231F20"/>
          <w:spacing w:val="2"/>
        </w:rPr>
        <w:t>期患者在根治性切除术后发生腹膜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转移，腹膜转移程度越高，生存期越短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[5]</w:t>
      </w:r>
      <w:r>
        <w:rPr>
          <w:color w:val="231F20"/>
          <w:spacing w:val="-1"/>
        </w:rPr>
        <w:t>。</w:t>
      </w:r>
    </w:p>
    <w:p>
      <w:pPr>
        <w:pStyle w:val="BodyText"/>
        <w:ind w:left="677" w:right="205" w:firstLine="460"/>
        <w:spacing w:before="7" w:line="307" w:lineRule="auto"/>
        <w:jc w:val="both"/>
        <w:rPr/>
      </w:pPr>
      <w:r>
        <w:rPr>
          <w:color w:val="231F20"/>
          <w:spacing w:val="-3"/>
        </w:rPr>
        <w:t>目前，我国胃癌腹膜转移诊疗现状严峻，发病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率高、早期诊断困难、患者预后差。为了规范胃癌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腹膜转移的诊断和治疗，加强对高危患者的筛查，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及早发现腹膜转移，制定合理有效的多学科综合治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疗方案，从而延长胃癌腹膜转移患者生存时间并改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善生活质量。中国抗癌协会胃癌专业委员会组织国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内胃癌领域权威专家制定《胃癌腹膜转移防治中国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1"/>
        </w:rPr>
        <w:t>专家共识》（以下简称为共识）。</w:t>
      </w:r>
    </w:p>
    <w:p>
      <w:pPr>
        <w:pStyle w:val="BodyText"/>
        <w:ind w:left="677" w:right="262" w:firstLine="421"/>
        <w:spacing w:before="1" w:line="307" w:lineRule="auto"/>
        <w:rPr/>
      </w:pPr>
      <w:r>
        <w:rPr>
          <w:color w:val="231F20"/>
          <w:spacing w:val="-1"/>
        </w:rPr>
        <w:t>本共识适用于具有腹膜转移风险因素或确诊腹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膜转移的胃癌患者。</w:t>
      </w:r>
    </w:p>
    <w:p>
      <w:pPr>
        <w:pStyle w:val="BodyText"/>
        <w:ind w:left="579" w:right="187" w:firstLine="526"/>
        <w:spacing w:line="233" w:lineRule="auto"/>
        <w:tabs>
          <w:tab w:val="left" w:pos="676"/>
        </w:tabs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1"/>
        </w:rPr>
        <w:t>注</w:t>
      </w:r>
      <w:r>
        <w:rPr>
          <w:rFonts w:ascii="Times New Roman" w:hAnsi="Times New Roman" w:eastAsia="Times New Roman" w:cs="Times New Roman"/>
          <w:color w:val="231F20"/>
          <w:spacing w:val="1"/>
        </w:rPr>
        <w:t>1 </w:t>
      </w:r>
      <w:r>
        <w:rPr>
          <w:color w:val="231F20"/>
          <w:spacing w:val="1"/>
        </w:rPr>
        <w:t>：</w:t>
      </w:r>
      <w:r>
        <w:rPr>
          <w:rFonts w:ascii="Microsoft YaHei" w:hAnsi="Microsoft YaHei" w:eastAsia="Microsoft YaHei" w:cs="Microsoft YaHei"/>
          <w:color w:val="231F20"/>
          <w:spacing w:val="1"/>
        </w:rPr>
        <w:t>中国抗癌协会胃癌专业委员会组建共识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制定专家组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color w:val="231F20"/>
          <w:spacing w:val="9"/>
        </w:rPr>
        <w:t>。</w:t>
      </w:r>
      <w:r>
        <w:rPr>
          <w:rFonts w:ascii="Microsoft YaHei" w:hAnsi="Microsoft YaHei" w:eastAsia="Microsoft YaHei" w:cs="Microsoft YaHei"/>
          <w:color w:val="231F20"/>
          <w:spacing w:val="9"/>
        </w:rPr>
        <w:t>首先由工作小组检索</w:t>
      </w:r>
      <w:r>
        <w:rPr>
          <w:rFonts w:ascii="Times New Roman" w:hAnsi="Times New Roman" w:eastAsia="Times New Roman" w:cs="Times New Roman"/>
          <w:color w:val="231F20"/>
        </w:rPr>
        <w:t>Medline</w:t>
      </w:r>
      <w:r>
        <w:rPr>
          <w:color w:val="231F20"/>
          <w:spacing w:val="9"/>
        </w:rPr>
        <w:t>、</w:t>
      </w:r>
      <w:r>
        <w:rPr>
          <w:rFonts w:ascii="Times New Roman" w:hAnsi="Times New Roman" w:eastAsia="Times New Roman" w:cs="Times New Roman"/>
          <w:color w:val="231F20"/>
        </w:rPr>
        <w:t>Emb</w:t>
      </w:r>
      <w:r>
        <w:rPr>
          <w:rFonts w:ascii="Times New Roman" w:hAnsi="Times New Roman" w:eastAsia="Times New Roman" w:cs="Times New Roman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-1"/>
        </w:rPr>
        <w:t>ase</w:t>
      </w:r>
      <w:r>
        <w:rPr>
          <w:color w:val="231F20"/>
          <w:spacing w:val="-1"/>
        </w:rPr>
        <w:t>、</w:t>
      </w:r>
      <w:r>
        <w:rPr>
          <w:rFonts w:ascii="Times New Roman" w:hAnsi="Times New Roman" w:eastAsia="Times New Roman" w:cs="Times New Roman"/>
          <w:color w:val="231F20"/>
          <w:spacing w:val="-1"/>
        </w:rPr>
        <w:t>Cochrane</w:t>
      </w:r>
      <w:r>
        <w:rPr>
          <w:rFonts w:ascii="Microsoft YaHei" w:hAnsi="Microsoft YaHei" w:eastAsia="Microsoft YaHei" w:cs="Microsoft YaHei"/>
          <w:color w:val="231F20"/>
          <w:spacing w:val="-1"/>
        </w:rPr>
        <w:t>及万方中文期刊数据库</w:t>
      </w:r>
      <w:r>
        <w:rPr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制订</w:t>
      </w:r>
      <w:r>
        <w:rPr>
          <w:rFonts w:ascii="Microsoft YaHei" w:hAnsi="Microsoft YaHei" w:eastAsia="Microsoft YaHei" w:cs="Microsoft YaHei"/>
          <w:color w:val="231F20"/>
          <w:spacing w:val="-2"/>
        </w:rPr>
        <w:t>共识意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见的草案</w:t>
      </w:r>
      <w:r>
        <w:rPr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4"/>
        </w:rPr>
        <w:t>随后由专家组采用国际通用的德尔菲法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color w:val="231F20"/>
          <w:spacing w:val="-7"/>
        </w:rPr>
        <w:t>Delphi method</w:t>
      </w:r>
      <w:r>
        <w:rPr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color w:val="231F20"/>
          <w:spacing w:val="-7"/>
        </w:rPr>
        <w:t>进行讨论和修订</w:t>
      </w:r>
      <w:r>
        <w:rPr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直至达成共识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7"/>
          <w:position w:val="9"/>
        </w:rPr>
        <w:t>[6,7]</w:t>
      </w:r>
      <w:r>
        <w:rPr>
          <w:color w:val="231F20"/>
          <w:spacing w:val="-32"/>
        </w:rPr>
        <w:t>。</w:t>
      </w:r>
    </w:p>
    <w:p>
      <w:pPr>
        <w:pStyle w:val="BodyText"/>
        <w:ind w:left="1105"/>
        <w:spacing w:before="1" w:line="197" w:lineRule="auto"/>
        <w:rPr/>
      </w:pPr>
      <w:r>
        <w:rPr>
          <w:rFonts w:ascii="Microsoft YaHei" w:hAnsi="Microsoft YaHei" w:eastAsia="Microsoft YaHei" w:cs="Microsoft YaHei"/>
          <w:color w:val="231F20"/>
          <w:spacing w:val="-8"/>
        </w:rPr>
        <w:t>注</w:t>
      </w:r>
      <w:r>
        <w:rPr>
          <w:rFonts w:ascii="Times New Roman" w:hAnsi="Times New Roman" w:eastAsia="Times New Roman" w:cs="Times New Roman"/>
          <w:color w:val="231F20"/>
          <w:spacing w:val="-8"/>
        </w:rPr>
        <w:t>2 </w:t>
      </w:r>
      <w:r>
        <w:rPr>
          <w:color w:val="231F20"/>
          <w:spacing w:val="-8"/>
        </w:rPr>
        <w:t>：</w:t>
      </w:r>
      <w:r>
        <w:rPr>
          <w:rFonts w:ascii="Microsoft YaHei" w:hAnsi="Microsoft YaHei" w:eastAsia="Microsoft YaHei" w:cs="Microsoft YaHei"/>
          <w:color w:val="231F20"/>
          <w:spacing w:val="-8"/>
        </w:rPr>
        <w:t>证据等级 </w:t>
      </w:r>
      <w:r>
        <w:rPr>
          <w:color w:val="231F20"/>
          <w:spacing w:val="-8"/>
        </w:rPr>
        <w:t>：</w:t>
      </w:r>
    </w:p>
    <w:p>
      <w:pPr>
        <w:pStyle w:val="BodyText"/>
        <w:ind w:left="674" w:right="262" w:firstLine="489"/>
        <w:spacing w:before="54" w:line="233" w:lineRule="auto"/>
        <w:rPr/>
      </w:pPr>
      <w:r>
        <w:rPr>
          <w:rFonts w:ascii="Microsoft YaHei" w:hAnsi="Microsoft YaHei" w:eastAsia="Microsoft YaHei" w:cs="Microsoft YaHei"/>
          <w:color w:val="231F20"/>
          <w:spacing w:val="-7"/>
        </w:rPr>
        <w:t>Ⅰ级 </w:t>
      </w:r>
      <w:r>
        <w:rPr>
          <w:color w:val="231F20"/>
          <w:spacing w:val="-7"/>
        </w:rPr>
        <w:t>：</w:t>
      </w:r>
      <w:r>
        <w:rPr>
          <w:rFonts w:ascii="Microsoft YaHei" w:hAnsi="Microsoft YaHei" w:eastAsia="Microsoft YaHei" w:cs="Microsoft YaHei"/>
          <w:color w:val="231F20"/>
          <w:spacing w:val="-7"/>
        </w:rPr>
        <w:t>进一步研究几乎不可能改变对临床疗效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评估结果的可信度</w:t>
      </w:r>
      <w:r>
        <w:rPr>
          <w:rFonts w:ascii="Microsoft YaHei" w:hAnsi="Microsoft YaHei" w:eastAsia="Microsoft YaHei" w:cs="Microsoft YaHei"/>
          <w:color w:val="231F20"/>
          <w:spacing w:val="-36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为高级别证据</w:t>
      </w:r>
      <w:r>
        <w:rPr>
          <w:color w:val="231F20"/>
          <w:spacing w:val="-2"/>
        </w:rPr>
        <w:t>。</w:t>
      </w:r>
    </w:p>
    <w:p>
      <w:pPr>
        <w:pStyle w:val="BodyText"/>
        <w:ind w:left="674" w:right="262" w:firstLine="465"/>
        <w:spacing w:before="3" w:line="237" w:lineRule="auto"/>
        <w:rPr>
          <w:rFonts w:ascii="Microsoft YaHei" w:hAnsi="Microsoft YaHei" w:eastAsia="Microsoft YaHei" w:cs="Microsoft YaHei"/>
        </w:rPr>
      </w:pPr>
      <w:r>
        <w:pict>
          <v:shape id="_x0000_s4" style="position:absolute;margin-left:33.718pt;margin-top:46.1314pt;mso-position-vertical-relative:text;mso-position-horizontal-relative:text;width:70.9pt;height:0.45pt;z-index:251658240;" filled="false" strokecolor="#231F20" strokeweight="0.43pt" coordsize="1418,8" coordorigin="0,0" path="m0,4l1417,4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-6"/>
        </w:rPr>
        <w:t>Ⅱ级 </w:t>
      </w:r>
      <w:r>
        <w:rPr>
          <w:color w:val="231F20"/>
          <w:spacing w:val="-6"/>
        </w:rPr>
        <w:t>：</w:t>
      </w:r>
      <w:r>
        <w:rPr>
          <w:rFonts w:ascii="Microsoft YaHei" w:hAnsi="Microsoft YaHei" w:eastAsia="Microsoft YaHei" w:cs="Microsoft YaHei"/>
          <w:color w:val="231F20"/>
          <w:spacing w:val="-6"/>
        </w:rPr>
        <w:t>进一步研究有可能对疗效评估结果的可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信度有重要影响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且有可能改变评估结果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为中级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05"/>
        <w:spacing w:before="90" w:line="164" w:lineRule="auto"/>
        <w:rPr/>
      </w:pPr>
      <w:r>
        <w:rPr>
          <w:rFonts w:ascii="Microsoft YaHei" w:hAnsi="Microsoft YaHei" w:eastAsia="Microsoft YaHei" w:cs="Microsoft YaHei"/>
          <w:color w:val="231F20"/>
          <w:spacing w:val="-4"/>
        </w:rPr>
        <w:t>别证据</w:t>
      </w:r>
      <w:r>
        <w:rPr>
          <w:color w:val="231F20"/>
          <w:spacing w:val="-4"/>
        </w:rPr>
        <w:t>。</w:t>
      </w:r>
    </w:p>
    <w:p>
      <w:pPr>
        <w:pStyle w:val="BodyText"/>
        <w:ind w:left="94" w:right="75" w:firstLine="449"/>
        <w:spacing w:before="84" w:line="233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Ⅲ级 </w:t>
      </w:r>
      <w:r>
        <w:rPr>
          <w:color w:val="231F20"/>
          <w:spacing w:val="-5"/>
        </w:rPr>
        <w:t>：</w:t>
      </w:r>
      <w:r>
        <w:rPr>
          <w:rFonts w:ascii="Microsoft YaHei" w:hAnsi="Microsoft YaHei" w:eastAsia="Microsoft YaHei" w:cs="Microsoft YaHei"/>
          <w:color w:val="231F20"/>
          <w:spacing w:val="-5"/>
        </w:rPr>
        <w:t>进一步研究很有可能对疗效评估结果的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可信度有重要影响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且极有可能改变评估结果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为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低级别证据</w:t>
      </w:r>
      <w:r>
        <w:rPr>
          <w:color w:val="231F20"/>
          <w:spacing w:val="-1"/>
        </w:rPr>
        <w:t>。</w:t>
      </w:r>
    </w:p>
    <w:p>
      <w:pPr>
        <w:pStyle w:val="BodyText"/>
        <w:ind w:left="105" w:right="75" w:firstLine="426"/>
        <w:spacing w:before="3" w:line="233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Ⅳ级 </w:t>
      </w:r>
      <w:r>
        <w:rPr>
          <w:color w:val="231F20"/>
          <w:spacing w:val="-6"/>
        </w:rPr>
        <w:t>：</w:t>
      </w:r>
      <w:r>
        <w:rPr>
          <w:rFonts w:ascii="Microsoft YaHei" w:hAnsi="Microsoft YaHei" w:eastAsia="Microsoft YaHei" w:cs="Microsoft YaHei"/>
          <w:color w:val="231F20"/>
          <w:spacing w:val="-6"/>
        </w:rPr>
        <w:t>任何疗效评估结果都不确定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为极低级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别证据</w:t>
      </w:r>
      <w:r>
        <w:rPr>
          <w:color w:val="231F20"/>
          <w:spacing w:val="-4"/>
        </w:rPr>
        <w:t>。</w:t>
      </w:r>
    </w:p>
    <w:p>
      <w:pPr>
        <w:pStyle w:val="BodyText"/>
        <w:ind w:left="526"/>
        <w:spacing w:line="197" w:lineRule="auto"/>
        <w:rPr/>
      </w:pPr>
      <w:r>
        <w:rPr>
          <w:rFonts w:ascii="Microsoft YaHei" w:hAnsi="Microsoft YaHei" w:eastAsia="Microsoft YaHei" w:cs="Microsoft YaHei"/>
          <w:color w:val="231F20"/>
          <w:spacing w:val="-8"/>
        </w:rPr>
        <w:t>注</w:t>
      </w:r>
      <w:r>
        <w:rPr>
          <w:rFonts w:ascii="Times New Roman" w:hAnsi="Times New Roman" w:eastAsia="Times New Roman" w:cs="Times New Roman"/>
          <w:color w:val="231F20"/>
          <w:spacing w:val="-8"/>
        </w:rPr>
        <w:t>3 </w:t>
      </w:r>
      <w:r>
        <w:rPr>
          <w:color w:val="231F20"/>
          <w:spacing w:val="-8"/>
        </w:rPr>
        <w:t>：</w:t>
      </w:r>
      <w:r>
        <w:rPr>
          <w:rFonts w:ascii="Microsoft YaHei" w:hAnsi="Microsoft YaHei" w:eastAsia="Microsoft YaHei" w:cs="Microsoft YaHei"/>
          <w:color w:val="231F20"/>
          <w:spacing w:val="-8"/>
        </w:rPr>
        <w:t>推荐级别 </w:t>
      </w:r>
      <w:r>
        <w:rPr>
          <w:color w:val="231F20"/>
          <w:spacing w:val="-8"/>
        </w:rPr>
        <w:t>：</w:t>
      </w:r>
    </w:p>
    <w:p>
      <w:pPr>
        <w:pStyle w:val="BodyText"/>
        <w:ind w:left="99" w:right="75" w:firstLine="419"/>
        <w:spacing w:before="55" w:line="233" w:lineRule="auto"/>
        <w:rPr/>
      </w:pPr>
      <w:r>
        <w:rPr>
          <w:rFonts w:ascii="Times New Roman" w:hAnsi="Times New Roman" w:eastAsia="Times New Roman" w:cs="Times New Roman"/>
          <w:color w:val="231F20"/>
        </w:rPr>
        <w:t>Grade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：</w:t>
      </w:r>
      <w:r>
        <w:rPr>
          <w:rFonts w:ascii="Microsoft YaHei" w:hAnsi="Microsoft YaHei" w:eastAsia="Microsoft YaHei" w:cs="Microsoft YaHei"/>
          <w:color w:val="231F20"/>
          <w:spacing w:val="2"/>
        </w:rPr>
        <w:t>基于可得证据</w:t>
      </w:r>
      <w:r>
        <w:rPr>
          <w:rFonts w:ascii="Microsoft YaHei" w:hAnsi="Microsoft YaHei" w:eastAsia="Microsoft YaHei" w:cs="Microsoft YaHei"/>
          <w:color w:val="231F20"/>
          <w:spacing w:val="-36"/>
        </w:rPr>
        <w:t xml:space="preserve"> </w:t>
      </w:r>
      <w:r>
        <w:rPr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color w:val="231F20"/>
          <w:spacing w:val="2"/>
        </w:rPr>
        <w:t>非常确定获益大于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风险和负担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则做出强推荐</w:t>
      </w:r>
      <w:r>
        <w:rPr>
          <w:color w:val="231F20"/>
          <w:spacing w:val="-3"/>
        </w:rPr>
        <w:t>。</w:t>
      </w:r>
    </w:p>
    <w:p>
      <w:pPr>
        <w:pStyle w:val="BodyText"/>
        <w:ind w:left="100" w:right="75" w:firstLine="418"/>
        <w:spacing w:before="3" w:line="231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Grade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：</w:t>
      </w:r>
      <w:r>
        <w:rPr>
          <w:rFonts w:ascii="Microsoft YaHei" w:hAnsi="Microsoft YaHei" w:eastAsia="Microsoft YaHei" w:cs="Microsoft YaHei"/>
          <w:color w:val="231F20"/>
          <w:spacing w:val="1"/>
        </w:rPr>
        <w:t>基于可得的证据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1"/>
        </w:rPr>
        <w:t>认为获益</w:t>
      </w:r>
      <w:r>
        <w:rPr>
          <w:color w:val="231F20"/>
          <w:spacing w:val="1"/>
        </w:rPr>
        <w:t>、</w:t>
      </w:r>
      <w:r>
        <w:rPr>
          <w:rFonts w:ascii="Microsoft YaHei" w:hAnsi="Microsoft YaHei" w:eastAsia="Microsoft YaHei" w:cs="Microsoft YaHei"/>
          <w:color w:val="231F20"/>
          <w:spacing w:val="1"/>
        </w:rPr>
        <w:t>风险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和负担相当平衡</w:t>
      </w:r>
      <w:r>
        <w:rPr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或获益</w:t>
      </w:r>
      <w:r>
        <w:rPr>
          <w:color w:val="231F20"/>
          <w:spacing w:val="-1"/>
        </w:rPr>
        <w:t>、</w:t>
      </w:r>
      <w:r>
        <w:rPr>
          <w:rFonts w:ascii="Microsoft YaHei" w:hAnsi="Microsoft YaHei" w:eastAsia="Microsoft YaHei" w:cs="Microsoft YaHei"/>
          <w:color w:val="231F20"/>
          <w:spacing w:val="-1"/>
        </w:rPr>
        <w:t>风险的程度存在明显的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不确定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则做出弱推荐</w:t>
      </w:r>
      <w:r>
        <w:rPr>
          <w:color w:val="231F20"/>
          <w:spacing w:val="-4"/>
        </w:rPr>
        <w:t>。</w:t>
      </w:r>
    </w:p>
    <w:p>
      <w:pPr>
        <w:ind w:left="114"/>
        <w:spacing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3"/>
        </w:rPr>
        <w:t>1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胃癌腹膜转移的发生机制</w:t>
      </w:r>
    </w:p>
    <w:p>
      <w:pPr>
        <w:pStyle w:val="BodyText"/>
        <w:ind w:firstLine="551"/>
        <w:spacing w:before="54" w:line="307" w:lineRule="auto"/>
        <w:jc w:val="both"/>
        <w:rPr/>
      </w:pPr>
      <w:r>
        <w:rPr>
          <w:color w:val="231F20"/>
          <w:spacing w:val="-3"/>
        </w:rPr>
        <w:t>胃癌腹膜转移的发生机制尚不完全明确，“种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子土壤”学说是目前认可度较高的发生机制理论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"/>
          <w:position w:val="9"/>
        </w:rPr>
        <w:t>[8]</w:t>
      </w:r>
      <w:r>
        <w:rPr>
          <w:color w:val="231F20"/>
          <w:spacing w:val="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腹膜转移的发生取决于癌细胞（种子）和腹膜（土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壤）的微环境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3"/>
          <w:position w:val="9"/>
        </w:rPr>
        <w:t>[9] </w:t>
      </w:r>
      <w:r>
        <w:rPr>
          <w:color w:val="231F20"/>
          <w:spacing w:val="13"/>
        </w:rPr>
        <w:t>。癌细胞分泌的转化生长因子</w:t>
      </w:r>
      <w:r>
        <w:rPr>
          <w:rFonts w:ascii="Times New Roman" w:hAnsi="Times New Roman" w:eastAsia="Times New Roman" w:cs="Times New Roman"/>
          <w:color w:val="231F20"/>
          <w:spacing w:val="13"/>
        </w:rPr>
        <w:t>β1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transforming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growth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factor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beta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TGF-β1</w:t>
      </w:r>
      <w:r>
        <w:rPr>
          <w:color w:val="231F20"/>
        </w:rPr>
        <w:t>）</w:t>
      </w:r>
      <w:r>
        <w:rPr>
          <w:color w:val="231F20"/>
          <w:spacing w:val="-1"/>
        </w:rPr>
        <w:t>参与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细胞外基质（</w:t>
      </w:r>
      <w:r>
        <w:rPr>
          <w:rFonts w:ascii="Times New Roman" w:hAnsi="Times New Roman" w:eastAsia="Times New Roman" w:cs="Times New Roman"/>
          <w:color w:val="231F20"/>
        </w:rPr>
        <w:t>extracellular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matrix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22"/>
        </w:rPr>
        <w:t>，</w:t>
      </w:r>
      <w:r>
        <w:rPr>
          <w:rFonts w:ascii="Times New Roman" w:hAnsi="Times New Roman" w:eastAsia="Times New Roman" w:cs="Times New Roman"/>
          <w:color w:val="231F20"/>
        </w:rPr>
        <w:t>ECM</w:t>
      </w:r>
      <w:r>
        <w:rPr>
          <w:color w:val="231F20"/>
          <w:spacing w:val="22"/>
        </w:rPr>
        <w:t>）的生成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与成熟，而</w:t>
      </w:r>
      <w:r>
        <w:rPr>
          <w:rFonts w:ascii="Times New Roman" w:hAnsi="Times New Roman" w:eastAsia="Times New Roman" w:cs="Times New Roman"/>
          <w:color w:val="231F20"/>
        </w:rPr>
        <w:t>ECM</w:t>
      </w:r>
      <w:r>
        <w:rPr>
          <w:color w:val="231F20"/>
          <w:spacing w:val="8"/>
        </w:rPr>
        <w:t>可为</w:t>
      </w:r>
      <w:r>
        <w:rPr>
          <w:rFonts w:ascii="Times New Roman" w:hAnsi="Times New Roman" w:eastAsia="Times New Roman" w:cs="Times New Roman"/>
          <w:color w:val="231F20"/>
          <w:spacing w:val="8"/>
        </w:rPr>
        <w:t>β1-</w:t>
      </w:r>
      <w:r>
        <w:rPr>
          <w:color w:val="231F20"/>
          <w:spacing w:val="8"/>
        </w:rPr>
        <w:t>整联蛋白和</w:t>
      </w:r>
      <w:r>
        <w:rPr>
          <w:rFonts w:ascii="Times New Roman" w:hAnsi="Times New Roman" w:eastAsia="Times New Roman" w:cs="Times New Roman"/>
          <w:color w:val="231F20"/>
        </w:rPr>
        <w:t>CD</w:t>
      </w:r>
      <w:r>
        <w:rPr>
          <w:rFonts w:ascii="Times New Roman" w:hAnsi="Times New Roman" w:eastAsia="Times New Roman" w:cs="Times New Roman"/>
          <w:color w:val="231F20"/>
          <w:spacing w:val="8"/>
        </w:rPr>
        <w:t>44H</w:t>
      </w:r>
      <w:r>
        <w:rPr>
          <w:color w:val="231F20"/>
          <w:spacing w:val="8"/>
        </w:rPr>
        <w:t>提供配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合基，最终促使游离癌细胞的浸润及黏附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4"/>
          <w:position w:val="9"/>
        </w:rPr>
        <w:t>[10,11]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22"/>
          <w:w w:val="101"/>
          <w:position w:val="9"/>
        </w:rPr>
        <w:t xml:space="preserve"> </w:t>
      </w:r>
      <w:r>
        <w:rPr>
          <w:color w:val="231F20"/>
          <w:spacing w:val="4"/>
        </w:rPr>
        <w:t>；腹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膜自身特异性结构（淋巴孔和乳斑区）也使得癌细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胞易于“播种”。腹膜乳斑是一种特殊的免疫结构，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由巨噬细胞围绕血管网构成，因为缺乏连续的间皮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细胞层，容易造成游离癌细胞的定植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7"/>
          <w:position w:val="9"/>
        </w:rPr>
        <w:t>[12,13] </w:t>
      </w:r>
      <w:r>
        <w:rPr>
          <w:color w:val="231F20"/>
          <w:spacing w:val="7"/>
        </w:rPr>
        <w:t>。此外，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游离癌细胞聚集于连接乳斑区和腹膜下淋巴管的淋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巴孔处，因淋巴孔特异性分布于横膈膜、肠系膜、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网膜及盆腔腹膜的浆膜表面，故而这些部位在腹膜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转移的早期就易受到累及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9"/>
        </w:rPr>
        <w:t>[5,12]</w:t>
      </w:r>
      <w:r>
        <w:rPr>
          <w:color w:val="231F20"/>
        </w:rPr>
        <w:t>。“种子土壤”学说发</w:t>
      </w:r>
    </w:p>
    <w:p>
      <w:pPr>
        <w:spacing w:line="307" w:lineRule="auto"/>
        <w:sectPr>
          <w:type w:val="continuous"/>
          <w:pgSz w:w="11906" w:h="16158"/>
          <w:pgMar w:top="400" w:right="1058" w:bottom="0" w:left="407" w:header="0" w:footer="0" w:gutter="0"/>
          <w:cols w:equalWidth="0" w:num="2">
            <w:col w:w="5553" w:space="100"/>
            <w:col w:w="4787" w:space="0"/>
          </w:cols>
        </w:sectPr>
        <w:rPr/>
      </w:pP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037"/>
        <w:spacing w:before="58" w:line="237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2"/>
        </w:rPr>
        <w:t>通讯作者</w:t>
      </w:r>
      <w:r>
        <w:rPr>
          <w:sz w:val="18"/>
          <w:szCs w:val="18"/>
          <w:color w:val="231F20"/>
          <w:spacing w:val="-45"/>
          <w:position w:val="2"/>
        </w:rPr>
        <w:t xml:space="preserve"> </w:t>
      </w:r>
      <w:r>
        <w:rPr>
          <w:sz w:val="18"/>
          <w:szCs w:val="18"/>
          <w:color w:val="231F20"/>
          <w:spacing w:val="-2"/>
          <w:position w:val="2"/>
        </w:rPr>
        <w:t>：季加孚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2"/>
        </w:rPr>
        <w:t>E-mail </w:t>
      </w:r>
      <w:r>
        <w:rPr>
          <w:sz w:val="18"/>
          <w:szCs w:val="18"/>
          <w:color w:val="231F20"/>
          <w:spacing w:val="-2"/>
          <w:position w:val="2"/>
        </w:rPr>
        <w:t>：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  <w:position w:val="2"/>
        </w:rPr>
        <w:t>jiji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  <w:position w:val="2"/>
        </w:rPr>
        <w:t>afu@hsc.pku.edu.cn</w:t>
      </w:r>
    </w:p>
    <w:p>
      <w:pPr>
        <w:spacing w:line="237" w:lineRule="exact"/>
        <w:sectPr>
          <w:type w:val="continuous"/>
          <w:pgSz w:w="11906" w:h="16158"/>
          <w:pgMar w:top="400" w:right="1058" w:bottom="0" w:left="407" w:header="0" w:footer="0" w:gutter="0"/>
          <w:cols w:equalWidth="0" w:num="1">
            <w:col w:w="10439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ind w:right="57"/>
        <w:spacing w:before="129" w:line="198" w:lineRule="auto"/>
        <w:jc w:val="righ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30"/>
          <w:szCs w:val="30"/>
          <w:color w:val="231F20"/>
          <w:spacing w:val="6"/>
          <w:position w:val="-4"/>
        </w:rPr>
        <w:t>14  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2"/>
        </w:rPr>
        <w:t>●   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6"/>
          <w:position w:val="-3"/>
        </w:rPr>
        <w:t>中国循证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6"/>
          <w:position w:val="-3"/>
        </w:rPr>
        <w:t>指南共识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2"/>
        </w:rPr>
        <w:t>●         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2"/>
        </w:rPr>
        <w:t xml:space="preserve">     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5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5"/>
          <w:position w:val="2"/>
        </w:rPr>
        <w:t>肿瘤综合治疗电子杂志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5"/>
          <w:position w:val="2"/>
        </w:rPr>
        <w:t>2017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5"/>
          <w:position w:val="2"/>
        </w:rPr>
        <w:t>年第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5"/>
          <w:position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5"/>
          <w:position w:val="2"/>
        </w:rPr>
        <w:t>卷第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5"/>
          <w:position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5"/>
          <w:position w:val="2"/>
        </w:rPr>
        <w:t>期</w:t>
      </w: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2"/>
          <w:pgSz w:w="11906" w:h="16158"/>
          <w:pgMar w:top="400" w:right="1019" w:bottom="0" w:left="407" w:header="0" w:footer="0" w:gutter="0"/>
          <w:cols w:equalWidth="0" w:num="1">
            <w:col w:w="10478" w:space="0"/>
          </w:cols>
        </w:sectPr>
        <w:rPr/>
      </w:pPr>
    </w:p>
    <w:p>
      <w:pPr>
        <w:pStyle w:val="BodyText"/>
        <w:ind w:left="735"/>
        <w:spacing w:before="41" w:line="219" w:lineRule="auto"/>
        <w:rPr/>
      </w:pPr>
      <w:r>
        <w:rPr>
          <w:color w:val="231F20"/>
          <w:spacing w:val="-1"/>
        </w:rPr>
        <w:t>生机制的描述见图</w:t>
      </w:r>
      <w:r>
        <w:rPr>
          <w:rFonts w:ascii="Times New Roman" w:hAnsi="Times New Roman" w:eastAsia="Times New Roman" w:cs="Times New Roman"/>
          <w:color w:val="231F20"/>
          <w:spacing w:val="-1"/>
        </w:rPr>
        <w:t>1</w:t>
      </w:r>
      <w:r>
        <w:rPr>
          <w:color w:val="231F20"/>
          <w:spacing w:val="-1"/>
        </w:rPr>
        <w:t>。</w:t>
      </w:r>
    </w:p>
    <w:p>
      <w:pPr>
        <w:spacing w:line="211" w:lineRule="exact"/>
        <w:rPr/>
      </w:pPr>
      <w:r/>
    </w:p>
    <w:tbl>
      <w:tblPr>
        <w:tblStyle w:val="TableNormal"/>
        <w:tblW w:w="4620" w:type="dxa"/>
        <w:tblInd w:w="728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620"/>
      </w:tblGrid>
      <w:tr>
        <w:trPr>
          <w:trHeight w:val="3918" w:hRule="atLeast"/>
        </w:trPr>
        <w:tc>
          <w:tcPr>
            <w:tcW w:w="4620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>
              <w:pict>
                <v:shape id="_x0000_s8" style="position:absolute;margin-left:-115.499pt;margin-top:79.6769pt;mso-position-vertical-relative:top-margin-area;mso-position-horizontal-relative:right-margin-area;width:0.25pt;height:11pt;z-index:-251655168;" filled="false" strokecolor="#231F20" strokeweight="0.25pt" coordsize="5,220" coordorigin="0,0" path="m2,0l2,219e">
                  <v:stroke joinstyle="miter" miterlimit="4"/>
                </v:shape>
              </w:pict>
            </w:r>
            <w:r>
              <w:pict>
                <v:shape id="_x0000_s10" style="position:absolute;margin-left:-115.499pt;margin-top:114.69pt;mso-position-vertical-relative:top-margin-area;mso-position-horizontal-relative:right-margin-area;width:0.25pt;height:11pt;z-index:-251656192;" filled="false" strokecolor="#231F20" strokeweight="0.25pt" coordsize="5,220" coordorigin="0,0" path="m2,0l2,219e">
                  <v:stroke joinstyle="miter" miterlimit="4"/>
                </v:shape>
              </w:pict>
            </w:r>
            <w:r>
              <w:pict>
                <v:shape id="_x0000_s12" style="position:absolute;margin-left:-115.499pt;margin-top:149.703pt;mso-position-vertical-relative:top-margin-area;mso-position-horizontal-relative:right-margin-area;width:0.25pt;height:11pt;z-index:-251657216;" filled="false" strokecolor="#231F20" strokeweight="0.25pt" coordsize="5,220" coordorigin="0,0" path="m2,0l2,219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rightMargin">
                    <wp:posOffset>-2736583</wp:posOffset>
                  </wp:positionH>
                  <wp:positionV relativeFrom="topMargin">
                    <wp:posOffset>122568</wp:posOffset>
                  </wp:positionV>
                  <wp:extent cx="2542667" cy="2223312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42667" cy="2223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ind w:left="432"/>
              <w:spacing w:before="59" w:line="21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"/>
              </w:rPr>
              <w:t>侵犯浆膜         淋巴受侵         血管受侵</w:t>
            </w:r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ind w:left="1594"/>
              <w:spacing w:before="5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"/>
              </w:rPr>
              <w:t>腹腔内游离癌细胞</w:t>
            </w:r>
          </w:p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ind w:left="1238"/>
              <w:spacing w:before="58" w:line="21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"/>
              </w:rPr>
              <w:t>定植乳斑区、聚集淋巴孔处</w:t>
            </w:r>
          </w:p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8"/>
              <w:spacing w:before="58" w:line="20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"/>
              </w:rPr>
              <w:t>癌细胞黏着性改变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"/>
              </w:rPr>
              <w:t>：上调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3"/>
              </w:rPr>
              <w:t>TGF-β1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"/>
              </w:rPr>
              <w:t>等因子表达</w:t>
            </w:r>
          </w:p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ind w:left="1773"/>
              <w:spacing w:before="5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1"/>
              </w:rPr>
              <w:t>肿瘤腹膜种植</w:t>
            </w:r>
          </w:p>
        </w:tc>
      </w:tr>
    </w:tbl>
    <w:p>
      <w:pPr>
        <w:ind w:left="1815"/>
        <w:spacing w:before="164" w:line="204" w:lineRule="auto"/>
        <w:outlineLvl w:val="0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图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胃癌腹膜转移的发生机制</w:t>
      </w:r>
    </w:p>
    <w:p>
      <w:pPr>
        <w:pStyle w:val="BodyText"/>
        <w:ind w:left="1060"/>
        <w:spacing w:before="23" w:line="18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注 </w:t>
      </w:r>
      <w:r>
        <w:rPr>
          <w:sz w:val="16"/>
          <w:szCs w:val="16"/>
          <w:color w:val="231F20"/>
          <w:spacing w:val="-6"/>
        </w:rPr>
        <w:t>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TGF-β1 </w:t>
      </w:r>
      <w:r>
        <w:rPr>
          <w:sz w:val="16"/>
          <w:szCs w:val="16"/>
          <w:color w:val="231F20"/>
          <w:spacing w:val="-6"/>
        </w:rPr>
        <w:t>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转化生长因子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β1</w:t>
      </w:r>
    </w:p>
    <w:p>
      <w:pPr>
        <w:ind w:left="731"/>
        <w:spacing w:before="192"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</w:rPr>
        <w:t>2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胃癌腹膜转移的诊断与分期</w:t>
      </w:r>
    </w:p>
    <w:p>
      <w:pPr>
        <w:ind w:left="730"/>
        <w:spacing w:before="49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2.1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诊断</w:t>
      </w:r>
    </w:p>
    <w:p>
      <w:pPr>
        <w:pStyle w:val="BodyText"/>
        <w:ind w:left="732" w:right="278" w:hanging="2"/>
        <w:spacing w:before="59" w:line="302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2.1.1    </w:t>
      </w:r>
      <w:r>
        <w:rPr>
          <w:color w:val="231F20"/>
        </w:rPr>
        <w:t>影像诊断  影像学诊断胃癌腹</w:t>
      </w:r>
      <w:r>
        <w:rPr>
          <w:color w:val="231F20"/>
          <w:spacing w:val="-1"/>
        </w:rPr>
        <w:t>膜转移难度较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大，通过典型征象确诊者多已属晚期，即使通过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正电子发射型计算机断层显像（</w:t>
      </w:r>
      <w:r>
        <w:rPr>
          <w:rFonts w:ascii="Times New Roman" w:hAnsi="Times New Roman" w:eastAsia="Times New Roman" w:cs="Times New Roman"/>
          <w:color w:val="231F20"/>
        </w:rPr>
        <w:t>PET</w:t>
      </w:r>
      <w:r>
        <w:rPr>
          <w:rFonts w:ascii="Times New Roman" w:hAnsi="Times New Roman" w:eastAsia="Times New Roman" w:cs="Times New Roman"/>
          <w:color w:val="231F20"/>
          <w:spacing w:val="5"/>
        </w:rPr>
        <w:t>/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color w:val="231F20"/>
          <w:spacing w:val="5"/>
        </w:rPr>
        <w:t>）也难以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在腹膜转移的早期阶段确诊，因而导致较高的假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阴性率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[14]</w:t>
      </w:r>
      <w:r>
        <w:rPr>
          <w:color w:val="231F20"/>
          <w:spacing w:val="-1"/>
        </w:rPr>
        <w:t>。推荐</w:t>
      </w:r>
      <w:r>
        <w:rPr>
          <w:rFonts w:ascii="Times New Roman" w:hAnsi="Times New Roman" w:eastAsia="Times New Roman" w:cs="Times New Roman"/>
          <w:color w:val="231F20"/>
          <w:spacing w:val="-1"/>
        </w:rPr>
        <w:t>X</w:t>
      </w:r>
      <w:r>
        <w:rPr>
          <w:color w:val="231F20"/>
          <w:spacing w:val="-1"/>
        </w:rPr>
        <w:t>线计算机断层摄影（</w:t>
      </w:r>
      <w:r>
        <w:rPr>
          <w:rFonts w:ascii="Times New Roman" w:hAnsi="Times New Roman" w:eastAsia="Times New Roman" w:cs="Times New Roman"/>
          <w:color w:val="231F20"/>
          <w:spacing w:val="-2"/>
        </w:rPr>
        <w:t>CT</w:t>
      </w:r>
      <w:r>
        <w:rPr>
          <w:color w:val="231F20"/>
          <w:spacing w:val="-2"/>
        </w:rPr>
        <w:t>）作为胃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癌腹膜转移的主要影像学检查手段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6"/>
          <w:position w:val="9"/>
        </w:rPr>
        <w:t>[15-17] </w:t>
      </w:r>
      <w:r>
        <w:rPr>
          <w:color w:val="231F20"/>
          <w:spacing w:val="6"/>
        </w:rPr>
        <w:t>。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color w:val="231F20"/>
          <w:spacing w:val="6"/>
        </w:rPr>
        <w:t>诊断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胃癌腹膜转移的敏感度为</w:t>
      </w:r>
      <w:r>
        <w:rPr>
          <w:rFonts w:ascii="Times New Roman" w:hAnsi="Times New Roman" w:eastAsia="Times New Roman" w:cs="Times New Roman"/>
          <w:color w:val="231F20"/>
          <w:spacing w:val="5"/>
        </w:rPr>
        <w:t>33%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color w:val="231F20"/>
          <w:spacing w:val="5"/>
        </w:rPr>
        <w:t>～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51%</w:t>
      </w:r>
      <w:r>
        <w:rPr>
          <w:color w:val="231F20"/>
          <w:spacing w:val="5"/>
        </w:rPr>
        <w:t>，特异度为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95%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～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99%</w:t>
      </w:r>
      <w:r>
        <w:rPr>
          <w:color w:val="231F20"/>
          <w:spacing w:val="-1"/>
        </w:rPr>
        <w:t>，优于超声（</w:t>
      </w:r>
      <w:r>
        <w:rPr>
          <w:rFonts w:ascii="Times New Roman" w:hAnsi="Times New Roman" w:eastAsia="Times New Roman" w:cs="Times New Roman"/>
          <w:color w:val="231F20"/>
          <w:spacing w:val="-1"/>
        </w:rPr>
        <w:t>US</w:t>
      </w:r>
      <w:r>
        <w:rPr>
          <w:color w:val="231F20"/>
          <w:spacing w:val="-1"/>
        </w:rPr>
        <w:t>）和</w:t>
      </w:r>
      <w:r>
        <w:rPr>
          <w:rFonts w:ascii="Times New Roman" w:hAnsi="Times New Roman" w:eastAsia="Times New Roman" w:cs="Times New Roman"/>
          <w:color w:val="231F20"/>
          <w:spacing w:val="-1"/>
        </w:rPr>
        <w:t>PET</w:t>
      </w:r>
      <w:r>
        <w:rPr>
          <w:color w:val="231F20"/>
          <w:spacing w:val="-2"/>
        </w:rPr>
        <w:t>检查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2"/>
          <w:position w:val="9"/>
        </w:rPr>
        <w:t>[16,18]</w:t>
      </w:r>
      <w:r>
        <w:rPr>
          <w:color w:val="231F20"/>
          <w:spacing w:val="-2"/>
        </w:rPr>
        <w:t>。胃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癌腹膜转移的典型</w:t>
      </w:r>
      <w:r>
        <w:rPr>
          <w:rFonts w:ascii="Times New Roman" w:hAnsi="Times New Roman" w:eastAsia="Times New Roman" w:cs="Times New Roman"/>
          <w:color w:val="231F20"/>
          <w:spacing w:val="-2"/>
        </w:rPr>
        <w:t>CT</w:t>
      </w:r>
      <w:r>
        <w:rPr>
          <w:color w:val="231F20"/>
          <w:spacing w:val="-2"/>
        </w:rPr>
        <w:t>征象包括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2"/>
        </w:rPr>
        <w:t>：腹膜不均匀增厚、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高强化或伴结节；网膜饼或大网膜多发索条、结</w:t>
      </w:r>
      <w:r>
        <w:rPr>
          <w:color w:val="231F20"/>
          <w:spacing w:val="-8"/>
        </w:rPr>
        <w:t>节；</w:t>
      </w:r>
      <w:r>
        <w:rPr>
          <w:color w:val="231F20"/>
        </w:rPr>
        <w:t xml:space="preserve"> </w:t>
      </w:r>
      <w:r>
        <w:rPr>
          <w:color w:val="231F20"/>
        </w:rPr>
        <w:t>肠系膜结节状增厚</w:t>
      </w:r>
      <w:r>
        <w:rPr>
          <w:color w:val="231F20"/>
          <w:spacing w:val="-44"/>
        </w:rPr>
        <w:t xml:space="preserve"> </w:t>
      </w:r>
      <w:r>
        <w:rPr>
          <w:color w:val="231F20"/>
        </w:rPr>
        <w:t>；腹盆腔大量积液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9"/>
        </w:rPr>
        <w:t>[18,19]</w:t>
      </w:r>
      <w:r>
        <w:rPr>
          <w:color w:val="231F20"/>
        </w:rPr>
        <w:t>。注意腹 </w:t>
      </w:r>
      <w:r>
        <w:rPr>
          <w:color w:val="231F20"/>
          <w:spacing w:val="-1"/>
        </w:rPr>
        <w:t>膜转移粘连侵犯导致的肾盂输尿管扩张、肝内外胆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管扩张及肠梗阻等间接征象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3"/>
        </w:rPr>
        <w:t>；注意少量腹水（尤其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肝脾周围）对早期腹膜转移的提示意义。文献报道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胃癌患者影像学检出腹水超过</w:t>
      </w:r>
      <w:r>
        <w:rPr>
          <w:rFonts w:ascii="Times New Roman" w:hAnsi="Times New Roman" w:eastAsia="Times New Roman" w:cs="Times New Roman"/>
          <w:color w:val="231F20"/>
          <w:spacing w:val="4"/>
        </w:rPr>
        <w:t>50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</w:t>
      </w:r>
      <w:r>
        <w:rPr>
          <w:color w:val="231F20"/>
          <w:spacing w:val="4"/>
        </w:rPr>
        <w:t>，腹膜转移阳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性率达</w:t>
      </w:r>
      <w:r>
        <w:rPr>
          <w:rFonts w:ascii="Times New Roman" w:hAnsi="Times New Roman" w:eastAsia="Times New Roman" w:cs="Times New Roman"/>
          <w:color w:val="231F20"/>
          <w:spacing w:val="-6"/>
        </w:rPr>
        <w:t>75% </w:t>
      </w:r>
      <w:r>
        <w:rPr>
          <w:color w:val="231F20"/>
          <w:spacing w:val="-6"/>
        </w:rPr>
        <w:t>～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100%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6"/>
          <w:position w:val="9"/>
        </w:rPr>
        <w:t>[17,20]</w:t>
      </w:r>
      <w:r>
        <w:rPr>
          <w:color w:val="231F20"/>
          <w:spacing w:val="-6"/>
        </w:rPr>
        <w:t>。</w:t>
      </w:r>
      <w:r>
        <w:rPr>
          <w:rFonts w:ascii="Times New Roman" w:hAnsi="Times New Roman" w:eastAsia="Times New Roman" w:cs="Times New Roman"/>
          <w:color w:val="231F20"/>
          <w:spacing w:val="-6"/>
        </w:rPr>
        <w:t>P</w:t>
      </w:r>
      <w:r>
        <w:rPr>
          <w:rFonts w:ascii="Times New Roman" w:hAnsi="Times New Roman" w:eastAsia="Times New Roman" w:cs="Times New Roman"/>
          <w:color w:val="231F20"/>
          <w:spacing w:val="-7"/>
        </w:rPr>
        <w:t>ACS</w:t>
      </w:r>
      <w:r>
        <w:rPr>
          <w:color w:val="231F20"/>
          <w:spacing w:val="-7"/>
        </w:rPr>
        <w:t>工作站宽窗观察（脂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肪间隙均质细颗粒状背景噪声清晰显示为准</w:t>
      </w:r>
      <w:r>
        <w:rPr>
          <w:color w:val="231F20"/>
          <w:spacing w:val="2"/>
        </w:rPr>
        <w:t>），</w:t>
      </w:r>
      <w:r>
        <w:rPr>
          <w:color w:val="231F20"/>
          <w:spacing w:val="-1"/>
        </w:rPr>
        <w:t>避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免遗漏小的转移灶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3"/>
        </w:rPr>
        <w:t>；联合轴位、冠状位及矢状位三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平面观察，提高对特殊部位转移灶的检出和定位能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力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3"/>
        </w:rPr>
        <w:t>；全面观察横结肠系膜、后腹膜、镰状韧带等胃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周各韧带及系膜走行区域。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color w:val="231F20"/>
          <w:spacing w:val="9"/>
        </w:rPr>
        <w:t>可作为增强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color w:val="231F20"/>
          <w:spacing w:val="9"/>
        </w:rPr>
        <w:t>检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查禁忌患者的备选手段，在低张和呼吸训练控制运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58" w:firstLine="1"/>
        <w:spacing w:before="39" w:line="308" w:lineRule="auto"/>
        <w:rPr/>
      </w:pPr>
      <w:r>
        <w:rPr>
          <w:color w:val="231F20"/>
          <w:spacing w:val="-1"/>
        </w:rPr>
        <w:t>动干扰的前提下可显示腹膜结构，并可应用扩散加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权功能成像（</w:t>
      </w:r>
      <w:r>
        <w:rPr>
          <w:rFonts w:ascii="Times New Roman" w:hAnsi="Times New Roman" w:eastAsia="Times New Roman" w:cs="Times New Roman"/>
          <w:color w:val="231F20"/>
        </w:rPr>
        <w:t>DWI</w:t>
      </w:r>
      <w:r>
        <w:rPr>
          <w:color w:val="231F20"/>
        </w:rPr>
        <w:t>）辅助小转移灶的检出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[21]</w:t>
      </w:r>
      <w:r>
        <w:rPr>
          <w:color w:val="231F20"/>
          <w:spacing w:val="-1"/>
        </w:rPr>
        <w:t>。</w:t>
      </w:r>
    </w:p>
    <w:p>
      <w:pPr>
        <w:pStyle w:val="BodyText"/>
        <w:ind w:left="7" w:hanging="3"/>
        <w:spacing w:line="308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2.1.2    </w:t>
      </w:r>
      <w:r>
        <w:rPr>
          <w:color w:val="231F20"/>
        </w:rPr>
        <w:t>血清标志物检测  癌胚抗原（</w:t>
      </w:r>
      <w:r>
        <w:rPr>
          <w:rFonts w:ascii="Times New Roman" w:hAnsi="Times New Roman" w:eastAsia="Times New Roman" w:cs="Times New Roman"/>
          <w:color w:val="231F20"/>
        </w:rPr>
        <w:t>C</w:t>
      </w:r>
      <w:r>
        <w:rPr>
          <w:rFonts w:ascii="Times New Roman" w:hAnsi="Times New Roman" w:eastAsia="Times New Roman" w:cs="Times New Roman"/>
          <w:color w:val="231F20"/>
          <w:spacing w:val="-1"/>
        </w:rPr>
        <w:t>EA</w:t>
      </w:r>
      <w:r>
        <w:rPr>
          <w:color w:val="231F20"/>
          <w:spacing w:val="-1"/>
        </w:rPr>
        <w:t>）、癌抗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原</w:t>
      </w:r>
      <w:r>
        <w:rPr>
          <w:rFonts w:ascii="Times New Roman" w:hAnsi="Times New Roman" w:eastAsia="Times New Roman" w:cs="Times New Roman"/>
          <w:color w:val="231F20"/>
          <w:spacing w:val="-4"/>
        </w:rPr>
        <w:t>125</w:t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CA125</w:t>
      </w:r>
      <w:r>
        <w:rPr>
          <w:color w:val="231F20"/>
          <w:spacing w:val="-4"/>
        </w:rPr>
        <w:t>）、癌抗原</w:t>
      </w:r>
      <w:r>
        <w:rPr>
          <w:rFonts w:ascii="Times New Roman" w:hAnsi="Times New Roman" w:eastAsia="Times New Roman" w:cs="Times New Roman"/>
          <w:color w:val="231F20"/>
          <w:spacing w:val="-4"/>
        </w:rPr>
        <w:t>19-9</w:t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CA19-9</w:t>
      </w:r>
      <w:r>
        <w:rPr>
          <w:color w:val="231F20"/>
          <w:spacing w:val="-4"/>
        </w:rPr>
        <w:t>）、癌抗原</w:t>
      </w:r>
      <w:r>
        <w:rPr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724</w:t>
      </w:r>
      <w:r>
        <w:rPr>
          <w:color w:val="231F20"/>
          <w:spacing w:val="5"/>
        </w:rPr>
        <w:t>（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5"/>
        </w:rPr>
        <w:t>724</w:t>
      </w:r>
      <w:r>
        <w:rPr>
          <w:color w:val="231F20"/>
          <w:spacing w:val="5"/>
        </w:rPr>
        <w:t>）是胃癌常用的肿瘤标志物</w:t>
      </w:r>
      <w:r>
        <w:rPr>
          <w:color w:val="231F20"/>
          <w:spacing w:val="4"/>
        </w:rPr>
        <w:t>。尽管这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些血清学指标的升高与腹膜转移呈正相关，但用于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胃癌腹膜转移的诊断时，其敏感性和阳性预测值均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较差。因腹膜间皮细胞在受到肿瘤侵犯时可以释放</w:t>
      </w:r>
      <w:r>
        <w:rPr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1"/>
        </w:rPr>
        <w:t>125</w:t>
      </w:r>
      <w:r>
        <w:rPr>
          <w:color w:val="231F20"/>
          <w:spacing w:val="1"/>
        </w:rPr>
        <w:t>入血，所以，理论上</w:t>
      </w:r>
      <w:r>
        <w:rPr>
          <w:rFonts w:ascii="Times New Roman" w:hAnsi="Times New Roman" w:eastAsia="Times New Roman" w:cs="Times New Roman"/>
          <w:color w:val="231F20"/>
        </w:rPr>
        <w:t>CA</w:t>
      </w:r>
      <w:r>
        <w:rPr>
          <w:rFonts w:ascii="Times New Roman" w:hAnsi="Times New Roman" w:eastAsia="Times New Roman" w:cs="Times New Roman"/>
          <w:color w:val="231F20"/>
          <w:spacing w:val="1"/>
        </w:rPr>
        <w:t>125</w:t>
      </w:r>
      <w:r>
        <w:rPr>
          <w:color w:val="231F20"/>
          <w:spacing w:val="1"/>
        </w:rPr>
        <w:t>是检测腹膜转移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的潜在指标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"/>
        </w:rPr>
        <w:t>；尽管</w:t>
      </w:r>
      <w:r>
        <w:rPr>
          <w:rFonts w:ascii="Times New Roman" w:hAnsi="Times New Roman" w:eastAsia="Times New Roman" w:cs="Times New Roman"/>
          <w:color w:val="231F20"/>
          <w:spacing w:val="-2"/>
        </w:rPr>
        <w:t>CA125</w:t>
      </w:r>
      <w:r>
        <w:rPr>
          <w:color w:val="231F20"/>
          <w:spacing w:val="-2"/>
        </w:rPr>
        <w:t>的阳性预测值显著高于其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他标志物，但其敏感性也无法满足临床需求。因此，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血清标志物检测仅可作为辅助诊断，不作为腹膜转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移诊断的依据。</w:t>
      </w:r>
    </w:p>
    <w:p>
      <w:pPr>
        <w:pStyle w:val="BodyText"/>
        <w:ind w:left="4" w:right="58"/>
        <w:spacing w:before="166" w:line="203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表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5"/>
        </w:rPr>
        <w:t>1    CEA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5"/>
        </w:rPr>
        <w:t>、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5"/>
        </w:rPr>
        <w:t>CA125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5"/>
        </w:rPr>
        <w:t>、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5"/>
        </w:rPr>
        <w:t>CA19-9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5"/>
        </w:rPr>
        <w:t>、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5"/>
        </w:rPr>
        <w:t>CA724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诊断胃癌腹膜转移的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敏感性</w:t>
      </w:r>
      <w:r>
        <w:rPr>
          <w:sz w:val="18"/>
          <w:szCs w:val="18"/>
          <w:color w:val="231F20"/>
          <w:spacing w:val="-14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特异性</w:t>
      </w:r>
      <w:r>
        <w:rPr>
          <w:sz w:val="18"/>
          <w:szCs w:val="18"/>
          <w:color w:val="231F20"/>
          <w:spacing w:val="-14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阳性预测值</w:t>
      </w:r>
      <w:r>
        <w:rPr>
          <w:sz w:val="18"/>
          <w:szCs w:val="18"/>
          <w:color w:val="231F20"/>
          <w:spacing w:val="-14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阴性预测值和准确性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14"/>
        </w:rPr>
        <w:t>%</w:t>
      </w:r>
      <w:r>
        <w:rPr>
          <w:sz w:val="18"/>
          <w:szCs w:val="18"/>
          <w:color w:val="231F20"/>
          <w:spacing w:val="-14"/>
        </w:rPr>
        <w:t>）</w:t>
      </w:r>
      <w:r>
        <w:rPr>
          <w:rFonts w:ascii="Times New Roman" w:hAnsi="Times New Roman" w:eastAsia="Times New Roman" w:cs="Times New Roman"/>
          <w:sz w:val="10"/>
          <w:szCs w:val="10"/>
          <w:b/>
          <w:bCs/>
          <w:color w:val="231F20"/>
          <w:spacing w:val="-1"/>
          <w:position w:val="8"/>
        </w:rPr>
        <w:t>[22-27]</w:t>
      </w:r>
    </w:p>
    <w:tbl>
      <w:tblPr>
        <w:tblStyle w:val="TableNormal"/>
        <w:tblW w:w="46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7"/>
        <w:gridCol w:w="785"/>
        <w:gridCol w:w="805"/>
        <w:gridCol w:w="834"/>
        <w:gridCol w:w="828"/>
        <w:gridCol w:w="830"/>
      </w:tblGrid>
      <w:tr>
        <w:trPr>
          <w:trHeight w:val="368" w:hRule="atLeast"/>
        </w:trPr>
        <w:tc>
          <w:tcPr>
            <w:tcW w:w="5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4" w:right="57" w:firstLine="69"/>
              <w:spacing w:before="23" w:line="16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血清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"/>
              </w:rPr>
              <w:t>标志物</w:t>
            </w:r>
          </w:p>
        </w:tc>
        <w:tc>
          <w:tcPr>
            <w:tcW w:w="78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82"/>
              <w:spacing w:before="11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敏感性</w:t>
            </w:r>
          </w:p>
        </w:tc>
        <w:tc>
          <w:tcPr>
            <w:tcW w:w="80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87"/>
              <w:spacing w:before="113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特异性</w:t>
            </w:r>
          </w:p>
        </w:tc>
        <w:tc>
          <w:tcPr>
            <w:tcW w:w="83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2"/>
              <w:spacing w:before="122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阳性预测值</w:t>
            </w:r>
          </w:p>
        </w:tc>
        <w:tc>
          <w:tcPr>
            <w:tcW w:w="82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8"/>
              <w:spacing w:before="122" w:line="165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阴性预测值</w:t>
            </w:r>
          </w:p>
        </w:tc>
        <w:tc>
          <w:tcPr>
            <w:tcW w:w="8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13"/>
              <w:spacing w:before="112" w:line="197" w:lineRule="auto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准确性</w:t>
            </w:r>
          </w:p>
        </w:tc>
      </w:tr>
      <w:tr>
        <w:trPr>
          <w:trHeight w:val="194" w:hRule="atLeast"/>
        </w:trPr>
        <w:tc>
          <w:tcPr>
            <w:tcW w:w="5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8"/>
              <w:spacing w:before="52" w:line="186" w:lineRule="auto"/>
              <w:rPr/>
            </w:pPr>
            <w:r>
              <w:rPr>
                <w:color w:val="231F20"/>
                <w:spacing w:val="-2"/>
              </w:rPr>
              <w:t>CEA</w:t>
            </w:r>
          </w:p>
        </w:tc>
        <w:tc>
          <w:tcPr>
            <w:tcW w:w="78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"/>
              <w:spacing w:before="27" w:line="207" w:lineRule="auto"/>
              <w:rPr/>
            </w:pPr>
            <w:r>
              <w:rPr>
                <w:color w:val="231F20"/>
                <w:spacing w:val="-4"/>
              </w:rPr>
              <w:t>17.2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4"/>
              </w:rPr>
              <w:t>40.6</w:t>
            </w:r>
          </w:p>
        </w:tc>
        <w:tc>
          <w:tcPr>
            <w:tcW w:w="8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"/>
              <w:spacing w:before="27" w:line="207" w:lineRule="auto"/>
              <w:rPr/>
            </w:pPr>
            <w:r>
              <w:rPr>
                <w:color w:val="231F20"/>
                <w:spacing w:val="-3"/>
              </w:rPr>
              <w:t>69.0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89.4</w:t>
            </w:r>
          </w:p>
        </w:tc>
        <w:tc>
          <w:tcPr>
            <w:tcW w:w="8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0"/>
              <w:spacing w:before="27" w:line="207" w:lineRule="auto"/>
              <w:rPr/>
            </w:pPr>
            <w:r>
              <w:rPr>
                <w:color w:val="231F20"/>
                <w:spacing w:val="-4"/>
              </w:rPr>
              <w:t>13.8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37.9</w:t>
            </w:r>
          </w:p>
        </w:tc>
        <w:tc>
          <w:tcPr>
            <w:tcW w:w="8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4"/>
              <w:spacing w:before="27" w:line="207" w:lineRule="auto"/>
              <w:rPr/>
            </w:pPr>
            <w:r>
              <w:rPr>
                <w:color w:val="231F20"/>
                <w:spacing w:val="-3"/>
              </w:rPr>
              <w:t>81.2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93.1</w:t>
            </w:r>
          </w:p>
        </w:tc>
        <w:tc>
          <w:tcPr>
            <w:tcW w:w="8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"/>
              <w:spacing w:before="27" w:line="207" w:lineRule="auto"/>
              <w:rPr/>
            </w:pPr>
            <w:r>
              <w:rPr>
                <w:color w:val="231F20"/>
                <w:spacing w:val="-3"/>
              </w:rPr>
              <w:t>65.0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80.4</w:t>
            </w:r>
          </w:p>
        </w:tc>
      </w:tr>
      <w:tr>
        <w:trPr>
          <w:trHeight w:val="195" w:hRule="atLeast"/>
        </w:trPr>
        <w:tc>
          <w:tcPr>
            <w:tcW w:w="537" w:type="dxa"/>
            <w:vAlign w:val="top"/>
          </w:tcPr>
          <w:p>
            <w:pPr>
              <w:pStyle w:val="TableText"/>
              <w:ind w:left="72"/>
              <w:spacing w:before="55" w:line="186" w:lineRule="auto"/>
              <w:rPr/>
            </w:pPr>
            <w:r>
              <w:rPr>
                <w:color w:val="231F20"/>
                <w:spacing w:val="-1"/>
              </w:rPr>
              <w:t>CA125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58"/>
              <w:spacing w:before="29" w:line="205" w:lineRule="auto"/>
              <w:rPr/>
            </w:pPr>
            <w:r>
              <w:rPr>
                <w:color w:val="231F20"/>
                <w:spacing w:val="-4"/>
              </w:rPr>
              <w:t>13.8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4"/>
              </w:rPr>
              <w:t>46.1</w:t>
            </w:r>
          </w:p>
        </w:tc>
        <w:tc>
          <w:tcPr>
            <w:tcW w:w="805" w:type="dxa"/>
            <w:vAlign w:val="top"/>
          </w:tcPr>
          <w:p>
            <w:pPr>
              <w:pStyle w:val="TableText"/>
              <w:ind w:left="52"/>
              <w:spacing w:before="29" w:line="205" w:lineRule="auto"/>
              <w:rPr/>
            </w:pPr>
            <w:r>
              <w:rPr>
                <w:color w:val="231F20"/>
                <w:spacing w:val="-3"/>
              </w:rPr>
              <w:t>85.8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98.4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66"/>
              <w:spacing w:before="29" w:line="205" w:lineRule="auto"/>
              <w:rPr/>
            </w:pPr>
            <w:r>
              <w:rPr>
                <w:color w:val="231F20"/>
                <w:spacing w:val="-2"/>
              </w:rPr>
              <w:t>40.0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75.6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74"/>
              <w:spacing w:before="29" w:line="205" w:lineRule="auto"/>
              <w:rPr/>
            </w:pPr>
            <w:r>
              <w:rPr>
                <w:color w:val="231F20"/>
                <w:spacing w:val="-3"/>
              </w:rPr>
              <w:t>82.9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94.4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68"/>
              <w:spacing w:before="29" w:line="205" w:lineRule="auto"/>
              <w:rPr/>
            </w:pPr>
            <w:r>
              <w:rPr>
                <w:color w:val="231F20"/>
                <w:spacing w:val="-3"/>
              </w:rPr>
              <w:t>74.9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91.5</w:t>
            </w:r>
          </w:p>
        </w:tc>
      </w:tr>
      <w:tr>
        <w:trPr>
          <w:trHeight w:val="195" w:hRule="atLeast"/>
        </w:trPr>
        <w:tc>
          <w:tcPr>
            <w:tcW w:w="537" w:type="dxa"/>
            <w:vAlign w:val="top"/>
          </w:tcPr>
          <w:p>
            <w:pPr>
              <w:pStyle w:val="TableText"/>
              <w:ind w:left="49"/>
              <w:spacing w:before="57" w:line="186" w:lineRule="auto"/>
              <w:rPr/>
            </w:pPr>
            <w:r>
              <w:rPr>
                <w:color w:val="231F20"/>
                <w:spacing w:val="-1"/>
              </w:rPr>
              <w:t>CA19-9</w:t>
            </w:r>
          </w:p>
        </w:tc>
        <w:tc>
          <w:tcPr>
            <w:tcW w:w="785" w:type="dxa"/>
            <w:vAlign w:val="top"/>
          </w:tcPr>
          <w:p>
            <w:pPr>
              <w:pStyle w:val="TableText"/>
              <w:ind w:left="58"/>
              <w:spacing w:before="31" w:line="202" w:lineRule="auto"/>
              <w:rPr/>
            </w:pPr>
            <w:r>
              <w:rPr>
                <w:color w:val="231F20"/>
                <w:spacing w:val="-4"/>
              </w:rPr>
              <w:t>17.2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37.5</w:t>
            </w:r>
          </w:p>
        </w:tc>
        <w:tc>
          <w:tcPr>
            <w:tcW w:w="805" w:type="dxa"/>
            <w:vAlign w:val="top"/>
          </w:tcPr>
          <w:p>
            <w:pPr>
              <w:pStyle w:val="TableText"/>
              <w:ind w:left="49"/>
              <w:spacing w:before="31" w:line="202" w:lineRule="auto"/>
              <w:rPr/>
            </w:pPr>
            <w:r>
              <w:rPr>
                <w:color w:val="231F20"/>
                <w:spacing w:val="-3"/>
              </w:rPr>
              <w:t>79.9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95.0</w:t>
            </w:r>
          </w:p>
        </w:tc>
        <w:tc>
          <w:tcPr>
            <w:tcW w:w="834" w:type="dxa"/>
            <w:vAlign w:val="top"/>
          </w:tcPr>
          <w:p>
            <w:pPr>
              <w:pStyle w:val="TableText"/>
              <w:ind w:left="80"/>
              <w:spacing w:before="31" w:line="202" w:lineRule="auto"/>
              <w:rPr/>
            </w:pPr>
            <w:r>
              <w:rPr>
                <w:color w:val="231F20"/>
                <w:spacing w:val="-4"/>
              </w:rPr>
              <w:t>16.3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4"/>
              </w:rPr>
              <w:t>49.3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74"/>
              <w:spacing w:before="31" w:line="202" w:lineRule="auto"/>
              <w:rPr/>
            </w:pPr>
            <w:r>
              <w:rPr>
                <w:color w:val="231F20"/>
                <w:spacing w:val="-3"/>
              </w:rPr>
              <w:t>82.3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3"/>
              </w:rPr>
              <w:t>92.9</w:t>
            </w:r>
          </w:p>
        </w:tc>
        <w:tc>
          <w:tcPr>
            <w:tcW w:w="830" w:type="dxa"/>
            <w:vAlign w:val="top"/>
          </w:tcPr>
          <w:p>
            <w:pPr>
              <w:pStyle w:val="TableText"/>
              <w:ind w:left="68"/>
              <w:spacing w:before="31" w:line="202" w:lineRule="auto"/>
              <w:rPr/>
            </w:pPr>
            <w:r>
              <w:rPr>
                <w:color w:val="231F20"/>
                <w:spacing w:val="-3"/>
              </w:rPr>
              <w:t>70.7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88.4</w:t>
            </w:r>
          </w:p>
        </w:tc>
      </w:tr>
      <w:tr>
        <w:trPr>
          <w:trHeight w:val="196" w:hRule="atLeast"/>
        </w:trPr>
        <w:tc>
          <w:tcPr>
            <w:tcW w:w="5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2"/>
              <w:spacing w:before="58" w:line="186" w:lineRule="auto"/>
              <w:rPr/>
            </w:pPr>
            <w:r>
              <w:rPr>
                <w:color w:val="231F20"/>
                <w:spacing w:val="-1"/>
              </w:rPr>
              <w:t>CA724</w:t>
            </w:r>
          </w:p>
        </w:tc>
        <w:tc>
          <w:tcPr>
            <w:tcW w:w="78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"/>
              <w:spacing w:before="33" w:line="201" w:lineRule="auto"/>
              <w:rPr/>
            </w:pPr>
            <w:r>
              <w:rPr>
                <w:color w:val="231F20"/>
                <w:spacing w:val="-2"/>
              </w:rPr>
              <w:t>34.8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～</w:t>
            </w:r>
            <w:r>
              <w:rPr>
                <w:rFonts w:ascii="SimSun" w:hAnsi="SimSun" w:eastAsia="SimSun" w:cs="SimSun"/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2"/>
              </w:rPr>
              <w:t>44.9</w:t>
            </w:r>
          </w:p>
        </w:tc>
        <w:tc>
          <w:tcPr>
            <w:tcW w:w="80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80"/>
              <w:spacing w:before="58" w:line="186" w:lineRule="auto"/>
              <w:rPr/>
            </w:pPr>
            <w:r>
              <w:rPr>
                <w:color w:val="231F20"/>
                <w:spacing w:val="-2"/>
              </w:rPr>
              <w:t>82.3</w:t>
            </w:r>
          </w:p>
        </w:tc>
        <w:tc>
          <w:tcPr>
            <w:tcW w:w="83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7"/>
              <w:spacing w:before="58" w:line="186" w:lineRule="auto"/>
              <w:rPr/>
            </w:pPr>
            <w:r>
              <w:rPr>
                <w:color w:val="231F20"/>
                <w:spacing w:val="-2"/>
              </w:rPr>
              <w:t>34.8</w:t>
            </w:r>
          </w:p>
        </w:tc>
        <w:tc>
          <w:tcPr>
            <w:tcW w:w="8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2"/>
              <w:spacing w:before="58" w:line="186" w:lineRule="auto"/>
              <w:rPr/>
            </w:pPr>
            <w:r>
              <w:rPr>
                <w:color w:val="231F20"/>
                <w:spacing w:val="-2"/>
              </w:rPr>
              <w:t>82.2</w:t>
            </w:r>
          </w:p>
        </w:tc>
        <w:tc>
          <w:tcPr>
            <w:tcW w:w="83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5"/>
              <w:spacing w:before="58" w:line="186" w:lineRule="auto"/>
              <w:rPr/>
            </w:pPr>
            <w:r>
              <w:rPr>
                <w:color w:val="231F20"/>
                <w:spacing w:val="-1"/>
              </w:rPr>
              <w:t>72.1</w:t>
            </w:r>
          </w:p>
        </w:tc>
      </w:tr>
    </w:tbl>
    <w:p>
      <w:pPr>
        <w:pStyle w:val="BodyText"/>
        <w:ind w:left="2" w:right="58" w:firstLine="329"/>
        <w:spacing w:before="57" w:line="182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注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9"/>
        </w:rPr>
        <w:t>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部分文献未报道阳性预测值和阴性预测值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这些指标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从文献中原始数据计算得到 </w:t>
      </w:r>
      <w:r>
        <w:rPr>
          <w:sz w:val="16"/>
          <w:szCs w:val="16"/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CEA </w:t>
      </w:r>
      <w:r>
        <w:rPr>
          <w:sz w:val="16"/>
          <w:szCs w:val="16"/>
          <w:color w:val="231F20"/>
          <w:spacing w:val="-1"/>
        </w:rPr>
        <w:t>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癌胚抗原 </w:t>
      </w:r>
      <w:r>
        <w:rPr>
          <w:sz w:val="16"/>
          <w:szCs w:val="16"/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CA125 </w:t>
      </w:r>
      <w:r>
        <w:rPr>
          <w:sz w:val="16"/>
          <w:szCs w:val="16"/>
          <w:color w:val="231F20"/>
          <w:spacing w:val="-1"/>
        </w:rPr>
        <w:t>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癌抗原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125 </w:t>
      </w:r>
      <w:r>
        <w:rPr>
          <w:sz w:val="16"/>
          <w:szCs w:val="16"/>
          <w:color w:val="231F20"/>
          <w:spacing w:val="-5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CA19-9 </w:t>
      </w:r>
      <w:r>
        <w:rPr>
          <w:sz w:val="16"/>
          <w:szCs w:val="16"/>
          <w:color w:val="231F20"/>
          <w:spacing w:val="-5"/>
        </w:rPr>
        <w:t>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癌抗原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19-9 </w:t>
      </w:r>
      <w:r>
        <w:rPr>
          <w:sz w:val="16"/>
          <w:szCs w:val="16"/>
          <w:color w:val="231F20"/>
          <w:spacing w:val="-5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CA724 </w:t>
      </w:r>
      <w:r>
        <w:rPr>
          <w:sz w:val="16"/>
          <w:szCs w:val="16"/>
          <w:color w:val="231F20"/>
          <w:spacing w:val="-5"/>
        </w:rPr>
        <w:t>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癌抗原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724</w:t>
      </w:r>
    </w:p>
    <w:p>
      <w:pPr>
        <w:pStyle w:val="BodyText"/>
        <w:ind w:left="6" w:right="58" w:hanging="2"/>
        <w:spacing w:before="250" w:line="308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2.1.3    </w:t>
      </w:r>
      <w:r>
        <w:rPr>
          <w:color w:val="231F20"/>
        </w:rPr>
        <w:t>诊断性腹腔镜检查  诊断性腹</w:t>
      </w:r>
      <w:r>
        <w:rPr>
          <w:color w:val="231F20"/>
          <w:spacing w:val="-1"/>
        </w:rPr>
        <w:t>腔镜检查是有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创检查，可以评估腹腔内的转移情况，了解腹膜转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移的分布和大小，并获得明确的组织学及细胞学证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据，用于指导制订临床治疗策略，进而评估治疗疗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  <w:position w:val="-1"/>
        </w:rPr>
        <w:t>效及监测疾病进展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8"/>
        </w:rPr>
        <w:t>[28,29]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7" w:right="58" w:firstLine="437"/>
        <w:spacing w:before="4" w:line="306" w:lineRule="auto"/>
        <w:jc w:val="both"/>
        <w:rPr/>
      </w:pPr>
      <w:r>
        <w:rPr>
          <w:color w:val="231F20"/>
          <w:spacing w:val="-16"/>
        </w:rPr>
        <w:t>目前，腹腔镜检查主要适用于进展期胃癌（</w:t>
      </w:r>
      <w:r>
        <w:rPr>
          <w:rFonts w:ascii="Times New Roman" w:hAnsi="Times New Roman" w:eastAsia="Times New Roman" w:cs="Times New Roman"/>
          <w:color w:val="231F20"/>
          <w:spacing w:val="-16"/>
        </w:rPr>
        <w:t>cT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  <w:position w:val="-3"/>
        </w:rPr>
        <w:t>2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9"/>
          <w:w w:val="103"/>
          <w:position w:val="-3"/>
        </w:rPr>
        <w:t xml:space="preserve"> </w:t>
      </w:r>
      <w:r>
        <w:rPr>
          <w:sz w:val="12"/>
          <w:szCs w:val="12"/>
          <w:color w:val="231F20"/>
          <w:spacing w:val="-4"/>
          <w:position w:val="-3"/>
        </w:rPr>
        <w:t>～</w:t>
      </w:r>
      <w:r>
        <w:rPr>
          <w:sz w:val="12"/>
          <w:szCs w:val="12"/>
          <w:color w:val="231F20"/>
          <w:spacing w:val="-30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  <w:position w:val="-3"/>
        </w:rPr>
        <w:t>4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-3"/>
        </w:rPr>
        <w:t xml:space="preserve"> </w:t>
      </w:r>
      <w:r>
        <w:rPr>
          <w:color w:val="231F20"/>
          <w:spacing w:val="3"/>
        </w:rPr>
        <w:t>及任何</w:t>
      </w:r>
      <w:r>
        <w:rPr>
          <w:rFonts w:ascii="Times New Roman" w:hAnsi="Times New Roman" w:eastAsia="Times New Roman" w:cs="Times New Roman"/>
          <w:color w:val="231F20"/>
          <w:spacing w:val="3"/>
        </w:rPr>
        <w:t>N</w:t>
      </w:r>
      <w:r>
        <w:rPr>
          <w:color w:val="231F20"/>
          <w:spacing w:val="3"/>
        </w:rPr>
        <w:t>和</w:t>
      </w:r>
      <w:r>
        <w:rPr>
          <w:rFonts w:ascii="Times New Roman" w:hAnsi="Times New Roman" w:eastAsia="Times New Roman" w:cs="Times New Roman"/>
          <w:color w:val="231F20"/>
          <w:spacing w:val="3"/>
        </w:rPr>
        <w:t>M</w:t>
      </w:r>
      <w:r>
        <w:rPr>
          <w:color w:val="231F20"/>
          <w:spacing w:val="3"/>
        </w:rPr>
        <w:t>）的治疗前诊断、术前治疗后的疗效</w:t>
      </w:r>
      <w:r>
        <w:rPr>
          <w:color w:val="231F20"/>
        </w:rPr>
        <w:t xml:space="preserve"> </w:t>
      </w:r>
      <w:r>
        <w:rPr>
          <w:color w:val="231F20"/>
        </w:rPr>
        <w:t>评价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9"/>
        </w:rPr>
        <w:t>[29]</w:t>
      </w:r>
      <w:r>
        <w:rPr>
          <w:color w:val="231F20"/>
        </w:rPr>
        <w:t>。既往腹盆腔手术史明确、可疑严重腹腔粘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连等无法接受腹腔镜手术、或心肺功能不能耐受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麻醉及</w:t>
      </w:r>
      <w:r>
        <w:rPr>
          <w:rFonts w:ascii="Times New Roman" w:hAnsi="Times New Roman" w:eastAsia="Times New Roman" w:cs="Times New Roman"/>
          <w:color w:val="231F20"/>
        </w:rPr>
        <w:t>CO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2"/>
          <w:position w:val="-3"/>
        </w:rPr>
        <w:t>2</w:t>
      </w:r>
      <w:r>
        <w:rPr>
          <w:color w:val="231F20"/>
          <w:spacing w:val="2"/>
        </w:rPr>
        <w:t>气腹的患者，不能进行诊断性腹腔镜检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  <w:position w:val="-5"/>
        </w:rPr>
        <w:t>查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5"/>
        </w:rPr>
        <w:t>[29]</w:t>
      </w:r>
      <w:r>
        <w:rPr>
          <w:color w:val="231F20"/>
          <w:spacing w:val="-1"/>
          <w:position w:val="-5"/>
        </w:rPr>
        <w:t>。</w:t>
      </w:r>
    </w:p>
    <w:p>
      <w:pPr>
        <w:pStyle w:val="BodyText"/>
        <w:ind w:left="375"/>
        <w:spacing w:line="223" w:lineRule="auto"/>
        <w:rPr/>
      </w:pPr>
      <w:r>
        <w:rPr>
          <w:color w:val="231F20"/>
          <w:spacing w:val="-1"/>
        </w:rPr>
        <w:t>腹腔镜检查的手术操作规范如下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[29]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36"/>
          <w:position w:val="9"/>
        </w:rPr>
        <w:t xml:space="preserve"> </w:t>
      </w:r>
      <w:r>
        <w:rPr>
          <w:color w:val="231F20"/>
          <w:spacing w:val="-1"/>
        </w:rPr>
        <w:t>：</w:t>
      </w:r>
    </w:p>
    <w:p>
      <w:pPr>
        <w:pStyle w:val="BodyText"/>
        <w:ind w:left="328"/>
        <w:spacing w:before="101" w:line="220" w:lineRule="auto"/>
        <w:rPr/>
      </w:pPr>
      <w:r>
        <w:rPr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color w:val="231F20"/>
          <w:spacing w:val="-6"/>
        </w:rPr>
        <w:t>1</w:t>
      </w:r>
      <w:r>
        <w:rPr>
          <w:color w:val="231F20"/>
          <w:spacing w:val="-6"/>
        </w:rPr>
        <w:t>）患者体位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6"/>
        </w:rPr>
        <w:t>：平卧或平卧分腿位。</w:t>
      </w:r>
    </w:p>
    <w:p>
      <w:pPr>
        <w:pStyle w:val="BodyText"/>
        <w:ind w:left="33" w:right="67" w:firstLine="295"/>
        <w:spacing w:before="99" w:line="260" w:lineRule="auto"/>
        <w:rPr/>
      </w:pP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2</w:t>
      </w:r>
      <w:r>
        <w:rPr>
          <w:color w:val="231F20"/>
          <w:spacing w:val="-4"/>
        </w:rPr>
        <w:t>）建立气腹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4"/>
        </w:rPr>
        <w:t>：气腹针穿刺或开放法，维</w:t>
      </w:r>
      <w:r>
        <w:rPr>
          <w:color w:val="231F20"/>
          <w:spacing w:val="-5"/>
        </w:rPr>
        <w:t>持腹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内压在</w:t>
      </w:r>
      <w:r>
        <w:rPr>
          <w:rFonts w:ascii="Times New Roman" w:hAnsi="Times New Roman" w:eastAsia="Times New Roman" w:cs="Times New Roman"/>
          <w:color w:val="231F20"/>
          <w:spacing w:val="-6"/>
        </w:rPr>
        <w:t>10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～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15 mmHg</w:t>
      </w:r>
      <w:r>
        <w:rPr>
          <w:color w:val="231F20"/>
          <w:spacing w:val="-6"/>
        </w:rPr>
        <w:t>。</w:t>
      </w:r>
    </w:p>
    <w:p>
      <w:pPr>
        <w:pStyle w:val="BodyText"/>
        <w:ind w:left="6" w:firstLine="322"/>
        <w:spacing w:before="108" w:line="267" w:lineRule="auto"/>
        <w:rPr>
          <w:rFonts w:ascii="Times New Roman" w:hAnsi="Times New Roman" w:eastAsia="Times New Roman" w:cs="Times New Roman"/>
        </w:rPr>
      </w:pPr>
      <w:r>
        <w:rPr>
          <w:color w:val="231F20"/>
          <w:spacing w:val="9"/>
        </w:rPr>
        <w:t>（</w:t>
      </w:r>
      <w:r>
        <w:rPr>
          <w:rFonts w:ascii="Times New Roman" w:hAnsi="Times New Roman" w:eastAsia="Times New Roman" w:cs="Times New Roman"/>
          <w:color w:val="231F20"/>
          <w:spacing w:val="9"/>
        </w:rPr>
        <w:t>3</w:t>
      </w:r>
      <w:r>
        <w:rPr>
          <w:color w:val="231F20"/>
          <w:spacing w:val="9"/>
        </w:rPr>
        <w:t>）放置套管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9"/>
        </w:rPr>
        <w:t>：在脐下</w:t>
      </w:r>
      <w:r>
        <w:rPr>
          <w:rFonts w:ascii="Times New Roman" w:hAnsi="Times New Roman" w:eastAsia="Times New Roman" w:cs="Times New Roman"/>
          <w:color w:val="231F20"/>
          <w:spacing w:val="9"/>
        </w:rPr>
        <w:t>1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color w:val="231F20"/>
          <w:spacing w:val="9"/>
        </w:rPr>
        <w:t>处作为观察孔，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放置</w:t>
      </w:r>
      <w:r>
        <w:rPr>
          <w:rFonts w:ascii="Times New Roman" w:hAnsi="Times New Roman" w:eastAsia="Times New Roman" w:cs="Times New Roman"/>
          <w:color w:val="231F20"/>
          <w:spacing w:val="11"/>
        </w:rPr>
        <w:t>10</w:t>
      </w:r>
      <w:r>
        <w:rPr>
          <w:color w:val="231F20"/>
          <w:spacing w:val="11"/>
        </w:rPr>
        <w:t>或</w:t>
      </w:r>
      <w:r>
        <w:rPr>
          <w:rFonts w:ascii="Times New Roman" w:hAnsi="Times New Roman" w:eastAsia="Times New Roman" w:cs="Times New Roman"/>
          <w:color w:val="231F20"/>
          <w:spacing w:val="11"/>
        </w:rPr>
        <w:t>12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color w:val="231F20"/>
          <w:spacing w:val="11"/>
        </w:rPr>
        <w:t>套管，右侧操作孔通常选择右侧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腋前线与右肋弓交点下方</w:t>
      </w:r>
      <w:r>
        <w:rPr>
          <w:rFonts w:ascii="Times New Roman" w:hAnsi="Times New Roman" w:eastAsia="Times New Roman" w:cs="Times New Roman"/>
          <w:color w:val="231F20"/>
          <w:spacing w:val="5"/>
        </w:rPr>
        <w:t>2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color w:val="231F20"/>
          <w:spacing w:val="5"/>
        </w:rPr>
        <w:t>处，放置</w:t>
      </w:r>
      <w:r>
        <w:rPr>
          <w:rFonts w:ascii="Times New Roman" w:hAnsi="Times New Roman" w:eastAsia="Times New Roman" w:cs="Times New Roman"/>
          <w:color w:val="231F20"/>
          <w:spacing w:val="5"/>
        </w:rPr>
        <w:t>5</w:t>
      </w:r>
      <w:r>
        <w:rPr>
          <w:color w:val="231F20"/>
          <w:spacing w:val="5"/>
        </w:rPr>
        <w:t>或</w:t>
      </w:r>
      <w:r>
        <w:rPr>
          <w:rFonts w:ascii="Times New Roman" w:hAnsi="Times New Roman" w:eastAsia="Times New Roman" w:cs="Times New Roman"/>
          <w:color w:val="231F20"/>
          <w:spacing w:val="5"/>
        </w:rPr>
        <w:t>10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</w:p>
    <w:p>
      <w:pPr>
        <w:spacing w:line="267" w:lineRule="auto"/>
        <w:sectPr>
          <w:type w:val="continuous"/>
          <w:pgSz w:w="11906" w:h="16158"/>
          <w:pgMar w:top="400" w:right="1019" w:bottom="0" w:left="407" w:header="0" w:footer="0" w:gutter="0"/>
          <w:cols w:equalWidth="0" w:num="2">
            <w:col w:w="5700" w:space="100"/>
            <w:col w:w="4679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4"/>
          <w:pgSz w:w="11906" w:h="16158"/>
          <w:pgMar w:top="1229" w:right="1041" w:bottom="0" w:left="407" w:header="767" w:footer="0" w:gutter="0"/>
          <w:cols w:equalWidth="0" w:num="1">
            <w:col w:w="10456" w:space="0"/>
          </w:cols>
        </w:sectPr>
        <w:rPr/>
      </w:pPr>
    </w:p>
    <w:p>
      <w:pPr>
        <w:pStyle w:val="BodyText"/>
        <w:ind w:left="678" w:right="280" w:firstLine="1"/>
        <w:spacing w:before="40" w:line="308" w:lineRule="auto"/>
        <w:jc w:val="both"/>
        <w:rPr/>
      </w:pPr>
      <w:r>
        <w:rPr>
          <w:color w:val="231F20"/>
          <w:spacing w:val="-3"/>
        </w:rPr>
        <w:t>套管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3"/>
        </w:rPr>
        <w:t>；左侧操作孔通常选择左侧腋前线与左肋弓交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点下方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2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cm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-5"/>
        </w:rPr>
        <w:t>处，放置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5 </w:t>
      </w:r>
      <w:r>
        <w:rPr>
          <w:color w:val="231F20"/>
          <w:spacing w:val="-5"/>
        </w:rPr>
        <w:t>或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10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mm </w:t>
      </w:r>
      <w:r>
        <w:rPr>
          <w:color w:val="231F20"/>
          <w:spacing w:val="-5"/>
        </w:rPr>
        <w:t>套管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5"/>
        </w:rPr>
        <w:t>；可酌情增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加右侧第二操作孔，通常选择右侧腋前线平脐水平，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放置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10 mm </w:t>
      </w:r>
      <w:r>
        <w:rPr>
          <w:color w:val="231F20"/>
          <w:spacing w:val="-5"/>
        </w:rPr>
        <w:t>套管。套管间应保持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5 </w:t>
      </w:r>
      <w:r>
        <w:rPr>
          <w:rFonts w:ascii="Times New Roman" w:hAnsi="Times New Roman" w:eastAsia="Times New Roman" w:cs="Times New Roman"/>
          <w:color w:val="231F20"/>
          <w:spacing w:val="-6"/>
        </w:rPr>
        <w:t>cm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color w:val="231F20"/>
          <w:spacing w:val="-6"/>
        </w:rPr>
        <w:t>以上的距离。</w:t>
      </w:r>
    </w:p>
    <w:p>
      <w:pPr>
        <w:pStyle w:val="BodyText"/>
        <w:ind w:left="679" w:right="278" w:firstLine="297"/>
        <w:spacing w:before="1" w:line="263" w:lineRule="auto"/>
        <w:rPr/>
      </w:pPr>
      <w:r>
        <w:rPr>
          <w:color w:val="231F20"/>
          <w:spacing w:val="-12"/>
        </w:rPr>
        <w:t>（</w:t>
      </w:r>
      <w:r>
        <w:rPr>
          <w:rFonts w:ascii="Times New Roman" w:hAnsi="Times New Roman" w:eastAsia="Times New Roman" w:cs="Times New Roman"/>
          <w:color w:val="231F20"/>
          <w:spacing w:val="-12"/>
        </w:rPr>
        <w:t>4</w:t>
      </w:r>
      <w:r>
        <w:rPr>
          <w:color w:val="231F20"/>
          <w:spacing w:val="-12"/>
        </w:rPr>
        <w:t>）腹腔游离癌细胞检查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2"/>
        </w:rPr>
        <w:t>：建立操作孔并充分止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血后立即收集腹水或行腹腔灌洗，具体操作参见</w:t>
      </w:r>
      <w:r>
        <w:rPr>
          <w:rFonts w:ascii="Times New Roman" w:hAnsi="Times New Roman" w:eastAsia="Times New Roman" w:cs="Times New Roman"/>
          <w:color w:val="231F20"/>
          <w:spacing w:val="-13"/>
        </w:rPr>
        <w:t>2.</w:t>
      </w:r>
      <w:r>
        <w:rPr>
          <w:rFonts w:ascii="Times New Roman" w:hAnsi="Times New Roman" w:eastAsia="Times New Roman" w:cs="Times New Roman"/>
          <w:color w:val="231F20"/>
          <w:spacing w:val="-14"/>
        </w:rPr>
        <w:t>1.4</w:t>
      </w:r>
      <w:r>
        <w:rPr>
          <w:color w:val="231F20"/>
          <w:spacing w:val="-14"/>
        </w:rPr>
        <w:t>。</w:t>
      </w:r>
    </w:p>
    <w:p>
      <w:pPr>
        <w:pStyle w:val="BodyText"/>
        <w:ind w:left="676" w:right="281" w:firstLine="322"/>
        <w:spacing w:before="98" w:line="301" w:lineRule="auto"/>
        <w:rPr/>
      </w:pP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5</w:t>
      </w:r>
      <w:r>
        <w:rPr>
          <w:color w:val="231F20"/>
          <w:spacing w:val="-4"/>
        </w:rPr>
        <w:t>）腹腔探查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：从右上腹开始，按顺时针方向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进行，依次探查右侧膈肌和肝右叶、肝圆韧带、左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侧膈肌和肝左叶、左侧壁腹膜及降结肠、盆腔和道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格拉斯窝（女性注意探查双侧卵巢）、右侧壁腹膜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及升结肠、大网膜、横结肠、结肠系膜、前腹壁、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小肠及系膜，最后探查原发病灶及胃周淋巴结情况，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记录肿瘤位置、大小、是否浸润浆膜、有无周围脏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器浸润。对于胃体后壁肿瘤，需要切开胃结肠韧带，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探查网膜囊，包括横结肠系膜和胰腺被膜。对腹腔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内可疑病灶均应行快速冰冻病理检查，同时记录病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灶位置、大小、是否融合及腹膜肿瘤指数（</w:t>
      </w:r>
      <w:r>
        <w:rPr>
          <w:rFonts w:ascii="Times New Roman" w:hAnsi="Times New Roman" w:eastAsia="Times New Roman" w:cs="Times New Roman"/>
          <w:color w:val="231F20"/>
          <w:spacing w:val="-8"/>
        </w:rPr>
        <w:t>peritoneal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"/>
        </w:rPr>
        <w:t>cancer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index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PCI</w:t>
      </w:r>
      <w:r>
        <w:rPr>
          <w:color w:val="231F20"/>
          <w:spacing w:val="-2"/>
        </w:rPr>
        <w:t>）等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2"/>
        </w:rPr>
        <w:t>；探查过程中可根据需要调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整患者体位，推荐留取图片或录像作为记录。</w:t>
      </w:r>
    </w:p>
    <w:p>
      <w:pPr>
        <w:pStyle w:val="BodyText"/>
        <w:ind w:left="998"/>
        <w:spacing w:before="101" w:line="220" w:lineRule="auto"/>
        <w:rPr/>
      </w:pPr>
      <w:r>
        <w:rPr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color w:val="231F20"/>
          <w:spacing w:val="-6"/>
        </w:rPr>
        <w:t>6</w:t>
      </w:r>
      <w:r>
        <w:rPr>
          <w:color w:val="231F20"/>
          <w:spacing w:val="-6"/>
        </w:rPr>
        <w:t>）关闭切口：</w:t>
      </w:r>
      <w:r>
        <w:rPr>
          <w:rFonts w:ascii="Times New Roman" w:hAnsi="Times New Roman" w:eastAsia="Times New Roman" w:cs="Times New Roman"/>
          <w:color w:val="231F20"/>
          <w:spacing w:val="-6"/>
        </w:rPr>
        <w:t>10 mm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6"/>
        </w:rPr>
        <w:t>以上切口需直视下缝合。</w:t>
      </w:r>
    </w:p>
    <w:p>
      <w:pPr>
        <w:pStyle w:val="BodyText"/>
        <w:ind w:left="677" w:right="296" w:hanging="3"/>
        <w:spacing w:before="101" w:line="30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2.1.4    </w:t>
      </w:r>
      <w:r>
        <w:rPr>
          <w:color w:val="231F20"/>
        </w:rPr>
        <w:t>腹腔游离癌细胞检查  腹水或</w:t>
      </w:r>
      <w:r>
        <w:rPr>
          <w:color w:val="231F20"/>
          <w:spacing w:val="-1"/>
        </w:rPr>
        <w:t>腹腔灌洗液细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胞学检查是目前诊断腹腔内游离癌细胞的金标准，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虽然其敏感性较低，但有助于发现肉眼无法识别的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微转移。现有文献认为，腹腔内游离的癌细胞是形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成腹膜转移的先决条件，是胃癌的独立预后不良因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素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9"/>
        </w:rPr>
        <w:t>[30]</w:t>
      </w:r>
      <w:r>
        <w:rPr>
          <w:color w:val="231F20"/>
        </w:rPr>
        <w:t>。腹腔游离癌细胞阳性可作为Ⅳ期胃癌的独立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诊断指标。诊断性腹腔镜检查应同时进行腹腔游离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癌细胞检查。</w:t>
      </w:r>
    </w:p>
    <w:p>
      <w:pPr>
        <w:pStyle w:val="BodyText"/>
        <w:ind w:left="1098"/>
        <w:spacing w:line="223" w:lineRule="auto"/>
        <w:rPr/>
      </w:pPr>
      <w:r>
        <w:rPr>
          <w:color w:val="231F20"/>
        </w:rPr>
        <w:t>腹腔游离癌细胞检查的操作规范如下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9"/>
        </w:rPr>
        <w:t>[29,3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1]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23"/>
          <w:position w:val="9"/>
        </w:rPr>
        <w:t xml:space="preserve"> </w:t>
      </w:r>
      <w:r>
        <w:rPr>
          <w:color w:val="231F20"/>
          <w:spacing w:val="-1"/>
        </w:rPr>
        <w:t>：</w:t>
      </w:r>
    </w:p>
    <w:p>
      <w:pPr>
        <w:pStyle w:val="BodyText"/>
        <w:ind w:left="678" w:right="279" w:firstLine="320"/>
        <w:spacing w:before="70" w:line="299" w:lineRule="auto"/>
        <w:rPr/>
      </w:pP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color w:val="231F20"/>
          <w:spacing w:val="2"/>
        </w:rPr>
        <w:t>）腹水的收集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：如有足够量(≥</w:t>
      </w:r>
      <w:r>
        <w:rPr>
          <w:rFonts w:ascii="Times New Roman" w:hAnsi="Times New Roman" w:eastAsia="Times New Roman" w:cs="Times New Roman"/>
          <w:color w:val="231F20"/>
          <w:spacing w:val="2"/>
        </w:rPr>
        <w:t>200 </w:t>
      </w:r>
      <w:r>
        <w:rPr>
          <w:rFonts w:ascii="Times New Roman" w:hAnsi="Times New Roman" w:eastAsia="Times New Roman" w:cs="Times New Roman"/>
          <w:color w:val="231F20"/>
        </w:rPr>
        <w:t>ml</w:t>
      </w:r>
      <w:r>
        <w:rPr>
          <w:color w:val="231F20"/>
          <w:spacing w:val="2"/>
        </w:rPr>
        <w:t>）腹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水则直接取腹水进行细胞学检查，如无腹水或腹水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&lt;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200 ml</w:t>
      </w:r>
      <w:r>
        <w:rPr>
          <w:color w:val="231F20"/>
        </w:rPr>
        <w:t>者，则用＞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250 ml</w:t>
      </w:r>
      <w:r>
        <w:rPr>
          <w:color w:val="231F20"/>
        </w:rPr>
        <w:t>的温生理盐水依次冲洗 </w:t>
      </w:r>
      <w:r>
        <w:rPr>
          <w:color w:val="231F20"/>
          <w:spacing w:val="-1"/>
        </w:rPr>
        <w:t>双侧膈顶、肝下区、大网膜、双侧结肠旁沟及道格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拉斯窝，避免直接冲洗原发病灶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；于双侧膈下区、 </w:t>
      </w:r>
      <w:r>
        <w:rPr>
          <w:color w:val="231F20"/>
          <w:spacing w:val="-3"/>
        </w:rPr>
        <w:t>肝下区及道格拉斯窝收集＞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100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ml</w:t>
      </w:r>
      <w:r>
        <w:rPr>
          <w:color w:val="231F20"/>
          <w:spacing w:val="-3"/>
        </w:rPr>
        <w:t>的灌洗液，行细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胞学检查。</w:t>
      </w:r>
    </w:p>
    <w:p>
      <w:pPr>
        <w:pStyle w:val="BodyText"/>
        <w:ind w:left="679" w:right="354" w:firstLine="318"/>
        <w:spacing w:before="68" w:line="279" w:lineRule="auto"/>
        <w:rPr/>
      </w:pP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2</w:t>
      </w:r>
      <w:r>
        <w:rPr>
          <w:color w:val="231F20"/>
          <w:spacing w:val="-5"/>
        </w:rPr>
        <w:t>）标本的制作</w:t>
      </w:r>
      <w:r>
        <w:rPr>
          <w:color w:val="231F20"/>
          <w:spacing w:val="-57"/>
        </w:rPr>
        <w:t xml:space="preserve"> </w:t>
      </w:r>
      <w:r>
        <w:rPr>
          <w:color w:val="231F20"/>
          <w:spacing w:val="-5"/>
        </w:rPr>
        <w:t>：腹水或腹腔冲洗液</w:t>
      </w:r>
      <w:r>
        <w:rPr>
          <w:rFonts w:ascii="Times New Roman" w:hAnsi="Times New Roman" w:eastAsia="Times New Roman" w:cs="Times New Roman"/>
          <w:color w:val="231F20"/>
          <w:spacing w:val="-5"/>
        </w:rPr>
        <w:t>2000</w:t>
      </w:r>
      <w:r>
        <w:rPr>
          <w:color w:val="231F20"/>
          <w:spacing w:val="-5"/>
        </w:rPr>
        <w:t>转</w:t>
      </w:r>
      <w:r>
        <w:rPr>
          <w:rFonts w:ascii="Times New Roman" w:hAnsi="Times New Roman" w:eastAsia="Times New Roman" w:cs="Times New Roman"/>
          <w:color w:val="231F20"/>
          <w:spacing w:val="-6"/>
        </w:rPr>
        <w:t>/</w:t>
      </w:r>
      <w:r>
        <w:rPr>
          <w:color w:val="231F20"/>
          <w:spacing w:val="-6"/>
        </w:rPr>
        <w:t>分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离心</w:t>
      </w:r>
      <w:r>
        <w:rPr>
          <w:rFonts w:ascii="Times New Roman" w:hAnsi="Times New Roman" w:eastAsia="Times New Roman" w:cs="Times New Roman"/>
          <w:color w:val="231F20"/>
          <w:spacing w:val="-3"/>
        </w:rPr>
        <w:t>10</w:t>
      </w:r>
      <w:r>
        <w:rPr>
          <w:color w:val="231F20"/>
          <w:spacing w:val="-3"/>
        </w:rPr>
        <w:t>分钟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3"/>
        </w:rPr>
        <w:t>；离心后小心吸出上清液，取细胞沉淀</w:t>
      </w:r>
      <w:r>
        <w:rPr>
          <w:color w:val="231F20"/>
        </w:rPr>
        <w:t xml:space="preserve"> </w:t>
      </w:r>
      <w:r>
        <w:rPr>
          <w:color w:val="231F20"/>
        </w:rPr>
        <w:t>直接涂片</w:t>
      </w:r>
      <w:r>
        <w:rPr>
          <w:rFonts w:ascii="Times New Roman" w:hAnsi="Times New Roman" w:eastAsia="Times New Roman" w:cs="Times New Roman"/>
          <w:color w:val="231F20"/>
        </w:rPr>
        <w:t>2</w:t>
      </w:r>
      <w:r>
        <w:rPr>
          <w:color w:val="231F20"/>
        </w:rPr>
        <w:t>张，</w:t>
      </w:r>
      <w:r>
        <w:rPr>
          <w:rFonts w:ascii="Times New Roman" w:hAnsi="Times New Roman" w:eastAsia="Times New Roman" w:cs="Times New Roman"/>
          <w:color w:val="231F20"/>
        </w:rPr>
        <w:t>95%</w:t>
      </w:r>
      <w:r>
        <w:rPr>
          <w:color w:val="231F20"/>
        </w:rPr>
        <w:t>乙醇固定至少</w:t>
      </w:r>
      <w:r>
        <w:rPr>
          <w:rFonts w:ascii="Times New Roman" w:hAnsi="Times New Roman" w:eastAsia="Times New Roman" w:cs="Times New Roman"/>
          <w:color w:val="231F20"/>
        </w:rPr>
        <w:t>5</w:t>
      </w:r>
      <w:r>
        <w:rPr>
          <w:color w:val="231F20"/>
        </w:rPr>
        <w:t>分钟，采用苏木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40" w:line="219" w:lineRule="auto"/>
        <w:rPr/>
      </w:pPr>
      <w:r>
        <w:rPr>
          <w:color w:val="231F20"/>
          <w:spacing w:val="-3"/>
        </w:rPr>
        <w:t>精</w:t>
      </w:r>
      <w:r>
        <w:rPr>
          <w:rFonts w:ascii="Times New Roman" w:hAnsi="Times New Roman" w:eastAsia="Times New Roman" w:cs="Times New Roman"/>
          <w:color w:val="231F20"/>
          <w:spacing w:val="-3"/>
        </w:rPr>
        <w:t>-</w:t>
      </w:r>
      <w:r>
        <w:rPr>
          <w:color w:val="231F20"/>
          <w:spacing w:val="-3"/>
        </w:rPr>
        <w:t>伊红或巴氏染色法染色。</w:t>
      </w:r>
    </w:p>
    <w:p>
      <w:pPr>
        <w:pStyle w:val="BodyText"/>
        <w:ind w:left="6" w:right="101" w:firstLine="321"/>
        <w:spacing w:before="100" w:line="308" w:lineRule="auto"/>
        <w:rPr/>
      </w:pP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3</w:t>
      </w:r>
      <w:r>
        <w:rPr>
          <w:color w:val="231F20"/>
          <w:spacing w:val="-5"/>
        </w:rPr>
        <w:t>）结果的记录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：腹腔细胞学检测结果阴性者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记录为</w:t>
      </w:r>
      <w:r>
        <w:rPr>
          <w:rFonts w:ascii="Times New Roman" w:hAnsi="Times New Roman" w:eastAsia="Times New Roman" w:cs="Times New Roman"/>
          <w:color w:val="231F20"/>
          <w:spacing w:val="-1"/>
        </w:rPr>
        <w:t>CY0</w:t>
      </w:r>
      <w:r>
        <w:rPr>
          <w:color w:val="231F20"/>
          <w:spacing w:val="-1"/>
        </w:rPr>
        <w:t>，阳性记录为</w:t>
      </w:r>
      <w:r>
        <w:rPr>
          <w:rFonts w:ascii="Times New Roman" w:hAnsi="Times New Roman" w:eastAsia="Times New Roman" w:cs="Times New Roman"/>
          <w:color w:val="231F20"/>
          <w:spacing w:val="-1"/>
        </w:rPr>
        <w:t>CY1</w:t>
      </w:r>
      <w:r>
        <w:rPr>
          <w:color w:val="231F20"/>
          <w:spacing w:val="-1"/>
        </w:rPr>
        <w:t>。</w:t>
      </w:r>
    </w:p>
    <w:p>
      <w:pPr>
        <w:pStyle w:val="BodyText"/>
        <w:ind w:left="7" w:right="15" w:firstLine="422"/>
        <w:spacing w:before="3" w:line="307" w:lineRule="auto"/>
        <w:jc w:val="both"/>
        <w:rPr/>
      </w:pPr>
      <w:r>
        <w:rPr>
          <w:color w:val="231F20"/>
          <w:spacing w:val="-1"/>
        </w:rPr>
        <w:t>综上，上述各项检查手段各有优劣，影像学和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血清学检查欠缺敏感性，腹腔镜和病理学检查虽可确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诊，但亦有一定的局限性，因此临床中需要综合患者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的临床表现、病理分型、原发灶及转移淋巴结的分期、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血清肿瘤标志物、影像学或功能影像等综合判定，必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要时需要腹腔镜等有创检查手段进行明确。</w:t>
      </w:r>
    </w:p>
    <w:p>
      <w:pPr>
        <w:ind w:left="3"/>
        <w:spacing w:line="19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2.2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分期</w:t>
      </w:r>
    </w:p>
    <w:p>
      <w:pPr>
        <w:pStyle w:val="BodyText"/>
        <w:ind w:left="5" w:right="35" w:hanging="2"/>
        <w:spacing w:before="51" w:line="309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2.2.1    </w:t>
      </w:r>
      <w:r>
        <w:rPr>
          <w:color w:val="231F20"/>
          <w:spacing w:val="3"/>
        </w:rPr>
        <w:t>腹膜转移（</w:t>
      </w:r>
      <w:r>
        <w:rPr>
          <w:rFonts w:ascii="Times New Roman" w:hAnsi="Times New Roman" w:eastAsia="Times New Roman" w:cs="Times New Roman"/>
          <w:color w:val="231F20"/>
          <w:spacing w:val="3"/>
        </w:rPr>
        <w:t>P</w:t>
      </w:r>
      <w:r>
        <w:rPr>
          <w:color w:val="231F20"/>
          <w:spacing w:val="-46"/>
          <w:w w:val="77"/>
        </w:rPr>
        <w:t>）（</w:t>
      </w:r>
      <w:r>
        <w:rPr>
          <w:rFonts w:ascii="Times New Roman" w:hAnsi="Times New Roman" w:eastAsia="Times New Roman" w:cs="Times New Roman"/>
          <w:color w:val="231F20"/>
        </w:rPr>
        <w:t>TNM</w:t>
      </w:r>
      <w:r>
        <w:rPr>
          <w:color w:val="231F20"/>
          <w:spacing w:val="3"/>
        </w:rPr>
        <w:t>分期为</w:t>
      </w:r>
      <w:r>
        <w:rPr>
          <w:rFonts w:ascii="Times New Roman" w:hAnsi="Times New Roman" w:eastAsia="Times New Roman" w:cs="Times New Roman"/>
          <w:color w:val="231F20"/>
          <w:spacing w:val="3"/>
        </w:rPr>
        <w:t>M1</w:t>
      </w:r>
      <w:r>
        <w:rPr>
          <w:color w:val="231F20"/>
          <w:spacing w:val="3"/>
        </w:rPr>
        <w:t>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3"/>
          <w:position w:val="9"/>
        </w:rPr>
        <w:t>[31]       </w:t>
      </w:r>
      <w:r>
        <w:rPr>
          <w:rFonts w:ascii="Times New Roman" w:hAnsi="Times New Roman" w:eastAsia="Times New Roman" w:cs="Times New Roman"/>
          <w:color w:val="231F20"/>
        </w:rPr>
        <w:t>PX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：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有无腹膜转移不明者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-9"/>
        </w:rPr>
        <w:t>；</w:t>
      </w:r>
      <w:r>
        <w:rPr>
          <w:rFonts w:ascii="Times New Roman" w:hAnsi="Times New Roman" w:eastAsia="Times New Roman" w:cs="Times New Roman"/>
          <w:color w:val="231F20"/>
          <w:spacing w:val="-9"/>
        </w:rPr>
        <w:t>P0 </w:t>
      </w:r>
      <w:r>
        <w:rPr>
          <w:color w:val="231F20"/>
          <w:spacing w:val="-9"/>
        </w:rPr>
        <w:t>：无腹膜转移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9"/>
        </w:rPr>
        <w:t>；</w:t>
      </w:r>
      <w:r>
        <w:rPr>
          <w:rFonts w:ascii="Times New Roman" w:hAnsi="Times New Roman" w:eastAsia="Times New Roman" w:cs="Times New Roman"/>
          <w:color w:val="231F20"/>
          <w:spacing w:val="-10"/>
        </w:rPr>
        <w:t>P1 </w:t>
      </w:r>
      <w:r>
        <w:rPr>
          <w:color w:val="231F20"/>
          <w:spacing w:val="-10"/>
        </w:rPr>
        <w:t>：有腹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膜转移。</w:t>
      </w:r>
    </w:p>
    <w:p>
      <w:pPr>
        <w:pStyle w:val="BodyText"/>
        <w:ind w:left="4" w:right="91" w:firstLine="429"/>
        <w:spacing w:before="1" w:line="233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1"/>
        </w:rPr>
        <w:t>注</w:t>
      </w:r>
      <w:r>
        <w:rPr>
          <w:rFonts w:ascii="Times New Roman" w:hAnsi="Times New Roman" w:eastAsia="Times New Roman" w:cs="Times New Roman"/>
          <w:color w:val="231F20"/>
          <w:spacing w:val="1"/>
        </w:rPr>
        <w:t>4 </w:t>
      </w:r>
      <w:r>
        <w:rPr>
          <w:color w:val="231F20"/>
          <w:spacing w:val="1"/>
        </w:rPr>
        <w:t>：</w:t>
      </w:r>
      <w:r>
        <w:rPr>
          <w:rFonts w:ascii="Microsoft YaHei" w:hAnsi="Microsoft YaHei" w:eastAsia="Microsoft YaHei" w:cs="Microsoft YaHei"/>
          <w:color w:val="231F20"/>
          <w:spacing w:val="1"/>
        </w:rPr>
        <w:t>结合我国目前临床现状</w:t>
      </w:r>
      <w:r>
        <w:rPr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1"/>
        </w:rPr>
        <w:t>推荐采用日本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胃癌学会制定的</w:t>
      </w:r>
      <w:r>
        <w:rPr>
          <w:color w:val="231F20"/>
          <w:spacing w:val="-1"/>
        </w:rPr>
        <w:t>《</w:t>
      </w:r>
      <w:r>
        <w:rPr>
          <w:rFonts w:ascii="Microsoft YaHei" w:hAnsi="Microsoft YaHei" w:eastAsia="Microsoft YaHei" w:cs="Microsoft YaHei"/>
          <w:color w:val="231F20"/>
          <w:spacing w:val="-1"/>
        </w:rPr>
        <w:t>胃癌分期规约</w:t>
      </w:r>
      <w:r>
        <w:rPr>
          <w:color w:val="231F20"/>
          <w:spacing w:val="-1"/>
        </w:rPr>
        <w:t>》</w:t>
      </w:r>
      <w:r>
        <w:rPr>
          <w:rFonts w:ascii="Times New Roman" w:hAnsi="Times New Roman" w:eastAsia="Times New Roman" w:cs="Times New Roman"/>
          <w:color w:val="231F20"/>
          <w:spacing w:val="-1"/>
        </w:rPr>
        <w:t>2010</w:t>
      </w:r>
      <w:r>
        <w:rPr>
          <w:rFonts w:ascii="Microsoft YaHei" w:hAnsi="Microsoft YaHei" w:eastAsia="Microsoft YaHei" w:cs="Microsoft YaHei"/>
          <w:color w:val="231F20"/>
          <w:spacing w:val="-1"/>
        </w:rPr>
        <w:t>年第</w:t>
      </w:r>
      <w:r>
        <w:rPr>
          <w:rFonts w:ascii="Times New Roman" w:hAnsi="Times New Roman" w:eastAsia="Times New Roman" w:cs="Times New Roman"/>
          <w:color w:val="231F20"/>
          <w:spacing w:val="-1"/>
        </w:rPr>
        <w:t>14</w:t>
      </w:r>
      <w:r>
        <w:rPr>
          <w:rFonts w:ascii="Microsoft YaHei" w:hAnsi="Microsoft YaHei" w:eastAsia="Microsoft YaHei" w:cs="Microsoft YaHei"/>
          <w:color w:val="231F20"/>
          <w:spacing w:val="-1"/>
        </w:rPr>
        <w:t>版中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腹膜转移的分期标准</w:t>
      </w:r>
      <w:r>
        <w:rPr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也可参考</w:t>
      </w:r>
      <w:r>
        <w:rPr>
          <w:rFonts w:ascii="Times New Roman" w:hAnsi="Times New Roman" w:eastAsia="Times New Roman" w:cs="Times New Roman"/>
          <w:color w:val="231F20"/>
          <w:spacing w:val="-1"/>
        </w:rPr>
        <w:t>2017</w:t>
      </w:r>
      <w:r>
        <w:rPr>
          <w:rFonts w:ascii="Microsoft YaHei" w:hAnsi="Microsoft YaHei" w:eastAsia="Microsoft YaHei" w:cs="Microsoft YaHei"/>
          <w:color w:val="231F20"/>
          <w:spacing w:val="-1"/>
        </w:rPr>
        <w:t>年第</w:t>
      </w:r>
      <w:r>
        <w:rPr>
          <w:rFonts w:ascii="Times New Roman" w:hAnsi="Times New Roman" w:eastAsia="Times New Roman" w:cs="Times New Roman"/>
          <w:color w:val="231F20"/>
          <w:spacing w:val="-1"/>
        </w:rPr>
        <w:t>15</w:t>
      </w:r>
      <w:r>
        <w:rPr>
          <w:rFonts w:ascii="Microsoft YaHei" w:hAnsi="Microsoft YaHei" w:eastAsia="Microsoft YaHei" w:cs="Microsoft YaHei"/>
          <w:color w:val="231F20"/>
          <w:spacing w:val="-1"/>
        </w:rPr>
        <w:t>版的分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期标准</w:t>
      </w:r>
      <w:r>
        <w:rPr>
          <w:color w:val="231F20"/>
          <w:spacing w:val="-3"/>
        </w:rPr>
        <w:t>。</w:t>
      </w:r>
    </w:p>
    <w:p>
      <w:pPr>
        <w:pStyle w:val="BodyText"/>
        <w:ind w:left="422"/>
        <w:spacing w:line="196" w:lineRule="auto"/>
        <w:rPr>
          <w:rFonts w:ascii="Microsoft YaHei" w:hAnsi="Microsoft YaHei" w:eastAsia="Microsoft YaHei" w:cs="Microsoft YaHei"/>
        </w:rPr>
      </w:pPr>
      <w:r>
        <w:rPr>
          <w:rFonts w:ascii="Times New Roman" w:hAnsi="Times New Roman" w:eastAsia="Times New Roman" w:cs="Times New Roman"/>
          <w:color w:val="231F20"/>
          <w:spacing w:val="-5"/>
        </w:rPr>
        <w:t>PX </w:t>
      </w:r>
      <w:r>
        <w:rPr>
          <w:color w:val="231F20"/>
          <w:spacing w:val="-5"/>
        </w:rPr>
        <w:t>：</w:t>
      </w:r>
      <w:r>
        <w:rPr>
          <w:rFonts w:ascii="Microsoft YaHei" w:hAnsi="Microsoft YaHei" w:eastAsia="Microsoft YaHei" w:cs="Microsoft YaHei"/>
          <w:color w:val="231F20"/>
          <w:spacing w:val="-5"/>
        </w:rPr>
        <w:t>有无腹膜转移不明者</w:t>
      </w:r>
    </w:p>
    <w:p>
      <w:pPr>
        <w:pStyle w:val="BodyText"/>
        <w:ind w:left="422"/>
        <w:spacing w:before="56" w:line="196" w:lineRule="auto"/>
        <w:rPr>
          <w:rFonts w:ascii="Microsoft YaHei" w:hAnsi="Microsoft YaHei" w:eastAsia="Microsoft YaHei" w:cs="Microsoft YaHei"/>
        </w:rPr>
      </w:pPr>
      <w:r>
        <w:rPr>
          <w:rFonts w:ascii="Times New Roman" w:hAnsi="Times New Roman" w:eastAsia="Times New Roman" w:cs="Times New Roman"/>
          <w:color w:val="231F20"/>
          <w:spacing w:val="-6"/>
        </w:rPr>
        <w:t>P0 </w:t>
      </w:r>
      <w:r>
        <w:rPr>
          <w:color w:val="231F20"/>
          <w:spacing w:val="-6"/>
        </w:rPr>
        <w:t>：</w:t>
      </w:r>
      <w:r>
        <w:rPr>
          <w:rFonts w:ascii="Microsoft YaHei" w:hAnsi="Microsoft YaHei" w:eastAsia="Microsoft YaHei" w:cs="Microsoft YaHei"/>
          <w:color w:val="231F20"/>
          <w:spacing w:val="-6"/>
        </w:rPr>
        <w:t>无腹膜转移</w:t>
      </w:r>
    </w:p>
    <w:p>
      <w:pPr>
        <w:pStyle w:val="BodyText"/>
        <w:ind w:left="422"/>
        <w:spacing w:before="56" w:line="196" w:lineRule="auto"/>
        <w:rPr>
          <w:rFonts w:ascii="Microsoft YaHei" w:hAnsi="Microsoft YaHei" w:eastAsia="Microsoft YaHei" w:cs="Microsoft YaHei"/>
        </w:rPr>
      </w:pPr>
      <w:r>
        <w:rPr>
          <w:rFonts w:ascii="Times New Roman" w:hAnsi="Times New Roman" w:eastAsia="Times New Roman" w:cs="Times New Roman"/>
          <w:color w:val="231F20"/>
          <w:spacing w:val="-7"/>
        </w:rPr>
        <w:t>P1 </w:t>
      </w:r>
      <w:r>
        <w:rPr>
          <w:color w:val="231F20"/>
          <w:spacing w:val="-7"/>
        </w:rPr>
        <w:t>：</w:t>
      </w:r>
      <w:r>
        <w:rPr>
          <w:rFonts w:ascii="Microsoft YaHei" w:hAnsi="Microsoft YaHei" w:eastAsia="Microsoft YaHei" w:cs="Microsoft YaHei"/>
          <w:color w:val="231F20"/>
          <w:spacing w:val="-7"/>
        </w:rPr>
        <w:t>有腹膜转移</w:t>
      </w:r>
    </w:p>
    <w:p>
      <w:pPr>
        <w:pStyle w:val="BodyText"/>
        <w:ind w:left="437" w:right="17" w:firstLine="404"/>
        <w:spacing w:before="55" w:line="233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12"/>
        </w:rPr>
        <w:t>P1a</w:t>
      </w:r>
      <w:r>
        <w:rPr>
          <w:color w:val="231F20"/>
          <w:spacing w:val="-12"/>
        </w:rPr>
        <w:t>：</w:t>
      </w:r>
      <w:r>
        <w:rPr>
          <w:rFonts w:ascii="Microsoft YaHei" w:hAnsi="Microsoft YaHei" w:eastAsia="Microsoft YaHei" w:cs="Microsoft YaHei"/>
          <w:color w:val="231F20"/>
          <w:spacing w:val="-12"/>
        </w:rPr>
        <w:t>局限性转移</w:t>
      </w:r>
      <w:r>
        <w:rPr>
          <w:color w:val="231F20"/>
          <w:spacing w:val="-12"/>
        </w:rPr>
        <w:t>（</w:t>
      </w:r>
      <w:r>
        <w:rPr>
          <w:rFonts w:ascii="Microsoft YaHei" w:hAnsi="Microsoft YaHei" w:eastAsia="Microsoft YaHei" w:cs="Microsoft YaHei"/>
          <w:color w:val="231F20"/>
          <w:spacing w:val="-12"/>
        </w:rPr>
        <w:t>至仅局限在胃</w:t>
      </w:r>
      <w:r>
        <w:rPr>
          <w:color w:val="231F20"/>
          <w:spacing w:val="-12"/>
        </w:rPr>
        <w:t>、</w:t>
      </w:r>
      <w:r>
        <w:rPr>
          <w:rFonts w:ascii="Microsoft YaHei" w:hAnsi="Microsoft YaHei" w:eastAsia="Microsoft YaHei" w:cs="Microsoft YaHei"/>
          <w:color w:val="231F20"/>
          <w:spacing w:val="-12"/>
        </w:rPr>
        <w:t>大网膜</w:t>
      </w:r>
      <w:r>
        <w:rPr>
          <w:color w:val="231F20"/>
          <w:spacing w:val="-12"/>
        </w:rPr>
        <w:t>、</w:t>
      </w:r>
      <w:r>
        <w:rPr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小网膜</w:t>
      </w:r>
      <w:r>
        <w:rPr>
          <w:color w:val="231F20"/>
          <w:spacing w:val="-1"/>
        </w:rPr>
        <w:t>、</w:t>
      </w:r>
      <w:r>
        <w:rPr>
          <w:rFonts w:ascii="Microsoft YaHei" w:hAnsi="Microsoft YaHei" w:eastAsia="Microsoft YaHei" w:cs="Microsoft YaHei"/>
          <w:color w:val="231F20"/>
          <w:spacing w:val="-1"/>
        </w:rPr>
        <w:t>横结肠膜前叶</w:t>
      </w:r>
      <w:r>
        <w:rPr>
          <w:color w:val="231F20"/>
          <w:spacing w:val="-1"/>
        </w:rPr>
        <w:t>、</w:t>
      </w:r>
      <w:r>
        <w:rPr>
          <w:rFonts w:ascii="Microsoft YaHei" w:hAnsi="Microsoft YaHei" w:eastAsia="Microsoft YaHei" w:cs="Microsoft YaHei"/>
          <w:color w:val="231F20"/>
          <w:spacing w:val="-1"/>
        </w:rPr>
        <w:t>胰腺膜</w:t>
      </w:r>
      <w:r>
        <w:rPr>
          <w:color w:val="231F20"/>
          <w:spacing w:val="-1"/>
        </w:rPr>
        <w:t>、</w:t>
      </w:r>
      <w:r>
        <w:rPr>
          <w:rFonts w:ascii="Microsoft YaHei" w:hAnsi="Microsoft YaHei" w:eastAsia="Microsoft YaHei" w:cs="Microsoft YaHei"/>
          <w:color w:val="231F20"/>
          <w:spacing w:val="-1"/>
        </w:rPr>
        <w:t>脾脏等附近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的腹膜</w:t>
      </w:r>
      <w:r>
        <w:rPr>
          <w:color w:val="231F20"/>
          <w:spacing w:val="-5"/>
        </w:rPr>
        <w:t>）</w:t>
      </w:r>
    </w:p>
    <w:p>
      <w:pPr>
        <w:pStyle w:val="BodyText"/>
        <w:spacing w:line="196" w:lineRule="auto"/>
        <w:jc w:val="right"/>
        <w:rPr/>
      </w:pPr>
      <w:r>
        <w:rPr>
          <w:rFonts w:ascii="Times New Roman" w:hAnsi="Times New Roman" w:eastAsia="Times New Roman" w:cs="Times New Roman"/>
          <w:color w:val="231F20"/>
          <w:spacing w:val="-13"/>
        </w:rPr>
        <w:t>P1b </w:t>
      </w:r>
      <w:r>
        <w:rPr>
          <w:color w:val="231F20"/>
          <w:spacing w:val="-13"/>
        </w:rPr>
        <w:t>：</w:t>
      </w:r>
      <w:r>
        <w:rPr>
          <w:rFonts w:ascii="Microsoft YaHei" w:hAnsi="Microsoft YaHei" w:eastAsia="Microsoft YaHei" w:cs="Microsoft YaHei"/>
          <w:color w:val="231F20"/>
          <w:spacing w:val="-13"/>
        </w:rPr>
        <w:t>转移至上腹部</w:t>
      </w:r>
      <w:r>
        <w:rPr>
          <w:color w:val="231F20"/>
          <w:spacing w:val="-13"/>
        </w:rPr>
        <w:t>（</w:t>
      </w:r>
      <w:r>
        <w:rPr>
          <w:rFonts w:ascii="Microsoft YaHei" w:hAnsi="Microsoft YaHei" w:eastAsia="Microsoft YaHei" w:cs="Microsoft YaHei"/>
          <w:color w:val="231F20"/>
          <w:spacing w:val="-13"/>
        </w:rPr>
        <w:t>横结肠至脏侧的腹膜</w:t>
      </w:r>
      <w:r>
        <w:rPr>
          <w:color w:val="231F20"/>
          <w:spacing w:val="-13"/>
        </w:rPr>
        <w:t>）</w:t>
      </w:r>
    </w:p>
    <w:p>
      <w:pPr>
        <w:pStyle w:val="BodyText"/>
        <w:ind w:left="842"/>
        <w:spacing w:before="56" w:line="196" w:lineRule="auto"/>
        <w:rPr>
          <w:rFonts w:ascii="Microsoft YaHei" w:hAnsi="Microsoft YaHei" w:eastAsia="Microsoft YaHei" w:cs="Microsoft YaHei"/>
        </w:rPr>
      </w:pPr>
      <w:r>
        <w:rPr>
          <w:rFonts w:ascii="Times New Roman" w:hAnsi="Times New Roman" w:eastAsia="Times New Roman" w:cs="Times New Roman"/>
          <w:color w:val="231F20"/>
          <w:spacing w:val="-5"/>
        </w:rPr>
        <w:t>P1c </w:t>
      </w:r>
      <w:r>
        <w:rPr>
          <w:color w:val="231F20"/>
          <w:spacing w:val="-5"/>
        </w:rPr>
        <w:t>：</w:t>
      </w:r>
      <w:r>
        <w:rPr>
          <w:rFonts w:ascii="Microsoft YaHei" w:hAnsi="Microsoft YaHei" w:eastAsia="Microsoft YaHei" w:cs="Microsoft YaHei"/>
          <w:color w:val="231F20"/>
          <w:spacing w:val="-5"/>
        </w:rPr>
        <w:t>转移至中下腹部</w:t>
      </w:r>
    </w:p>
    <w:p>
      <w:pPr>
        <w:pStyle w:val="BodyText"/>
        <w:ind w:left="821"/>
        <w:spacing w:before="56" w:line="196" w:lineRule="auto"/>
        <w:rPr>
          <w:rFonts w:ascii="Microsoft YaHei" w:hAnsi="Microsoft YaHei" w:eastAsia="Microsoft YaHei" w:cs="Microsoft YaHei"/>
        </w:rPr>
      </w:pPr>
      <w:r>
        <w:rPr>
          <w:rFonts w:ascii="Times New Roman" w:hAnsi="Times New Roman" w:eastAsia="Times New Roman" w:cs="Times New Roman"/>
          <w:color w:val="231F20"/>
          <w:spacing w:val="-12"/>
        </w:rPr>
        <w:t>P1x </w:t>
      </w:r>
      <w:r>
        <w:rPr>
          <w:color w:val="231F20"/>
          <w:spacing w:val="-12"/>
        </w:rPr>
        <w:t>：</w:t>
      </w:r>
      <w:r>
        <w:rPr>
          <w:rFonts w:ascii="Microsoft YaHei" w:hAnsi="Microsoft YaHei" w:eastAsia="Microsoft YaHei" w:cs="Microsoft YaHei"/>
          <w:color w:val="231F20"/>
          <w:spacing w:val="-12"/>
        </w:rPr>
        <w:t>确定腹膜转移</w:t>
      </w:r>
      <w:r>
        <w:rPr>
          <w:color w:val="231F20"/>
          <w:spacing w:val="-12"/>
        </w:rPr>
        <w:t>，</w:t>
      </w:r>
      <w:r>
        <w:rPr>
          <w:rFonts w:ascii="Microsoft YaHei" w:hAnsi="Microsoft YaHei" w:eastAsia="Microsoft YaHei" w:cs="Microsoft YaHei"/>
          <w:color w:val="231F20"/>
          <w:spacing w:val="-12"/>
        </w:rPr>
        <w:t>但无法判断具体分布</w:t>
      </w:r>
    </w:p>
    <w:p>
      <w:pPr>
        <w:pStyle w:val="BodyText"/>
        <w:ind w:right="91" w:firstLine="434"/>
        <w:spacing w:before="27" w:line="236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7"/>
        </w:rPr>
        <w:t>注</w:t>
      </w:r>
      <w:r>
        <w:rPr>
          <w:rFonts w:ascii="Times New Roman" w:hAnsi="Times New Roman" w:eastAsia="Times New Roman" w:cs="Times New Roman"/>
          <w:color w:val="231F20"/>
          <w:spacing w:val="7"/>
        </w:rPr>
        <w:t>5 </w:t>
      </w:r>
      <w:r>
        <w:rPr>
          <w:color w:val="231F20"/>
          <w:spacing w:val="7"/>
        </w:rPr>
        <w:t>：</w:t>
      </w:r>
      <w:r>
        <w:rPr>
          <w:rFonts w:ascii="Microsoft YaHei" w:hAnsi="Microsoft YaHei" w:eastAsia="Microsoft YaHei" w:cs="Microsoft YaHei"/>
          <w:color w:val="231F20"/>
          <w:spacing w:val="7"/>
        </w:rPr>
        <w:t>休格贝克腹膜癌指数</w:t>
      </w:r>
      <w:r>
        <w:rPr>
          <w:color w:val="231F20"/>
          <w:spacing w:val="7"/>
        </w:rPr>
        <w:t>（</w:t>
      </w:r>
      <w:r>
        <w:rPr>
          <w:rFonts w:ascii="Times New Roman" w:hAnsi="Times New Roman" w:eastAsia="Times New Roman" w:cs="Times New Roman"/>
          <w:color w:val="231F20"/>
        </w:rPr>
        <w:t>peritoneal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carci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nomatosis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index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color w:val="231F20"/>
        </w:rPr>
        <w:t>PCI</w:t>
      </w:r>
      <w:r>
        <w:rPr>
          <w:color w:val="231F20"/>
          <w:spacing w:val="10"/>
        </w:rPr>
        <w:t>）</w:t>
      </w:r>
      <w:r>
        <w:rPr>
          <w:rFonts w:ascii="Microsoft YaHei" w:hAnsi="Microsoft YaHei" w:eastAsia="Microsoft YaHei" w:cs="Microsoft YaHei"/>
          <w:color w:val="231F20"/>
          <w:spacing w:val="10"/>
        </w:rPr>
        <w:t>是将腹膜瘤结节的分布和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大小进行评分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而反映腹膜转移状况的一种分级方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法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color w:val="231F20"/>
          <w:spacing w:val="1"/>
        </w:rPr>
        <w:t>研究显示</w:t>
      </w:r>
      <w:r>
        <w:rPr>
          <w:rFonts w:ascii="Microsoft YaHei" w:hAnsi="Microsoft YaHei" w:eastAsia="Microsoft YaHei" w:cs="Microsoft YaHei"/>
          <w:color w:val="231F20"/>
          <w:spacing w:val="-36"/>
        </w:rPr>
        <w:t xml:space="preserve"> </w:t>
      </w:r>
      <w:r>
        <w:rPr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color w:val="231F20"/>
        </w:rPr>
        <w:t>PCI</w:t>
      </w:r>
      <w:r>
        <w:rPr>
          <w:rFonts w:ascii="Microsoft YaHei" w:hAnsi="Microsoft YaHei" w:eastAsia="Microsoft YaHei" w:cs="Microsoft YaHei"/>
          <w:color w:val="231F20"/>
          <w:spacing w:val="1"/>
        </w:rPr>
        <w:t>与胃癌腹膜转移患者预后有一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定的相关性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2"/>
          <w:position w:val="9"/>
        </w:rPr>
        <w:t>[32] </w:t>
      </w:r>
      <w:r>
        <w:rPr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color w:val="231F20"/>
          <w:spacing w:val="-2"/>
        </w:rPr>
        <w:t>但考虑操作难度较大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且目前尚无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基于此分级的治疗推荐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因此未在共识中引用</w:t>
      </w:r>
      <w:r>
        <w:rPr>
          <w:color w:val="231F20"/>
          <w:spacing w:val="-2"/>
        </w:rPr>
        <w:t>。</w:t>
      </w:r>
    </w:p>
    <w:p>
      <w:pPr>
        <w:pStyle w:val="BodyText"/>
        <w:ind w:left="8" w:right="32" w:hanging="5"/>
        <w:spacing w:before="2" w:line="29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4"/>
        </w:rPr>
        <w:t>2.2.2    </w:t>
      </w:r>
      <w:r>
        <w:rPr>
          <w:color w:val="231F20"/>
          <w:spacing w:val="-4"/>
        </w:rPr>
        <w:t>腹腔游离癌细胞（</w:t>
      </w:r>
      <w:r>
        <w:rPr>
          <w:rFonts w:ascii="Times New Roman" w:hAnsi="Times New Roman" w:eastAsia="Times New Roman" w:cs="Times New Roman"/>
          <w:color w:val="231F20"/>
          <w:spacing w:val="-4"/>
        </w:rPr>
        <w:t>CY</w:t>
      </w:r>
      <w:r>
        <w:rPr>
          <w:color w:val="231F20"/>
          <w:spacing w:val="-4"/>
        </w:rPr>
        <w:t>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  <w:position w:val="9"/>
        </w:rPr>
        <w:t>[31]       </w:t>
      </w:r>
      <w:r>
        <w:rPr>
          <w:rFonts w:ascii="Times New Roman" w:hAnsi="Times New Roman" w:eastAsia="Times New Roman" w:cs="Times New Roman"/>
          <w:color w:val="231F20"/>
          <w:spacing w:val="-4"/>
        </w:rPr>
        <w:t>CYX </w:t>
      </w:r>
      <w:r>
        <w:rPr>
          <w:color w:val="231F20"/>
          <w:spacing w:val="-4"/>
        </w:rPr>
        <w:t>：未行腹腔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灌洗液细胞学检查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4"/>
        </w:rPr>
        <w:t>；</w:t>
      </w:r>
      <w:r>
        <w:rPr>
          <w:rFonts w:ascii="Times New Roman" w:hAnsi="Times New Roman" w:eastAsia="Times New Roman" w:cs="Times New Roman"/>
          <w:color w:val="231F20"/>
          <w:spacing w:val="-4"/>
        </w:rPr>
        <w:t>CY0 </w:t>
      </w:r>
      <w:r>
        <w:rPr>
          <w:color w:val="231F20"/>
          <w:spacing w:val="-4"/>
        </w:rPr>
        <w:t>：腹腔灌洗液细胞学检查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无癌细胞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0"/>
        </w:rPr>
        <w:t>；</w:t>
      </w:r>
      <w:r>
        <w:rPr>
          <w:rFonts w:ascii="Times New Roman" w:hAnsi="Times New Roman" w:eastAsia="Times New Roman" w:cs="Times New Roman"/>
          <w:color w:val="231F20"/>
          <w:spacing w:val="-10"/>
        </w:rPr>
        <w:t>CY1 </w:t>
      </w:r>
      <w:r>
        <w:rPr>
          <w:color w:val="231F20"/>
          <w:spacing w:val="-10"/>
        </w:rPr>
        <w:t>：腹腔灌洗液细胞学检查有癌细胞。</w:t>
      </w:r>
    </w:p>
    <w:p>
      <w:pPr>
        <w:ind w:left="7"/>
        <w:spacing w:line="23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3"/>
        </w:rPr>
        <w:t>3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胃癌腹膜转移的预防</w:t>
      </w:r>
    </w:p>
    <w:p>
      <w:pPr>
        <w:ind w:left="7"/>
        <w:spacing w:before="34" w:line="19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3.1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风险因素</w:t>
      </w:r>
    </w:p>
    <w:p>
      <w:pPr>
        <w:pStyle w:val="BodyText"/>
        <w:ind w:left="6" w:right="33" w:firstLine="320"/>
        <w:spacing w:before="55" w:line="248" w:lineRule="auto"/>
        <w:rPr/>
      </w:pPr>
      <w:r>
        <w:rPr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color w:val="231F20"/>
          <w:spacing w:val="-7"/>
        </w:rPr>
        <w:t>1</w:t>
      </w:r>
      <w:r>
        <w:rPr>
          <w:color w:val="231F20"/>
          <w:spacing w:val="-7"/>
        </w:rPr>
        <w:t>）</w:t>
      </w:r>
      <w:r>
        <w:rPr>
          <w:rFonts w:ascii="Times New Roman" w:hAnsi="Times New Roman" w:eastAsia="Times New Roman" w:cs="Times New Roman"/>
          <w:color w:val="231F20"/>
          <w:spacing w:val="-7"/>
        </w:rPr>
        <w:t>TNM</w:t>
      </w:r>
      <w:r>
        <w:rPr>
          <w:color w:val="231F20"/>
          <w:spacing w:val="-7"/>
        </w:rPr>
        <w:t>分期</w:t>
      </w:r>
      <w:r>
        <w:rPr>
          <w:rFonts w:ascii="Times New Roman" w:hAnsi="Times New Roman" w:eastAsia="Times New Roman" w:cs="Times New Roman"/>
          <w:color w:val="231F20"/>
          <w:spacing w:val="-7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7"/>
          <w:position w:val="-3"/>
        </w:rPr>
        <w:t>3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1"/>
          <w:position w:val="-3"/>
        </w:rPr>
        <w:t xml:space="preserve"> </w:t>
      </w:r>
      <w:r>
        <w:rPr>
          <w:color w:val="231F20"/>
          <w:spacing w:val="-7"/>
        </w:rPr>
        <w:t>、</w:t>
      </w:r>
      <w:r>
        <w:rPr>
          <w:rFonts w:ascii="Times New Roman" w:hAnsi="Times New Roman" w:eastAsia="Times New Roman" w:cs="Times New Roman"/>
          <w:color w:val="231F20"/>
          <w:spacing w:val="-7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7"/>
          <w:position w:val="-3"/>
        </w:rPr>
        <w:t>4</w:t>
      </w:r>
      <w:r>
        <w:rPr>
          <w:color w:val="231F20"/>
          <w:spacing w:val="-7"/>
        </w:rPr>
        <w:t>和</w:t>
      </w:r>
      <w:r>
        <w:rPr>
          <w:rFonts w:ascii="Times New Roman" w:hAnsi="Times New Roman" w:eastAsia="Times New Roman" w:cs="Times New Roman"/>
          <w:color w:val="231F20"/>
          <w:spacing w:val="-7"/>
        </w:rPr>
        <w:t>N </w:t>
      </w:r>
      <w:r>
        <w:rPr>
          <w:color w:val="231F20"/>
          <w:spacing w:val="-7"/>
        </w:rPr>
        <w:t>＋：</w:t>
      </w:r>
      <w:r>
        <w:rPr>
          <w:rFonts w:ascii="Times New Roman" w:hAnsi="Times New Roman" w:eastAsia="Times New Roman" w:cs="Times New Roman"/>
          <w:color w:val="231F20"/>
          <w:spacing w:val="-7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7"/>
          <w:position w:val="-3"/>
        </w:rPr>
        <w:t>3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1"/>
          <w:position w:val="-3"/>
        </w:rPr>
        <w:t xml:space="preserve"> </w:t>
      </w:r>
      <w:r>
        <w:rPr>
          <w:color w:val="231F20"/>
          <w:spacing w:val="-9"/>
        </w:rPr>
        <w:t>、</w:t>
      </w:r>
      <w:r>
        <w:rPr>
          <w:rFonts w:ascii="Times New Roman" w:hAnsi="Times New Roman" w:eastAsia="Times New Roman" w:cs="Times New Roman"/>
          <w:color w:val="231F20"/>
          <w:spacing w:val="-9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9"/>
          <w:position w:val="-3"/>
        </w:rPr>
        <w:t>4</w:t>
      </w:r>
      <w:r>
        <w:rPr>
          <w:color w:val="231F20"/>
          <w:spacing w:val="-9"/>
        </w:rPr>
        <w:t>及</w:t>
      </w:r>
      <w:r>
        <w:rPr>
          <w:rFonts w:ascii="Times New Roman" w:hAnsi="Times New Roman" w:eastAsia="Times New Roman" w:cs="Times New Roman"/>
          <w:color w:val="231F20"/>
          <w:spacing w:val="-9"/>
        </w:rPr>
        <w:t>N </w:t>
      </w:r>
      <w:r>
        <w:rPr>
          <w:color w:val="231F20"/>
          <w:spacing w:val="-9"/>
        </w:rPr>
        <w:t>＋患者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腹膜转移发生率为</w:t>
      </w:r>
      <w:r>
        <w:rPr>
          <w:rFonts w:ascii="Times New Roman" w:hAnsi="Times New Roman" w:eastAsia="Times New Roman" w:cs="Times New Roman"/>
          <w:color w:val="231F20"/>
          <w:spacing w:val="-13"/>
        </w:rPr>
        <w:t>25%</w:t>
      </w:r>
      <w:r>
        <w:rPr>
          <w:color w:val="231F20"/>
          <w:spacing w:val="-13"/>
        </w:rPr>
        <w:t>，而</w:t>
      </w:r>
      <w:r>
        <w:rPr>
          <w:rFonts w:ascii="Times New Roman" w:hAnsi="Times New Roman" w:eastAsia="Times New Roman" w:cs="Times New Roman"/>
          <w:color w:val="231F20"/>
          <w:spacing w:val="-13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1"/>
          <w:position w:val="-4"/>
        </w:rPr>
        <w:t>1</w:t>
      </w:r>
      <w:r>
        <w:rPr>
          <w:color w:val="231F20"/>
          <w:spacing w:val="-24"/>
        </w:rPr>
        <w:t>、</w:t>
      </w:r>
      <w:r>
        <w:rPr>
          <w:rFonts w:ascii="Times New Roman" w:hAnsi="Times New Roman" w:eastAsia="Times New Roman" w:cs="Times New Roman"/>
          <w:color w:val="231F20"/>
          <w:spacing w:val="-24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6"/>
          <w:position w:val="-4"/>
        </w:rPr>
        <w:t>2</w:t>
      </w:r>
      <w:r>
        <w:rPr>
          <w:color w:val="231F20"/>
          <w:spacing w:val="-6"/>
        </w:rPr>
        <w:t>及</w:t>
      </w:r>
      <w:r>
        <w:rPr>
          <w:rFonts w:ascii="Times New Roman" w:hAnsi="Times New Roman" w:eastAsia="Times New Roman" w:cs="Times New Roman"/>
          <w:color w:val="231F20"/>
          <w:spacing w:val="-6"/>
        </w:rPr>
        <w:t>N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6"/>
          <w:position w:val="-4"/>
        </w:rPr>
        <w:t>0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3"/>
          <w:position w:val="-4"/>
        </w:rPr>
        <w:t xml:space="preserve"> </w:t>
      </w:r>
      <w:r>
        <w:rPr>
          <w:color w:val="231F20"/>
          <w:spacing w:val="-12"/>
        </w:rPr>
        <w:t>患者仅为</w:t>
      </w:r>
      <w:r>
        <w:rPr>
          <w:rFonts w:ascii="Times New Roman" w:hAnsi="Times New Roman" w:eastAsia="Times New Roman" w:cs="Times New Roman"/>
          <w:color w:val="231F20"/>
          <w:spacing w:val="-12"/>
        </w:rPr>
        <w:t>4%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[33]</w:t>
      </w:r>
      <w:r>
        <w:rPr>
          <w:color w:val="231F20"/>
          <w:spacing w:val="-52"/>
        </w:rPr>
        <w:t>；</w:t>
      </w:r>
    </w:p>
    <w:p>
      <w:pPr>
        <w:spacing w:line="248" w:lineRule="auto"/>
        <w:sectPr>
          <w:type w:val="continuous"/>
          <w:pgSz w:w="11906" w:h="16158"/>
          <w:pgMar w:top="1229" w:right="1041" w:bottom="0" w:left="407" w:header="767" w:footer="0" w:gutter="0"/>
          <w:cols w:equalWidth="0" w:num="2">
            <w:col w:w="5645" w:space="100"/>
            <w:col w:w="4711" w:space="0"/>
          </w:cols>
        </w:sectPr>
        <w:rPr/>
      </w:pPr>
    </w:p>
    <w:p>
      <w:pPr>
        <w:spacing w:line="304" w:lineRule="auto"/>
        <w:rPr>
          <w:rFonts w:ascii="Arial"/>
          <w:sz w:val="21"/>
        </w:rPr>
      </w:pPr>
      <w:r/>
    </w:p>
    <w:p>
      <w:pPr>
        <w:ind w:left="760"/>
        <w:spacing w:before="129" w:line="19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30"/>
          <w:szCs w:val="30"/>
          <w:color w:val="231F20"/>
          <w:spacing w:val="6"/>
          <w:position w:val="-4"/>
        </w:rPr>
        <w:t>16  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2"/>
        </w:rPr>
        <w:t>●   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6"/>
          <w:position w:val="-3"/>
        </w:rPr>
        <w:t>中国循证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6"/>
          <w:position w:val="-3"/>
        </w:rPr>
        <w:t>指南共识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2"/>
        </w:rPr>
        <w:t>●         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2"/>
        </w:rPr>
        <w:t xml:space="preserve">     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5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5"/>
          <w:position w:val="2"/>
        </w:rPr>
        <w:t>肿瘤综合治疗电子杂志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5"/>
          <w:position w:val="2"/>
        </w:rPr>
        <w:t>2017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5"/>
          <w:position w:val="2"/>
        </w:rPr>
        <w:t>年第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5"/>
          <w:position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5"/>
          <w:position w:val="2"/>
        </w:rPr>
        <w:t>卷第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5"/>
          <w:position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5"/>
          <w:position w:val="2"/>
        </w:rPr>
        <w:t>期</w:t>
      </w:r>
    </w:p>
    <w:p>
      <w:pPr>
        <w:spacing w:line="111" w:lineRule="exact"/>
        <w:rPr/>
      </w:pPr>
      <w:r/>
    </w:p>
    <w:p>
      <w:pPr>
        <w:spacing w:line="111" w:lineRule="exact"/>
        <w:sectPr>
          <w:headerReference w:type="default" r:id="rId5"/>
          <w:pgSz w:w="11906" w:h="16158"/>
          <w:pgMar w:top="400" w:right="986" w:bottom="0" w:left="407" w:header="0" w:footer="0" w:gutter="0"/>
          <w:cols w:equalWidth="0" w:num="1">
            <w:col w:w="10511" w:space="0"/>
          </w:cols>
        </w:sectPr>
        <w:rPr/>
      </w:pPr>
    </w:p>
    <w:p>
      <w:pPr>
        <w:pStyle w:val="BodyText"/>
        <w:ind w:left="734" w:right="262" w:firstLine="4"/>
        <w:spacing w:before="46" w:line="303" w:lineRule="auto"/>
        <w:rPr/>
      </w:pPr>
      <w:r>
        <w:rPr>
          <w:color w:val="231F20"/>
          <w:spacing w:val="6"/>
        </w:rPr>
        <w:t>另外，</w:t>
      </w:r>
      <w:r>
        <w:rPr>
          <w:rFonts w:ascii="Times New Roman" w:hAnsi="Times New Roman" w:eastAsia="Times New Roman" w:cs="Times New Roman"/>
          <w:color w:val="231F20"/>
          <w:spacing w:val="6"/>
        </w:rPr>
        <w:t>N</w:t>
      </w:r>
      <w:r>
        <w:rPr>
          <w:rFonts w:ascii="Times New Roman" w:hAnsi="Times New Roman" w:eastAsia="Times New Roman" w:cs="Times New Roman"/>
          <w:color w:val="231F20"/>
          <w:spacing w:val="47"/>
          <w:w w:val="101"/>
        </w:rPr>
        <w:t xml:space="preserve"> </w:t>
      </w:r>
      <w:r>
        <w:rPr>
          <w:color w:val="231F20"/>
          <w:spacing w:val="6"/>
        </w:rPr>
        <w:t>＋患者发生腹膜转移风险较</w:t>
      </w:r>
      <w:r>
        <w:rPr>
          <w:rFonts w:ascii="Times New Roman" w:hAnsi="Times New Roman" w:eastAsia="Times New Roman" w:cs="Times New Roman"/>
          <w:color w:val="231F20"/>
          <w:spacing w:val="6"/>
        </w:rPr>
        <w:t>N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6"/>
          <w:position w:val="-3"/>
        </w:rPr>
        <w:t>0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0"/>
          <w:position w:val="-3"/>
        </w:rPr>
        <w:t xml:space="preserve"> </w:t>
      </w:r>
      <w:r>
        <w:rPr>
          <w:color w:val="231F20"/>
          <w:spacing w:val="6"/>
        </w:rPr>
        <w:t>患者高出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-2"/>
        </w:rPr>
        <w:t>3.84</w:t>
      </w:r>
      <w:r>
        <w:rPr>
          <w:color w:val="231F20"/>
          <w:spacing w:val="-1"/>
          <w:position w:val="-2"/>
        </w:rPr>
        <w:t>倍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7"/>
        </w:rPr>
        <w:t>[34]</w:t>
      </w:r>
      <w:r>
        <w:rPr>
          <w:color w:val="231F20"/>
          <w:spacing w:val="-1"/>
          <w:position w:val="-2"/>
        </w:rPr>
        <w:t>。</w:t>
      </w:r>
    </w:p>
    <w:p>
      <w:pPr>
        <w:pStyle w:val="BodyText"/>
        <w:ind w:left="733" w:right="262" w:firstLine="321"/>
        <w:spacing w:before="9" w:line="279" w:lineRule="auto"/>
        <w:rPr/>
      </w:pP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2</w:t>
      </w:r>
      <w:r>
        <w:rPr>
          <w:color w:val="231F20"/>
          <w:spacing w:val="-4"/>
        </w:rPr>
        <w:t>）淋巴结外浸润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：与没有淋巴结外浸润的患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者相比，有淋巴结外浸润患者的腹膜转移风险上升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  <w:position w:val="-2"/>
        </w:rPr>
        <w:t>近</w:t>
      </w:r>
      <w:r>
        <w:rPr>
          <w:rFonts w:ascii="Times New Roman" w:hAnsi="Times New Roman" w:eastAsia="Times New Roman" w:cs="Times New Roman"/>
          <w:color w:val="231F20"/>
          <w:spacing w:val="-1"/>
          <w:position w:val="-2"/>
        </w:rPr>
        <w:t>18</w:t>
      </w:r>
      <w:r>
        <w:rPr>
          <w:color w:val="231F20"/>
          <w:spacing w:val="-1"/>
          <w:position w:val="-2"/>
        </w:rPr>
        <w:t>倍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7"/>
        </w:rPr>
        <w:t>[35]</w:t>
      </w:r>
      <w:r>
        <w:rPr>
          <w:color w:val="231F20"/>
          <w:spacing w:val="-1"/>
          <w:position w:val="-2"/>
        </w:rPr>
        <w:t>。</w:t>
      </w:r>
    </w:p>
    <w:p>
      <w:pPr>
        <w:pStyle w:val="BodyText"/>
        <w:ind w:left="734" w:right="187" w:firstLine="320"/>
        <w:spacing w:before="100" w:line="278" w:lineRule="auto"/>
        <w:rPr/>
      </w:pPr>
      <w:r>
        <w:rPr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color w:val="231F20"/>
          <w:spacing w:val="-6"/>
        </w:rPr>
        <w:t>3</w:t>
      </w:r>
      <w:r>
        <w:rPr>
          <w:color w:val="231F20"/>
          <w:spacing w:val="-6"/>
        </w:rPr>
        <w:t>）</w:t>
      </w:r>
      <w:r>
        <w:rPr>
          <w:rFonts w:ascii="Times New Roman" w:hAnsi="Times New Roman" w:eastAsia="Times New Roman" w:cs="Times New Roman"/>
          <w:color w:val="231F20"/>
          <w:spacing w:val="-6"/>
        </w:rPr>
        <w:t>Borrmann</w:t>
      </w:r>
      <w:r>
        <w:rPr>
          <w:color w:val="231F20"/>
          <w:spacing w:val="-6"/>
        </w:rPr>
        <w:t>分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型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Ⅲ、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：与</w:t>
      </w:r>
      <w:r>
        <w:rPr>
          <w:rFonts w:ascii="Times New Roman" w:hAnsi="Times New Roman" w:eastAsia="Times New Roman" w:cs="Times New Roman"/>
          <w:color w:val="231F20"/>
          <w:spacing w:val="-6"/>
        </w:rPr>
        <w:t>Borrmann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color w:val="231F20"/>
          <w:spacing w:val="-6"/>
        </w:rPr>
        <w:t>Ⅰ、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Ⅱ型患者相比，</w:t>
      </w:r>
      <w:r>
        <w:rPr>
          <w:rFonts w:ascii="Times New Roman" w:hAnsi="Times New Roman" w:eastAsia="Times New Roman" w:cs="Times New Roman"/>
          <w:color w:val="231F20"/>
        </w:rPr>
        <w:t>Borrmann</w:t>
      </w:r>
      <w:r>
        <w:rPr>
          <w:color w:val="231F20"/>
          <w:spacing w:val="10"/>
        </w:rPr>
        <w:t>Ⅲ、Ⅳ型患者的腹膜转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移风险高出</w:t>
      </w:r>
      <w:r>
        <w:rPr>
          <w:rFonts w:ascii="Times New Roman" w:hAnsi="Times New Roman" w:eastAsia="Times New Roman" w:cs="Times New Roman"/>
          <w:color w:val="231F20"/>
          <w:spacing w:val="-1"/>
        </w:rPr>
        <w:t>2.06</w:t>
      </w:r>
      <w:r>
        <w:rPr>
          <w:color w:val="231F20"/>
          <w:spacing w:val="-1"/>
        </w:rPr>
        <w:t>倍，是独立风险因素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[36]</w:t>
      </w:r>
      <w:r>
        <w:rPr>
          <w:color w:val="231F20"/>
          <w:spacing w:val="-1"/>
        </w:rPr>
        <w:t>。</w:t>
      </w:r>
    </w:p>
    <w:p>
      <w:pPr>
        <w:pStyle w:val="BodyText"/>
        <w:ind w:left="734" w:right="261" w:firstLine="319"/>
        <w:spacing w:before="99" w:line="264" w:lineRule="auto"/>
        <w:rPr/>
      </w:pP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4</w:t>
      </w:r>
      <w:r>
        <w:rPr>
          <w:color w:val="231F20"/>
          <w:spacing w:val="-2"/>
        </w:rPr>
        <w:t>）</w:t>
      </w:r>
      <w:r>
        <w:rPr>
          <w:rFonts w:ascii="Times New Roman" w:hAnsi="Times New Roman" w:eastAsia="Times New Roman" w:cs="Times New Roman"/>
          <w:color w:val="231F20"/>
          <w:spacing w:val="-2"/>
        </w:rPr>
        <w:t>Lauren</w:t>
      </w:r>
      <w:r>
        <w:rPr>
          <w:color w:val="231F20"/>
          <w:spacing w:val="-2"/>
        </w:rPr>
        <w:t>分型弥漫型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：弥漫型患者中腹膜转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移发生率高达</w:t>
      </w:r>
      <w:r>
        <w:rPr>
          <w:rFonts w:ascii="Times New Roman" w:hAnsi="Times New Roman" w:eastAsia="Times New Roman" w:cs="Times New Roman"/>
          <w:color w:val="231F20"/>
          <w:spacing w:val="-1"/>
        </w:rPr>
        <w:t>80%</w:t>
      </w:r>
      <w:r>
        <w:rPr>
          <w:color w:val="231F20"/>
          <w:spacing w:val="-1"/>
        </w:rPr>
        <w:t>以上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[37]</w:t>
      </w:r>
      <w:r>
        <w:rPr>
          <w:color w:val="231F20"/>
          <w:spacing w:val="-1"/>
        </w:rPr>
        <w:t>。</w:t>
      </w:r>
    </w:p>
    <w:p>
      <w:pPr>
        <w:ind w:left="734"/>
        <w:spacing w:before="98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3.2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预防措施</w:t>
      </w:r>
    </w:p>
    <w:p>
      <w:pPr>
        <w:pStyle w:val="BodyText"/>
        <w:ind w:left="733" w:right="262" w:firstLine="1"/>
        <w:spacing w:before="55" w:line="308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3.2.1    </w:t>
      </w:r>
      <w:r>
        <w:rPr>
          <w:color w:val="231F20"/>
          <w:spacing w:val="4"/>
        </w:rPr>
        <w:t>外科预防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color w:val="231F20"/>
          <w:spacing w:val="4"/>
        </w:rPr>
        <w:t>无瘤技术  可切除患者手术过程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中应严格按照无瘤规范进行操作，尽量避免因手术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操作而导致癌细胞脱落种植于腹腔内，防止医源性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扩散。无瘤操作规范的建议如下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[38]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37"/>
          <w:position w:val="9"/>
        </w:rPr>
        <w:t xml:space="preserve"> </w:t>
      </w:r>
      <w:r>
        <w:rPr>
          <w:color w:val="231F20"/>
          <w:spacing w:val="-1"/>
        </w:rPr>
        <w:t>：</w:t>
      </w:r>
    </w:p>
    <w:p>
      <w:pPr>
        <w:pStyle w:val="BodyText"/>
        <w:ind w:left="734" w:right="204" w:firstLine="320"/>
        <w:spacing w:before="1" w:line="263" w:lineRule="auto"/>
        <w:rPr/>
      </w:pP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color w:val="231F20"/>
          <w:spacing w:val="-2"/>
        </w:rPr>
        <w:t>）切口的保护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：推荐常规使用切口保护套，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特别注意切口上、下端的保护。</w:t>
      </w:r>
    </w:p>
    <w:p>
      <w:pPr>
        <w:pStyle w:val="BodyText"/>
        <w:ind w:left="734" w:right="273" w:firstLine="320"/>
        <w:spacing w:before="101" w:line="263" w:lineRule="auto"/>
        <w:rPr/>
      </w:pP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2</w:t>
      </w:r>
      <w:r>
        <w:rPr>
          <w:color w:val="231F20"/>
          <w:spacing w:val="-2"/>
        </w:rPr>
        <w:t>）手术时避免直接接触、挤压肿瘤，若肿瘤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浸出浆膜层应以医用胶、纱布或手术薄膜覆盖。</w:t>
      </w:r>
    </w:p>
    <w:p>
      <w:pPr>
        <w:pStyle w:val="BodyText"/>
        <w:ind w:left="734" w:right="188" w:firstLine="320"/>
        <w:spacing w:before="102" w:line="278" w:lineRule="auto"/>
        <w:rPr/>
      </w:pP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color w:val="231F20"/>
          <w:spacing w:val="-1"/>
        </w:rPr>
        <w:t>）术中及时更换污染的手套及器械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：探查、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分离肿瘤时医生的手若触及破溃的肿瘤应及时更换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手套，术中分离肿瘤的器械不可反复使用。</w:t>
      </w:r>
    </w:p>
    <w:p>
      <w:pPr>
        <w:pStyle w:val="BodyText"/>
        <w:ind w:left="1054"/>
        <w:spacing w:before="101" w:line="219" w:lineRule="auto"/>
        <w:rPr/>
      </w:pP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4</w:t>
      </w:r>
      <w:r>
        <w:rPr>
          <w:color w:val="231F20"/>
          <w:spacing w:val="-3"/>
        </w:rPr>
        <w:t>）拭血纱布要及时更换，不可反复使用。</w:t>
      </w:r>
    </w:p>
    <w:p>
      <w:pPr>
        <w:pStyle w:val="BodyText"/>
        <w:ind w:left="734" w:right="271" w:firstLine="320"/>
        <w:spacing w:before="101" w:line="279" w:lineRule="auto"/>
        <w:rPr/>
      </w:pP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5</w:t>
      </w:r>
      <w:r>
        <w:rPr>
          <w:color w:val="231F20"/>
          <w:spacing w:val="-2"/>
        </w:rPr>
        <w:t>）术毕用温热蒸馏水或生理盐水彻底冲洗术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野及腹腔，冲洗液量应至少＞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3000 ml</w:t>
      </w:r>
      <w:r>
        <w:rPr>
          <w:color w:val="231F20"/>
          <w:spacing w:val="-1"/>
        </w:rPr>
        <w:t>。</w:t>
      </w:r>
    </w:p>
    <w:p>
      <w:pPr>
        <w:pStyle w:val="BodyText"/>
        <w:ind w:left="1054"/>
        <w:spacing w:before="65" w:line="220" w:lineRule="auto"/>
        <w:rPr/>
      </w:pP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6</w:t>
      </w:r>
      <w:r>
        <w:rPr>
          <w:color w:val="231F20"/>
          <w:spacing w:val="-4"/>
        </w:rPr>
        <w:t>）关腹前充分冲洗切口。</w:t>
      </w:r>
    </w:p>
    <w:p>
      <w:pPr>
        <w:pStyle w:val="BodyText"/>
        <w:ind w:left="734" w:right="262"/>
        <w:spacing w:before="96" w:line="289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8"/>
        </w:rPr>
        <w:t>3.2.2    </w:t>
      </w:r>
      <w:r>
        <w:rPr>
          <w:rFonts w:ascii="Microsoft YaHei" w:hAnsi="Microsoft YaHei" w:eastAsia="Microsoft YaHei" w:cs="Microsoft YaHei"/>
          <w:color w:val="231F20"/>
          <w:spacing w:val="-8"/>
        </w:rPr>
        <w:t>术后辅助化疗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 </w:t>
      </w:r>
      <w:r>
        <w:rPr>
          <w:color w:val="231F20"/>
          <w:spacing w:val="-8"/>
        </w:rPr>
        <w:t>术后通过系统性给药进行辅助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化疗，可以杀灭手术无法清除的微小病灶，是降低术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后复发和转移的有效手段。目前，临床常用口服氟尿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嘧啶类药物</w:t>
      </w:r>
      <w:r>
        <w:rPr>
          <w:rFonts w:ascii="Times New Roman" w:hAnsi="Times New Roman" w:eastAsia="Times New Roman" w:cs="Times New Roman"/>
          <w:color w:val="231F20"/>
          <w:spacing w:val="-8"/>
        </w:rPr>
        <w:t>[</w:t>
      </w:r>
      <w:r>
        <w:rPr>
          <w:color w:val="231F20"/>
          <w:spacing w:val="-8"/>
        </w:rPr>
        <w:t>替吉奥（</w:t>
      </w:r>
      <w:r>
        <w:rPr>
          <w:rFonts w:ascii="Times New Roman" w:hAnsi="Times New Roman" w:eastAsia="Times New Roman" w:cs="Times New Roman"/>
          <w:color w:val="231F20"/>
          <w:spacing w:val="-8"/>
        </w:rPr>
        <w:t>S-1</w:t>
      </w:r>
      <w:r>
        <w:rPr>
          <w:color w:val="231F20"/>
          <w:spacing w:val="-8"/>
        </w:rPr>
        <w:t>）、卡培他滨（</w:t>
      </w:r>
      <w:r>
        <w:rPr>
          <w:rFonts w:ascii="Times New Roman" w:hAnsi="Times New Roman" w:eastAsia="Times New Roman" w:cs="Times New Roman"/>
          <w:color w:val="231F20"/>
          <w:spacing w:val="-8"/>
        </w:rPr>
        <w:t>CAP</w:t>
      </w:r>
      <w:r>
        <w:rPr>
          <w:color w:val="231F20"/>
          <w:spacing w:val="-9"/>
        </w:rPr>
        <w:t>）</w:t>
      </w:r>
      <w:r>
        <w:rPr>
          <w:rFonts w:ascii="Times New Roman" w:hAnsi="Times New Roman" w:eastAsia="Times New Roman" w:cs="Times New Roman"/>
          <w:color w:val="231F20"/>
          <w:spacing w:val="-9"/>
        </w:rPr>
        <w:t>]</w:t>
      </w:r>
      <w:r>
        <w:rPr>
          <w:color w:val="231F20"/>
          <w:spacing w:val="-9"/>
        </w:rPr>
        <w:t>单药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或联合奥沙利铂（</w:t>
      </w:r>
      <w:r>
        <w:rPr>
          <w:rFonts w:ascii="Times New Roman" w:hAnsi="Times New Roman" w:eastAsia="Times New Roman" w:cs="Times New Roman"/>
          <w:color w:val="231F20"/>
          <w:spacing w:val="-11"/>
        </w:rPr>
        <w:t>OXA</w:t>
      </w:r>
      <w:r>
        <w:rPr>
          <w:color w:val="231F20"/>
          <w:spacing w:val="-11"/>
        </w:rPr>
        <w:t>）作为术后辅助化疗方案。</w:t>
      </w:r>
    </w:p>
    <w:p>
      <w:pPr>
        <w:pStyle w:val="BodyText"/>
        <w:ind w:left="733" w:right="262" w:firstLine="423"/>
        <w:spacing w:before="6" w:line="296" w:lineRule="auto"/>
        <w:jc w:val="both"/>
        <w:rPr/>
      </w:pPr>
      <w:r>
        <w:rPr>
          <w:color w:val="231F20"/>
          <w:spacing w:val="-1"/>
        </w:rPr>
        <w:t>为预防术后腹膜转移，辅助化疗方案的选择应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考虑药物的特点。传统氟尿嘧啶类药物分子量小容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易穿透血腹屏障，适合用于术后辅助化疗，但因其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迅速被二氢嘧啶脱氢（</w:t>
      </w:r>
      <w:r>
        <w:rPr>
          <w:rFonts w:ascii="Times New Roman" w:hAnsi="Times New Roman" w:eastAsia="Times New Roman" w:cs="Times New Roman"/>
          <w:color w:val="231F20"/>
          <w:spacing w:val="-2"/>
        </w:rPr>
        <w:t>DPD</w:t>
      </w:r>
      <w:r>
        <w:rPr>
          <w:color w:val="231F20"/>
          <w:spacing w:val="-2"/>
        </w:rPr>
        <w:t>）分解代谢而失去抗肿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瘤活性。新型口服氟尿嘧啶类药物</w:t>
      </w:r>
      <w:r>
        <w:rPr>
          <w:rFonts w:ascii="Times New Roman" w:hAnsi="Times New Roman" w:eastAsia="Times New Roman" w:cs="Times New Roman"/>
          <w:color w:val="231F20"/>
          <w:spacing w:val="5"/>
        </w:rPr>
        <w:t>S-1</w:t>
      </w:r>
      <w:r>
        <w:rPr>
          <w:color w:val="231F20"/>
          <w:spacing w:val="5"/>
        </w:rPr>
        <w:t>不仅可以穿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透血腹屏障，而且含有吉美嘧啶（</w:t>
      </w:r>
      <w:r>
        <w:rPr>
          <w:rFonts w:ascii="Times New Roman" w:hAnsi="Times New Roman" w:eastAsia="Times New Roman" w:cs="Times New Roman"/>
          <w:color w:val="231F20"/>
        </w:rPr>
        <w:t>CDHP</w:t>
      </w:r>
      <w:r>
        <w:rPr>
          <w:color w:val="231F20"/>
          <w:spacing w:val="2"/>
        </w:rPr>
        <w:t>）能有效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阻止</w:t>
      </w:r>
      <w:r>
        <w:rPr>
          <w:rFonts w:ascii="Times New Roman" w:hAnsi="Times New Roman" w:eastAsia="Times New Roman" w:cs="Times New Roman"/>
          <w:color w:val="231F20"/>
          <w:spacing w:val="-1"/>
        </w:rPr>
        <w:t>5-</w:t>
      </w:r>
      <w:r>
        <w:rPr>
          <w:color w:val="231F20"/>
          <w:spacing w:val="-1"/>
        </w:rPr>
        <w:t>氟尿嘧啶（</w:t>
      </w:r>
      <w:r>
        <w:rPr>
          <w:rFonts w:ascii="Times New Roman" w:hAnsi="Times New Roman" w:eastAsia="Times New Roman" w:cs="Times New Roman"/>
          <w:color w:val="231F20"/>
          <w:spacing w:val="-1"/>
        </w:rPr>
        <w:t>5-FU</w:t>
      </w:r>
      <w:r>
        <w:rPr>
          <w:color w:val="231F20"/>
          <w:spacing w:val="-1"/>
        </w:rPr>
        <w:t>）分解，所以可维持有效的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  <w:position w:val="-2"/>
        </w:rPr>
        <w:t>药物浓度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8"/>
        </w:rPr>
        <w:t>[39]</w:t>
      </w:r>
      <w:r>
        <w:rPr>
          <w:color w:val="231F20"/>
          <w:spacing w:val="-1"/>
          <w:position w:val="-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6"/>
        <w:spacing w:before="44" w:line="197" w:lineRule="auto"/>
        <w:rPr/>
      </w:pPr>
      <w:r>
        <w:rPr>
          <w:rFonts w:ascii="Microsoft YaHei" w:hAnsi="Microsoft YaHei" w:eastAsia="Microsoft YaHei" w:cs="Microsoft YaHei"/>
          <w:color w:val="231F20"/>
          <w:spacing w:val="-3"/>
        </w:rPr>
        <w:t>推荐方案 </w:t>
      </w:r>
      <w:r>
        <w:rPr>
          <w:color w:val="231F20"/>
          <w:spacing w:val="-3"/>
        </w:rPr>
        <w:t>：</w:t>
      </w:r>
    </w:p>
    <w:p>
      <w:pPr>
        <w:pStyle w:val="BodyText"/>
        <w:ind w:firstLine="523"/>
        <w:spacing w:before="22" w:line="235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8"/>
        </w:rPr>
        <w:t>S-1</w:t>
      </w:r>
      <w:r>
        <w:rPr>
          <w:rFonts w:ascii="Times New Roman" w:hAnsi="Times New Roman" w:eastAsia="Times New Roman" w:cs="Times New Roman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80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～ </w:t>
      </w:r>
      <w:r>
        <w:rPr>
          <w:rFonts w:ascii="Times New Roman" w:hAnsi="Times New Roman" w:eastAsia="Times New Roman" w:cs="Times New Roman"/>
          <w:color w:val="231F20"/>
          <w:spacing w:val="-8"/>
        </w:rPr>
        <w:t>120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mg/d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-8"/>
        </w:rPr>
        <w:t>， </w:t>
      </w:r>
      <w:r>
        <w:rPr>
          <w:rFonts w:ascii="Microsoft YaHei" w:hAnsi="Microsoft YaHei" w:eastAsia="Microsoft YaHei" w:cs="Microsoft YaHei"/>
          <w:color w:val="231F20"/>
          <w:spacing w:val="-8"/>
        </w:rPr>
        <w:t>口 服</w:t>
      </w:r>
      <w:r>
        <w:rPr>
          <w:rFonts w:ascii="Times New Roman" w:hAnsi="Times New Roman" w:eastAsia="Times New Roman" w:cs="Times New Roman"/>
          <w:color w:val="231F20"/>
          <w:spacing w:val="-8"/>
        </w:rPr>
        <w:t>4</w:t>
      </w:r>
      <w:r>
        <w:rPr>
          <w:rFonts w:ascii="Microsoft YaHei" w:hAnsi="Microsoft YaHei" w:eastAsia="Microsoft YaHei" w:cs="Microsoft YaHei"/>
          <w:color w:val="231F20"/>
          <w:spacing w:val="-8"/>
        </w:rPr>
        <w:t>周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8"/>
        </w:rPr>
        <w:t>，</w:t>
      </w:r>
      <w:r>
        <w:rPr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停</w:t>
      </w:r>
      <w:r>
        <w:rPr>
          <w:rFonts w:ascii="Microsoft YaHei" w:hAnsi="Microsoft YaHei" w:eastAsia="Microsoft YaHei" w:cs="Microsoft YaHei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药</w:t>
      </w:r>
      <w:r>
        <w:rPr>
          <w:rFonts w:ascii="Times New Roman" w:hAnsi="Times New Roman" w:eastAsia="Times New Roman" w:cs="Times New Roman"/>
          <w:color w:val="231F20"/>
          <w:spacing w:val="-8"/>
        </w:rPr>
        <w:t>2</w:t>
      </w:r>
      <w:r>
        <w:rPr>
          <w:rFonts w:ascii="Microsoft YaHei" w:hAnsi="Microsoft YaHei" w:eastAsia="Microsoft YaHei" w:cs="Microsoft YaHei"/>
          <w:color w:val="231F20"/>
          <w:spacing w:val="-8"/>
        </w:rPr>
        <w:t>周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color w:val="231F20"/>
          <w:spacing w:val="-8"/>
        </w:rPr>
        <w:t>6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2"/>
        </w:rPr>
        <w:t>周为一疗程 </w:t>
      </w:r>
      <w:r>
        <w:rPr>
          <w:color w:val="231F20"/>
          <w:spacing w:val="-2"/>
        </w:rPr>
        <w:t>；</w:t>
      </w:r>
      <w:r>
        <w:rPr>
          <w:rFonts w:ascii="Microsoft YaHei" w:hAnsi="Microsoft YaHei" w:eastAsia="Microsoft YaHei" w:cs="Microsoft YaHei"/>
          <w:color w:val="231F20"/>
          <w:spacing w:val="-2"/>
        </w:rPr>
        <w:t>持续</w:t>
      </w:r>
      <w:r>
        <w:rPr>
          <w:rFonts w:ascii="Microsoft YaHei" w:hAnsi="Microsoft YaHei" w:eastAsia="Microsoft YaHei" w:cs="Microsoft YaHei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rFonts w:ascii="Microsoft YaHei" w:hAnsi="Microsoft YaHei" w:eastAsia="Microsoft YaHei" w:cs="Microsoft YaHei"/>
          <w:color w:val="231F20"/>
          <w:spacing w:val="-2"/>
        </w:rPr>
        <w:t>年</w:t>
      </w:r>
      <w:r>
        <w:rPr>
          <w:rFonts w:ascii="Microsoft YaHei" w:hAnsi="Microsoft YaHei" w:eastAsia="Microsoft YaHei" w:cs="Microsoft YaHei"/>
          <w:color w:val="231F20"/>
          <w:spacing w:val="57"/>
        </w:rPr>
        <w:t xml:space="preserve"> </w:t>
      </w:r>
      <w:r>
        <w:rPr>
          <w:color w:val="231F20"/>
          <w:spacing w:val="-2"/>
        </w:rPr>
        <w:t>( </w:t>
      </w:r>
      <w:r>
        <w:rPr>
          <w:rFonts w:ascii="Microsoft YaHei" w:hAnsi="Microsoft YaHei" w:eastAsia="Microsoft YaHei" w:cs="Microsoft YaHei"/>
          <w:color w:val="231F20"/>
          <w:spacing w:val="-2"/>
        </w:rPr>
        <w:t>Ⅱ级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Grade </w:t>
      </w:r>
      <w:r>
        <w:rPr>
          <w:rFonts w:ascii="Times New Roman" w:hAnsi="Times New Roman" w:eastAsia="Times New Roman" w:cs="Times New Roman"/>
          <w:color w:val="231F20"/>
          <w:spacing w:val="-3"/>
        </w:rPr>
        <w:t>A</w:t>
      </w:r>
      <w:r>
        <w:rPr>
          <w:color w:val="231F20"/>
          <w:spacing w:val="-35"/>
        </w:rPr>
        <w:t>）；</w:t>
      </w:r>
      <w:r>
        <w:rPr>
          <w:rFonts w:ascii="Microsoft YaHei" w:hAnsi="Microsoft YaHei" w:eastAsia="Microsoft YaHei" w:cs="Microsoft YaHei"/>
          <w:color w:val="231F20"/>
          <w:spacing w:val="-3"/>
        </w:rPr>
        <w:t>紫杉醇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PTX</w:t>
      </w:r>
      <w:r>
        <w:rPr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color w:val="231F20"/>
          <w:spacing w:val="-5"/>
        </w:rPr>
        <w:t>序贯</w:t>
      </w:r>
      <w:r>
        <w:rPr>
          <w:rFonts w:ascii="Times New Roman" w:hAnsi="Times New Roman" w:eastAsia="Times New Roman" w:cs="Times New Roman"/>
          <w:color w:val="231F20"/>
          <w:spacing w:val="-5"/>
        </w:rPr>
        <w:t>S-1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color w:val="231F20"/>
          <w:spacing w:val="-5"/>
        </w:rPr>
        <w:t>(</w:t>
      </w:r>
      <w:r>
        <w:rPr>
          <w:rFonts w:ascii="Microsoft YaHei" w:hAnsi="Microsoft YaHei" w:eastAsia="Microsoft YaHei" w:cs="Microsoft YaHei"/>
          <w:color w:val="231F20"/>
          <w:spacing w:val="-5"/>
        </w:rPr>
        <w:t>Ⅲ级</w:t>
      </w:r>
      <w:r>
        <w:rPr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color w:val="231F20"/>
          <w:spacing w:val="-5"/>
        </w:rPr>
        <w:t>Grade B</w:t>
      </w:r>
      <w:r>
        <w:rPr>
          <w:color w:val="231F20"/>
          <w:spacing w:val="-29"/>
          <w:w w:val="52"/>
        </w:rPr>
        <w:t>）；</w:t>
      </w:r>
      <w:r>
        <w:rPr>
          <w:rFonts w:ascii="Times New Roman" w:hAnsi="Times New Roman" w:eastAsia="Times New Roman" w:cs="Times New Roman"/>
          <w:color w:val="231F20"/>
          <w:spacing w:val="-5"/>
        </w:rPr>
        <w:t>S-1/</w:t>
      </w:r>
      <w:r>
        <w:rPr>
          <w:rFonts w:ascii="Microsoft YaHei" w:hAnsi="Microsoft YaHei" w:eastAsia="Microsoft YaHei" w:cs="Microsoft YaHei"/>
          <w:color w:val="231F20"/>
          <w:spacing w:val="-5"/>
        </w:rPr>
        <w:t>顺铂</w:t>
      </w: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CDDP</w:t>
      </w:r>
      <w:r>
        <w:rPr>
          <w:color w:val="231F20"/>
          <w:spacing w:val="-5"/>
        </w:rPr>
        <w:t>）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序贯</w:t>
      </w:r>
      <w:r>
        <w:rPr>
          <w:rFonts w:ascii="Times New Roman" w:hAnsi="Times New Roman" w:eastAsia="Times New Roman" w:cs="Times New Roman"/>
          <w:color w:val="231F20"/>
          <w:spacing w:val="11"/>
        </w:rPr>
        <w:t>S-1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color w:val="231F20"/>
          <w:spacing w:val="11"/>
        </w:rPr>
        <w:t>S-1/</w:t>
      </w:r>
      <w:r>
        <w:rPr>
          <w:rFonts w:ascii="Microsoft YaHei" w:hAnsi="Microsoft YaHei" w:eastAsia="Microsoft YaHei" w:cs="Microsoft YaHei"/>
          <w:color w:val="231F20"/>
          <w:spacing w:val="11"/>
        </w:rPr>
        <w:t>多西他赛</w:t>
      </w:r>
      <w:r>
        <w:rPr>
          <w:color w:val="231F20"/>
          <w:spacing w:val="11"/>
        </w:rPr>
        <w:t>（</w:t>
      </w:r>
      <w:r>
        <w:rPr>
          <w:rFonts w:ascii="Times New Roman" w:hAnsi="Times New Roman" w:eastAsia="Times New Roman" w:cs="Times New Roman"/>
          <w:color w:val="231F20"/>
        </w:rPr>
        <w:t>DOC</w:t>
      </w:r>
      <w:r>
        <w:rPr>
          <w:color w:val="231F20"/>
          <w:spacing w:val="11"/>
        </w:rPr>
        <w:t>）</w:t>
      </w:r>
      <w:r>
        <w:rPr>
          <w:rFonts w:ascii="Microsoft YaHei" w:hAnsi="Microsoft YaHei" w:eastAsia="Microsoft YaHei" w:cs="Microsoft YaHei"/>
          <w:color w:val="231F20"/>
          <w:spacing w:val="11"/>
        </w:rPr>
        <w:t>序贯</w:t>
      </w:r>
      <w:r>
        <w:rPr>
          <w:rFonts w:ascii="Times New Roman" w:hAnsi="Times New Roman" w:eastAsia="Times New Roman" w:cs="Times New Roman"/>
          <w:color w:val="231F20"/>
          <w:spacing w:val="11"/>
        </w:rPr>
        <w:t>S-1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color w:val="231F20"/>
        </w:rPr>
        <w:t>DOC</w:t>
      </w:r>
      <w:r>
        <w:rPr>
          <w:rFonts w:ascii="Times New Roman" w:hAnsi="Times New Roman" w:eastAsia="Times New Roman" w:cs="Times New Roman"/>
          <w:color w:val="231F20"/>
          <w:spacing w:val="11"/>
        </w:rPr>
        <w:t>/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CAP</w:t>
      </w:r>
      <w:r>
        <w:rPr>
          <w:rFonts w:ascii="Times New Roman" w:hAnsi="Times New Roman" w:eastAsia="Times New Roman" w:cs="Times New Roman"/>
          <w:color w:val="231F20"/>
          <w:spacing w:val="7"/>
        </w:rPr>
        <w:t>/</w:t>
      </w:r>
      <w:r>
        <w:rPr>
          <w:rFonts w:ascii="Times New Roman" w:hAnsi="Times New Roman" w:eastAsia="Times New Roman" w:cs="Times New Roman"/>
          <w:color w:val="231F20"/>
        </w:rPr>
        <w:t>CDDP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 </w:t>
      </w:r>
      <w:r>
        <w:rPr>
          <w:color w:val="231F20"/>
          <w:spacing w:val="7"/>
        </w:rPr>
        <w:t>(</w:t>
      </w:r>
      <w:r>
        <w:rPr>
          <w:rFonts w:ascii="Microsoft YaHei" w:hAnsi="Microsoft YaHei" w:eastAsia="Microsoft YaHei" w:cs="Microsoft YaHei"/>
          <w:color w:val="231F20"/>
          <w:spacing w:val="7"/>
        </w:rPr>
        <w:t>Ⅳ级</w:t>
      </w:r>
      <w:r>
        <w:rPr>
          <w:rFonts w:ascii="Microsoft YaHei" w:hAnsi="Microsoft YaHei" w:eastAsia="Microsoft YaHei" w:cs="Microsoft YaHei"/>
          <w:color w:val="231F20"/>
          <w:spacing w:val="-35"/>
        </w:rPr>
        <w:t xml:space="preserve"> </w:t>
      </w:r>
      <w:r>
        <w:rPr>
          <w:color w:val="231F20"/>
          <w:spacing w:val="7"/>
        </w:rPr>
        <w:t>，</w:t>
      </w:r>
      <w:r>
        <w:rPr>
          <w:rFonts w:ascii="Times New Roman" w:hAnsi="Times New Roman" w:eastAsia="Times New Roman" w:cs="Times New Roman"/>
          <w:color w:val="231F20"/>
        </w:rPr>
        <w:t>Grade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</w:t>
      </w:r>
      <w:r>
        <w:rPr>
          <w:color w:val="231F20"/>
          <w:spacing w:val="7"/>
        </w:rPr>
        <w:t>）</w:t>
      </w:r>
    </w:p>
    <w:p>
      <w:pPr>
        <w:pStyle w:val="BodyText"/>
        <w:ind w:left="515"/>
        <w:spacing w:before="18" w:line="186" w:lineRule="auto"/>
        <w:rPr/>
      </w:pPr>
      <w:r>
        <w:rPr>
          <w:rFonts w:ascii="Microsoft YaHei" w:hAnsi="Microsoft YaHei" w:eastAsia="Microsoft YaHei" w:cs="Microsoft YaHei"/>
          <w:color w:val="231F20"/>
          <w:spacing w:val="-3"/>
        </w:rPr>
        <w:t>循证证据 </w:t>
      </w:r>
      <w:r>
        <w:rPr>
          <w:color w:val="231F20"/>
          <w:spacing w:val="-3"/>
        </w:rPr>
        <w:t>：</w:t>
      </w:r>
    </w:p>
    <w:p>
      <w:pPr>
        <w:pStyle w:val="BodyText"/>
        <w:ind w:left="94" w:right="34" w:firstLine="326"/>
        <w:spacing w:before="68" w:line="233" w:lineRule="auto"/>
        <w:jc w:val="both"/>
        <w:rPr/>
      </w:pPr>
      <w:r>
        <w:rPr>
          <w:color w:val="231F20"/>
          <w:spacing w:val="14"/>
        </w:rPr>
        <w:t>（</w:t>
      </w:r>
      <w:r>
        <w:rPr>
          <w:rFonts w:ascii="Times New Roman" w:hAnsi="Times New Roman" w:eastAsia="Times New Roman" w:cs="Times New Roman"/>
          <w:color w:val="231F20"/>
          <w:spacing w:val="14"/>
        </w:rPr>
        <w:t>1</w:t>
      </w:r>
      <w:r>
        <w:rPr>
          <w:color w:val="231F20"/>
          <w:spacing w:val="14"/>
        </w:rPr>
        <w:t>）</w:t>
      </w:r>
      <w:r>
        <w:rPr>
          <w:rFonts w:ascii="Times New Roman" w:hAnsi="Times New Roman" w:eastAsia="Times New Roman" w:cs="Times New Roman"/>
          <w:color w:val="231F20"/>
        </w:rPr>
        <w:t>Sasako</w:t>
      </w:r>
      <w:r>
        <w:rPr>
          <w:rFonts w:ascii="Microsoft YaHei" w:hAnsi="Microsoft YaHei" w:eastAsia="Microsoft YaHei" w:cs="Microsoft YaHei"/>
          <w:color w:val="231F20"/>
          <w:spacing w:val="14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4"/>
          <w:position w:val="9"/>
        </w:rPr>
        <w:t>[40]</w:t>
      </w:r>
      <w:r>
        <w:rPr>
          <w:rFonts w:ascii="Microsoft YaHei" w:hAnsi="Microsoft YaHei" w:eastAsia="Microsoft YaHei" w:cs="Microsoft YaHei"/>
          <w:color w:val="231F20"/>
          <w:spacing w:val="14"/>
        </w:rPr>
        <w:t>在Ⅲ期随机对照研究</w:t>
      </w:r>
      <w:r>
        <w:rPr>
          <w:rFonts w:ascii="Times New Roman" w:hAnsi="Times New Roman" w:eastAsia="Times New Roman" w:cs="Times New Roman"/>
          <w:color w:val="231F20"/>
        </w:rPr>
        <w:t>ACTS</w:t>
      </w:r>
      <w:r>
        <w:rPr>
          <w:rFonts w:ascii="Times New Roman" w:hAnsi="Times New Roman" w:eastAsia="Times New Roman" w:cs="Times New Roman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GC</w:t>
      </w:r>
      <w:r>
        <w:rPr>
          <w:rFonts w:ascii="Microsoft YaHei" w:hAnsi="Microsoft YaHei" w:eastAsia="Microsoft YaHei" w:cs="Microsoft YaHei"/>
          <w:color w:val="231F20"/>
          <w:spacing w:val="9"/>
        </w:rPr>
        <w:t>中纳入了</w:t>
      </w:r>
      <w:r>
        <w:rPr>
          <w:rFonts w:ascii="Times New Roman" w:hAnsi="Times New Roman" w:eastAsia="Times New Roman" w:cs="Times New Roman"/>
          <w:color w:val="231F20"/>
          <w:spacing w:val="9"/>
        </w:rPr>
        <w:t>1059</w:t>
      </w:r>
      <w:r>
        <w:rPr>
          <w:rFonts w:ascii="Microsoft YaHei" w:hAnsi="Microsoft YaHei" w:eastAsia="Microsoft YaHei" w:cs="Microsoft YaHei"/>
          <w:color w:val="231F20"/>
          <w:spacing w:val="9"/>
        </w:rPr>
        <w:t>例Ⅱ</w:t>
      </w:r>
      <w:r>
        <w:rPr>
          <w:color w:val="231F20"/>
          <w:spacing w:val="9"/>
        </w:rPr>
        <w:t>~</w:t>
      </w:r>
      <w:r>
        <w:rPr>
          <w:rFonts w:ascii="Microsoft YaHei" w:hAnsi="Microsoft YaHei" w:eastAsia="Microsoft YaHei" w:cs="Microsoft YaHei"/>
          <w:color w:val="231F20"/>
          <w:spacing w:val="9"/>
        </w:rPr>
        <w:t>Ⅲ期胃癌患者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color w:val="231F20"/>
          <w:spacing w:val="9"/>
        </w:rPr>
        <w:t>比较单纯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手术和</w:t>
      </w:r>
      <w:r>
        <w:rPr>
          <w:rFonts w:ascii="Times New Roman" w:hAnsi="Times New Roman" w:eastAsia="Times New Roman" w:cs="Times New Roman"/>
          <w:color w:val="231F20"/>
          <w:spacing w:val="7"/>
        </w:rPr>
        <w:t>S-1</w:t>
      </w:r>
      <w:r>
        <w:rPr>
          <w:rFonts w:ascii="Microsoft YaHei" w:hAnsi="Microsoft YaHei" w:eastAsia="Microsoft YaHei" w:cs="Microsoft YaHei"/>
          <w:color w:val="231F20"/>
          <w:spacing w:val="7"/>
        </w:rPr>
        <w:t>术后辅助化疗持续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1</w:t>
      </w:r>
      <w:r>
        <w:rPr>
          <w:rFonts w:ascii="Microsoft YaHei" w:hAnsi="Microsoft YaHei" w:eastAsia="Microsoft YaHei" w:cs="Microsoft YaHei"/>
          <w:color w:val="231F20"/>
          <w:spacing w:val="7"/>
        </w:rPr>
        <w:t>年的疗效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color w:val="231F20"/>
          <w:spacing w:val="7"/>
        </w:rPr>
        <w:t>。</w:t>
      </w:r>
      <w:r>
        <w:rPr>
          <w:rFonts w:ascii="Microsoft YaHei" w:hAnsi="Microsoft YaHei" w:eastAsia="Microsoft YaHei" w:cs="Microsoft YaHei"/>
          <w:color w:val="231F20"/>
          <w:spacing w:val="7"/>
        </w:rPr>
        <w:t>结果显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示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color w:val="231F20"/>
          <w:spacing w:val="5"/>
        </w:rPr>
        <w:t>S-1</w:t>
      </w:r>
      <w:r>
        <w:rPr>
          <w:rFonts w:ascii="Microsoft YaHei" w:hAnsi="Microsoft YaHei" w:eastAsia="Microsoft YaHei" w:cs="Microsoft YaHei"/>
          <w:color w:val="231F20"/>
          <w:spacing w:val="5"/>
        </w:rPr>
        <w:t>辅助化疗优于单纯手术</w:t>
      </w:r>
      <w:r>
        <w:rPr>
          <w:rFonts w:ascii="Times New Roman" w:hAnsi="Times New Roman" w:eastAsia="Times New Roman" w:cs="Times New Roman"/>
          <w:color w:val="231F20"/>
          <w:spacing w:val="5"/>
        </w:rPr>
        <w:t>[5</w:t>
      </w:r>
      <w:r>
        <w:rPr>
          <w:rFonts w:ascii="Microsoft YaHei" w:hAnsi="Microsoft YaHei" w:eastAsia="Microsoft YaHei" w:cs="Microsoft YaHei"/>
          <w:color w:val="231F20"/>
          <w:spacing w:val="5"/>
        </w:rPr>
        <w:t>年生存率分别为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"/>
        </w:rPr>
        <w:t>61.1%</w:t>
      </w:r>
      <w:r>
        <w:rPr>
          <w:rFonts w:ascii="Microsoft YaHei" w:hAnsi="Microsoft YaHei" w:eastAsia="Microsoft YaHei" w:cs="Microsoft YaHei"/>
          <w:color w:val="231F20"/>
          <w:spacing w:val="-2"/>
        </w:rPr>
        <w:t>和</w:t>
      </w:r>
      <w:r>
        <w:rPr>
          <w:rFonts w:ascii="Times New Roman" w:hAnsi="Times New Roman" w:eastAsia="Times New Roman" w:cs="Times New Roman"/>
          <w:color w:val="231F20"/>
          <w:spacing w:val="-2"/>
        </w:rPr>
        <w:t>71.7%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HR</w:t>
      </w:r>
      <w:r>
        <w:rPr>
          <w:rFonts w:ascii="Times New Roman" w:hAnsi="Times New Roman" w:eastAsia="Times New Roman" w:cs="Times New Roman"/>
          <w:i/>
          <w:iCs/>
          <w:color w:val="231F20"/>
          <w:spacing w:val="29"/>
        </w:rPr>
        <w:t xml:space="preserve"> </w:t>
      </w:r>
      <w:r>
        <w:rPr>
          <w:color w:val="231F20"/>
          <w:spacing w:val="-2"/>
        </w:rPr>
        <w:t>＝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0.669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95%</w:t>
      </w:r>
      <w:r>
        <w:rPr>
          <w:rFonts w:ascii="Microsoft YaHei" w:hAnsi="Microsoft YaHei" w:eastAsia="Microsoft YaHei" w:cs="Microsoft YaHei"/>
          <w:color w:val="231F20"/>
          <w:spacing w:val="-2"/>
        </w:rPr>
        <w:t>置信</w:t>
      </w:r>
      <w:r>
        <w:rPr>
          <w:rFonts w:ascii="Microsoft YaHei" w:hAnsi="Microsoft YaHei" w:eastAsia="Microsoft YaHei" w:cs="Microsoft YaHei"/>
          <w:color w:val="231F20"/>
          <w:spacing w:val="-3"/>
        </w:rPr>
        <w:t>区间</w:t>
      </w: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CI</w:t>
      </w:r>
      <w:r>
        <w:rPr>
          <w:color w:val="231F20"/>
          <w:spacing w:val="-45"/>
          <w:w w:val="81"/>
        </w:rPr>
        <w:t>）：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0.540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color w:val="231F20"/>
        </w:rPr>
        <w:t>～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0.828]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S-1</w:t>
      </w:r>
      <w:r>
        <w:rPr>
          <w:rFonts w:ascii="Microsoft YaHei" w:hAnsi="Microsoft YaHei" w:eastAsia="Microsoft YaHei" w:cs="Microsoft YaHei"/>
          <w:color w:val="231F20"/>
        </w:rPr>
        <w:t>辅助化疗组较单纯手术组的术  </w:t>
      </w:r>
      <w:r>
        <w:rPr>
          <w:rFonts w:ascii="Microsoft YaHei" w:hAnsi="Microsoft YaHei" w:eastAsia="Microsoft YaHei" w:cs="Microsoft YaHei"/>
          <w:color w:val="231F20"/>
          <w:spacing w:val="-1"/>
        </w:rPr>
        <w:t>后腹膜转移风险显著降低了</w:t>
      </w:r>
      <w:r>
        <w:rPr>
          <w:rFonts w:ascii="Times New Roman" w:hAnsi="Times New Roman" w:eastAsia="Times New Roman" w:cs="Times New Roman"/>
          <w:color w:val="231F20"/>
          <w:spacing w:val="-1"/>
        </w:rPr>
        <w:t>31%</w:t>
      </w:r>
      <w:r>
        <w:rPr>
          <w:color w:val="231F20"/>
          <w:spacing w:val="-1"/>
        </w:rPr>
        <w:t>。</w:t>
      </w:r>
    </w:p>
    <w:p>
      <w:pPr>
        <w:pStyle w:val="BodyText"/>
        <w:ind w:firstLine="420"/>
        <w:spacing w:before="3" w:line="233" w:lineRule="auto"/>
        <w:tabs>
          <w:tab w:val="left" w:pos="115"/>
        </w:tabs>
        <w:rPr/>
      </w:pPr>
      <w:r>
        <w:rPr>
          <w:color w:val="231F20"/>
          <w:spacing w:val="8"/>
        </w:rPr>
        <w:t>（</w:t>
      </w:r>
      <w:r>
        <w:rPr>
          <w:rFonts w:ascii="Times New Roman" w:hAnsi="Times New Roman" w:eastAsia="Times New Roman" w:cs="Times New Roman"/>
          <w:color w:val="231F20"/>
          <w:spacing w:val="8"/>
        </w:rPr>
        <w:t>2</w:t>
      </w:r>
      <w:r>
        <w:rPr>
          <w:color w:val="231F20"/>
          <w:spacing w:val="8"/>
        </w:rPr>
        <w:t>）</w:t>
      </w:r>
      <w:r>
        <w:rPr>
          <w:rFonts w:ascii="Times New Roman" w:hAnsi="Times New Roman" w:eastAsia="Times New Roman" w:cs="Times New Roman"/>
          <w:color w:val="231F20"/>
        </w:rPr>
        <w:t>Kanda</w:t>
      </w:r>
      <w:r>
        <w:rPr>
          <w:rFonts w:ascii="Microsoft YaHei" w:hAnsi="Microsoft YaHei" w:eastAsia="Microsoft YaHei" w:cs="Microsoft YaHei"/>
          <w:color w:val="231F20"/>
          <w:spacing w:val="8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8"/>
          <w:position w:val="9"/>
        </w:rPr>
        <w:t>[41] </w:t>
      </w:r>
      <w:r>
        <w:rPr>
          <w:rFonts w:ascii="Microsoft YaHei" w:hAnsi="Microsoft YaHei" w:eastAsia="Microsoft YaHei" w:cs="Microsoft YaHei"/>
          <w:color w:val="231F20"/>
          <w:spacing w:val="8"/>
        </w:rPr>
        <w:t>回顾性纳入了</w:t>
      </w:r>
      <w:r>
        <w:rPr>
          <w:rFonts w:ascii="Times New Roman" w:hAnsi="Times New Roman" w:eastAsia="Times New Roman" w:cs="Times New Roman"/>
          <w:color w:val="231F20"/>
          <w:spacing w:val="8"/>
        </w:rPr>
        <w:t>70</w:t>
      </w:r>
      <w:r>
        <w:rPr>
          <w:rFonts w:ascii="Microsoft YaHei" w:hAnsi="Microsoft YaHei" w:eastAsia="Microsoft YaHei" w:cs="Microsoft YaHei"/>
          <w:color w:val="231F20"/>
          <w:spacing w:val="8"/>
        </w:rPr>
        <w:t>对</w:t>
      </w:r>
      <w:r>
        <w:rPr>
          <w:color w:val="231F20"/>
          <w:spacing w:val="8"/>
        </w:rPr>
        <w:t>（</w:t>
      </w:r>
      <w:r>
        <w:rPr>
          <w:rFonts w:ascii="Times New Roman" w:hAnsi="Times New Roman" w:eastAsia="Times New Roman" w:cs="Times New Roman"/>
          <w:color w:val="231F20"/>
          <w:spacing w:val="8"/>
        </w:rPr>
        <w:t>140</w:t>
      </w:r>
      <w:r>
        <w:rPr>
          <w:rFonts w:ascii="Microsoft YaHei" w:hAnsi="Microsoft YaHei" w:eastAsia="Microsoft YaHei" w:cs="Microsoft YaHei"/>
          <w:color w:val="231F20"/>
          <w:spacing w:val="8"/>
        </w:rPr>
        <w:t>例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8"/>
        </w:rPr>
        <w:t>）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8"/>
        </w:rPr>
        <w:t>配对的Ⅱ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28"/>
        </w:rPr>
        <w:t>~</w:t>
      </w:r>
      <w:r>
        <w:rPr>
          <w:rFonts w:ascii="Microsoft YaHei" w:hAnsi="Microsoft YaHei" w:eastAsia="Microsoft YaHei" w:cs="Microsoft YaHei"/>
          <w:color w:val="231F20"/>
          <w:spacing w:val="28"/>
        </w:rPr>
        <w:t>Ⅲ期胃癌患者使用倾向性匹配分析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color w:val="231F20"/>
        </w:rPr>
        <w:t>propensity</w:t>
      </w:r>
      <w:r>
        <w:rPr>
          <w:rFonts w:ascii="Times New Roman" w:hAnsi="Times New Roman" w:eastAsia="Times New Roman" w:cs="Times New Roman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score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matching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analysis</w:t>
      </w:r>
      <w:r>
        <w:rPr>
          <w:color w:val="231F20"/>
          <w:spacing w:val="-39"/>
        </w:rPr>
        <w:t>），</w:t>
      </w:r>
      <w:r>
        <w:rPr>
          <w:rFonts w:ascii="Microsoft YaHei" w:hAnsi="Microsoft YaHei" w:eastAsia="Microsoft YaHei" w:cs="Microsoft YaHei"/>
          <w:color w:val="231F20"/>
          <w:spacing w:val="1"/>
        </w:rPr>
        <w:t>发现</w:t>
      </w:r>
      <w:r>
        <w:rPr>
          <w:rFonts w:ascii="Times New Roman" w:hAnsi="Times New Roman" w:eastAsia="Times New Roman" w:cs="Times New Roman"/>
          <w:color w:val="231F20"/>
          <w:spacing w:val="1"/>
        </w:rPr>
        <w:t>S-1</w:t>
      </w:r>
      <w:r>
        <w:rPr>
          <w:rFonts w:ascii="Microsoft YaHei" w:hAnsi="Microsoft YaHei" w:eastAsia="Microsoft YaHei" w:cs="Microsoft YaHei"/>
          <w:color w:val="231F20"/>
          <w:spacing w:val="1"/>
        </w:rPr>
        <w:t>辅助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化疗组较单纯手术预后更佳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rFonts w:ascii="Microsoft YaHei" w:hAnsi="Microsoft YaHei" w:eastAsia="Microsoft YaHei" w:cs="Microsoft YaHei"/>
          <w:color w:val="231F20"/>
          <w:spacing w:val="-1"/>
        </w:rPr>
        <w:t>年无复发率</w:t>
      </w:r>
      <w:r>
        <w:rPr>
          <w:rFonts w:ascii="Times New Roman" w:hAnsi="Times New Roman" w:eastAsia="Times New Roman" w:cs="Times New Roman"/>
          <w:color w:val="231F20"/>
          <w:spacing w:val="-1"/>
        </w:rPr>
        <w:t>71%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 </w:t>
      </w:r>
      <w:r>
        <w:rPr>
          <w:color w:val="231F20"/>
          <w:spacing w:val="-1"/>
        </w:rPr>
        <w:t>︰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7"/>
        </w:rPr>
        <w:t>53%</w:t>
      </w:r>
      <w:r>
        <w:rPr>
          <w:color w:val="231F20"/>
          <w:spacing w:val="-7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7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＝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0.035</w:t>
      </w:r>
      <w:r>
        <w:rPr>
          <w:color w:val="231F20"/>
          <w:spacing w:val="-29"/>
          <w:w w:val="52"/>
        </w:rPr>
        <w:t>），</w:t>
      </w:r>
      <w:r>
        <w:rPr>
          <w:rFonts w:ascii="Microsoft YaHei" w:hAnsi="Microsoft YaHei" w:eastAsia="Microsoft YaHei" w:cs="Microsoft YaHei"/>
          <w:color w:val="231F20"/>
          <w:spacing w:val="-7"/>
        </w:rPr>
        <w:t>且腹膜转移率明显降低</w:t>
      </w:r>
      <w:r>
        <w:rPr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color w:val="231F20"/>
          <w:spacing w:val="-8"/>
        </w:rPr>
        <w:t>5.7%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 </w:t>
      </w:r>
      <w:r>
        <w:rPr>
          <w:color w:val="231F20"/>
          <w:spacing w:val="-8"/>
        </w:rPr>
        <w:t>︰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-11"/>
        </w:rPr>
        <w:t>18.6%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11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1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7"/>
        </w:rPr>
        <w:t xml:space="preserve"> </w:t>
      </w:r>
      <w:r>
        <w:rPr>
          <w:color w:val="231F20"/>
          <w:spacing w:val="-11"/>
        </w:rPr>
        <w:t>＝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0.017</w:t>
      </w:r>
      <w:r>
        <w:rPr>
          <w:color w:val="231F20"/>
          <w:spacing w:val="-11"/>
        </w:rPr>
        <w:t>）。</w:t>
      </w:r>
    </w:p>
    <w:p>
      <w:pPr>
        <w:pStyle w:val="BodyText"/>
        <w:ind w:left="96" w:right="91" w:firstLine="323"/>
        <w:spacing w:before="79" w:line="223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color w:val="231F20"/>
          <w:spacing w:val="-3"/>
        </w:rPr>
        <w:t>Tsuburaya</w:t>
      </w:r>
      <w:r>
        <w:rPr>
          <w:rFonts w:ascii="Microsoft YaHei" w:hAnsi="Microsoft YaHei" w:eastAsia="Microsoft YaHei" w:cs="Microsoft YaHei"/>
          <w:color w:val="231F20"/>
          <w:spacing w:val="-3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3"/>
          <w:position w:val="9"/>
        </w:rPr>
        <w:t>[42]</w:t>
      </w:r>
      <w:r>
        <w:rPr>
          <w:rFonts w:ascii="Microsoft YaHei" w:hAnsi="Microsoft YaHei" w:eastAsia="Microsoft YaHei" w:cs="Microsoft YaHei"/>
          <w:color w:val="231F20"/>
          <w:spacing w:val="-3"/>
        </w:rPr>
        <w:t>在Ⅲ期随机对照研究</w:t>
      </w:r>
      <w:r>
        <w:rPr>
          <w:rFonts w:ascii="Times New Roman" w:hAnsi="Times New Roman" w:eastAsia="Times New Roman" w:cs="Times New Roman"/>
          <w:color w:val="231F20"/>
          <w:spacing w:val="-3"/>
        </w:rPr>
        <w:t>SAMIT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中纳入了</w:t>
      </w:r>
      <w:r>
        <w:rPr>
          <w:rFonts w:ascii="Times New Roman" w:hAnsi="Times New Roman" w:eastAsia="Times New Roman" w:cs="Times New Roman"/>
          <w:color w:val="231F20"/>
          <w:spacing w:val="3"/>
        </w:rPr>
        <w:t>1495</w:t>
      </w:r>
      <w:r>
        <w:rPr>
          <w:rFonts w:ascii="Microsoft YaHei" w:hAnsi="Microsoft YaHei" w:eastAsia="Microsoft YaHei" w:cs="Microsoft YaHei"/>
          <w:color w:val="231F20"/>
          <w:spacing w:val="3"/>
        </w:rPr>
        <w:t>例</w:t>
      </w:r>
      <w:r>
        <w:rPr>
          <w:rFonts w:ascii="Times New Roman" w:hAnsi="Times New Roman" w:eastAsia="Times New Roman" w:cs="Times New Roman"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3"/>
          <w:position w:val="-3"/>
        </w:rPr>
        <w:t>4a</w:t>
      </w:r>
      <w:r>
        <w:rPr>
          <w:rFonts w:ascii="Microsoft YaHei" w:hAnsi="Microsoft YaHei" w:eastAsia="Microsoft YaHei" w:cs="Microsoft YaHei"/>
          <w:color w:val="231F20"/>
          <w:spacing w:val="3"/>
        </w:rPr>
        <w:t>和</w:t>
      </w:r>
      <w:r>
        <w:rPr>
          <w:rFonts w:ascii="Times New Roman" w:hAnsi="Times New Roman" w:eastAsia="Times New Roman" w:cs="Times New Roman"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3"/>
          <w:position w:val="-3"/>
        </w:rPr>
        <w:t>4b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9"/>
          <w:position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的胃癌</w:t>
      </w:r>
      <w:r>
        <w:rPr>
          <w:rFonts w:ascii="Microsoft YaHei" w:hAnsi="Microsoft YaHei" w:eastAsia="Microsoft YaHei" w:cs="Microsoft YaHei"/>
          <w:color w:val="231F20"/>
          <w:spacing w:val="2"/>
        </w:rPr>
        <w:t>患者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2"/>
        </w:rPr>
        <w:t>，</w:t>
      </w:r>
      <w:r>
        <w:rPr>
          <w:color w:val="231F20"/>
          <w:spacing w:val="-6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比较</w:t>
      </w:r>
      <w:r>
        <w:rPr>
          <w:rFonts w:ascii="Times New Roman" w:hAnsi="Times New Roman" w:eastAsia="Times New Roman" w:cs="Times New Roman"/>
          <w:color w:val="231F20"/>
        </w:rPr>
        <w:t>PTX</w:t>
      </w:r>
      <w:r>
        <w:rPr>
          <w:rFonts w:ascii="Microsoft YaHei" w:hAnsi="Microsoft YaHei" w:eastAsia="Microsoft YaHei" w:cs="Microsoft YaHei"/>
          <w:color w:val="231F20"/>
          <w:spacing w:val="2"/>
        </w:rPr>
        <w:t>序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贯复方替加氟</w:t>
      </w: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color w:val="231F20"/>
        </w:rPr>
        <w:t>UFT</w:t>
      </w:r>
      <w:r>
        <w:rPr>
          <w:color w:val="231F20"/>
          <w:spacing w:val="4"/>
        </w:rPr>
        <w:t>）</w:t>
      </w:r>
      <w:r>
        <w:rPr>
          <w:rFonts w:ascii="Microsoft YaHei" w:hAnsi="Microsoft YaHei" w:eastAsia="Microsoft YaHei" w:cs="Microsoft YaHei"/>
          <w:color w:val="231F20"/>
          <w:spacing w:val="4"/>
        </w:rPr>
        <w:t>或</w:t>
      </w:r>
      <w:r>
        <w:rPr>
          <w:rFonts w:ascii="Times New Roman" w:hAnsi="Times New Roman" w:eastAsia="Times New Roman" w:cs="Times New Roman"/>
          <w:color w:val="231F20"/>
          <w:spacing w:val="4"/>
        </w:rPr>
        <w:t>S-1</w:t>
      </w:r>
      <w:r>
        <w:rPr>
          <w:rFonts w:ascii="Microsoft YaHei" w:hAnsi="Microsoft YaHei" w:eastAsia="Microsoft YaHei" w:cs="Microsoft YaHei"/>
          <w:color w:val="231F20"/>
          <w:spacing w:val="4"/>
        </w:rPr>
        <w:t>和单药</w:t>
      </w:r>
      <w:r>
        <w:rPr>
          <w:rFonts w:ascii="Times New Roman" w:hAnsi="Times New Roman" w:eastAsia="Times New Roman" w:cs="Times New Roman"/>
          <w:color w:val="231F20"/>
        </w:rPr>
        <w:t>UFT</w:t>
      </w:r>
      <w:r>
        <w:rPr>
          <w:rFonts w:ascii="Microsoft YaHei" w:hAnsi="Microsoft YaHei" w:eastAsia="Microsoft YaHei" w:cs="Microsoft YaHei"/>
          <w:color w:val="231F20"/>
          <w:spacing w:val="4"/>
        </w:rPr>
        <w:t>或</w:t>
      </w:r>
      <w:r>
        <w:rPr>
          <w:rFonts w:ascii="Times New Roman" w:hAnsi="Times New Roman" w:eastAsia="Times New Roman" w:cs="Times New Roman"/>
          <w:color w:val="231F20"/>
          <w:spacing w:val="4"/>
        </w:rPr>
        <w:t>S-1</w:t>
      </w:r>
      <w:r>
        <w:rPr>
          <w:rFonts w:ascii="Microsoft YaHei" w:hAnsi="Microsoft YaHei" w:eastAsia="Microsoft YaHei" w:cs="Microsoft YaHei"/>
          <w:color w:val="231F20"/>
          <w:spacing w:val="4"/>
        </w:rPr>
        <w:t>的疗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效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color w:val="231F20"/>
          <w:spacing w:val="-1"/>
        </w:rPr>
        <w:t>。</w:t>
      </w:r>
      <w:r>
        <w:rPr>
          <w:rFonts w:ascii="Times New Roman" w:hAnsi="Times New Roman" w:eastAsia="Times New Roman" w:cs="Times New Roman"/>
          <w:color w:val="231F20"/>
          <w:spacing w:val="-1"/>
        </w:rPr>
        <w:t>PTX</w:t>
      </w:r>
      <w:r>
        <w:rPr>
          <w:rFonts w:ascii="Microsoft YaHei" w:hAnsi="Microsoft YaHei" w:eastAsia="Microsoft YaHei" w:cs="Microsoft YaHei"/>
          <w:color w:val="231F20"/>
          <w:spacing w:val="-1"/>
        </w:rPr>
        <w:t>序贯</w:t>
      </w:r>
      <w:r>
        <w:rPr>
          <w:rFonts w:ascii="Times New Roman" w:hAnsi="Times New Roman" w:eastAsia="Times New Roman" w:cs="Times New Roman"/>
          <w:color w:val="231F20"/>
          <w:spacing w:val="-1"/>
        </w:rPr>
        <w:t>S-1</w:t>
      </w:r>
      <w:r>
        <w:rPr>
          <w:rFonts w:ascii="Microsoft YaHei" w:hAnsi="Microsoft YaHei" w:eastAsia="Microsoft YaHei" w:cs="Microsoft YaHei"/>
          <w:color w:val="231F20"/>
          <w:spacing w:val="-1"/>
        </w:rPr>
        <w:t>组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355</w:t>
      </w:r>
      <w:r>
        <w:rPr>
          <w:rFonts w:ascii="Microsoft YaHei" w:hAnsi="Microsoft YaHei" w:eastAsia="Microsoft YaHei" w:cs="Microsoft YaHei"/>
          <w:color w:val="231F20"/>
          <w:spacing w:val="-1"/>
        </w:rPr>
        <w:t>例</w:t>
      </w:r>
      <w:r>
        <w:rPr>
          <w:color w:val="231F20"/>
          <w:spacing w:val="-1"/>
        </w:rPr>
        <w:t>）</w:t>
      </w:r>
      <w:r>
        <w:rPr>
          <w:rFonts w:ascii="Microsoft YaHei" w:hAnsi="Microsoft YaHei" w:eastAsia="Microsoft YaHei" w:cs="Microsoft YaHei"/>
          <w:color w:val="231F20"/>
          <w:spacing w:val="-1"/>
        </w:rPr>
        <w:t>较</w:t>
      </w:r>
      <w:r>
        <w:rPr>
          <w:rFonts w:ascii="Times New Roman" w:hAnsi="Times New Roman" w:eastAsia="Times New Roman" w:cs="Times New Roman"/>
          <w:color w:val="231F20"/>
          <w:spacing w:val="-1"/>
        </w:rPr>
        <w:t>S-1</w:t>
      </w:r>
      <w:r>
        <w:rPr>
          <w:rFonts w:ascii="Microsoft YaHei" w:hAnsi="Microsoft YaHei" w:eastAsia="Microsoft YaHei" w:cs="Microsoft YaHei"/>
          <w:color w:val="231F20"/>
          <w:spacing w:val="-1"/>
        </w:rPr>
        <w:t>组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36</w:t>
      </w:r>
      <w:r>
        <w:rPr>
          <w:rFonts w:ascii="Times New Roman" w:hAnsi="Times New Roman" w:eastAsia="Times New Roman" w:cs="Times New Roman"/>
          <w:color w:val="231F20"/>
          <w:spacing w:val="-2"/>
        </w:rPr>
        <w:t>4</w:t>
      </w:r>
      <w:r>
        <w:rPr>
          <w:rFonts w:ascii="Microsoft YaHei" w:hAnsi="Microsoft YaHei" w:eastAsia="Microsoft YaHei" w:cs="Microsoft YaHei"/>
          <w:color w:val="231F20"/>
          <w:spacing w:val="-2"/>
        </w:rPr>
        <w:t>例</w:t>
      </w:r>
      <w:r>
        <w:rPr>
          <w:color w:val="231F20"/>
          <w:spacing w:val="-2"/>
        </w:rPr>
        <w:t>）</w:t>
      </w:r>
      <w:r>
        <w:rPr>
          <w:rFonts w:ascii="Times New Roman" w:hAnsi="Times New Roman" w:eastAsia="Times New Roman" w:cs="Times New Roman"/>
          <w:color w:val="231F20"/>
          <w:spacing w:val="-2"/>
        </w:rPr>
        <w:t>[</w:t>
      </w:r>
      <w:r>
        <w:rPr>
          <w:rFonts w:ascii="Microsoft YaHei" w:hAnsi="Microsoft YaHei" w:eastAsia="Microsoft YaHei" w:cs="Microsoft YaHei"/>
          <w:color w:val="231F20"/>
          <w:spacing w:val="-2"/>
        </w:rPr>
        <w:t>第</w:t>
      </w:r>
    </w:p>
    <w:p>
      <w:pPr>
        <w:pStyle w:val="BodyText"/>
        <w:ind w:left="94" w:right="33" w:firstLine="21"/>
        <w:spacing w:before="35" w:line="238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1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～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14</w:t>
      </w:r>
      <w:r>
        <w:rPr>
          <w:rFonts w:ascii="Microsoft YaHei" w:hAnsi="Microsoft YaHei" w:eastAsia="Microsoft YaHei" w:cs="Microsoft YaHei"/>
          <w:color w:val="231F20"/>
          <w:spacing w:val="-1"/>
        </w:rPr>
        <w:t>天</w:t>
      </w:r>
      <w:r>
        <w:rPr>
          <w:rFonts w:ascii="Times New Roman" w:hAnsi="Times New Roman" w:eastAsia="Times New Roman" w:cs="Times New Roman"/>
          <w:color w:val="231F20"/>
          <w:spacing w:val="-1"/>
        </w:rPr>
        <w:t>S-1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80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mg/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10"/>
        </w:rPr>
        <w:t>2</w:t>
      </w:r>
      <w:r>
        <w:rPr>
          <w:rFonts w:ascii="Times New Roman" w:hAnsi="Times New Roman" w:eastAsia="Times New Roman" w:cs="Times New Roman"/>
          <w:color w:val="231F20"/>
          <w:spacing w:val="-1"/>
        </w:rPr>
        <w:t>•d</w:t>
      </w:r>
      <w:r>
        <w:rPr>
          <w:color w:val="231F20"/>
          <w:spacing w:val="-42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"/>
        </w:rPr>
        <w:t>每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rFonts w:ascii="Microsoft YaHei" w:hAnsi="Microsoft YaHei" w:eastAsia="Microsoft YaHei" w:cs="Microsoft YaHei"/>
          <w:color w:val="231F20"/>
          <w:spacing w:val="-2"/>
        </w:rPr>
        <w:t>周一周期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持续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6"/>
        </w:rPr>
        <w:t>48</w:t>
      </w:r>
      <w:r>
        <w:rPr>
          <w:rFonts w:ascii="Microsoft YaHei" w:hAnsi="Microsoft YaHei" w:eastAsia="Microsoft YaHei" w:cs="Microsoft YaHei"/>
          <w:color w:val="231F20"/>
          <w:spacing w:val="6"/>
        </w:rPr>
        <w:t>周</w:t>
      </w:r>
      <w:r>
        <w:rPr>
          <w:rFonts w:ascii="Times New Roman" w:hAnsi="Times New Roman" w:eastAsia="Times New Roman" w:cs="Times New Roman"/>
          <w:color w:val="231F20"/>
          <w:spacing w:val="6"/>
        </w:rPr>
        <w:t>]</w:t>
      </w:r>
      <w:r>
        <w:rPr>
          <w:rFonts w:ascii="Microsoft YaHei" w:hAnsi="Microsoft YaHei" w:eastAsia="Microsoft YaHei" w:cs="Microsoft YaHei"/>
          <w:color w:val="231F20"/>
          <w:spacing w:val="6"/>
        </w:rPr>
        <w:t>有生存获益的趋势</w:t>
      </w:r>
      <w:r>
        <w:rPr>
          <w:color w:val="231F20"/>
          <w:spacing w:val="6"/>
        </w:rPr>
        <w:t>（</w:t>
      </w:r>
      <w:r>
        <w:rPr>
          <w:rFonts w:ascii="Microsoft YaHei" w:hAnsi="Microsoft YaHei" w:eastAsia="Microsoft YaHei" w:cs="Microsoft YaHei"/>
          <w:color w:val="231F20"/>
          <w:spacing w:val="6"/>
        </w:rPr>
        <w:t>但差异无显著性</w:t>
      </w:r>
      <w:r>
        <w:rPr>
          <w:color w:val="231F20"/>
          <w:spacing w:val="5"/>
        </w:rPr>
        <w:t>）</w:t>
      </w:r>
      <w:r>
        <w:rPr>
          <w:rFonts w:ascii="Microsoft YaHei" w:hAnsi="Microsoft YaHei" w:eastAsia="Microsoft YaHei" w:cs="Microsoft YaHei"/>
          <w:color w:val="231F20"/>
          <w:spacing w:val="5"/>
        </w:rPr>
        <w:t>及较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0"/>
        </w:rPr>
        <w:t>小的腹膜转移风险</w:t>
      </w:r>
      <w:r>
        <w:rPr>
          <w:color w:val="231F20"/>
          <w:spacing w:val="-20"/>
        </w:rPr>
        <w:t>（</w:t>
      </w:r>
      <w:r>
        <w:rPr>
          <w:rFonts w:ascii="Times New Roman" w:hAnsi="Times New Roman" w:eastAsia="Times New Roman" w:cs="Times New Roman"/>
          <w:color w:val="231F20"/>
          <w:spacing w:val="-20"/>
        </w:rPr>
        <w:t>17%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 </w:t>
      </w:r>
      <w:r>
        <w:rPr>
          <w:color w:val="231F20"/>
          <w:spacing w:val="-20"/>
        </w:rPr>
        <w:t>︰</w:t>
      </w:r>
      <w:r>
        <w:rPr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0"/>
        </w:rPr>
        <w:t>22%</w:t>
      </w:r>
      <w:r>
        <w:rPr>
          <w:color w:val="231F20"/>
          <w:spacing w:val="-20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20"/>
        </w:rPr>
        <w:t>P</w:t>
      </w:r>
      <w:r>
        <w:rPr>
          <w:rFonts w:ascii="Microsoft YaHei" w:hAnsi="Microsoft YaHei" w:eastAsia="Microsoft YaHei" w:cs="Microsoft YaHei"/>
          <w:color w:val="231F20"/>
          <w:spacing w:val="-20"/>
        </w:rPr>
        <w:t>值不详</w:t>
      </w:r>
      <w:r>
        <w:rPr>
          <w:color w:val="231F20"/>
          <w:spacing w:val="-20"/>
        </w:rPr>
        <w:t>）。</w:t>
      </w:r>
      <w:r>
        <w:rPr>
          <w:rFonts w:ascii="Microsoft YaHei" w:hAnsi="Microsoft YaHei" w:eastAsia="Microsoft YaHei" w:cs="Microsoft YaHei"/>
          <w:color w:val="231F20"/>
          <w:spacing w:val="-20"/>
        </w:rPr>
        <w:t>因此</w:t>
      </w:r>
      <w:r>
        <w:rPr>
          <w:color w:val="231F20"/>
          <w:spacing w:val="-20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PTX</w:t>
      </w:r>
      <w:r>
        <w:rPr>
          <w:rFonts w:ascii="Microsoft YaHei" w:hAnsi="Microsoft YaHei" w:eastAsia="Microsoft YaHei" w:cs="Microsoft YaHei"/>
          <w:color w:val="231F20"/>
          <w:spacing w:val="-1"/>
        </w:rPr>
        <w:t>序贯</w:t>
      </w:r>
      <w:r>
        <w:rPr>
          <w:rFonts w:ascii="Times New Roman" w:hAnsi="Times New Roman" w:eastAsia="Times New Roman" w:cs="Times New Roman"/>
          <w:color w:val="231F20"/>
          <w:spacing w:val="-1"/>
        </w:rPr>
        <w:t>S-1</w:t>
      </w:r>
      <w:r>
        <w:rPr>
          <w:rFonts w:ascii="Microsoft YaHei" w:hAnsi="Microsoft YaHei" w:eastAsia="Microsoft YaHei" w:cs="Microsoft YaHei"/>
          <w:color w:val="231F20"/>
          <w:spacing w:val="-1"/>
        </w:rPr>
        <w:t>辅助化疗不劣于单药</w:t>
      </w:r>
      <w:r>
        <w:rPr>
          <w:rFonts w:ascii="Times New Roman" w:hAnsi="Times New Roman" w:eastAsia="Times New Roman" w:cs="Times New Roman"/>
          <w:color w:val="231F20"/>
          <w:spacing w:val="-1"/>
        </w:rPr>
        <w:t>S-1</w:t>
      </w:r>
      <w:r>
        <w:rPr>
          <w:color w:val="231F20"/>
          <w:spacing w:val="-1"/>
        </w:rPr>
        <w:t>。</w:t>
      </w:r>
    </w:p>
    <w:p>
      <w:pPr>
        <w:pStyle w:val="BodyText"/>
        <w:ind w:right="33" w:firstLine="419"/>
        <w:spacing w:before="2" w:line="231" w:lineRule="auto"/>
        <w:tabs>
          <w:tab w:val="left" w:pos="115"/>
        </w:tabs>
        <w:jc w:val="both"/>
        <w:rPr/>
      </w:pPr>
      <w:r>
        <w:rPr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color w:val="231F20"/>
          <w:spacing w:val="3"/>
        </w:rPr>
        <w:t>4</w:t>
      </w:r>
      <w:r>
        <w:rPr>
          <w:color w:val="231F20"/>
          <w:spacing w:val="3"/>
        </w:rPr>
        <w:t>）</w:t>
      </w:r>
      <w:r>
        <w:rPr>
          <w:rFonts w:ascii="Times New Roman" w:hAnsi="Times New Roman" w:eastAsia="Times New Roman" w:cs="Times New Roman"/>
          <w:color w:val="231F20"/>
        </w:rPr>
        <w:t>Takahari</w:t>
      </w:r>
      <w:r>
        <w:rPr>
          <w:rFonts w:ascii="Microsoft YaHei" w:hAnsi="Microsoft YaHei" w:eastAsia="Microsoft YaHei" w:cs="Microsoft YaHei"/>
          <w:color w:val="231F20"/>
          <w:spacing w:val="3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3"/>
          <w:position w:val="9"/>
        </w:rPr>
        <w:t>[43]</w:t>
      </w:r>
      <w:r>
        <w:rPr>
          <w:rFonts w:ascii="Microsoft YaHei" w:hAnsi="Microsoft YaHei" w:eastAsia="Microsoft YaHei" w:cs="Microsoft YaHei"/>
          <w:color w:val="231F20"/>
          <w:spacing w:val="3"/>
        </w:rPr>
        <w:t>在一项Ⅱ期研究中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color w:val="231F20"/>
          <w:spacing w:val="3"/>
        </w:rPr>
        <w:t>对纳入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5"/>
        </w:rPr>
        <w:t>的</w:t>
      </w:r>
      <w:r>
        <w:rPr>
          <w:rFonts w:ascii="Times New Roman" w:hAnsi="Times New Roman" w:eastAsia="Times New Roman" w:cs="Times New Roman"/>
          <w:color w:val="231F20"/>
          <w:spacing w:val="15"/>
        </w:rPr>
        <w:t>63</w:t>
      </w:r>
      <w:r>
        <w:rPr>
          <w:rFonts w:ascii="Microsoft YaHei" w:hAnsi="Microsoft YaHei" w:eastAsia="Microsoft YaHei" w:cs="Microsoft YaHei"/>
          <w:color w:val="231F20"/>
          <w:spacing w:val="15"/>
        </w:rPr>
        <w:t>例Ⅲ期胃癌患者使用</w:t>
      </w:r>
      <w:r>
        <w:rPr>
          <w:rFonts w:ascii="Times New Roman" w:hAnsi="Times New Roman" w:eastAsia="Times New Roman" w:cs="Times New Roman"/>
          <w:color w:val="231F20"/>
          <w:spacing w:val="15"/>
        </w:rPr>
        <w:t>S-1/</w:t>
      </w:r>
      <w:r>
        <w:rPr>
          <w:rFonts w:ascii="Times New Roman" w:hAnsi="Times New Roman" w:eastAsia="Times New Roman" w:cs="Times New Roman"/>
          <w:color w:val="231F20"/>
        </w:rPr>
        <w:t>CDDP</w:t>
      </w:r>
      <w:r>
        <w:rPr>
          <w:rFonts w:ascii="Microsoft YaHei" w:hAnsi="Microsoft YaHei" w:eastAsia="Microsoft YaHei" w:cs="Microsoft YaHei"/>
          <w:color w:val="231F20"/>
          <w:spacing w:val="15"/>
        </w:rPr>
        <w:t>序贯</w:t>
      </w:r>
      <w:r>
        <w:rPr>
          <w:rFonts w:ascii="Times New Roman" w:hAnsi="Times New Roman" w:eastAsia="Times New Roman" w:cs="Times New Roman"/>
          <w:color w:val="231F20"/>
          <w:spacing w:val="15"/>
        </w:rPr>
        <w:t>S-1</w:t>
      </w:r>
      <w:r>
        <w:rPr>
          <w:rFonts w:ascii="Microsoft YaHei" w:hAnsi="Microsoft YaHei" w:eastAsia="Microsoft YaHei" w:cs="Microsoft YaHei"/>
          <w:color w:val="231F20"/>
          <w:spacing w:val="15"/>
        </w:rPr>
        <w:t>辅助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化疗</w:t>
      </w:r>
      <w:r>
        <w:rPr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color w:val="231F20"/>
        </w:rPr>
        <w:t>SP</w:t>
      </w:r>
      <w:r>
        <w:rPr>
          <w:rFonts w:ascii="Microsoft YaHei" w:hAnsi="Microsoft YaHei" w:eastAsia="Microsoft YaHei" w:cs="Microsoft YaHei"/>
          <w:color w:val="231F20"/>
          <w:spacing w:val="3"/>
        </w:rPr>
        <w:t>方案</w:t>
      </w:r>
      <w:r>
        <w:rPr>
          <w:color w:val="231F20"/>
          <w:spacing w:val="3"/>
        </w:rPr>
        <w:t>）</w:t>
      </w:r>
      <w:r>
        <w:rPr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共</w:t>
      </w:r>
      <w:r>
        <w:rPr>
          <w:rFonts w:ascii="Times New Roman" w:hAnsi="Times New Roman" w:eastAsia="Times New Roman" w:cs="Times New Roman"/>
          <w:color w:val="231F20"/>
          <w:spacing w:val="3"/>
        </w:rPr>
        <w:t>3</w:t>
      </w:r>
      <w:r>
        <w:rPr>
          <w:rFonts w:ascii="Microsoft YaHei" w:hAnsi="Microsoft YaHei" w:eastAsia="Microsoft YaHei" w:cs="Microsoft YaHei"/>
          <w:color w:val="231F20"/>
          <w:spacing w:val="3"/>
        </w:rPr>
        <w:t>周期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3"/>
        </w:rPr>
        <w:t>：</w:t>
      </w:r>
      <w:r>
        <w:rPr>
          <w:rFonts w:ascii="Microsoft YaHei" w:hAnsi="Microsoft YaHei" w:eastAsia="Microsoft YaHei" w:cs="Microsoft YaHei"/>
          <w:color w:val="231F20"/>
          <w:spacing w:val="3"/>
        </w:rPr>
        <w:t>第</w:t>
      </w:r>
      <w:r>
        <w:rPr>
          <w:rFonts w:ascii="Microsoft YaHei" w:hAnsi="Microsoft YaHei" w:eastAsia="Microsoft YaHei" w:cs="Microsoft YaHei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color w:val="231F20"/>
          <w:spacing w:val="3"/>
        </w:rPr>
        <w:t>～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21</w:t>
      </w:r>
      <w:r>
        <w:rPr>
          <w:rFonts w:ascii="Microsoft YaHei" w:hAnsi="Microsoft YaHei" w:eastAsia="Microsoft YaHei" w:cs="Microsoft YaHei"/>
          <w:color w:val="231F20"/>
          <w:spacing w:val="3"/>
        </w:rPr>
        <w:t>天</w:t>
      </w:r>
      <w:r>
        <w:rPr>
          <w:rFonts w:ascii="Times New Roman" w:hAnsi="Times New Roman" w:eastAsia="Times New Roman" w:cs="Times New Roman"/>
          <w:color w:val="231F20"/>
          <w:spacing w:val="3"/>
        </w:rPr>
        <w:t>S-1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80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3"/>
        </w:rPr>
        <w:t>/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  <w:position w:val="10"/>
        </w:rPr>
        <w:t>2</w:t>
      </w:r>
      <w:r>
        <w:rPr>
          <w:rFonts w:ascii="Times New Roman" w:hAnsi="Times New Roman" w:eastAsia="Times New Roman" w:cs="Times New Roman"/>
          <w:color w:val="231F20"/>
          <w:spacing w:val="-4"/>
        </w:rPr>
        <w:t>•d</w:t>
      </w:r>
      <w:r>
        <w:rPr>
          <w:color w:val="231F20"/>
          <w:spacing w:val="-34"/>
        </w:rPr>
        <w:t>），</w:t>
      </w:r>
      <w:r>
        <w:rPr>
          <w:rFonts w:ascii="Microsoft YaHei" w:hAnsi="Microsoft YaHei" w:eastAsia="Microsoft YaHei" w:cs="Microsoft YaHei"/>
          <w:color w:val="231F20"/>
          <w:spacing w:val="-4"/>
        </w:rPr>
        <w:t>第</w:t>
      </w:r>
      <w:r>
        <w:rPr>
          <w:rFonts w:ascii="Times New Roman" w:hAnsi="Times New Roman" w:eastAsia="Times New Roman" w:cs="Times New Roman"/>
          <w:color w:val="231F20"/>
          <w:spacing w:val="-4"/>
        </w:rPr>
        <w:t>8</w:t>
      </w:r>
      <w:r>
        <w:rPr>
          <w:rFonts w:ascii="Microsoft YaHei" w:hAnsi="Microsoft YaHei" w:eastAsia="Microsoft YaHei" w:cs="Microsoft YaHei"/>
          <w:color w:val="231F20"/>
          <w:spacing w:val="-4"/>
        </w:rPr>
        <w:t>天</w:t>
      </w:r>
      <w:r>
        <w:rPr>
          <w:rFonts w:ascii="Times New Roman" w:hAnsi="Times New Roman" w:eastAsia="Times New Roman" w:cs="Times New Roman"/>
          <w:color w:val="231F20"/>
          <w:spacing w:val="-4"/>
        </w:rPr>
        <w:t>CDDP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60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mg/m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  <w:position w:val="10"/>
        </w:rPr>
        <w:t>2 </w:t>
      </w:r>
      <w:r>
        <w:rPr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每</w:t>
      </w:r>
      <w:r>
        <w:rPr>
          <w:rFonts w:ascii="Times New Roman" w:hAnsi="Times New Roman" w:eastAsia="Times New Roman" w:cs="Times New Roman"/>
          <w:color w:val="231F20"/>
          <w:spacing w:val="-4"/>
        </w:rPr>
        <w:t>5</w:t>
      </w:r>
      <w:r>
        <w:rPr>
          <w:rFonts w:ascii="Microsoft YaHei" w:hAnsi="Microsoft YaHei" w:eastAsia="Microsoft YaHei" w:cs="Microsoft YaHei"/>
          <w:color w:val="231F20"/>
          <w:spacing w:val="-4"/>
        </w:rPr>
        <w:t>周一周期 </w:t>
      </w:r>
      <w:r>
        <w:rPr>
          <w:color w:val="231F20"/>
          <w:spacing w:val="-4"/>
        </w:rPr>
        <w:t>；</w:t>
      </w:r>
      <w:r>
        <w:rPr>
          <w:rFonts w:ascii="Microsoft YaHei" w:hAnsi="Microsoft YaHei" w:eastAsia="Microsoft YaHei" w:cs="Microsoft YaHei"/>
          <w:color w:val="231F20"/>
          <w:spacing w:val="-4"/>
        </w:rPr>
        <w:t>第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-1"/>
        </w:rPr>
        <w:t>1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color w:val="231F20"/>
          <w:spacing w:val="-1"/>
        </w:rPr>
        <w:t>～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28</w:t>
      </w:r>
      <w:r>
        <w:rPr>
          <w:rFonts w:ascii="Microsoft YaHei" w:hAnsi="Microsoft YaHei" w:eastAsia="Microsoft YaHei" w:cs="Microsoft YaHei"/>
          <w:color w:val="231F20"/>
          <w:spacing w:val="-1"/>
        </w:rPr>
        <w:t>天序贯</w:t>
      </w:r>
      <w:r>
        <w:rPr>
          <w:rFonts w:ascii="Times New Roman" w:hAnsi="Times New Roman" w:eastAsia="Times New Roman" w:cs="Times New Roman"/>
          <w:color w:val="231F20"/>
          <w:spacing w:val="-1"/>
        </w:rPr>
        <w:t>S-1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80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mg/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10"/>
        </w:rPr>
        <w:t>2</w:t>
      </w:r>
      <w:r>
        <w:rPr>
          <w:rFonts w:ascii="Times New Roman" w:hAnsi="Times New Roman" w:eastAsia="Times New Roman" w:cs="Times New Roman"/>
          <w:color w:val="231F20"/>
          <w:spacing w:val="-1"/>
        </w:rPr>
        <w:t>•d</w:t>
      </w:r>
      <w:r>
        <w:rPr>
          <w:color w:val="231F20"/>
          <w:spacing w:val="-35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"/>
        </w:rPr>
        <w:t>每</w:t>
      </w:r>
      <w:r>
        <w:rPr>
          <w:rFonts w:ascii="Times New Roman" w:hAnsi="Times New Roman" w:eastAsia="Times New Roman" w:cs="Times New Roman"/>
          <w:color w:val="231F20"/>
          <w:spacing w:val="-1"/>
        </w:rPr>
        <w:t>6</w:t>
      </w:r>
      <w:r>
        <w:rPr>
          <w:rFonts w:ascii="Microsoft YaHei" w:hAnsi="Microsoft YaHei" w:eastAsia="Microsoft YaHei" w:cs="Microsoft YaHei"/>
          <w:color w:val="231F20"/>
          <w:spacing w:val="-1"/>
        </w:rPr>
        <w:t>周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一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周期</w:t>
      </w:r>
      <w:r>
        <w:rPr>
          <w:color w:val="231F20"/>
          <w:spacing w:val="-2"/>
        </w:rPr>
        <w:t>，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至术后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rFonts w:ascii="Microsoft YaHei" w:hAnsi="Microsoft YaHei" w:eastAsia="Microsoft YaHei" w:cs="Microsoft YaHei"/>
          <w:color w:val="231F20"/>
          <w:spacing w:val="4"/>
        </w:rPr>
        <w:t>年</w:t>
      </w:r>
      <w:r>
        <w:rPr>
          <w:rFonts w:ascii="Times New Roman" w:hAnsi="Times New Roman" w:eastAsia="Times New Roman" w:cs="Times New Roman"/>
          <w:color w:val="231F20"/>
          <w:spacing w:val="4"/>
        </w:rPr>
        <w:t>]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4"/>
        </w:rPr>
        <w:t>。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rFonts w:ascii="Microsoft YaHei" w:hAnsi="Microsoft YaHei" w:eastAsia="Microsoft YaHei" w:cs="Microsoft YaHei"/>
          <w:color w:val="231F20"/>
          <w:spacing w:val="4"/>
        </w:rPr>
        <w:t>年无复发生存率为</w:t>
      </w:r>
      <w:r>
        <w:rPr>
          <w:rFonts w:ascii="Times New Roman" w:hAnsi="Times New Roman" w:eastAsia="Times New Roman" w:cs="Times New Roman"/>
          <w:color w:val="231F20"/>
          <w:spacing w:val="4"/>
        </w:rPr>
        <w:t>74.1%</w:t>
      </w: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color w:val="231F20"/>
          <w:spacing w:val="4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</w:rPr>
        <w:t>CI</w:t>
      </w:r>
      <w:r>
        <w:rPr>
          <w:rFonts w:ascii="Times New Roman" w:hAnsi="Times New Roman" w:eastAsia="Times New Roman" w:cs="Times New Roman"/>
          <w:i/>
          <w:iCs/>
          <w:color w:val="231F20"/>
          <w:spacing w:val="-17"/>
        </w:rPr>
        <w:t xml:space="preserve"> </w:t>
      </w:r>
      <w:r>
        <w:rPr>
          <w:color w:val="231F20"/>
          <w:spacing w:val="4"/>
        </w:rPr>
        <w:t>：</w:t>
      </w:r>
    </w:p>
    <w:p>
      <w:pPr>
        <w:pStyle w:val="BodyText"/>
        <w:ind w:left="99" w:right="34" w:firstLine="1"/>
        <w:spacing w:before="21" w:line="232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60.8%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～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83.5%</w:t>
      </w:r>
      <w:r>
        <w:rPr>
          <w:color w:val="231F20"/>
          <w:spacing w:val="-48"/>
        </w:rPr>
        <w:t>），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rFonts w:ascii="Microsoft YaHei" w:hAnsi="Microsoft YaHei" w:eastAsia="Microsoft YaHei" w:cs="Microsoft YaHei"/>
          <w:color w:val="231F20"/>
          <w:spacing w:val="-3"/>
        </w:rPr>
        <w:t>年 生 存 率 为</w:t>
      </w:r>
      <w:r>
        <w:rPr>
          <w:rFonts w:ascii="Times New Roman" w:hAnsi="Times New Roman" w:eastAsia="Times New Roman" w:cs="Times New Roman"/>
          <w:color w:val="231F20"/>
          <w:spacing w:val="-3"/>
        </w:rPr>
        <w:t>84.</w:t>
      </w:r>
      <w:r>
        <w:rPr>
          <w:rFonts w:ascii="Times New Roman" w:hAnsi="Times New Roman" w:eastAsia="Times New Roman" w:cs="Times New Roman"/>
          <w:color w:val="231F20"/>
          <w:spacing w:val="-4"/>
        </w:rPr>
        <w:t>5%</w:t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CI</w:t>
      </w:r>
      <w:r>
        <w:rPr>
          <w:rFonts w:ascii="Times New Roman" w:hAnsi="Times New Roman" w:eastAsia="Times New Roman" w:cs="Times New Roman"/>
          <w:i/>
          <w:iCs/>
          <w:color w:val="231F20"/>
          <w:spacing w:val="-16"/>
        </w:rPr>
        <w:t xml:space="preserve"> </w:t>
      </w:r>
      <w:r>
        <w:rPr>
          <w:color w:val="231F20"/>
          <w:spacing w:val="-4"/>
        </w:rPr>
        <w:t>：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72.3%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color w:val="231F20"/>
          <w:spacing w:val="-4"/>
        </w:rPr>
        <w:t>～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91.6%</w:t>
      </w:r>
      <w:r>
        <w:rPr>
          <w:color w:val="231F20"/>
          <w:spacing w:val="-45"/>
        </w:rPr>
        <w:t>），</w:t>
      </w:r>
      <w:r>
        <w:rPr>
          <w:rFonts w:ascii="Microsoft YaHei" w:hAnsi="Microsoft YaHei" w:eastAsia="Microsoft YaHei" w:cs="Microsoft YaHei"/>
          <w:color w:val="231F20"/>
          <w:spacing w:val="-4"/>
        </w:rPr>
        <w:t>腹膜转移率为</w:t>
      </w:r>
      <w:r>
        <w:rPr>
          <w:rFonts w:ascii="Times New Roman" w:hAnsi="Times New Roman" w:eastAsia="Times New Roman" w:cs="Times New Roman"/>
          <w:color w:val="231F20"/>
          <w:spacing w:val="-4"/>
        </w:rPr>
        <w:t>12.7%</w:t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8/63</w:t>
      </w:r>
      <w:r>
        <w:rPr>
          <w:color w:val="231F20"/>
          <w:spacing w:val="-4"/>
        </w:rPr>
        <w:t>）。</w:t>
      </w:r>
    </w:p>
    <w:p>
      <w:pPr>
        <w:pStyle w:val="BodyText"/>
        <w:ind w:left="108" w:right="91" w:firstLine="311"/>
        <w:spacing w:before="3" w:line="210" w:lineRule="auto"/>
        <w:jc w:val="both"/>
        <w:rPr>
          <w:rFonts w:ascii="Times New Roman" w:hAnsi="Times New Roman" w:eastAsia="Times New Roman" w:cs="Times New Roman"/>
        </w:rPr>
      </w:pPr>
      <w:r>
        <w:rPr>
          <w:color w:val="231F20"/>
          <w:spacing w:val="7"/>
        </w:rPr>
        <w:t>（</w:t>
      </w:r>
      <w:r>
        <w:rPr>
          <w:rFonts w:ascii="Times New Roman" w:hAnsi="Times New Roman" w:eastAsia="Times New Roman" w:cs="Times New Roman"/>
          <w:color w:val="231F20"/>
          <w:spacing w:val="7"/>
        </w:rPr>
        <w:t>5</w:t>
      </w:r>
      <w:r>
        <w:rPr>
          <w:color w:val="231F20"/>
          <w:spacing w:val="7"/>
        </w:rPr>
        <w:t>）</w:t>
      </w:r>
      <w:r>
        <w:rPr>
          <w:rFonts w:ascii="Times New Roman" w:hAnsi="Times New Roman" w:eastAsia="Times New Roman" w:cs="Times New Roman"/>
          <w:color w:val="231F20"/>
        </w:rPr>
        <w:t>Fujitani</w:t>
      </w:r>
      <w:r>
        <w:rPr>
          <w:rFonts w:ascii="Microsoft YaHei" w:hAnsi="Microsoft YaHei" w:eastAsia="Microsoft YaHei" w:cs="Microsoft YaHei"/>
          <w:color w:val="231F20"/>
          <w:spacing w:val="7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7"/>
          <w:position w:val="9"/>
        </w:rPr>
        <w:t>[44]</w:t>
      </w:r>
      <w:r>
        <w:rPr>
          <w:rFonts w:ascii="Microsoft YaHei" w:hAnsi="Microsoft YaHei" w:eastAsia="Microsoft YaHei" w:cs="Microsoft YaHei"/>
          <w:color w:val="231F20"/>
          <w:spacing w:val="7"/>
        </w:rPr>
        <w:t>在一项Ⅱ期研究中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color w:val="231F20"/>
          <w:spacing w:val="7"/>
        </w:rPr>
        <w:t>对纳入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的</w:t>
      </w:r>
      <w:r>
        <w:rPr>
          <w:rFonts w:ascii="Times New Roman" w:hAnsi="Times New Roman" w:eastAsia="Times New Roman" w:cs="Times New Roman"/>
          <w:color w:val="231F20"/>
          <w:spacing w:val="6"/>
        </w:rPr>
        <w:t>53</w:t>
      </w:r>
      <w:r>
        <w:rPr>
          <w:rFonts w:ascii="Microsoft YaHei" w:hAnsi="Microsoft YaHei" w:eastAsia="Microsoft YaHei" w:cs="Microsoft YaHei"/>
          <w:color w:val="231F20"/>
          <w:spacing w:val="6"/>
        </w:rPr>
        <w:t>例Ⅲ期胃癌患者使用</w:t>
      </w:r>
      <w:r>
        <w:rPr>
          <w:rFonts w:ascii="Times New Roman" w:hAnsi="Times New Roman" w:eastAsia="Times New Roman" w:cs="Times New Roman"/>
          <w:color w:val="231F20"/>
          <w:spacing w:val="6"/>
        </w:rPr>
        <w:t>S-1/</w:t>
      </w:r>
      <w:r>
        <w:rPr>
          <w:rFonts w:ascii="Times New Roman" w:hAnsi="Times New Roman" w:eastAsia="Times New Roman" w:cs="Times New Roman"/>
          <w:color w:val="231F20"/>
        </w:rPr>
        <w:t>DOC</w:t>
      </w:r>
      <w:r>
        <w:rPr>
          <w:rFonts w:ascii="Microsoft YaHei" w:hAnsi="Microsoft YaHei" w:eastAsia="Microsoft YaHei" w:cs="Microsoft YaHei"/>
          <w:color w:val="231F20"/>
          <w:spacing w:val="6"/>
        </w:rPr>
        <w:t>序贯</w:t>
      </w:r>
      <w:r>
        <w:rPr>
          <w:rFonts w:ascii="Times New Roman" w:hAnsi="Times New Roman" w:eastAsia="Times New Roman" w:cs="Times New Roman"/>
          <w:color w:val="231F20"/>
          <w:spacing w:val="6"/>
        </w:rPr>
        <w:t>S-1</w:t>
      </w:r>
      <w:r>
        <w:rPr>
          <w:rFonts w:ascii="Microsoft YaHei" w:hAnsi="Microsoft YaHei" w:eastAsia="Microsoft YaHei" w:cs="Microsoft YaHei"/>
          <w:color w:val="231F20"/>
          <w:spacing w:val="6"/>
        </w:rPr>
        <w:t>辅助化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疗</w:t>
      </w:r>
      <w:r>
        <w:rPr>
          <w:rFonts w:ascii="Times New Roman" w:hAnsi="Times New Roman" w:eastAsia="Times New Roman" w:cs="Times New Roman"/>
          <w:color w:val="231F20"/>
          <w:spacing w:val="-3"/>
        </w:rPr>
        <w:t>[</w:t>
      </w:r>
      <w:r>
        <w:rPr>
          <w:rFonts w:ascii="Microsoft YaHei" w:hAnsi="Microsoft YaHei" w:eastAsia="Microsoft YaHei" w:cs="Microsoft YaHei"/>
          <w:color w:val="231F20"/>
          <w:spacing w:val="-3"/>
        </w:rPr>
        <w:t>第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color w:val="231F20"/>
          <w:spacing w:val="-3"/>
        </w:rPr>
        <w:t>～ </w:t>
      </w:r>
      <w:r>
        <w:rPr>
          <w:rFonts w:ascii="Times New Roman" w:hAnsi="Times New Roman" w:eastAsia="Times New Roman" w:cs="Times New Roman"/>
          <w:color w:val="231F20"/>
          <w:spacing w:val="-3"/>
        </w:rPr>
        <w:t>14</w:t>
      </w:r>
      <w:r>
        <w:rPr>
          <w:rFonts w:ascii="Microsoft YaHei" w:hAnsi="Microsoft YaHei" w:eastAsia="Microsoft YaHei" w:cs="Microsoft YaHei"/>
          <w:color w:val="231F20"/>
          <w:spacing w:val="-3"/>
        </w:rPr>
        <w:t>天</w:t>
      </w:r>
      <w:r>
        <w:rPr>
          <w:rFonts w:ascii="Times New Roman" w:hAnsi="Times New Roman" w:eastAsia="Times New Roman" w:cs="Times New Roman"/>
          <w:color w:val="231F20"/>
          <w:spacing w:val="-3"/>
        </w:rPr>
        <w:t>S-1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80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mg/</w:t>
      </w: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3"/>
          <w:position w:val="10"/>
        </w:rPr>
        <w:t>2</w:t>
      </w:r>
      <w:r>
        <w:rPr>
          <w:rFonts w:ascii="Times New Roman" w:hAnsi="Times New Roman" w:eastAsia="Times New Roman" w:cs="Times New Roman"/>
          <w:color w:val="231F20"/>
          <w:spacing w:val="-3"/>
        </w:rPr>
        <w:t>•d</w:t>
      </w:r>
      <w:r>
        <w:rPr>
          <w:color w:val="231F20"/>
          <w:spacing w:val="-49"/>
        </w:rPr>
        <w:t>），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第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rFonts w:ascii="Microsoft YaHei" w:hAnsi="Microsoft YaHei" w:eastAsia="Microsoft YaHei" w:cs="Microsoft YaHei"/>
          <w:color w:val="231F20"/>
          <w:spacing w:val="-3"/>
        </w:rPr>
        <w:t>天</w:t>
      </w:r>
      <w:r>
        <w:rPr>
          <w:rFonts w:ascii="Times New Roman" w:hAnsi="Times New Roman" w:eastAsia="Times New Roman" w:cs="Times New Roman"/>
          <w:color w:val="231F20"/>
          <w:spacing w:val="-3"/>
        </w:rPr>
        <w:t>DOC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40</w:t>
      </w:r>
    </w:p>
    <w:p>
      <w:pPr>
        <w:spacing w:line="210" w:lineRule="auto"/>
        <w:sectPr>
          <w:type w:val="continuous"/>
          <w:pgSz w:w="11906" w:h="16158"/>
          <w:pgMar w:top="400" w:right="986" w:bottom="0" w:left="407" w:header="0" w:footer="0" w:gutter="0"/>
          <w:cols w:equalWidth="0" w:num="2">
            <w:col w:w="5609" w:space="100"/>
            <w:col w:w="4803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before="130"/>
        <w:rPr/>
      </w:pPr>
      <w:r/>
    </w:p>
    <w:p>
      <w:pPr>
        <w:sectPr>
          <w:headerReference w:type="default" r:id="rId6"/>
          <w:pgSz w:w="11906" w:h="16158"/>
          <w:pgMar w:top="400" w:right="1059" w:bottom="0" w:left="407" w:header="0" w:footer="0" w:gutter="0"/>
          <w:cols w:equalWidth="0" w:num="1">
            <w:col w:w="10439" w:space="0"/>
          </w:cols>
        </w:sectPr>
        <w:rPr/>
      </w:pPr>
    </w:p>
    <w:p>
      <w:pPr>
        <w:ind w:left="674"/>
        <w:spacing w:before="62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18"/>
        </w:rPr>
        <w:t>肿瘤综合治疗电子杂志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18"/>
        </w:rPr>
        <w:t>2017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18"/>
        </w:rPr>
        <w:t>年第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18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18"/>
        </w:rPr>
        <w:t>卷第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18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18"/>
        </w:rPr>
        <w:t>期</w:t>
      </w:r>
    </w:p>
    <w:p>
      <w:pPr>
        <w:pStyle w:val="BodyText"/>
        <w:ind w:left="675" w:right="203" w:hanging="4"/>
        <w:spacing w:before="241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1"/>
        </w:rPr>
        <w:t>/m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"/>
          <w:position w:val="10"/>
        </w:rPr>
        <w:t>2 </w:t>
      </w:r>
      <w:r>
        <w:rPr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1"/>
        </w:rPr>
        <w:t>每</w:t>
      </w:r>
      <w:r>
        <w:rPr>
          <w:rFonts w:ascii="Times New Roman" w:hAnsi="Times New Roman" w:eastAsia="Times New Roman" w:cs="Times New Roman"/>
          <w:color w:val="231F20"/>
          <w:spacing w:val="1"/>
        </w:rPr>
        <w:t>3</w:t>
      </w:r>
      <w:r>
        <w:rPr>
          <w:rFonts w:ascii="Microsoft YaHei" w:hAnsi="Microsoft YaHei" w:eastAsia="Microsoft YaHei" w:cs="Microsoft YaHei"/>
          <w:color w:val="231F20"/>
          <w:spacing w:val="1"/>
        </w:rPr>
        <w:t>周一周期</w:t>
      </w:r>
      <w:r>
        <w:rPr>
          <w:rFonts w:ascii="Microsoft YaHei" w:hAnsi="Microsoft YaHei" w:eastAsia="Microsoft YaHei" w:cs="Microsoft YaHei"/>
          <w:color w:val="231F20"/>
          <w:spacing w:val="-35"/>
        </w:rPr>
        <w:t xml:space="preserve"> </w:t>
      </w:r>
      <w:r>
        <w:rPr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1"/>
        </w:rPr>
        <w:t>共</w:t>
      </w:r>
      <w:r>
        <w:rPr>
          <w:rFonts w:ascii="Times New Roman" w:hAnsi="Times New Roman" w:eastAsia="Times New Roman" w:cs="Times New Roman"/>
          <w:color w:val="231F20"/>
          <w:spacing w:val="1"/>
        </w:rPr>
        <w:t>4</w:t>
      </w:r>
      <w:r>
        <w:rPr>
          <w:rFonts w:ascii="Microsoft YaHei" w:hAnsi="Microsoft YaHei" w:eastAsia="Microsoft YaHei" w:cs="Microsoft YaHei"/>
          <w:color w:val="231F20"/>
          <w:spacing w:val="1"/>
        </w:rPr>
        <w:t>周期 </w:t>
      </w:r>
      <w:r>
        <w:rPr>
          <w:color w:val="231F20"/>
          <w:spacing w:val="1"/>
        </w:rPr>
        <w:t>；</w:t>
      </w:r>
      <w:r>
        <w:rPr>
          <w:rFonts w:ascii="Microsoft YaHei" w:hAnsi="Microsoft YaHei" w:eastAsia="Microsoft YaHei" w:cs="Microsoft YaHei"/>
          <w:color w:val="231F20"/>
          <w:spacing w:val="1"/>
        </w:rPr>
        <w:t>第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color w:val="231F20"/>
          <w:spacing w:val="1"/>
        </w:rPr>
        <w:t>～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28</w:t>
      </w:r>
      <w:r>
        <w:rPr>
          <w:rFonts w:ascii="Microsoft YaHei" w:hAnsi="Microsoft YaHei" w:eastAsia="Microsoft YaHei" w:cs="Microsoft YaHei"/>
          <w:color w:val="231F20"/>
          <w:spacing w:val="1"/>
        </w:rPr>
        <w:t>天</w:t>
      </w:r>
      <w:r>
        <w:rPr>
          <w:rFonts w:ascii="Times New Roman" w:hAnsi="Times New Roman" w:eastAsia="Times New Roman" w:cs="Times New Roman"/>
          <w:color w:val="231F20"/>
          <w:spacing w:val="1"/>
        </w:rPr>
        <w:t>S-1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3"/>
        </w:rPr>
        <w:t>80 mg/</w:t>
      </w: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3"/>
          <w:position w:val="10"/>
        </w:rPr>
        <w:t>2</w:t>
      </w:r>
      <w:r>
        <w:rPr>
          <w:rFonts w:ascii="Times New Roman" w:hAnsi="Times New Roman" w:eastAsia="Times New Roman" w:cs="Times New Roman"/>
          <w:color w:val="231F20"/>
          <w:spacing w:val="-3"/>
        </w:rPr>
        <w:t>•d</w:t>
      </w:r>
      <w:r>
        <w:rPr>
          <w:color w:val="231F20"/>
          <w:spacing w:val="-45"/>
        </w:rPr>
        <w:t>），</w:t>
      </w:r>
      <w:r>
        <w:rPr>
          <w:rFonts w:ascii="Microsoft YaHei" w:hAnsi="Microsoft YaHei" w:eastAsia="Microsoft YaHei" w:cs="Microsoft YaHei"/>
          <w:color w:val="231F20"/>
          <w:spacing w:val="-3"/>
        </w:rPr>
        <w:t>每</w:t>
      </w:r>
      <w:r>
        <w:rPr>
          <w:rFonts w:ascii="Times New Roman" w:hAnsi="Times New Roman" w:eastAsia="Times New Roman" w:cs="Times New Roman"/>
          <w:color w:val="231F20"/>
          <w:spacing w:val="-3"/>
        </w:rPr>
        <w:t>6</w:t>
      </w:r>
      <w:r>
        <w:rPr>
          <w:rFonts w:ascii="Microsoft YaHei" w:hAnsi="Microsoft YaHei" w:eastAsia="Microsoft YaHei" w:cs="Microsoft YaHei"/>
          <w:color w:val="231F20"/>
          <w:spacing w:val="-3"/>
        </w:rPr>
        <w:t>周一周期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至术后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rFonts w:ascii="Microsoft YaHei" w:hAnsi="Microsoft YaHei" w:eastAsia="Microsoft YaHei" w:cs="Microsoft YaHei"/>
          <w:color w:val="231F20"/>
          <w:spacing w:val="-3"/>
        </w:rPr>
        <w:t>年</w:t>
      </w:r>
      <w:r>
        <w:rPr>
          <w:rFonts w:ascii="Times New Roman" w:hAnsi="Times New Roman" w:eastAsia="Times New Roman" w:cs="Times New Roman"/>
          <w:color w:val="231F20"/>
          <w:spacing w:val="-3"/>
        </w:rPr>
        <w:t>]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rFonts w:ascii="Microsoft YaHei" w:hAnsi="Microsoft YaHei" w:eastAsia="Microsoft YaHei" w:cs="Microsoft YaHei"/>
          <w:color w:val="231F20"/>
          <w:spacing w:val="-3"/>
        </w:rPr>
        <w:t>年无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复发生存率为</w:t>
      </w:r>
      <w:r>
        <w:rPr>
          <w:rFonts w:ascii="Times New Roman" w:hAnsi="Times New Roman" w:eastAsia="Times New Roman" w:cs="Times New Roman"/>
          <w:color w:val="231F20"/>
          <w:spacing w:val="4"/>
        </w:rPr>
        <w:t>66.2%</w:t>
      </w: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color w:val="231F20"/>
          <w:spacing w:val="4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</w:rPr>
        <w:t>CI</w:t>
      </w:r>
      <w:r>
        <w:rPr>
          <w:rFonts w:ascii="Times New Roman" w:hAnsi="Times New Roman" w:eastAsia="Times New Roman" w:cs="Times New Roman"/>
          <w:i/>
          <w:iCs/>
          <w:color w:val="231F20"/>
          <w:spacing w:val="-16"/>
        </w:rPr>
        <w:t xml:space="preserve"> </w:t>
      </w:r>
      <w:r>
        <w:rPr>
          <w:color w:val="231F20"/>
          <w:spacing w:val="4"/>
        </w:rPr>
        <w:t>：</w:t>
      </w:r>
      <w:r>
        <w:rPr>
          <w:rFonts w:ascii="Times New Roman" w:hAnsi="Times New Roman" w:eastAsia="Times New Roman" w:cs="Times New Roman"/>
          <w:color w:val="231F20"/>
          <w:spacing w:val="4"/>
        </w:rPr>
        <w:t>54.4%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color w:val="231F20"/>
          <w:spacing w:val="4"/>
        </w:rPr>
        <w:t>～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80</w:t>
      </w:r>
      <w:r>
        <w:rPr>
          <w:rFonts w:ascii="Times New Roman" w:hAnsi="Times New Roman" w:eastAsia="Times New Roman" w:cs="Times New Roman"/>
          <w:color w:val="231F20"/>
          <w:spacing w:val="3"/>
        </w:rPr>
        <w:t>.7%</w:t>
      </w:r>
      <w:r>
        <w:rPr>
          <w:color w:val="231F20"/>
          <w:spacing w:val="-47"/>
          <w:w w:val="86"/>
        </w:rPr>
        <w:t>），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rFonts w:ascii="Microsoft YaHei" w:hAnsi="Microsoft YaHei" w:eastAsia="Microsoft YaHei" w:cs="Microsoft YaHei"/>
          <w:color w:val="231F20"/>
          <w:spacing w:val="-3"/>
        </w:rPr>
        <w:t>年</w:t>
      </w:r>
      <w:r>
        <w:rPr>
          <w:rFonts w:ascii="Microsoft YaHei" w:hAnsi="Microsoft YaHei" w:eastAsia="Microsoft YaHei" w:cs="Microsoft YaHei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生 存 率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为</w:t>
      </w:r>
      <w:r>
        <w:rPr>
          <w:rFonts w:ascii="Times New Roman" w:hAnsi="Times New Roman" w:eastAsia="Times New Roman" w:cs="Times New Roman"/>
          <w:color w:val="231F20"/>
          <w:spacing w:val="-3"/>
        </w:rPr>
        <w:t>78.4%</w:t>
      </w: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CI</w:t>
      </w:r>
      <w:r>
        <w:rPr>
          <w:rFonts w:ascii="Times New Roman" w:hAnsi="Times New Roman" w:eastAsia="Times New Roman" w:cs="Times New Roman"/>
          <w:i/>
          <w:iCs/>
          <w:color w:val="231F20"/>
          <w:spacing w:val="-16"/>
        </w:rPr>
        <w:t xml:space="preserve"> </w:t>
      </w:r>
      <w:r>
        <w:rPr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color w:val="231F20"/>
          <w:spacing w:val="-3"/>
        </w:rPr>
        <w:t>67.9%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color w:val="231F20"/>
          <w:spacing w:val="-3"/>
        </w:rPr>
        <w:t>～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90.6%</w:t>
      </w:r>
      <w:r>
        <w:rPr>
          <w:color w:val="231F20"/>
          <w:spacing w:val="-48"/>
          <w:w w:val="88"/>
        </w:rPr>
        <w:t>），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腹膜转移率为</w:t>
      </w:r>
      <w:r>
        <w:rPr>
          <w:rFonts w:ascii="Times New Roman" w:hAnsi="Times New Roman" w:eastAsia="Times New Roman" w:cs="Times New Roman"/>
          <w:color w:val="231F20"/>
          <w:spacing w:val="-5"/>
        </w:rPr>
        <w:t>7.5%</w:t>
      </w: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4/53</w:t>
      </w:r>
      <w:r>
        <w:rPr>
          <w:color w:val="231F20"/>
          <w:spacing w:val="-5"/>
        </w:rPr>
        <w:t>）。</w:t>
      </w:r>
    </w:p>
    <w:p>
      <w:pPr>
        <w:pStyle w:val="BodyText"/>
        <w:ind w:left="578" w:right="203" w:firstLine="420"/>
        <w:spacing w:before="5" w:line="233" w:lineRule="auto"/>
        <w:tabs>
          <w:tab w:val="left" w:pos="686"/>
        </w:tabs>
        <w:jc w:val="both"/>
        <w:rPr/>
      </w:pPr>
      <w:r>
        <w:rPr>
          <w:color w:val="231F20"/>
          <w:spacing w:val="7"/>
        </w:rPr>
        <w:t>（</w:t>
      </w:r>
      <w:r>
        <w:rPr>
          <w:rFonts w:ascii="Times New Roman" w:hAnsi="Times New Roman" w:eastAsia="Times New Roman" w:cs="Times New Roman"/>
          <w:color w:val="231F20"/>
          <w:spacing w:val="7"/>
        </w:rPr>
        <w:t>6</w:t>
      </w:r>
      <w:r>
        <w:rPr>
          <w:color w:val="231F20"/>
          <w:spacing w:val="7"/>
        </w:rPr>
        <w:t>）</w:t>
      </w:r>
      <w:r>
        <w:rPr>
          <w:rFonts w:ascii="Times New Roman" w:hAnsi="Times New Roman" w:eastAsia="Times New Roman" w:cs="Times New Roman"/>
          <w:color w:val="231F20"/>
        </w:rPr>
        <w:t>Yoon</w:t>
      </w:r>
      <w:r>
        <w:rPr>
          <w:rFonts w:ascii="Microsoft YaHei" w:hAnsi="Microsoft YaHei" w:eastAsia="Microsoft YaHei" w:cs="Microsoft YaHei"/>
          <w:color w:val="231F20"/>
          <w:spacing w:val="7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7"/>
          <w:position w:val="9"/>
        </w:rPr>
        <w:t>[45]</w:t>
      </w:r>
      <w:r>
        <w:rPr>
          <w:rFonts w:ascii="Microsoft YaHei" w:hAnsi="Microsoft YaHei" w:eastAsia="Microsoft YaHei" w:cs="Microsoft YaHei"/>
          <w:color w:val="231F20"/>
          <w:spacing w:val="7"/>
        </w:rPr>
        <w:t>在一项Ⅱ期研究中</w:t>
      </w:r>
      <w:r>
        <w:rPr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color w:val="231F20"/>
          <w:spacing w:val="7"/>
        </w:rPr>
        <w:t>对纳入的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43</w:t>
      </w:r>
      <w:r>
        <w:rPr>
          <w:rFonts w:ascii="Microsoft YaHei" w:hAnsi="Microsoft YaHei" w:eastAsia="Microsoft YaHei" w:cs="Microsoft YaHei"/>
          <w:color w:val="231F20"/>
        </w:rPr>
        <w:t>例  Ⅲ</w:t>
      </w:r>
      <w:r>
        <w:rPr>
          <w:rFonts w:ascii="Times New Roman" w:hAnsi="Times New Roman" w:eastAsia="Times New Roman" w:cs="Times New Roman"/>
          <w:color w:val="231F20"/>
        </w:rPr>
        <w:t>b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</w:rPr>
        <w:t xml:space="preserve"> </w:t>
      </w:r>
      <w:r>
        <w:rPr>
          <w:color w:val="231F20"/>
        </w:rPr>
        <w:t>~</w:t>
      </w:r>
      <w:r>
        <w:rPr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Ⅳ</w:t>
      </w:r>
      <w:r>
        <w:rPr>
          <w:rFonts w:ascii="Microsoft YaHei" w:hAnsi="Microsoft YaHei" w:eastAsia="Microsoft YaHei" w:cs="Microsoft YaHei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期</w:t>
      </w:r>
      <w:r>
        <w:rPr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AJCC6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pT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-3"/>
        </w:rPr>
        <w:t>3</w:t>
      </w:r>
      <w:r>
        <w:rPr>
          <w:rFonts w:ascii="Times New Roman" w:hAnsi="Times New Roman" w:eastAsia="Times New Roman" w:cs="Times New Roman"/>
          <w:color w:val="231F20"/>
        </w:rPr>
        <w:t>N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-3"/>
        </w:rPr>
        <w:t>2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5"/>
          <w:position w:val="-3"/>
        </w:rPr>
        <w:t xml:space="preserve"> 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pT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-3"/>
        </w:rPr>
        <w:t>4</w:t>
      </w:r>
      <w:r>
        <w:rPr>
          <w:rFonts w:ascii="Times New Roman" w:hAnsi="Times New Roman" w:eastAsia="Times New Roman" w:cs="Times New Roman"/>
          <w:color w:val="231F20"/>
        </w:rPr>
        <w:t>N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-3"/>
        </w:rPr>
        <w:t>1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23"/>
          <w:w w:val="101"/>
          <w:position w:val="-3"/>
        </w:rPr>
        <w:t xml:space="preserve"> </w:t>
      </w:r>
      <w:r>
        <w:rPr>
          <w:sz w:val="12"/>
          <w:szCs w:val="12"/>
          <w:color w:val="231F20"/>
          <w:position w:val="-3"/>
        </w:rPr>
        <w:t>～</w:t>
      </w:r>
      <w:r>
        <w:rPr>
          <w:sz w:val="12"/>
          <w:szCs w:val="12"/>
          <w:color w:val="231F20"/>
          <w:spacing w:val="-13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-3"/>
        </w:rPr>
        <w:t>2</w:t>
      </w:r>
      <w:r>
        <w:rPr>
          <w:rFonts w:ascii="Times New Roman" w:hAnsi="Times New Roman" w:eastAsia="Times New Roman" w:cs="Times New Roman"/>
          <w:color w:val="231F20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-3"/>
        </w:rPr>
        <w:t>0</w:t>
      </w:r>
      <w:r>
        <w:rPr>
          <w:color w:val="231F20"/>
        </w:rPr>
        <w:t>， </w:t>
      </w:r>
      <w:r>
        <w:rPr>
          <w:rFonts w:ascii="Times New Roman" w:hAnsi="Times New Roman" w:eastAsia="Times New Roman" w:cs="Times New Roman"/>
          <w:color w:val="231F20"/>
        </w:rPr>
        <w:t>pT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-3"/>
        </w:rPr>
        <w:t>any</w:t>
      </w:r>
      <w:r>
        <w:rPr>
          <w:rFonts w:ascii="Times New Roman" w:hAnsi="Times New Roman" w:eastAsia="Times New Roman" w:cs="Times New Roman"/>
          <w:color w:val="231F20"/>
        </w:rPr>
        <w:t>N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2"/>
          <w:position w:val="-3"/>
        </w:rPr>
        <w:t>3</w:t>
      </w:r>
      <w:r>
        <w:rPr>
          <w:rFonts w:ascii="Times New Roman" w:hAnsi="Times New Roman" w:eastAsia="Times New Roman" w:cs="Times New Roman"/>
          <w:color w:val="231F20"/>
          <w:spacing w:val="2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2"/>
          <w:position w:val="-3"/>
        </w:rPr>
        <w:t>0 </w:t>
      </w:r>
      <w:r>
        <w:rPr>
          <w:color w:val="231F20"/>
          <w:spacing w:val="2"/>
        </w:rPr>
        <w:t>）</w:t>
      </w:r>
      <w:r>
        <w:rPr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胃癌患者使用</w:t>
      </w:r>
      <w:r>
        <w:rPr>
          <w:rFonts w:ascii="Times New Roman" w:hAnsi="Times New Roman" w:eastAsia="Times New Roman" w:cs="Times New Roman"/>
          <w:color w:val="231F20"/>
          <w:spacing w:val="2"/>
        </w:rPr>
        <w:t>6</w:t>
      </w:r>
      <w:r>
        <w:rPr>
          <w:rFonts w:ascii="Microsoft YaHei" w:hAnsi="Microsoft YaHei" w:eastAsia="Microsoft YaHei" w:cs="Microsoft YaHei"/>
          <w:color w:val="231F20"/>
          <w:spacing w:val="2"/>
        </w:rPr>
        <w:t>周期的</w:t>
      </w:r>
      <w:r>
        <w:rPr>
          <w:rFonts w:ascii="Times New Roman" w:hAnsi="Times New Roman" w:eastAsia="Times New Roman" w:cs="Times New Roman"/>
          <w:color w:val="231F20"/>
        </w:rPr>
        <w:t>DOC</w:t>
      </w:r>
      <w:r>
        <w:rPr>
          <w:rFonts w:ascii="Times New Roman" w:hAnsi="Times New Roman" w:eastAsia="Times New Roman" w:cs="Times New Roman"/>
          <w:color w:val="231F20"/>
          <w:spacing w:val="2"/>
        </w:rPr>
        <w:t>/</w:t>
      </w:r>
      <w:r>
        <w:rPr>
          <w:rFonts w:ascii="Times New Roman" w:hAnsi="Times New Roman" w:eastAsia="Times New Roman" w:cs="Times New Roman"/>
          <w:color w:val="231F20"/>
        </w:rPr>
        <w:t>CAP</w:t>
      </w:r>
      <w:r>
        <w:rPr>
          <w:rFonts w:ascii="Times New Roman" w:hAnsi="Times New Roman" w:eastAsia="Times New Roman" w:cs="Times New Roman"/>
          <w:color w:val="231F20"/>
          <w:spacing w:val="2"/>
        </w:rPr>
        <w:t>/</w:t>
      </w:r>
      <w:r>
        <w:rPr>
          <w:rFonts w:ascii="Times New Roman" w:hAnsi="Times New Roman" w:eastAsia="Times New Roman" w:cs="Times New Roman"/>
          <w:color w:val="231F20"/>
        </w:rPr>
        <w:t>CDDP 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-5"/>
        </w:rPr>
        <w:t>[</w:t>
      </w:r>
      <w:r>
        <w:rPr>
          <w:rFonts w:ascii="Microsoft YaHei" w:hAnsi="Microsoft YaHei" w:eastAsia="Microsoft YaHei" w:cs="Microsoft YaHei"/>
          <w:color w:val="231F20"/>
          <w:spacing w:val="-5"/>
        </w:rPr>
        <w:t>第</w:t>
      </w:r>
      <w:r>
        <w:rPr>
          <w:rFonts w:ascii="Times New Roman" w:hAnsi="Times New Roman" w:eastAsia="Times New Roman" w:cs="Times New Roman"/>
          <w:color w:val="231F20"/>
          <w:spacing w:val="-5"/>
        </w:rPr>
        <w:t>1</w:t>
      </w:r>
      <w:r>
        <w:rPr>
          <w:rFonts w:ascii="Microsoft YaHei" w:hAnsi="Microsoft YaHei" w:eastAsia="Microsoft YaHei" w:cs="Microsoft YaHei"/>
          <w:color w:val="231F20"/>
          <w:spacing w:val="-5"/>
        </w:rPr>
        <w:t>天</w:t>
      </w:r>
      <w:r>
        <w:rPr>
          <w:rFonts w:ascii="Times New Roman" w:hAnsi="Times New Roman" w:eastAsia="Times New Roman" w:cs="Times New Roman"/>
          <w:color w:val="231F20"/>
          <w:spacing w:val="-5"/>
        </w:rPr>
        <w:t>DOC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60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mg/m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5"/>
          <w:position w:val="10"/>
        </w:rPr>
        <w:t>2 </w:t>
      </w:r>
      <w:r>
        <w:rPr>
          <w:color w:val="231F20"/>
          <w:spacing w:val="-5"/>
        </w:rPr>
        <w:t>， </w:t>
      </w:r>
      <w:r>
        <w:rPr>
          <w:rFonts w:ascii="Microsoft YaHei" w:hAnsi="Microsoft YaHei" w:eastAsia="Microsoft YaHei" w:cs="Microsoft YaHei"/>
          <w:color w:val="231F20"/>
          <w:spacing w:val="-5"/>
        </w:rPr>
        <w:t>第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～ </w:t>
      </w:r>
      <w:r>
        <w:rPr>
          <w:rFonts w:ascii="Times New Roman" w:hAnsi="Times New Roman" w:eastAsia="Times New Roman" w:cs="Times New Roman"/>
          <w:color w:val="231F20"/>
          <w:spacing w:val="-5"/>
        </w:rPr>
        <w:t>14</w:t>
      </w:r>
      <w:r>
        <w:rPr>
          <w:rFonts w:ascii="Microsoft YaHei" w:hAnsi="Microsoft YaHei" w:eastAsia="Microsoft YaHei" w:cs="Microsoft YaHei"/>
          <w:color w:val="231F20"/>
          <w:spacing w:val="-5"/>
        </w:rPr>
        <w:t>天</w:t>
      </w:r>
      <w:r>
        <w:rPr>
          <w:rFonts w:ascii="Times New Roman" w:hAnsi="Times New Roman" w:eastAsia="Times New Roman" w:cs="Times New Roman"/>
          <w:color w:val="231F20"/>
          <w:spacing w:val="-5"/>
        </w:rPr>
        <w:t>CAP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1875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mg/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  <w:position w:val="10"/>
        </w:rPr>
        <w:t>2</w:t>
      </w:r>
      <w:r>
        <w:rPr>
          <w:rFonts w:ascii="Times New Roman" w:hAnsi="Times New Roman" w:eastAsia="Times New Roman" w:cs="Times New Roman"/>
          <w:color w:val="231F20"/>
          <w:spacing w:val="-4"/>
        </w:rPr>
        <w:t>•d</w:t>
      </w:r>
      <w:r>
        <w:rPr>
          <w:color w:val="231F20"/>
          <w:spacing w:val="-45"/>
        </w:rPr>
        <w:t>），</w:t>
      </w:r>
      <w:r>
        <w:rPr>
          <w:rFonts w:ascii="Microsoft YaHei" w:hAnsi="Microsoft YaHei" w:eastAsia="Microsoft YaHei" w:cs="Microsoft YaHei"/>
          <w:color w:val="231F20"/>
          <w:spacing w:val="-4"/>
        </w:rPr>
        <w:t>第</w:t>
      </w:r>
      <w:r>
        <w:rPr>
          <w:rFonts w:ascii="Times New Roman" w:hAnsi="Times New Roman" w:eastAsia="Times New Roman" w:cs="Times New Roman"/>
          <w:color w:val="231F20"/>
          <w:spacing w:val="-4"/>
        </w:rPr>
        <w:t>1</w:t>
      </w:r>
      <w:r>
        <w:rPr>
          <w:rFonts w:ascii="Microsoft YaHei" w:hAnsi="Microsoft YaHei" w:eastAsia="Microsoft YaHei" w:cs="Microsoft YaHei"/>
          <w:color w:val="231F20"/>
          <w:spacing w:val="-4"/>
        </w:rPr>
        <w:t>天</w:t>
      </w:r>
      <w:r>
        <w:rPr>
          <w:rFonts w:ascii="Times New Roman" w:hAnsi="Times New Roman" w:eastAsia="Times New Roman" w:cs="Times New Roman"/>
          <w:color w:val="231F20"/>
          <w:spacing w:val="-4"/>
        </w:rPr>
        <w:t>CDDP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60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mg/m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  <w:position w:val="10"/>
        </w:rPr>
        <w:t>2 </w:t>
      </w:r>
      <w:r>
        <w:rPr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每</w:t>
      </w:r>
      <w:r>
        <w:rPr>
          <w:rFonts w:ascii="Times New Roman" w:hAnsi="Times New Roman" w:eastAsia="Times New Roman" w:cs="Times New Roman"/>
          <w:color w:val="231F20"/>
          <w:spacing w:val="-4"/>
        </w:rPr>
        <w:t>3</w:t>
      </w:r>
      <w:r>
        <w:rPr>
          <w:rFonts w:ascii="Microsoft YaHei" w:hAnsi="Microsoft YaHei" w:eastAsia="Microsoft YaHei" w:cs="Microsoft YaHei"/>
          <w:color w:val="231F20"/>
          <w:spacing w:val="-4"/>
        </w:rPr>
        <w:t>周一周期</w:t>
      </w:r>
      <w:r>
        <w:rPr>
          <w:rFonts w:ascii="Times New Roman" w:hAnsi="Times New Roman" w:eastAsia="Times New Roman" w:cs="Times New Roman"/>
          <w:color w:val="231F20"/>
          <w:spacing w:val="-5"/>
        </w:rPr>
        <w:t>]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平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4"/>
        </w:rPr>
        <w:t>均随访</w:t>
      </w:r>
      <w:r>
        <w:rPr>
          <w:rFonts w:ascii="Times New Roman" w:hAnsi="Times New Roman" w:eastAsia="Times New Roman" w:cs="Times New Roman"/>
          <w:color w:val="231F20"/>
          <w:spacing w:val="14"/>
        </w:rPr>
        <w:t>56.1</w:t>
      </w:r>
      <w:r>
        <w:rPr>
          <w:rFonts w:ascii="Microsoft YaHei" w:hAnsi="Microsoft YaHei" w:eastAsia="Microsoft YaHei" w:cs="Microsoft YaHei"/>
          <w:color w:val="231F20"/>
          <w:spacing w:val="14"/>
        </w:rPr>
        <w:t>个月</w:t>
      </w:r>
      <w:r>
        <w:rPr>
          <w:color w:val="231F20"/>
          <w:spacing w:val="14"/>
        </w:rPr>
        <w:t>，</w:t>
      </w:r>
      <w:r>
        <w:rPr>
          <w:rFonts w:ascii="Times New Roman" w:hAnsi="Times New Roman" w:eastAsia="Times New Roman" w:cs="Times New Roman"/>
          <w:color w:val="231F20"/>
          <w:spacing w:val="14"/>
        </w:rPr>
        <w:t>3</w:t>
      </w:r>
      <w:r>
        <w:rPr>
          <w:rFonts w:ascii="Microsoft YaHei" w:hAnsi="Microsoft YaHei" w:eastAsia="Microsoft YaHei" w:cs="Microsoft YaHei"/>
          <w:color w:val="231F20"/>
          <w:spacing w:val="14"/>
        </w:rPr>
        <w:t>年和</w:t>
      </w:r>
      <w:r>
        <w:rPr>
          <w:rFonts w:ascii="Times New Roman" w:hAnsi="Times New Roman" w:eastAsia="Times New Roman" w:cs="Times New Roman"/>
          <w:color w:val="231F20"/>
          <w:spacing w:val="14"/>
        </w:rPr>
        <w:t>5</w:t>
      </w:r>
      <w:r>
        <w:rPr>
          <w:rFonts w:ascii="Microsoft YaHei" w:hAnsi="Microsoft YaHei" w:eastAsia="Microsoft YaHei" w:cs="Microsoft YaHei"/>
          <w:color w:val="231F20"/>
          <w:spacing w:val="14"/>
        </w:rPr>
        <w:t>年无复发生存率分别为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2"/>
        </w:rPr>
        <w:t>48%</w:t>
      </w:r>
      <w:r>
        <w:rPr>
          <w:rFonts w:ascii="Microsoft YaHei" w:hAnsi="Microsoft YaHei" w:eastAsia="Microsoft YaHei" w:cs="Microsoft YaHei"/>
          <w:color w:val="231F20"/>
          <w:spacing w:val="2"/>
        </w:rPr>
        <w:t>和</w:t>
      </w:r>
      <w:r>
        <w:rPr>
          <w:rFonts w:ascii="Times New Roman" w:hAnsi="Times New Roman" w:eastAsia="Times New Roman" w:cs="Times New Roman"/>
          <w:color w:val="231F20"/>
          <w:spacing w:val="2"/>
        </w:rPr>
        <w:t>39%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color w:val="231F20"/>
          <w:spacing w:val="2"/>
        </w:rPr>
        <w:t>3</w:t>
      </w:r>
      <w:r>
        <w:rPr>
          <w:rFonts w:ascii="Microsoft YaHei" w:hAnsi="Microsoft YaHei" w:eastAsia="Microsoft YaHei" w:cs="Microsoft YaHei"/>
          <w:color w:val="231F20"/>
          <w:spacing w:val="2"/>
        </w:rPr>
        <w:t>年和</w:t>
      </w:r>
      <w:r>
        <w:rPr>
          <w:rFonts w:ascii="Times New Roman" w:hAnsi="Times New Roman" w:eastAsia="Times New Roman" w:cs="Times New Roman"/>
          <w:color w:val="231F20"/>
          <w:spacing w:val="2"/>
        </w:rPr>
        <w:t>5</w:t>
      </w:r>
      <w:r>
        <w:rPr>
          <w:rFonts w:ascii="Microsoft YaHei" w:hAnsi="Microsoft YaHei" w:eastAsia="Microsoft YaHei" w:cs="Microsoft YaHei"/>
          <w:color w:val="231F20"/>
          <w:spacing w:val="2"/>
        </w:rPr>
        <w:t>年发生存率分别为</w:t>
      </w:r>
      <w:r>
        <w:rPr>
          <w:rFonts w:ascii="Times New Roman" w:hAnsi="Times New Roman" w:eastAsia="Times New Roman" w:cs="Times New Roman"/>
          <w:color w:val="231F20"/>
          <w:spacing w:val="2"/>
        </w:rPr>
        <w:t>59%</w:t>
      </w:r>
      <w:r>
        <w:rPr>
          <w:rFonts w:ascii="Microsoft YaHei" w:hAnsi="Microsoft YaHei" w:eastAsia="Microsoft YaHei" w:cs="Microsoft YaHei"/>
          <w:color w:val="231F20"/>
          <w:spacing w:val="2"/>
        </w:rPr>
        <w:t>和</w:t>
      </w:r>
      <w:r>
        <w:rPr>
          <w:rFonts w:ascii="Times New Roman" w:hAnsi="Times New Roman" w:eastAsia="Times New Roman" w:cs="Times New Roman"/>
          <w:color w:val="231F20"/>
          <w:spacing w:val="2"/>
        </w:rPr>
        <w:t>41</w:t>
      </w:r>
      <w:r>
        <w:rPr>
          <w:rFonts w:ascii="Times New Roman" w:hAnsi="Times New Roman" w:eastAsia="Times New Roman" w:cs="Times New Roman"/>
          <w:color w:val="231F20"/>
          <w:spacing w:val="1"/>
        </w:rPr>
        <w:t>%</w:t>
      </w:r>
      <w:r>
        <w:rPr>
          <w:color w:val="231F20"/>
          <w:spacing w:val="1"/>
        </w:rPr>
        <w:t>，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腹膜转移率为</w:t>
      </w:r>
      <w:r>
        <w:rPr>
          <w:rFonts w:ascii="Times New Roman" w:hAnsi="Times New Roman" w:eastAsia="Times New Roman" w:cs="Times New Roman"/>
          <w:color w:val="231F20"/>
        </w:rPr>
        <w:t>27.9%</w:t>
      </w:r>
      <w:r>
        <w:rPr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12/43</w:t>
      </w:r>
      <w:r>
        <w:rPr>
          <w:color w:val="231F20"/>
        </w:rPr>
        <w:t>）。</w:t>
      </w:r>
    </w:p>
    <w:p>
      <w:pPr>
        <w:pStyle w:val="BodyText"/>
        <w:ind w:left="579" w:right="170" w:firstLine="99"/>
        <w:spacing w:before="7" w:line="30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3.2.3    </w:t>
      </w:r>
      <w:r>
        <w:rPr>
          <w:color w:val="231F20"/>
        </w:rPr>
        <w:t>预防性腹腔热灌注化疗 </w:t>
      </w:r>
      <w:r>
        <w:rPr>
          <w:color w:val="231F20"/>
          <w:spacing w:val="-1"/>
        </w:rPr>
        <w:t xml:space="preserve"> 腹腔内热灌注化疗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hyperthermic intraperitoneal chemotherapy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HIPEC</w:t>
      </w:r>
      <w:r>
        <w:rPr>
          <w:color w:val="231F20"/>
          <w:spacing w:val="-2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的优势是药物直接作用于癌细胞，影响腹膜微环境，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抑制癌细胞种植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"/>
        </w:rPr>
        <w:t>；另一优点是不良反应小，对机体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的免疫力影响小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5"/>
          <w:position w:val="9"/>
        </w:rPr>
        <w:t>[46]</w:t>
      </w:r>
      <w:r>
        <w:rPr>
          <w:color w:val="231F20"/>
          <w:spacing w:val="5"/>
        </w:rPr>
        <w:t>。但是，目前</w:t>
      </w:r>
      <w:r>
        <w:rPr>
          <w:rFonts w:ascii="Times New Roman" w:hAnsi="Times New Roman" w:eastAsia="Times New Roman" w:cs="Times New Roman"/>
          <w:color w:val="231F20"/>
        </w:rPr>
        <w:t>HIPEC</w:t>
      </w:r>
      <w:r>
        <w:rPr>
          <w:color w:val="231F20"/>
          <w:spacing w:val="5"/>
        </w:rPr>
        <w:t>作为预防性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手段的临床证据不足，仍需进一步探索。本共识认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为具有风险因素（参见</w:t>
      </w:r>
      <w:r>
        <w:rPr>
          <w:rFonts w:ascii="Times New Roman" w:hAnsi="Times New Roman" w:eastAsia="Times New Roman" w:cs="Times New Roman"/>
          <w:color w:val="231F20"/>
          <w:spacing w:val="10"/>
        </w:rPr>
        <w:t>3.1</w:t>
      </w:r>
      <w:r>
        <w:rPr>
          <w:color w:val="231F20"/>
          <w:spacing w:val="10"/>
        </w:rPr>
        <w:t>）的患者，可以考虑术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中预防性应用</w:t>
      </w:r>
      <w:r>
        <w:rPr>
          <w:rFonts w:ascii="Times New Roman" w:hAnsi="Times New Roman" w:eastAsia="Times New Roman" w:cs="Times New Roman"/>
          <w:color w:val="231F20"/>
        </w:rPr>
        <w:t>HIPEC  </w:t>
      </w:r>
      <w:r>
        <w:rPr>
          <w:color w:val="231F20"/>
        </w:rPr>
        <w:t>(Ⅲ级，</w:t>
      </w:r>
      <w:r>
        <w:rPr>
          <w:rFonts w:ascii="Times New Roman" w:hAnsi="Times New Roman" w:eastAsia="Times New Roman" w:cs="Times New Roman"/>
          <w:color w:val="231F20"/>
        </w:rPr>
        <w:t>Grade B</w:t>
      </w:r>
      <w:r>
        <w:rPr>
          <w:color w:val="231F20"/>
        </w:rPr>
        <w:t>）。</w:t>
      </w:r>
    </w:p>
    <w:p>
      <w:pPr>
        <w:pStyle w:val="BodyText"/>
        <w:ind w:left="1093"/>
        <w:spacing w:before="9" w:line="186" w:lineRule="auto"/>
        <w:rPr/>
      </w:pPr>
      <w:r>
        <w:rPr>
          <w:rFonts w:ascii="Microsoft YaHei" w:hAnsi="Microsoft YaHei" w:eastAsia="Microsoft YaHei" w:cs="Microsoft YaHei"/>
          <w:color w:val="231F20"/>
          <w:spacing w:val="-3"/>
        </w:rPr>
        <w:t>循证证据 </w:t>
      </w:r>
      <w:r>
        <w:rPr>
          <w:color w:val="231F20"/>
          <w:spacing w:val="-3"/>
        </w:rPr>
        <w:t>：</w:t>
      </w:r>
    </w:p>
    <w:p>
      <w:pPr>
        <w:pStyle w:val="BodyText"/>
        <w:ind w:left="665" w:right="205" w:firstLine="333"/>
        <w:spacing w:before="68" w:line="233" w:lineRule="auto"/>
        <w:jc w:val="both"/>
        <w:rPr/>
      </w:pPr>
      <w:r>
        <w:rPr>
          <w:color w:val="231F20"/>
          <w:spacing w:val="-11"/>
        </w:rPr>
        <w:t>（</w:t>
      </w:r>
      <w:r>
        <w:rPr>
          <w:rFonts w:ascii="Times New Roman" w:hAnsi="Times New Roman" w:eastAsia="Times New Roman" w:cs="Times New Roman"/>
          <w:color w:val="231F20"/>
          <w:spacing w:val="-11"/>
        </w:rPr>
        <w:t>1</w:t>
      </w:r>
      <w:r>
        <w:rPr>
          <w:color w:val="231F20"/>
          <w:spacing w:val="-11"/>
        </w:rPr>
        <w:t>）</w:t>
      </w:r>
      <w:r>
        <w:rPr>
          <w:rFonts w:ascii="Microsoft YaHei" w:hAnsi="Microsoft YaHei" w:eastAsia="Microsoft YaHei" w:cs="Microsoft YaHei"/>
          <w:color w:val="231F20"/>
          <w:spacing w:val="-11"/>
        </w:rPr>
        <w:t>一项荟萃分析显示</w:t>
      </w:r>
      <w:r>
        <w:rPr>
          <w:color w:val="231F20"/>
          <w:spacing w:val="-11"/>
        </w:rPr>
        <w:t>，</w:t>
      </w:r>
      <w:r>
        <w:rPr>
          <w:rFonts w:ascii="Microsoft YaHei" w:hAnsi="Microsoft YaHei" w:eastAsia="Microsoft YaHei" w:cs="Microsoft YaHei"/>
          <w:color w:val="231F20"/>
          <w:spacing w:val="-11"/>
        </w:rPr>
        <w:t>术中</w:t>
      </w:r>
      <w:r>
        <w:rPr>
          <w:rFonts w:ascii="Times New Roman" w:hAnsi="Times New Roman" w:eastAsia="Times New Roman" w:cs="Times New Roman"/>
          <w:color w:val="231F20"/>
          <w:spacing w:val="-11"/>
        </w:rPr>
        <w:t>HIPEC</w:t>
      </w:r>
      <w:r>
        <w:rPr>
          <w:rFonts w:ascii="Microsoft YaHei" w:hAnsi="Microsoft YaHei" w:eastAsia="Microsoft YaHei" w:cs="Microsoft YaHei"/>
          <w:color w:val="231F20"/>
          <w:spacing w:val="-11"/>
        </w:rPr>
        <w:t>单独</w:t>
      </w:r>
      <w:r>
        <w:rPr>
          <w:color w:val="231F20"/>
          <w:spacing w:val="-11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11"/>
        </w:rPr>
        <w:t>H</w:t>
      </w:r>
      <w:r>
        <w:rPr>
          <w:rFonts w:ascii="Times New Roman" w:hAnsi="Times New Roman" w:eastAsia="Times New Roman" w:cs="Times New Roman"/>
          <w:i/>
          <w:iCs/>
          <w:color w:val="231F20"/>
          <w:spacing w:val="-12"/>
        </w:rPr>
        <w:t>R</w:t>
      </w:r>
      <w:r>
        <w:rPr>
          <w:rFonts w:ascii="Times New Roman" w:hAnsi="Times New Roman" w:eastAsia="Times New Roman" w:cs="Times New Roman"/>
          <w:i/>
          <w:iCs/>
          <w:color w:val="231F20"/>
          <w:spacing w:val="29"/>
        </w:rPr>
        <w:t xml:space="preserve"> </w:t>
      </w:r>
      <w:r>
        <w:rPr>
          <w:color w:val="231F20"/>
          <w:spacing w:val="-12"/>
        </w:rPr>
        <w:t>=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5"/>
        </w:rPr>
        <w:t>0.60 </w:t>
      </w:r>
      <w:r>
        <w:rPr>
          <w:color w:val="231F20"/>
          <w:spacing w:val="-5"/>
        </w:rPr>
        <w:t>；</w:t>
      </w:r>
      <w:r>
        <w:rPr>
          <w:rFonts w:ascii="Times New Roman" w:hAnsi="Times New Roman" w:eastAsia="Times New Roman" w:cs="Times New Roman"/>
          <w:color w:val="231F20"/>
          <w:spacing w:val="-5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CI</w:t>
      </w:r>
      <w:r>
        <w:rPr>
          <w:rFonts w:ascii="Times New Roman" w:hAnsi="Times New Roman" w:eastAsia="Times New Roman" w:cs="Times New Roman"/>
          <w:i/>
          <w:iCs/>
          <w:color w:val="231F20"/>
          <w:spacing w:val="-16"/>
        </w:rPr>
        <w:t xml:space="preserve"> </w:t>
      </w:r>
      <w:r>
        <w:rPr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color w:val="231F20"/>
          <w:spacing w:val="-5"/>
        </w:rPr>
        <w:t>0.43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～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0.83 </w:t>
      </w:r>
      <w:r>
        <w:rPr>
          <w:color w:val="231F20"/>
          <w:spacing w:val="-5"/>
        </w:rPr>
        <w:t>；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7"/>
        </w:rPr>
        <w:t xml:space="preserve"> </w:t>
      </w:r>
      <w:r>
        <w:rPr>
          <w:color w:val="231F20"/>
          <w:spacing w:val="-6"/>
        </w:rPr>
        <w:t>＝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0.002</w:t>
      </w:r>
      <w:r>
        <w:rPr>
          <w:color w:val="231F20"/>
          <w:spacing w:val="-6"/>
        </w:rPr>
        <w:t>）</w:t>
      </w:r>
      <w:r>
        <w:rPr>
          <w:rFonts w:ascii="Microsoft YaHei" w:hAnsi="Microsoft YaHei" w:eastAsia="Microsoft YaHei" w:cs="Microsoft YaHei"/>
          <w:color w:val="231F20"/>
          <w:spacing w:val="-6"/>
        </w:rPr>
        <w:t>或合并早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9"/>
        </w:rPr>
        <w:t>期术后腹腔化疗</w:t>
      </w:r>
      <w:r>
        <w:rPr>
          <w:color w:val="231F20"/>
          <w:spacing w:val="-9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9"/>
        </w:rPr>
        <w:t>HR</w:t>
      </w:r>
      <w:r>
        <w:rPr>
          <w:rFonts w:ascii="Times New Roman" w:hAnsi="Times New Roman" w:eastAsia="Times New Roman" w:cs="Times New Roman"/>
          <w:i/>
          <w:iCs/>
          <w:color w:val="231F20"/>
          <w:spacing w:val="29"/>
        </w:rPr>
        <w:t xml:space="preserve"> </w:t>
      </w:r>
      <w:r>
        <w:rPr>
          <w:color w:val="231F20"/>
          <w:spacing w:val="-9"/>
        </w:rPr>
        <w:t>＝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0.45</w:t>
      </w:r>
      <w:r>
        <w:rPr>
          <w:color w:val="231F20"/>
          <w:spacing w:val="-9"/>
        </w:rPr>
        <w:t>；</w:t>
      </w:r>
      <w:r>
        <w:rPr>
          <w:rFonts w:ascii="Times New Roman" w:hAnsi="Times New Roman" w:eastAsia="Times New Roman" w:cs="Times New Roman"/>
          <w:color w:val="231F20"/>
          <w:spacing w:val="-9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9"/>
        </w:rPr>
        <w:t>CI</w:t>
      </w:r>
      <w:r>
        <w:rPr>
          <w:color w:val="231F20"/>
          <w:spacing w:val="-9"/>
        </w:rPr>
        <w:t>：</w:t>
      </w:r>
      <w:r>
        <w:rPr>
          <w:rFonts w:ascii="Times New Roman" w:hAnsi="Times New Roman" w:eastAsia="Times New Roman" w:cs="Times New Roman"/>
          <w:color w:val="231F20"/>
          <w:spacing w:val="-9"/>
        </w:rPr>
        <w:t>0</w:t>
      </w:r>
      <w:r>
        <w:rPr>
          <w:rFonts w:ascii="Times New Roman" w:hAnsi="Times New Roman" w:eastAsia="Times New Roman" w:cs="Times New Roman"/>
          <w:color w:val="231F20"/>
          <w:spacing w:val="-10"/>
        </w:rPr>
        <w:t>.29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-10"/>
        </w:rPr>
        <w:t>～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0.68</w:t>
      </w:r>
      <w:r>
        <w:rPr>
          <w:color w:val="231F20"/>
          <w:spacing w:val="-10"/>
        </w:rPr>
        <w:t>；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1"/>
        </w:rPr>
        <w:t xml:space="preserve"> </w:t>
      </w:r>
      <w:r>
        <w:rPr>
          <w:color w:val="231F20"/>
          <w:spacing w:val="4"/>
        </w:rPr>
        <w:t>＝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0.0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002</w:t>
      </w:r>
      <w:r>
        <w:rPr>
          <w:color w:val="231F20"/>
          <w:spacing w:val="4"/>
        </w:rPr>
        <w:t>）</w:t>
      </w:r>
      <w:r>
        <w:rPr>
          <w:rFonts w:ascii="Microsoft YaHei" w:hAnsi="Microsoft YaHei" w:eastAsia="Microsoft YaHei" w:cs="Microsoft YaHei"/>
          <w:color w:val="231F20"/>
          <w:spacing w:val="4"/>
        </w:rPr>
        <w:t>显著改善胃癌患者生存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color w:val="231F20"/>
          <w:spacing w:val="4"/>
        </w:rPr>
        <w:t>。</w:t>
      </w:r>
      <w:r>
        <w:rPr>
          <w:rFonts w:ascii="Microsoft YaHei" w:hAnsi="Microsoft YaHei" w:eastAsia="Microsoft YaHei" w:cs="Microsoft YaHei"/>
          <w:color w:val="231F20"/>
          <w:spacing w:val="4"/>
        </w:rPr>
        <w:t>术中腹腔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常温灌注化疗有改善生存趋势</w:t>
      </w: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9"/>
        </w:rPr>
        <w:t xml:space="preserve"> </w:t>
      </w:r>
      <w:r>
        <w:rPr>
          <w:color w:val="231F20"/>
          <w:spacing w:val="4"/>
        </w:rPr>
        <w:t>＝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0.06</w:t>
      </w:r>
      <w:r>
        <w:rPr>
          <w:color w:val="231F20"/>
          <w:spacing w:val="-47"/>
        </w:rPr>
        <w:t>），</w:t>
      </w:r>
      <w:r>
        <w:rPr>
          <w:rFonts w:ascii="Microsoft YaHei" w:hAnsi="Microsoft YaHei" w:eastAsia="Microsoft YaHei" w:cs="Microsoft YaHei"/>
          <w:color w:val="231F20"/>
          <w:spacing w:val="4"/>
        </w:rPr>
        <w:t>但是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单独早期术后腹腔化疗或延迟术后腹腔化疗均无显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  <w:position w:val="-2"/>
        </w:rPr>
        <w:t>著效果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"/>
          <w:position w:val="7"/>
        </w:rPr>
        <w:t>[47]</w:t>
      </w:r>
      <w:r>
        <w:rPr>
          <w:color w:val="231F20"/>
          <w:spacing w:val="1"/>
          <w:position w:val="-2"/>
        </w:rPr>
        <w:t>。</w:t>
      </w:r>
    </w:p>
    <w:p>
      <w:pPr>
        <w:pStyle w:val="BodyText"/>
        <w:ind w:left="675" w:right="170" w:firstLine="323"/>
        <w:spacing w:before="1" w:line="233" w:lineRule="auto"/>
        <w:jc w:val="both"/>
        <w:rPr/>
      </w:pPr>
      <w:r>
        <w:rPr>
          <w:color w:val="231F20"/>
          <w:spacing w:val="9"/>
        </w:rPr>
        <w:t>（</w:t>
      </w:r>
      <w:r>
        <w:rPr>
          <w:rFonts w:ascii="Times New Roman" w:hAnsi="Times New Roman" w:eastAsia="Times New Roman" w:cs="Times New Roman"/>
          <w:color w:val="231F20"/>
          <w:spacing w:val="9"/>
        </w:rPr>
        <w:t>2</w:t>
      </w:r>
      <w:r>
        <w:rPr>
          <w:color w:val="231F20"/>
          <w:spacing w:val="9"/>
        </w:rPr>
        <w:t>）</w:t>
      </w:r>
      <w:r>
        <w:rPr>
          <w:rFonts w:ascii="Times New Roman" w:hAnsi="Times New Roman" w:eastAsia="Times New Roman" w:cs="Times New Roman"/>
          <w:color w:val="231F20"/>
        </w:rPr>
        <w:t>Fujimoto</w:t>
      </w:r>
      <w:r>
        <w:rPr>
          <w:rFonts w:ascii="Microsoft YaHei" w:hAnsi="Microsoft YaHei" w:eastAsia="Microsoft YaHei" w:cs="Microsoft YaHei"/>
          <w:color w:val="231F20"/>
          <w:spacing w:val="9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9"/>
          <w:position w:val="9"/>
        </w:rPr>
        <w:t>[48]</w:t>
      </w:r>
      <w:r>
        <w:rPr>
          <w:rFonts w:ascii="Microsoft YaHei" w:hAnsi="Microsoft YaHei" w:eastAsia="Microsoft YaHei" w:cs="Microsoft YaHei"/>
          <w:color w:val="231F20"/>
          <w:spacing w:val="9"/>
        </w:rPr>
        <w:t>在 一 项术中</w:t>
      </w:r>
      <w:r>
        <w:rPr>
          <w:rFonts w:ascii="Times New Roman" w:hAnsi="Times New Roman" w:eastAsia="Times New Roman" w:cs="Times New Roman"/>
          <w:color w:val="231F20"/>
        </w:rPr>
        <w:t>HIPEC</w:t>
      </w:r>
      <w:r>
        <w:rPr>
          <w:rFonts w:ascii="Microsoft YaHei" w:hAnsi="Microsoft YaHei" w:eastAsia="Microsoft YaHei" w:cs="Microsoft YaHei"/>
          <w:color w:val="231F20"/>
          <w:spacing w:val="9"/>
        </w:rPr>
        <w:t>的随机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2"/>
        </w:rPr>
        <w:t>对照研究中纳入了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141</w:t>
      </w:r>
      <w:r>
        <w:rPr>
          <w:rFonts w:ascii="Microsoft YaHei" w:hAnsi="Microsoft YaHei" w:eastAsia="Microsoft YaHei" w:cs="Microsoft YaHei"/>
          <w:color w:val="231F20"/>
          <w:spacing w:val="12"/>
        </w:rPr>
        <w:t>例有浆膜浸润的胃癌手术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患者</w:t>
      </w:r>
      <w:r>
        <w:rPr>
          <w:rFonts w:ascii="Microsoft YaHei" w:hAnsi="Microsoft YaHei" w:eastAsia="Microsoft YaHei" w:cs="Microsoft YaHei"/>
          <w:color w:val="231F20"/>
          <w:spacing w:val="-35"/>
        </w:rPr>
        <w:t xml:space="preserve"> </w:t>
      </w:r>
      <w:r>
        <w:rPr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color w:val="231F20"/>
          <w:spacing w:val="6"/>
        </w:rPr>
        <w:t>结果显示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color w:val="231F20"/>
        </w:rPr>
        <w:t>HIPEC</w:t>
      </w:r>
      <w:r>
        <w:rPr>
          <w:rFonts w:ascii="Microsoft YaHei" w:hAnsi="Microsoft YaHei" w:eastAsia="Microsoft YaHei" w:cs="Microsoft YaHei"/>
          <w:color w:val="231F20"/>
          <w:spacing w:val="6"/>
        </w:rPr>
        <w:t>组</w:t>
      </w:r>
      <w:r>
        <w:rPr>
          <w:rFonts w:ascii="Times New Roman" w:hAnsi="Times New Roman" w:eastAsia="Times New Roman" w:cs="Times New Roman"/>
          <w:color w:val="231F20"/>
          <w:spacing w:val="6"/>
        </w:rPr>
        <w:t>[</w:t>
      </w:r>
      <w:r>
        <w:rPr>
          <w:rFonts w:ascii="Microsoft YaHei" w:hAnsi="Microsoft YaHei" w:eastAsia="Microsoft YaHei" w:cs="Microsoft YaHei"/>
          <w:color w:val="231F20"/>
          <w:spacing w:val="6"/>
        </w:rPr>
        <w:t>含丝裂霉素</w:t>
      </w:r>
      <w:r>
        <w:rPr>
          <w:color w:val="231F20"/>
          <w:spacing w:val="6"/>
        </w:rPr>
        <w:t>（</w:t>
      </w:r>
      <w:r>
        <w:rPr>
          <w:rFonts w:ascii="Times New Roman" w:hAnsi="Times New Roman" w:eastAsia="Times New Roman" w:cs="Times New Roman"/>
          <w:color w:val="231F20"/>
        </w:rPr>
        <w:t>MMC</w:t>
      </w:r>
      <w:r>
        <w:rPr>
          <w:color w:val="231F20"/>
          <w:spacing w:val="6"/>
        </w:rPr>
        <w:t>）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10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μg/ml</w:t>
      </w:r>
      <w:r>
        <w:rPr>
          <w:rFonts w:ascii="Microsoft YaHei" w:hAnsi="Microsoft YaHei" w:eastAsia="Microsoft YaHei" w:cs="Microsoft YaHei"/>
          <w:color w:val="231F20"/>
          <w:spacing w:val="-4"/>
        </w:rPr>
        <w:t>的灌注液</w:t>
      </w:r>
      <w:r>
        <w:rPr>
          <w:rFonts w:ascii="Times New Roman" w:hAnsi="Times New Roman" w:eastAsia="Times New Roman" w:cs="Times New Roman"/>
          <w:color w:val="231F20"/>
          <w:spacing w:val="-4"/>
        </w:rPr>
        <w:t>3000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～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4000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ml</w:t>
      </w:r>
      <w:r>
        <w:rPr>
          <w:rFonts w:ascii="Microsoft YaHei" w:hAnsi="Microsoft YaHei" w:eastAsia="Microsoft YaHei" w:cs="Microsoft YaHei"/>
          <w:color w:val="231F20"/>
          <w:spacing w:val="-4"/>
        </w:rPr>
        <w:t>循环</w:t>
      </w:r>
      <w:r>
        <w:rPr>
          <w:rFonts w:ascii="Times New Roman" w:hAnsi="Times New Roman" w:eastAsia="Times New Roman" w:cs="Times New Roman"/>
          <w:color w:val="231F20"/>
          <w:spacing w:val="-4"/>
        </w:rPr>
        <w:t>120</w:t>
      </w:r>
      <w:r>
        <w:rPr>
          <w:rFonts w:ascii="Microsoft YaHei" w:hAnsi="Microsoft YaHei" w:eastAsia="Microsoft YaHei" w:cs="Microsoft YaHei"/>
          <w:color w:val="231F20"/>
          <w:spacing w:val="-4"/>
        </w:rPr>
        <w:t>分钟</w:t>
      </w:r>
      <w:r>
        <w:rPr>
          <w:rFonts w:ascii="Times New Roman" w:hAnsi="Times New Roman" w:eastAsia="Times New Roman" w:cs="Times New Roman"/>
          <w:color w:val="231F20"/>
          <w:spacing w:val="-4"/>
        </w:rPr>
        <w:t>]</w:t>
      </w:r>
      <w:r>
        <w:rPr>
          <w:rFonts w:ascii="Microsoft YaHei" w:hAnsi="Microsoft YaHei" w:eastAsia="Microsoft YaHei" w:cs="Microsoft YaHei"/>
          <w:color w:val="231F20"/>
          <w:spacing w:val="-4"/>
        </w:rPr>
        <w:t>患者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较对照组腹膜复发率显著降低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P </w:t>
      </w:r>
      <w:r>
        <w:rPr>
          <w:color w:val="231F20"/>
          <w:spacing w:val="-1"/>
        </w:rPr>
        <w:t>＝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0.000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084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7</w:t>
      </w:r>
      <w:r>
        <w:rPr>
          <w:color w:val="231F20"/>
          <w:spacing w:val="-53"/>
          <w:w w:val="96"/>
        </w:rPr>
        <w:t>），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其 </w:t>
      </w:r>
      <w:r>
        <w:rPr>
          <w:rFonts w:ascii="Times New Roman" w:hAnsi="Times New Roman" w:eastAsia="Times New Roman" w:cs="Times New Roman"/>
          <w:color w:val="231F20"/>
          <w:spacing w:val="-6"/>
        </w:rPr>
        <w:t>2</w:t>
      </w:r>
      <w:r>
        <w:rPr>
          <w:color w:val="231F20"/>
          <w:spacing w:val="-6"/>
        </w:rPr>
        <w:t>、</w:t>
      </w:r>
      <w:r>
        <w:rPr>
          <w:rFonts w:ascii="Times New Roman" w:hAnsi="Times New Roman" w:eastAsia="Times New Roman" w:cs="Times New Roman"/>
          <w:color w:val="231F20"/>
          <w:spacing w:val="-6"/>
        </w:rPr>
        <w:t>4</w:t>
      </w:r>
      <w:r>
        <w:rPr>
          <w:color w:val="231F20"/>
          <w:spacing w:val="-6"/>
        </w:rPr>
        <w:t>、</w:t>
      </w:r>
      <w:r>
        <w:rPr>
          <w:rFonts w:ascii="Times New Roman" w:hAnsi="Times New Roman" w:eastAsia="Times New Roman" w:cs="Times New Roman"/>
          <w:color w:val="231F20"/>
          <w:spacing w:val="-6"/>
        </w:rPr>
        <w:t>8 </w:t>
      </w:r>
      <w:r>
        <w:rPr>
          <w:rFonts w:ascii="Microsoft YaHei" w:hAnsi="Microsoft YaHei" w:eastAsia="Microsoft YaHei" w:cs="Microsoft YaHei"/>
          <w:color w:val="231F20"/>
          <w:spacing w:val="-6"/>
        </w:rPr>
        <w:t>年生存率分别为 </w:t>
      </w:r>
      <w:r>
        <w:rPr>
          <w:rFonts w:ascii="Times New Roman" w:hAnsi="Times New Roman" w:eastAsia="Times New Roman" w:cs="Times New Roman"/>
          <w:color w:val="231F20"/>
          <w:spacing w:val="-6"/>
        </w:rPr>
        <w:t>88%</w:t>
      </w:r>
      <w:r>
        <w:rPr>
          <w:color w:val="231F20"/>
          <w:spacing w:val="-6"/>
        </w:rPr>
        <w:t>、</w:t>
      </w:r>
      <w:r>
        <w:rPr>
          <w:rFonts w:ascii="Times New Roman" w:hAnsi="Times New Roman" w:eastAsia="Times New Roman" w:cs="Times New Roman"/>
          <w:color w:val="231F20"/>
          <w:spacing w:val="-6"/>
        </w:rPr>
        <w:t>76%</w:t>
      </w:r>
      <w:r>
        <w:rPr>
          <w:color w:val="231F20"/>
          <w:spacing w:val="-6"/>
        </w:rPr>
        <w:t>、</w:t>
      </w:r>
      <w:r>
        <w:rPr>
          <w:rFonts w:ascii="Times New Roman" w:hAnsi="Times New Roman" w:eastAsia="Times New Roman" w:cs="Times New Roman"/>
          <w:color w:val="231F20"/>
          <w:spacing w:val="-6"/>
        </w:rPr>
        <w:t>62%</w:t>
      </w:r>
      <w:r>
        <w:rPr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而对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8"/>
        </w:rPr>
        <w:t>照组患者分别为 </w:t>
      </w:r>
      <w:r>
        <w:rPr>
          <w:rFonts w:ascii="Times New Roman" w:hAnsi="Times New Roman" w:eastAsia="Times New Roman" w:cs="Times New Roman"/>
          <w:color w:val="231F20"/>
          <w:spacing w:val="-8"/>
        </w:rPr>
        <w:t>77%</w:t>
      </w:r>
      <w:r>
        <w:rPr>
          <w:color w:val="231F20"/>
          <w:spacing w:val="-8"/>
        </w:rPr>
        <w:t>、</w:t>
      </w:r>
      <w:r>
        <w:rPr>
          <w:rFonts w:ascii="Times New Roman" w:hAnsi="Times New Roman" w:eastAsia="Times New Roman" w:cs="Times New Roman"/>
          <w:color w:val="231F20"/>
          <w:spacing w:val="-8"/>
        </w:rPr>
        <w:t>58%</w:t>
      </w:r>
      <w:r>
        <w:rPr>
          <w:color w:val="231F20"/>
          <w:spacing w:val="-8"/>
        </w:rPr>
        <w:t>、</w:t>
      </w:r>
      <w:r>
        <w:rPr>
          <w:rFonts w:ascii="Times New Roman" w:hAnsi="Times New Roman" w:eastAsia="Times New Roman" w:cs="Times New Roman"/>
          <w:color w:val="231F20"/>
          <w:spacing w:val="-8"/>
        </w:rPr>
        <w:t>49%</w:t>
      </w:r>
      <w:r>
        <w:rPr>
          <w:color w:val="231F20"/>
          <w:spacing w:val="-8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＝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0.</w:t>
      </w:r>
      <w:r>
        <w:rPr>
          <w:rFonts w:ascii="Times New Roman" w:hAnsi="Times New Roman" w:eastAsia="Times New Roman" w:cs="Times New Roman"/>
          <w:color w:val="231F20"/>
          <w:spacing w:val="-9"/>
        </w:rPr>
        <w:t>0 362</w:t>
      </w:r>
      <w:r>
        <w:rPr>
          <w:color w:val="231F20"/>
          <w:spacing w:val="-9"/>
        </w:rPr>
        <w:t>）。</w:t>
      </w:r>
    </w:p>
    <w:p>
      <w:pPr>
        <w:pStyle w:val="BodyText"/>
        <w:ind w:left="677" w:right="200" w:firstLine="321"/>
        <w:spacing w:before="4" w:line="206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color w:val="231F20"/>
          <w:spacing w:val="1"/>
        </w:rPr>
        <w:t>3</w:t>
      </w:r>
      <w:r>
        <w:rPr>
          <w:color w:val="231F20"/>
          <w:spacing w:val="1"/>
        </w:rPr>
        <w:t>）</w:t>
      </w:r>
      <w:r>
        <w:rPr>
          <w:rFonts w:ascii="Microsoft YaHei" w:hAnsi="Microsoft YaHei" w:eastAsia="Microsoft YaHei" w:cs="Microsoft YaHei"/>
          <w:color w:val="231F20"/>
          <w:spacing w:val="1"/>
        </w:rPr>
        <w:t>朱正纲等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"/>
          <w:position w:val="9"/>
        </w:rPr>
        <w:t>[49]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2"/>
          <w:position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的一项非随机对照研究显示</w:t>
      </w:r>
      <w:r>
        <w:rPr>
          <w:color w:val="231F20"/>
          <w:spacing w:val="1"/>
        </w:rPr>
        <w:t>，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无腹膜转移的</w:t>
      </w:r>
      <w:r>
        <w:rPr>
          <w:rFonts w:ascii="Times New Roman" w:hAnsi="Times New Roman" w:eastAsia="Times New Roman" w:cs="Times New Roman"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3"/>
          <w:position w:val="-3"/>
        </w:rPr>
        <w:t>3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9"/>
          <w:position w:val="-3"/>
        </w:rPr>
        <w:t xml:space="preserve"> </w:t>
      </w:r>
      <w:r>
        <w:rPr>
          <w:color w:val="231F20"/>
          <w:spacing w:val="3"/>
        </w:rPr>
        <w:t>、</w:t>
      </w:r>
      <w:r>
        <w:rPr>
          <w:rFonts w:ascii="Times New Roman" w:hAnsi="Times New Roman" w:eastAsia="Times New Roman" w:cs="Times New Roman"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3"/>
          <w:position w:val="-3"/>
        </w:rPr>
        <w:t>4 </w:t>
      </w:r>
      <w:r>
        <w:rPr>
          <w:rFonts w:ascii="Microsoft YaHei" w:hAnsi="Microsoft YaHei" w:eastAsia="Microsoft YaHei" w:cs="Microsoft YaHei"/>
          <w:color w:val="231F20"/>
          <w:spacing w:val="3"/>
        </w:rPr>
        <w:t>患者术中给予</w:t>
      </w:r>
      <w:r>
        <w:rPr>
          <w:rFonts w:ascii="Times New Roman" w:hAnsi="Times New Roman" w:eastAsia="Times New Roman" w:cs="Times New Roman"/>
          <w:color w:val="231F20"/>
        </w:rPr>
        <w:t>HIPEC</w:t>
      </w:r>
      <w:r>
        <w:rPr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color w:val="231F20"/>
          <w:spacing w:val="3"/>
        </w:rPr>
        <w:t>42</w:t>
      </w:r>
      <w:r>
        <w:rPr>
          <w:rFonts w:ascii="Microsoft YaHei" w:hAnsi="Microsoft YaHei" w:eastAsia="Microsoft YaHei" w:cs="Microsoft YaHei"/>
          <w:color w:val="231F20"/>
          <w:spacing w:val="2"/>
        </w:rPr>
        <w:t>例</w:t>
      </w:r>
      <w:r>
        <w:rPr>
          <w:color w:val="231F20"/>
          <w:spacing w:val="2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CDDP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50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mg/L</w:t>
      </w:r>
      <w:r>
        <w:rPr>
          <w:rFonts w:ascii="Microsoft YaHei" w:hAnsi="Microsoft YaHei" w:eastAsia="Microsoft YaHei" w:cs="Microsoft YaHei"/>
          <w:color w:val="231F20"/>
          <w:spacing w:val="-4"/>
        </w:rPr>
        <w:t>和</w:t>
      </w:r>
      <w:r>
        <w:rPr>
          <w:rFonts w:ascii="Times New Roman" w:hAnsi="Times New Roman" w:eastAsia="Times New Roman" w:cs="Times New Roman"/>
          <w:color w:val="231F20"/>
          <w:spacing w:val="-4"/>
        </w:rPr>
        <w:t>MMC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5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mg/L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-4"/>
        </w:rPr>
        <w:t>，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总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灌 注</w:t>
      </w:r>
      <w:r>
        <w:rPr>
          <w:rFonts w:ascii="Microsoft YaHei" w:hAnsi="Microsoft YaHei" w:eastAsia="Microsoft YaHei" w:cs="Microsoft YaHei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药 量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57"/>
        <w:spacing w:before="72" w:line="193" w:lineRule="auto"/>
        <w:outlineLvl w:val="1"/>
        <w:jc w:val="righ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Microsoft YaHei" w:hAnsi="Microsoft YaHei" w:eastAsia="Microsoft YaHei" w:cs="Microsoft YaHei"/>
          <w:sz w:val="12"/>
          <w:szCs w:val="12"/>
          <w:color w:val="231F20"/>
          <w:position w:val="5"/>
        </w:rPr>
        <w:t>●     </w:t>
      </w:r>
      <w:r>
        <w:rPr>
          <w:rFonts w:ascii="Microsoft YaHei" w:hAnsi="Microsoft YaHei" w:eastAsia="Microsoft YaHei" w:cs="Microsoft YaHei"/>
          <w:sz w:val="28"/>
          <w:szCs w:val="28"/>
          <w:color w:val="231F20"/>
        </w:rPr>
        <w:t>中国循证</w:t>
      </w:r>
      <w:r>
        <w:rPr>
          <w:rFonts w:ascii="Microsoft YaHei" w:hAnsi="Microsoft YaHei" w:eastAsia="Microsoft YaHei" w:cs="Microsoft YaHei"/>
          <w:sz w:val="30"/>
          <w:szCs w:val="30"/>
          <w:color w:val="231F20"/>
        </w:rPr>
        <w:t>指南共识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77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position w:val="5"/>
        </w:rPr>
        <w:t>●         </w:t>
      </w:r>
      <w:r>
        <w:rPr>
          <w:rFonts w:ascii="Times New Roman" w:hAnsi="Times New Roman" w:eastAsia="Times New Roman" w:cs="Times New Roman"/>
          <w:sz w:val="30"/>
          <w:szCs w:val="30"/>
          <w:color w:val="231F20"/>
        </w:rPr>
        <w:t>17</w:t>
      </w:r>
    </w:p>
    <w:p>
      <w:pPr>
        <w:pStyle w:val="BodyText"/>
        <w:spacing w:before="126" w:line="229" w:lineRule="auto"/>
        <w:jc w:val="right"/>
        <w:rPr/>
      </w:pPr>
      <w:r>
        <w:rPr>
          <w:rFonts w:ascii="Times New Roman" w:hAnsi="Times New Roman" w:eastAsia="Times New Roman" w:cs="Times New Roman"/>
          <w:color w:val="231F20"/>
          <w:spacing w:val="-7"/>
        </w:rPr>
        <w:t>5000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～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6000 ml</w:t>
      </w:r>
      <w:r>
        <w:rPr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color w:val="231F20"/>
          <w:spacing w:val="-7"/>
        </w:rPr>
        <w:t>优于单纯手术患者</w:t>
      </w:r>
      <w:r>
        <w:rPr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color w:val="231F20"/>
          <w:spacing w:val="-7"/>
        </w:rPr>
        <w:t>54</w:t>
      </w:r>
      <w:r>
        <w:rPr>
          <w:rFonts w:ascii="Microsoft YaHei" w:hAnsi="Microsoft YaHei" w:eastAsia="Microsoft YaHei" w:cs="Microsoft YaHei"/>
          <w:color w:val="231F20"/>
          <w:spacing w:val="-7"/>
        </w:rPr>
        <w:t>例</w:t>
      </w:r>
      <w:r>
        <w:rPr>
          <w:color w:val="231F20"/>
          <w:spacing w:val="-31"/>
          <w:w w:val="57"/>
        </w:rPr>
        <w:t>），</w:t>
      </w:r>
      <w:r>
        <w:rPr>
          <w:rFonts w:ascii="Microsoft YaHei" w:hAnsi="Microsoft YaHei" w:eastAsia="Microsoft YaHei" w:cs="Microsoft YaHei"/>
          <w:color w:val="231F20"/>
          <w:spacing w:val="-7"/>
        </w:rPr>
        <w:t>术后</w:t>
      </w:r>
      <w:r>
        <w:rPr>
          <w:rFonts w:ascii="Times New Roman" w:hAnsi="Times New Roman" w:eastAsia="Times New Roman" w:cs="Times New Roman"/>
          <w:color w:val="231F20"/>
          <w:spacing w:val="-7"/>
        </w:rPr>
        <w:t>1</w:t>
      </w:r>
      <w:r>
        <w:rPr>
          <w:color w:val="231F20"/>
          <w:spacing w:val="-7"/>
        </w:rPr>
        <w:t>、</w:t>
      </w:r>
    </w:p>
    <w:p>
      <w:pPr>
        <w:pStyle w:val="BodyText"/>
        <w:ind w:left="100" w:hanging="4"/>
        <w:spacing w:before="36" w:line="232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2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</w:rPr>
        <w:t>4</w:t>
      </w:r>
      <w:r>
        <w:rPr>
          <w:rFonts w:ascii="Microsoft YaHei" w:hAnsi="Microsoft YaHei" w:eastAsia="Microsoft YaHei" w:cs="Microsoft YaHei"/>
          <w:color w:val="231F20"/>
        </w:rPr>
        <w:t>年</w:t>
      </w:r>
      <w:r>
        <w:rPr>
          <w:rFonts w:ascii="Times New Roman" w:hAnsi="Times New Roman" w:eastAsia="Times New Roman" w:cs="Times New Roman"/>
          <w:color w:val="231F20"/>
        </w:rPr>
        <w:t>HIPEC</w:t>
      </w:r>
      <w:r>
        <w:rPr>
          <w:rFonts w:ascii="Microsoft YaHei" w:hAnsi="Microsoft YaHei" w:eastAsia="Microsoft YaHei" w:cs="Microsoft YaHei"/>
          <w:color w:val="231F20"/>
        </w:rPr>
        <w:t>组患者生存率分别为</w:t>
      </w:r>
      <w:r>
        <w:rPr>
          <w:rFonts w:ascii="Times New Roman" w:hAnsi="Times New Roman" w:eastAsia="Times New Roman" w:cs="Times New Roman"/>
          <w:color w:val="231F20"/>
        </w:rPr>
        <w:t>85.7%</w:t>
      </w:r>
      <w:r>
        <w:rPr>
          <w:rFonts w:ascii="Times New Roman" w:hAnsi="Times New Roman" w:eastAsia="Times New Roman" w:cs="Times New Roman"/>
          <w:color w:val="231F20"/>
          <w:spacing w:val="-30"/>
        </w:rPr>
        <w:t xml:space="preserve"> </w:t>
      </w:r>
      <w:r>
        <w:rPr>
          <w:color w:val="231F20"/>
        </w:rPr>
        <w:t>、</w:t>
      </w:r>
      <w:r>
        <w:rPr>
          <w:rFonts w:ascii="Times New Roman" w:hAnsi="Times New Roman" w:eastAsia="Times New Roman" w:cs="Times New Roman"/>
          <w:color w:val="231F20"/>
        </w:rPr>
        <w:t>81.0%</w:t>
      </w:r>
      <w:r>
        <w:rPr>
          <w:color w:val="231F20"/>
        </w:rPr>
        <w:t>、 </w:t>
      </w:r>
      <w:r>
        <w:rPr>
          <w:rFonts w:ascii="Times New Roman" w:hAnsi="Times New Roman" w:eastAsia="Times New Roman" w:cs="Times New Roman"/>
          <w:color w:val="231F20"/>
          <w:spacing w:val="8"/>
        </w:rPr>
        <w:t>63.9%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8"/>
        </w:rPr>
        <w:t>，</w:t>
      </w:r>
      <w:r>
        <w:rPr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单纯手术组患者分别为</w:t>
      </w:r>
      <w:r>
        <w:rPr>
          <w:rFonts w:ascii="Times New Roman" w:hAnsi="Times New Roman" w:eastAsia="Times New Roman" w:cs="Times New Roman"/>
          <w:color w:val="231F20"/>
          <w:spacing w:val="8"/>
        </w:rPr>
        <w:t>77.3%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  <w:spacing w:val="8"/>
        </w:rPr>
        <w:t>、</w:t>
      </w:r>
      <w:r>
        <w:rPr>
          <w:rFonts w:ascii="Times New Roman" w:hAnsi="Times New Roman" w:eastAsia="Times New Roman" w:cs="Times New Roman"/>
          <w:color w:val="231F20"/>
          <w:spacing w:val="8"/>
        </w:rPr>
        <w:t>61.0%</w:t>
      </w:r>
      <w:r>
        <w:rPr>
          <w:color w:val="231F20"/>
          <w:spacing w:val="8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50.8% </w:t>
      </w:r>
      <w:r>
        <w:rPr>
          <w:color w:val="231F20"/>
          <w:spacing w:val="-3"/>
        </w:rPr>
        <w:t>；</w:t>
      </w:r>
      <w:r>
        <w:rPr>
          <w:rFonts w:ascii="Times New Roman" w:hAnsi="Times New Roman" w:eastAsia="Times New Roman" w:cs="Times New Roman"/>
          <w:color w:val="231F20"/>
          <w:spacing w:val="-3"/>
        </w:rPr>
        <w:t>HIPEC</w:t>
      </w:r>
      <w:r>
        <w:rPr>
          <w:rFonts w:ascii="Microsoft YaHei" w:hAnsi="Microsoft YaHei" w:eastAsia="Microsoft YaHei" w:cs="Microsoft YaHei"/>
          <w:color w:val="231F20"/>
          <w:spacing w:val="-3"/>
        </w:rPr>
        <w:t>组患者术后腹膜复发率</w:t>
      </w: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10.3%</w:t>
      </w:r>
      <w:r>
        <w:rPr>
          <w:color w:val="231F20"/>
          <w:spacing w:val="-3"/>
        </w:rPr>
        <w:t>）</w:t>
      </w:r>
      <w:r>
        <w:rPr>
          <w:rFonts w:ascii="Microsoft YaHei" w:hAnsi="Microsoft YaHei" w:eastAsia="Microsoft YaHei" w:cs="Microsoft YaHei"/>
          <w:color w:val="231F20"/>
          <w:spacing w:val="-3"/>
        </w:rPr>
        <w:t>低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6"/>
        </w:rPr>
        <w:t>于单纯手术组</w:t>
      </w:r>
      <w:r>
        <w:rPr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color w:val="231F20"/>
          <w:spacing w:val="-6"/>
        </w:rPr>
        <w:t>34.7%</w:t>
      </w:r>
      <w:r>
        <w:rPr>
          <w:color w:val="231F20"/>
          <w:spacing w:val="-6"/>
        </w:rPr>
        <w:t>）。</w:t>
      </w:r>
    </w:p>
    <w:p>
      <w:pPr>
        <w:ind w:left="94"/>
        <w:spacing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</w:rPr>
        <w:t>4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胃癌腹膜转移的治疗</w:t>
      </w:r>
    </w:p>
    <w:p>
      <w:pPr>
        <w:ind w:left="95"/>
        <w:spacing w:before="50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4.1    P1 CY0/1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胃癌患者的治疗</w:t>
      </w:r>
    </w:p>
    <w:p>
      <w:pPr>
        <w:pStyle w:val="BodyText"/>
        <w:ind w:left="98" w:right="16" w:hanging="3"/>
        <w:spacing w:before="58" w:line="304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4.1.1    </w:t>
      </w:r>
      <w:r>
        <w:rPr>
          <w:color w:val="231F20"/>
        </w:rPr>
        <w:t>全身系统化疗  全身系统化疗是</w:t>
      </w:r>
      <w:r>
        <w:rPr>
          <w:color w:val="231F20"/>
          <w:spacing w:val="-1"/>
        </w:rPr>
        <w:t>晚期胃癌的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一种有效治疗方式，优于最佳支持治疗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"/>
          <w:position w:val="9"/>
        </w:rPr>
        <w:t>[50] </w:t>
      </w:r>
      <w:r>
        <w:rPr>
          <w:color w:val="231F20"/>
          <w:spacing w:val="1"/>
        </w:rPr>
        <w:t>。目前，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临床常用的氟尿嘧啶类联合铂类的两药方案疗效优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于单药方案，毒性小于三药方案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9"/>
        </w:rPr>
        <w:t>[51]</w:t>
      </w:r>
      <w:r>
        <w:rPr>
          <w:color w:val="231F20"/>
        </w:rPr>
        <w:t>。腹膜转移是胃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癌全身性疾病的局部表现，全身系统化疗是胃癌腹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膜转移的标准治疗，也可根据患者一般状况、合并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症、有无腹水、不良反应等结合腹腔化疗等局部治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疗手段。</w:t>
      </w:r>
    </w:p>
    <w:p>
      <w:pPr>
        <w:pStyle w:val="BodyText"/>
        <w:ind w:left="99" w:right="16" w:firstLine="417"/>
        <w:spacing w:before="4" w:line="253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-8"/>
        </w:rPr>
        <w:t>推荐方案 </w:t>
      </w:r>
      <w:r>
        <w:rPr>
          <w:color w:val="231F20"/>
          <w:spacing w:val="-8"/>
        </w:rPr>
        <w:t>：</w:t>
      </w:r>
      <w:r>
        <w:rPr>
          <w:rFonts w:ascii="Times New Roman" w:hAnsi="Times New Roman" w:eastAsia="Times New Roman" w:cs="Times New Roman"/>
          <w:color w:val="231F20"/>
          <w:spacing w:val="-8"/>
        </w:rPr>
        <w:t>S-1/CDDP  </w:t>
      </w:r>
      <w:r>
        <w:rPr>
          <w:color w:val="231F20"/>
          <w:spacing w:val="-8"/>
        </w:rPr>
        <w:t>( </w:t>
      </w:r>
      <w:r>
        <w:rPr>
          <w:rFonts w:ascii="Microsoft YaHei" w:hAnsi="Microsoft YaHei" w:eastAsia="Microsoft YaHei" w:cs="Microsoft YaHei"/>
          <w:color w:val="231F20"/>
          <w:spacing w:val="-8"/>
        </w:rPr>
        <w:t>Ⅱ级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9"/>
        </w:rPr>
        <w:t>，</w:t>
      </w:r>
      <w:r>
        <w:rPr>
          <w:rFonts w:ascii="Times New Roman" w:hAnsi="Times New Roman" w:eastAsia="Times New Roman" w:cs="Times New Roman"/>
          <w:color w:val="231F20"/>
          <w:spacing w:val="-9"/>
        </w:rPr>
        <w:t>Grade A</w:t>
      </w:r>
      <w:r>
        <w:rPr>
          <w:color w:val="231F20"/>
          <w:spacing w:val="-9"/>
        </w:rPr>
        <w:t>）、</w:t>
      </w:r>
      <w:r>
        <w:rPr>
          <w:rFonts w:ascii="Times New Roman" w:hAnsi="Times New Roman" w:eastAsia="Times New Roman" w:cs="Times New Roman"/>
          <w:color w:val="231F20"/>
          <w:spacing w:val="-9"/>
        </w:rPr>
        <w:t>S-1/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7"/>
        </w:rPr>
        <w:t>OXA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 </w:t>
      </w:r>
      <w:r>
        <w:rPr>
          <w:color w:val="231F20"/>
          <w:spacing w:val="-17"/>
        </w:rPr>
        <w:t>(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7"/>
        </w:rPr>
        <w:t>Ⅱ级</w:t>
      </w:r>
      <w:r>
        <w:rPr>
          <w:color w:val="231F20"/>
          <w:spacing w:val="-17"/>
        </w:rPr>
        <w:t>，</w:t>
      </w:r>
      <w:r>
        <w:rPr>
          <w:rFonts w:ascii="Times New Roman" w:hAnsi="Times New Roman" w:eastAsia="Times New Roman" w:cs="Times New Roman"/>
          <w:color w:val="231F20"/>
          <w:spacing w:val="-17"/>
        </w:rPr>
        <w:t>Grade A</w:t>
      </w:r>
      <w:r>
        <w:rPr>
          <w:color w:val="231F20"/>
          <w:spacing w:val="-17"/>
        </w:rPr>
        <w:t>）、</w:t>
      </w:r>
      <w:r>
        <w:rPr>
          <w:rFonts w:ascii="Times New Roman" w:hAnsi="Times New Roman" w:eastAsia="Times New Roman" w:cs="Times New Roman"/>
          <w:color w:val="231F20"/>
          <w:spacing w:val="-17"/>
        </w:rPr>
        <w:t>PTX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 </w:t>
      </w:r>
      <w:r>
        <w:rPr>
          <w:color w:val="231F20"/>
          <w:spacing w:val="-17"/>
        </w:rPr>
        <w:t>(</w:t>
      </w:r>
      <w:r>
        <w:rPr>
          <w:rFonts w:ascii="Microsoft YaHei" w:hAnsi="Microsoft YaHei" w:eastAsia="Microsoft YaHei" w:cs="Microsoft YaHei"/>
          <w:color w:val="231F20"/>
          <w:spacing w:val="-17"/>
        </w:rPr>
        <w:t>Ⅲ级</w:t>
      </w:r>
      <w:r>
        <w:rPr>
          <w:color w:val="231F20"/>
          <w:spacing w:val="-17"/>
        </w:rPr>
        <w:t>，</w:t>
      </w:r>
      <w:r>
        <w:rPr>
          <w:rFonts w:ascii="Times New Roman" w:hAnsi="Times New Roman" w:eastAsia="Times New Roman" w:cs="Times New Roman"/>
          <w:color w:val="231F20"/>
          <w:spacing w:val="-17"/>
        </w:rPr>
        <w:t>Grade A</w:t>
      </w:r>
      <w:r>
        <w:rPr>
          <w:color w:val="231F20"/>
          <w:spacing w:val="-17"/>
        </w:rPr>
        <w:t>）、</w:t>
      </w:r>
      <w:r>
        <w:rPr>
          <w:rFonts w:ascii="Times New Roman" w:hAnsi="Times New Roman" w:eastAsia="Times New Roman" w:cs="Times New Roman"/>
          <w:color w:val="231F20"/>
          <w:spacing w:val="-17"/>
        </w:rPr>
        <w:t>S-1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9"/>
        </w:rPr>
        <w:t>单药  </w:t>
      </w:r>
      <w:r>
        <w:rPr>
          <w:color w:val="231F20"/>
          <w:spacing w:val="-9"/>
        </w:rPr>
        <w:t>(</w:t>
      </w:r>
      <w:r>
        <w:rPr>
          <w:rFonts w:ascii="Microsoft YaHei" w:hAnsi="Microsoft YaHei" w:eastAsia="Microsoft YaHei" w:cs="Microsoft YaHei"/>
          <w:color w:val="231F20"/>
          <w:spacing w:val="-9"/>
        </w:rPr>
        <w:t>Ⅲ级</w:t>
      </w:r>
      <w:r>
        <w:rPr>
          <w:color w:val="231F20"/>
          <w:spacing w:val="-9"/>
        </w:rPr>
        <w:t>，</w:t>
      </w:r>
      <w:r>
        <w:rPr>
          <w:rFonts w:ascii="Times New Roman" w:hAnsi="Times New Roman" w:eastAsia="Times New Roman" w:cs="Times New Roman"/>
          <w:color w:val="231F20"/>
          <w:spacing w:val="-9"/>
        </w:rPr>
        <w:t>Grade A</w:t>
      </w:r>
      <w:r>
        <w:rPr>
          <w:color w:val="231F20"/>
          <w:spacing w:val="-9"/>
        </w:rPr>
        <w:t>）、</w:t>
      </w:r>
      <w:r>
        <w:rPr>
          <w:rFonts w:ascii="Times New Roman" w:hAnsi="Times New Roman" w:eastAsia="Times New Roman" w:cs="Times New Roman"/>
          <w:color w:val="231F20"/>
          <w:spacing w:val="-9"/>
        </w:rPr>
        <w:t>5-F</w:t>
      </w:r>
      <w:r>
        <w:rPr>
          <w:rFonts w:ascii="Times New Roman" w:hAnsi="Times New Roman" w:eastAsia="Times New Roman" w:cs="Times New Roman"/>
          <w:color w:val="231F20"/>
          <w:spacing w:val="-10"/>
        </w:rPr>
        <w:t>U</w:t>
      </w:r>
      <w:r>
        <w:rPr>
          <w:rFonts w:ascii="Microsoft YaHei" w:hAnsi="Microsoft YaHei" w:eastAsia="Microsoft YaHei" w:cs="Microsoft YaHei"/>
          <w:color w:val="231F20"/>
          <w:spacing w:val="-10"/>
        </w:rPr>
        <w:t>持续静脉滴注  </w:t>
      </w:r>
      <w:r>
        <w:rPr>
          <w:color w:val="231F20"/>
          <w:spacing w:val="-10"/>
        </w:rPr>
        <w:t>(</w:t>
      </w:r>
      <w:r>
        <w:rPr>
          <w:rFonts w:ascii="Microsoft YaHei" w:hAnsi="Microsoft YaHei" w:eastAsia="Microsoft YaHei" w:cs="Microsoft YaHei"/>
          <w:color w:val="231F20"/>
          <w:spacing w:val="-10"/>
        </w:rPr>
        <w:t>Ⅲ级</w:t>
      </w:r>
      <w:r>
        <w:rPr>
          <w:color w:val="231F20"/>
          <w:spacing w:val="-10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Grade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</w:t>
      </w:r>
      <w:r>
        <w:rPr>
          <w:color w:val="231F20"/>
          <w:spacing w:val="-2"/>
        </w:rPr>
        <w:t>）</w:t>
      </w:r>
    </w:p>
    <w:p>
      <w:pPr>
        <w:pStyle w:val="BodyText"/>
        <w:ind w:left="515"/>
        <w:spacing w:before="1" w:line="185" w:lineRule="auto"/>
        <w:rPr/>
      </w:pPr>
      <w:r>
        <w:rPr>
          <w:rFonts w:ascii="Microsoft YaHei" w:hAnsi="Microsoft YaHei" w:eastAsia="Microsoft YaHei" w:cs="Microsoft YaHei"/>
          <w:color w:val="231F20"/>
          <w:spacing w:val="-3"/>
        </w:rPr>
        <w:t>循证证据 </w:t>
      </w:r>
      <w:r>
        <w:rPr>
          <w:color w:val="231F20"/>
          <w:spacing w:val="-3"/>
        </w:rPr>
        <w:t>：</w:t>
      </w:r>
    </w:p>
    <w:p>
      <w:pPr>
        <w:pStyle w:val="BodyText"/>
        <w:ind w:left="100" w:right="16" w:firstLine="320"/>
        <w:spacing w:before="70" w:line="233" w:lineRule="auto"/>
        <w:rPr/>
      </w:pP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color w:val="231F20"/>
          <w:spacing w:val="-3"/>
        </w:rPr>
        <w:t>Koizumiet</w:t>
      </w:r>
      <w:r>
        <w:rPr>
          <w:rFonts w:ascii="Microsoft YaHei" w:hAnsi="Microsoft YaHei" w:eastAsia="Microsoft YaHei" w:cs="Microsoft YaHei"/>
          <w:color w:val="231F20"/>
          <w:spacing w:val="-3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3"/>
          <w:position w:val="9"/>
        </w:rPr>
        <w:t>[52]</w:t>
      </w:r>
      <w:r>
        <w:rPr>
          <w:rFonts w:ascii="Microsoft YaHei" w:hAnsi="Microsoft YaHei" w:eastAsia="Microsoft YaHei" w:cs="Microsoft YaHei"/>
          <w:color w:val="231F20"/>
          <w:spacing w:val="-3"/>
        </w:rPr>
        <w:t>在</w:t>
      </w:r>
      <w:r>
        <w:rPr>
          <w:rFonts w:ascii="Microsoft YaHei" w:hAnsi="Microsoft YaHei" w:eastAsia="Microsoft YaHei" w:cs="Microsoft YaHei"/>
          <w:color w:val="231F20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Ⅲ</w:t>
      </w:r>
      <w:r>
        <w:rPr>
          <w:rFonts w:ascii="Microsoft YaHei" w:hAnsi="Microsoft YaHei" w:eastAsia="Microsoft YaHei" w:cs="Microsoft YaHei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期</w:t>
      </w:r>
      <w:r>
        <w:rPr>
          <w:rFonts w:ascii="Microsoft YaHei" w:hAnsi="Microsoft YaHei" w:eastAsia="Microsoft YaHei" w:cs="Microsoft YaHei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随 机</w:t>
      </w:r>
      <w:r>
        <w:rPr>
          <w:rFonts w:ascii="Microsoft YaHei" w:hAnsi="Microsoft YaHei" w:eastAsia="Microsoft YaHei" w:cs="Microsoft YaHei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对</w:t>
      </w:r>
      <w:r>
        <w:rPr>
          <w:rFonts w:ascii="Microsoft YaHei" w:hAnsi="Microsoft YaHei" w:eastAsia="Microsoft YaHei" w:cs="Microsoft YaHei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照 研</w:t>
      </w:r>
      <w:r>
        <w:rPr>
          <w:rFonts w:ascii="Microsoft YaHei" w:hAnsi="Microsoft YaHei" w:eastAsia="Microsoft YaHei" w:cs="Microsoft YaHei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究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SPIRITS</w:t>
      </w:r>
      <w:r>
        <w:rPr>
          <w:rFonts w:ascii="Microsoft YaHei" w:hAnsi="Microsoft YaHei" w:eastAsia="Microsoft YaHei" w:cs="Microsoft YaHei"/>
          <w:color w:val="231F20"/>
          <w:spacing w:val="5"/>
        </w:rPr>
        <w:t>中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color w:val="231F20"/>
          <w:spacing w:val="5"/>
        </w:rPr>
        <w:t>共纳入</w:t>
      </w:r>
      <w:r>
        <w:rPr>
          <w:rFonts w:ascii="Times New Roman" w:hAnsi="Times New Roman" w:eastAsia="Times New Roman" w:cs="Times New Roman"/>
          <w:color w:val="231F20"/>
          <w:spacing w:val="5"/>
        </w:rPr>
        <w:t>305</w:t>
      </w:r>
      <w:r>
        <w:rPr>
          <w:rFonts w:ascii="Microsoft YaHei" w:hAnsi="Microsoft YaHei" w:eastAsia="Microsoft YaHei" w:cs="Microsoft YaHei"/>
          <w:color w:val="231F20"/>
          <w:spacing w:val="5"/>
        </w:rPr>
        <w:t>例晚期胃癌患者</w:t>
      </w:r>
      <w:r>
        <w:rPr>
          <w:rFonts w:ascii="Microsoft YaHei" w:hAnsi="Microsoft YaHei" w:eastAsia="Microsoft YaHei" w:cs="Microsoft YaHei"/>
          <w:color w:val="231F20"/>
          <w:spacing w:val="-36"/>
        </w:rPr>
        <w:t xml:space="preserve"> </w:t>
      </w:r>
      <w:r>
        <w:rPr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color w:val="231F20"/>
          <w:spacing w:val="5"/>
        </w:rPr>
        <w:t>比较</w:t>
      </w:r>
      <w:r>
        <w:rPr>
          <w:rFonts w:ascii="Times New Roman" w:hAnsi="Times New Roman" w:eastAsia="Times New Roman" w:cs="Times New Roman"/>
          <w:color w:val="231F20"/>
        </w:rPr>
        <w:t>SP  </w:t>
      </w:r>
      <w:r>
        <w:rPr>
          <w:rFonts w:ascii="Microsoft YaHei" w:hAnsi="Microsoft YaHei" w:eastAsia="Microsoft YaHei" w:cs="Microsoft YaHei"/>
          <w:color w:val="231F20"/>
          <w:spacing w:val="2"/>
        </w:rPr>
        <w:t>方案</w:t>
      </w: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</w:rPr>
        <w:t>S-1/</w:t>
      </w:r>
      <w:r>
        <w:rPr>
          <w:rFonts w:ascii="Times New Roman" w:hAnsi="Times New Roman" w:eastAsia="Times New Roman" w:cs="Times New Roman"/>
          <w:color w:val="231F20"/>
        </w:rPr>
        <w:t>CDDP</w:t>
      </w:r>
      <w:r>
        <w:rPr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color w:val="231F20"/>
          <w:spacing w:val="2"/>
        </w:rPr>
        <w:t>和</w:t>
      </w:r>
      <w:r>
        <w:rPr>
          <w:rFonts w:ascii="Times New Roman" w:hAnsi="Times New Roman" w:eastAsia="Times New Roman" w:cs="Times New Roman"/>
          <w:color w:val="231F20"/>
          <w:spacing w:val="2"/>
        </w:rPr>
        <w:t>S-1</w:t>
      </w:r>
      <w:r>
        <w:rPr>
          <w:rFonts w:ascii="Microsoft YaHei" w:hAnsi="Microsoft YaHei" w:eastAsia="Microsoft YaHei" w:cs="Microsoft YaHei"/>
          <w:color w:val="231F20"/>
          <w:spacing w:val="2"/>
        </w:rPr>
        <w:t>单药方案一线治疗晚期胃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癌的疗效和安全性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4"/>
        </w:rPr>
        <w:t>。</w:t>
      </w:r>
      <w:r>
        <w:rPr>
          <w:rFonts w:ascii="Microsoft YaHei" w:hAnsi="Microsoft YaHei" w:eastAsia="Microsoft YaHei" w:cs="Microsoft YaHei"/>
          <w:color w:val="231F20"/>
          <w:spacing w:val="4"/>
        </w:rPr>
        <w:t>结果显示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4"/>
        </w:rPr>
        <w:t>：</w:t>
      </w:r>
      <w:r>
        <w:rPr>
          <w:rFonts w:ascii="Times New Roman" w:hAnsi="Times New Roman" w:eastAsia="Times New Roman" w:cs="Times New Roman"/>
          <w:color w:val="231F20"/>
        </w:rPr>
        <w:t>SP</w:t>
      </w:r>
      <w:r>
        <w:rPr>
          <w:rFonts w:ascii="Microsoft YaHei" w:hAnsi="Microsoft YaHei" w:eastAsia="Microsoft YaHei" w:cs="Microsoft YaHei"/>
          <w:color w:val="231F20"/>
          <w:spacing w:val="4"/>
        </w:rPr>
        <w:t>组患者中位总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生存时间</w:t>
      </w: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</w:rPr>
        <w:t>overall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survival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color w:val="231F20"/>
        </w:rPr>
        <w:t>OS</w:t>
      </w:r>
      <w:r>
        <w:rPr>
          <w:color w:val="231F20"/>
          <w:spacing w:val="2"/>
        </w:rPr>
        <w:t>）</w:t>
      </w:r>
      <w:r>
        <w:rPr>
          <w:rFonts w:ascii="Microsoft YaHei" w:hAnsi="Microsoft YaHei" w:eastAsia="Microsoft YaHei" w:cs="Microsoft YaHei"/>
          <w:color w:val="231F20"/>
          <w:spacing w:val="2"/>
        </w:rPr>
        <w:t>较单药组显著延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2"/>
        </w:rPr>
        <w:t>长</w:t>
      </w:r>
      <w:r>
        <w:rPr>
          <w:color w:val="231F20"/>
          <w:spacing w:val="-22"/>
        </w:rPr>
        <w:t>（</w:t>
      </w:r>
      <w:r>
        <w:rPr>
          <w:rFonts w:ascii="Times New Roman" w:hAnsi="Times New Roman" w:eastAsia="Times New Roman" w:cs="Times New Roman"/>
          <w:color w:val="231F20"/>
          <w:spacing w:val="-22"/>
        </w:rPr>
        <w:t>13.0</w:t>
      </w:r>
      <w:r>
        <w:rPr>
          <w:rFonts w:ascii="Microsoft YaHei" w:hAnsi="Microsoft YaHei" w:eastAsia="Microsoft YaHei" w:cs="Microsoft YaHei"/>
          <w:color w:val="231F20"/>
          <w:spacing w:val="-22"/>
        </w:rPr>
        <w:t>个月</w:t>
      </w:r>
      <w:r>
        <w:rPr>
          <w:rFonts w:ascii="Microsoft YaHei" w:hAnsi="Microsoft YaHei" w:eastAsia="Microsoft YaHei" w:cs="Microsoft YaHei"/>
          <w:color w:val="231F20"/>
          <w:spacing w:val="26"/>
        </w:rPr>
        <w:t xml:space="preserve"> </w:t>
      </w:r>
      <w:r>
        <w:rPr>
          <w:color w:val="231F20"/>
          <w:spacing w:val="-22"/>
        </w:rPr>
        <w:t>︰</w:t>
      </w:r>
      <w:r>
        <w:rPr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2"/>
        </w:rPr>
        <w:t>11.0</w:t>
      </w:r>
      <w:r>
        <w:rPr>
          <w:rFonts w:ascii="Microsoft YaHei" w:hAnsi="Microsoft YaHei" w:eastAsia="Microsoft YaHei" w:cs="Microsoft YaHei"/>
          <w:color w:val="231F20"/>
          <w:spacing w:val="-22"/>
        </w:rPr>
        <w:t>个月</w:t>
      </w:r>
      <w:r>
        <w:rPr>
          <w:color w:val="231F20"/>
          <w:spacing w:val="-22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22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9"/>
        </w:rPr>
        <w:t xml:space="preserve"> </w:t>
      </w:r>
      <w:r>
        <w:rPr>
          <w:color w:val="231F20"/>
          <w:spacing w:val="-22"/>
        </w:rPr>
        <w:t>＝</w:t>
      </w:r>
      <w:r>
        <w:rPr>
          <w:color w:val="231F20"/>
          <w:spacing w:val="-6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2"/>
        </w:rPr>
        <w:t>0.0</w:t>
      </w:r>
      <w:r>
        <w:rPr>
          <w:rFonts w:ascii="Times New Roman" w:hAnsi="Times New Roman" w:eastAsia="Times New Roman" w:cs="Times New Roman"/>
          <w:color w:val="231F20"/>
          <w:spacing w:val="-23"/>
        </w:rPr>
        <w:t>4</w:t>
      </w:r>
      <w:r>
        <w:rPr>
          <w:color w:val="231F20"/>
          <w:spacing w:val="-23"/>
        </w:rPr>
        <w:t>）。</w:t>
      </w:r>
      <w:r>
        <w:rPr>
          <w:rFonts w:ascii="Microsoft YaHei" w:hAnsi="Microsoft YaHei" w:eastAsia="Microsoft YaHei" w:cs="Microsoft YaHei"/>
          <w:color w:val="231F20"/>
          <w:spacing w:val="-23"/>
        </w:rPr>
        <w:t>亚组分析显示</w:t>
      </w:r>
      <w:r>
        <w:rPr>
          <w:color w:val="231F20"/>
          <w:spacing w:val="-23"/>
        </w:rPr>
        <w:t>：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</w:t>
      </w:r>
      <w:r>
        <w:rPr>
          <w:rFonts w:ascii="Microsoft YaHei" w:hAnsi="Microsoft YaHei" w:eastAsia="Microsoft YaHei" w:cs="Microsoft YaHei"/>
          <w:color w:val="231F20"/>
          <w:spacing w:val="3"/>
        </w:rPr>
        <w:t>方案对腹膜转移患者的疗效更佳</w:t>
      </w:r>
      <w:r>
        <w:rPr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</w:rPr>
        <w:t>HR</w:t>
      </w:r>
      <w:r>
        <w:rPr>
          <w:rFonts w:ascii="Times New Roman" w:hAnsi="Times New Roman" w:eastAsia="Times New Roman" w:cs="Times New Roman"/>
          <w:i/>
          <w:iCs/>
          <w:color w:val="231F20"/>
          <w:spacing w:val="39"/>
        </w:rPr>
        <w:t xml:space="preserve"> </w:t>
      </w:r>
      <w:r>
        <w:rPr>
          <w:color w:val="231F20"/>
          <w:spacing w:val="3"/>
        </w:rPr>
        <w:t>＝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0.52</w:t>
      </w:r>
      <w:r>
        <w:rPr>
          <w:color w:val="231F20"/>
          <w:spacing w:val="3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CI</w:t>
      </w:r>
      <w:r>
        <w:rPr>
          <w:rFonts w:ascii="Times New Roman" w:hAnsi="Times New Roman" w:eastAsia="Times New Roman" w:cs="Times New Roman"/>
          <w:i/>
          <w:iCs/>
          <w:color w:val="231F20"/>
          <w:spacing w:val="-16"/>
        </w:rPr>
        <w:t xml:space="preserve"> </w:t>
      </w:r>
      <w:r>
        <w:rPr>
          <w:color w:val="231F20"/>
          <w:spacing w:val="-8"/>
        </w:rPr>
        <w:t>：</w:t>
      </w:r>
      <w:r>
        <w:rPr>
          <w:rFonts w:ascii="Times New Roman" w:hAnsi="Times New Roman" w:eastAsia="Times New Roman" w:cs="Times New Roman"/>
          <w:color w:val="231F20"/>
          <w:spacing w:val="-8"/>
        </w:rPr>
        <w:t>0.33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-8"/>
        </w:rPr>
        <w:t>～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0.82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＝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0.</w:t>
      </w:r>
      <w:r>
        <w:rPr>
          <w:rFonts w:ascii="Times New Roman" w:hAnsi="Times New Roman" w:eastAsia="Times New Roman" w:cs="Times New Roman"/>
          <w:color w:val="231F20"/>
          <w:spacing w:val="-9"/>
        </w:rPr>
        <w:t>02</w:t>
      </w:r>
      <w:r>
        <w:rPr>
          <w:color w:val="231F20"/>
          <w:spacing w:val="-9"/>
        </w:rPr>
        <w:t>）。</w:t>
      </w:r>
    </w:p>
    <w:p>
      <w:pPr>
        <w:pStyle w:val="BodyText"/>
        <w:ind w:right="14" w:firstLine="420"/>
        <w:spacing w:before="86" w:line="233" w:lineRule="auto"/>
        <w:rPr/>
      </w:pPr>
      <w:r>
        <w:rPr>
          <w:color w:val="231F20"/>
          <w:spacing w:val="18"/>
        </w:rPr>
        <w:t>（</w:t>
      </w:r>
      <w:r>
        <w:rPr>
          <w:rFonts w:ascii="Times New Roman" w:hAnsi="Times New Roman" w:eastAsia="Times New Roman" w:cs="Times New Roman"/>
          <w:color w:val="231F20"/>
          <w:spacing w:val="18"/>
        </w:rPr>
        <w:t>2</w:t>
      </w:r>
      <w:r>
        <w:rPr>
          <w:color w:val="231F20"/>
          <w:spacing w:val="18"/>
        </w:rPr>
        <w:t>）</w:t>
      </w:r>
      <w:r>
        <w:rPr>
          <w:rFonts w:ascii="Times New Roman" w:hAnsi="Times New Roman" w:eastAsia="Times New Roman" w:cs="Times New Roman"/>
          <w:color w:val="231F20"/>
        </w:rPr>
        <w:t>Yamada</w:t>
      </w:r>
      <w:r>
        <w:rPr>
          <w:rFonts w:ascii="Microsoft YaHei" w:hAnsi="Microsoft YaHei" w:eastAsia="Microsoft YaHei" w:cs="Microsoft YaHei"/>
          <w:color w:val="231F20"/>
          <w:spacing w:val="18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8"/>
          <w:position w:val="9"/>
        </w:rPr>
        <w:t>[53]</w:t>
      </w:r>
      <w:r>
        <w:rPr>
          <w:rFonts w:ascii="Microsoft YaHei" w:hAnsi="Microsoft YaHei" w:eastAsia="Microsoft YaHei" w:cs="Microsoft YaHei"/>
          <w:color w:val="231F20"/>
          <w:spacing w:val="18"/>
        </w:rPr>
        <w:t>在Ⅲ期随机对照临床研究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6"/>
        </w:rPr>
        <w:t>G-</w:t>
      </w:r>
      <w:r>
        <w:rPr>
          <w:rFonts w:ascii="Times New Roman" w:hAnsi="Times New Roman" w:eastAsia="Times New Roman" w:cs="Times New Roman"/>
          <w:color w:val="231F20"/>
        </w:rPr>
        <w:t>SOX</w:t>
      </w:r>
      <w:r>
        <w:rPr>
          <w:rFonts w:ascii="Microsoft YaHei" w:hAnsi="Microsoft YaHei" w:eastAsia="Microsoft YaHei" w:cs="Microsoft YaHei"/>
          <w:color w:val="231F20"/>
          <w:spacing w:val="6"/>
        </w:rPr>
        <w:t>中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color w:val="231F20"/>
          <w:spacing w:val="6"/>
        </w:rPr>
        <w:t>共纳入</w:t>
      </w:r>
      <w:r>
        <w:rPr>
          <w:rFonts w:ascii="Times New Roman" w:hAnsi="Times New Roman" w:eastAsia="Times New Roman" w:cs="Times New Roman"/>
          <w:color w:val="231F20"/>
          <w:spacing w:val="6"/>
        </w:rPr>
        <w:t>685</w:t>
      </w:r>
      <w:r>
        <w:rPr>
          <w:rFonts w:ascii="Microsoft YaHei" w:hAnsi="Microsoft YaHei" w:eastAsia="Microsoft YaHei" w:cs="Microsoft YaHei"/>
          <w:color w:val="231F20"/>
          <w:spacing w:val="6"/>
        </w:rPr>
        <w:t>例晚期胃癌患者</w:t>
      </w:r>
      <w:r>
        <w:rPr>
          <w:rFonts w:ascii="Microsoft YaHei" w:hAnsi="Microsoft YaHei" w:eastAsia="Microsoft YaHei" w:cs="Microsoft YaHei"/>
          <w:color w:val="231F20"/>
          <w:spacing w:val="-38"/>
        </w:rPr>
        <w:t xml:space="preserve"> </w:t>
      </w:r>
      <w:r>
        <w:rPr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color w:val="231F20"/>
          <w:spacing w:val="6"/>
        </w:rPr>
        <w:t>比较</w:t>
      </w:r>
      <w:r>
        <w:rPr>
          <w:rFonts w:ascii="Times New Roman" w:hAnsi="Times New Roman" w:eastAsia="Times New Roman" w:cs="Times New Roman"/>
          <w:color w:val="231F20"/>
        </w:rPr>
        <w:t>SOX  </w:t>
      </w:r>
      <w:r>
        <w:rPr>
          <w:rFonts w:ascii="Microsoft YaHei" w:hAnsi="Microsoft YaHei" w:eastAsia="Microsoft YaHei" w:cs="Microsoft YaHei"/>
          <w:color w:val="231F20"/>
          <w:spacing w:val="25"/>
        </w:rPr>
        <w:t>方案与</w:t>
      </w:r>
      <w:r>
        <w:rPr>
          <w:rFonts w:ascii="Times New Roman" w:hAnsi="Times New Roman" w:eastAsia="Times New Roman" w:cs="Times New Roman"/>
          <w:color w:val="231F20"/>
        </w:rPr>
        <w:t>SP</w:t>
      </w:r>
      <w:r>
        <w:rPr>
          <w:rFonts w:ascii="Microsoft YaHei" w:hAnsi="Microsoft YaHei" w:eastAsia="Microsoft YaHei" w:cs="Microsoft YaHei"/>
          <w:color w:val="231F20"/>
          <w:spacing w:val="25"/>
        </w:rPr>
        <w:t>方案一线治疗晚期胃癌的疗效和安全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性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color w:val="231F20"/>
          <w:spacing w:val="3"/>
        </w:rPr>
        <w:t>结果显示</w:t>
      </w:r>
      <w:r>
        <w:rPr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color w:val="231F20"/>
        </w:rPr>
        <w:t>SOX</w:t>
      </w:r>
      <w:r>
        <w:rPr>
          <w:rFonts w:ascii="Microsoft YaHei" w:hAnsi="Microsoft YaHei" w:eastAsia="Microsoft YaHei" w:cs="Microsoft YaHei"/>
          <w:color w:val="231F20"/>
          <w:spacing w:val="3"/>
        </w:rPr>
        <w:t>组患者的中位无进展生存时间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progression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free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survival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color w:val="231F20"/>
          <w:spacing w:val="-5"/>
        </w:rPr>
        <w:t>PFS</w:t>
      </w:r>
      <w:r>
        <w:rPr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color w:val="231F20"/>
          <w:spacing w:val="-5"/>
        </w:rPr>
        <w:t>非劣于</w:t>
      </w:r>
      <w:r>
        <w:rPr>
          <w:rFonts w:ascii="Times New Roman" w:hAnsi="Times New Roman" w:eastAsia="Times New Roman" w:cs="Times New Roman"/>
          <w:color w:val="231F20"/>
          <w:spacing w:val="-5"/>
        </w:rPr>
        <w:t>SP</w:t>
      </w:r>
      <w:r>
        <w:rPr>
          <w:rFonts w:ascii="Microsoft YaHei" w:hAnsi="Microsoft YaHei" w:eastAsia="Microsoft YaHei" w:cs="Microsoft YaHei"/>
          <w:color w:val="231F20"/>
          <w:spacing w:val="-5"/>
        </w:rPr>
        <w:t>组</w:t>
      </w: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5.5</w:t>
      </w:r>
      <w:r>
        <w:rPr>
          <w:rFonts w:ascii="Microsoft YaHei" w:hAnsi="Microsoft YaHei" w:eastAsia="Microsoft YaHei" w:cs="Microsoft YaHei"/>
          <w:color w:val="231F20"/>
          <w:spacing w:val="-5"/>
        </w:rPr>
        <w:t>个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3"/>
        </w:rPr>
        <w:t>月</w:t>
      </w:r>
      <w:r>
        <w:rPr>
          <w:rFonts w:ascii="Microsoft YaHei" w:hAnsi="Microsoft YaHei" w:eastAsia="Microsoft YaHei" w:cs="Microsoft YaHei"/>
          <w:color w:val="231F20"/>
          <w:spacing w:val="38"/>
          <w:w w:val="101"/>
        </w:rPr>
        <w:t xml:space="preserve"> </w:t>
      </w:r>
      <w:r>
        <w:rPr>
          <w:color w:val="231F20"/>
          <w:spacing w:val="-13"/>
        </w:rPr>
        <w:t>︰</w:t>
      </w:r>
      <w:r>
        <w:rPr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3"/>
        </w:rPr>
        <w:t>5.4</w:t>
      </w:r>
      <w:r>
        <w:rPr>
          <w:rFonts w:ascii="Microsoft YaHei" w:hAnsi="Microsoft YaHei" w:eastAsia="Microsoft YaHei" w:cs="Microsoft YaHei"/>
          <w:color w:val="231F20"/>
          <w:spacing w:val="-13"/>
        </w:rPr>
        <w:t>个月</w:t>
      </w:r>
      <w:r>
        <w:rPr>
          <w:color w:val="231F20"/>
          <w:spacing w:val="-13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13"/>
        </w:rPr>
        <w:t>HR </w:t>
      </w:r>
      <w:r>
        <w:rPr>
          <w:color w:val="231F20"/>
          <w:spacing w:val="-13"/>
        </w:rPr>
        <w:t>＝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3"/>
        </w:rPr>
        <w:t>1.004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-13"/>
        </w:rPr>
        <w:t>，</w:t>
      </w:r>
      <w:r>
        <w:rPr>
          <w:rFonts w:ascii="Times New Roman" w:hAnsi="Times New Roman" w:eastAsia="Times New Roman" w:cs="Times New Roman"/>
          <w:color w:val="231F20"/>
          <w:spacing w:val="-13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13"/>
        </w:rPr>
        <w:t>CI</w:t>
      </w:r>
      <w:r>
        <w:rPr>
          <w:rFonts w:ascii="Times New Roman" w:hAnsi="Times New Roman" w:eastAsia="Times New Roman" w:cs="Times New Roman"/>
          <w:i/>
          <w:iCs/>
          <w:color w:val="231F20"/>
          <w:spacing w:val="-19"/>
        </w:rPr>
        <w:t xml:space="preserve"> </w:t>
      </w:r>
      <w:r>
        <w:rPr>
          <w:color w:val="231F20"/>
          <w:spacing w:val="-13"/>
        </w:rPr>
        <w:t>：</w:t>
      </w:r>
      <w:r>
        <w:rPr>
          <w:rFonts w:ascii="Times New Roman" w:hAnsi="Times New Roman" w:eastAsia="Times New Roman" w:cs="Times New Roman"/>
          <w:color w:val="231F20"/>
          <w:spacing w:val="-13"/>
        </w:rPr>
        <w:t>0.840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-13"/>
        </w:rPr>
        <w:t>～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3"/>
        </w:rPr>
        <w:t>1.199</w:t>
      </w:r>
      <w:r>
        <w:rPr>
          <w:color w:val="231F20"/>
          <w:spacing w:val="-13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8"/>
        </w:rPr>
        <w:t xml:space="preserve"> </w:t>
      </w:r>
      <w:r>
        <w:rPr>
          <w:color w:val="231F20"/>
          <w:spacing w:val="-1"/>
        </w:rPr>
        <w:t>＝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0.0044</w:t>
      </w:r>
      <w:r>
        <w:rPr>
          <w:color w:val="231F20"/>
          <w:spacing w:val="-49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"/>
        </w:rPr>
        <w:t>且</w:t>
      </w:r>
      <w:r>
        <w:rPr>
          <w:rFonts w:ascii="Times New Roman" w:hAnsi="Times New Roman" w:eastAsia="Times New Roman" w:cs="Times New Roman"/>
          <w:color w:val="231F20"/>
          <w:spacing w:val="-1"/>
        </w:rPr>
        <w:t>SOX</w:t>
      </w:r>
      <w:r>
        <w:rPr>
          <w:rFonts w:ascii="Microsoft YaHei" w:hAnsi="Microsoft YaHei" w:eastAsia="Microsoft YaHei" w:cs="Microsoft YaHei"/>
          <w:color w:val="231F20"/>
          <w:spacing w:val="-1"/>
        </w:rPr>
        <w:t>组毒性更低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color w:val="231F20"/>
          <w:spacing w:val="-1"/>
        </w:rPr>
        <w:t>亚组分析显示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color w:val="231F20"/>
          <w:spacing w:val="-1"/>
        </w:rPr>
        <w:t>：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SOX</w:t>
      </w:r>
      <w:r>
        <w:rPr>
          <w:rFonts w:ascii="Microsoft YaHei" w:hAnsi="Microsoft YaHei" w:eastAsia="Microsoft YaHei" w:cs="Microsoft YaHei"/>
          <w:color w:val="231F20"/>
          <w:spacing w:val="-4"/>
        </w:rPr>
        <w:t>方案对腹膜转移患者的疗效更佳</w:t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HR</w:t>
      </w:r>
      <w:r>
        <w:rPr>
          <w:rFonts w:ascii="Times New Roman" w:hAnsi="Times New Roman" w:eastAsia="Times New Roman" w:cs="Times New Roman"/>
          <w:i/>
          <w:iCs/>
          <w:color w:val="231F20"/>
          <w:spacing w:val="33"/>
        </w:rPr>
        <w:t xml:space="preserve"> </w:t>
      </w:r>
      <w:r>
        <w:rPr>
          <w:color w:val="231F20"/>
          <w:spacing w:val="-4"/>
        </w:rPr>
        <w:t>＝</w:t>
      </w:r>
      <w:r>
        <w:rPr>
          <w:color w:val="231F20"/>
          <w:spacing w:val="-5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0.646</w:t>
      </w:r>
      <w:r>
        <w:rPr>
          <w:color w:val="231F20"/>
          <w:spacing w:val="-4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CI </w:t>
      </w:r>
      <w:r>
        <w:rPr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color w:val="231F20"/>
          <w:spacing w:val="-4"/>
        </w:rPr>
        <w:t>0.433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-4"/>
        </w:rPr>
        <w:t>～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0.946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7"/>
        </w:rPr>
        <w:t xml:space="preserve"> </w:t>
      </w:r>
      <w:r>
        <w:rPr>
          <w:color w:val="231F20"/>
          <w:spacing w:val="-4"/>
        </w:rPr>
        <w:t>＝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0.032</w:t>
      </w:r>
      <w:r>
        <w:rPr>
          <w:color w:val="231F20"/>
          <w:spacing w:val="-4"/>
        </w:rPr>
        <w:t>）。</w:t>
      </w:r>
    </w:p>
    <w:p>
      <w:pPr>
        <w:pStyle w:val="BodyText"/>
        <w:ind w:left="96" w:right="74" w:firstLine="324"/>
        <w:spacing w:before="82" w:line="19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3</w:t>
      </w:r>
      <w:r>
        <w:rPr>
          <w:color w:val="231F20"/>
          <w:spacing w:val="-4"/>
        </w:rPr>
        <w:t>）</w:t>
      </w:r>
      <w:r>
        <w:rPr>
          <w:rFonts w:ascii="Times New Roman" w:hAnsi="Times New Roman" w:eastAsia="Times New Roman" w:cs="Times New Roman"/>
          <w:color w:val="231F20"/>
          <w:spacing w:val="-4"/>
        </w:rPr>
        <w:t>Shirao</w:t>
      </w:r>
      <w:r>
        <w:rPr>
          <w:rFonts w:ascii="Microsoft YaHei" w:hAnsi="Microsoft YaHei" w:eastAsia="Microsoft YaHei" w:cs="Microsoft YaHei"/>
          <w:color w:val="231F20"/>
          <w:spacing w:val="-4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  <w:position w:val="9"/>
        </w:rPr>
        <w:t>[54]</w:t>
      </w:r>
      <w:r>
        <w:rPr>
          <w:rFonts w:ascii="Microsoft YaHei" w:hAnsi="Microsoft YaHei" w:eastAsia="Microsoft YaHei" w:cs="Microsoft YaHei"/>
          <w:color w:val="231F20"/>
          <w:spacing w:val="-4"/>
        </w:rPr>
        <w:t>在</w:t>
      </w:r>
      <w:r>
        <w:rPr>
          <w:rFonts w:ascii="Microsoft YaHei" w:hAnsi="Microsoft YaHei" w:eastAsia="Microsoft YaHei" w:cs="Microsoft YaHei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Ⅲ 期 随 机 对 照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临 床 研 究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JCOG0106</w:t>
      </w:r>
      <w:r>
        <w:rPr>
          <w:rFonts w:ascii="Microsoft YaHei" w:hAnsi="Microsoft YaHei" w:eastAsia="Microsoft YaHei" w:cs="Microsoft YaHei"/>
          <w:color w:val="231F20"/>
          <w:spacing w:val="-2"/>
        </w:rPr>
        <w:t>中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共纳入</w:t>
      </w:r>
      <w:r>
        <w:rPr>
          <w:rFonts w:ascii="Times New Roman" w:hAnsi="Times New Roman" w:eastAsia="Times New Roman" w:cs="Times New Roman"/>
          <w:color w:val="231F20"/>
          <w:spacing w:val="-2"/>
        </w:rPr>
        <w:t>237</w:t>
      </w:r>
      <w:r>
        <w:rPr>
          <w:rFonts w:ascii="Microsoft YaHei" w:hAnsi="Microsoft YaHei" w:eastAsia="Microsoft YaHei" w:cs="Microsoft YaHei"/>
          <w:color w:val="231F20"/>
          <w:spacing w:val="-2"/>
        </w:rPr>
        <w:t>例胃癌腹膜转移患</w:t>
      </w:r>
      <w:r>
        <w:rPr>
          <w:rFonts w:ascii="Microsoft YaHei" w:hAnsi="Microsoft YaHei" w:eastAsia="Microsoft YaHei" w:cs="Microsoft YaHei"/>
          <w:color w:val="231F20"/>
          <w:spacing w:val="-3"/>
        </w:rPr>
        <w:t>者</w:t>
      </w:r>
      <w:r>
        <w:rPr>
          <w:rFonts w:ascii="Microsoft YaHei" w:hAnsi="Microsoft YaHei" w:eastAsia="Microsoft YaHei" w:cs="Microsoft YaHei"/>
          <w:color w:val="231F20"/>
          <w:spacing w:val="-36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比</w:t>
      </w:r>
    </w:p>
    <w:p>
      <w:pPr>
        <w:spacing w:line="194" w:lineRule="auto"/>
        <w:sectPr>
          <w:type w:val="continuous"/>
          <w:pgSz w:w="11906" w:h="16158"/>
          <w:pgMar w:top="400" w:right="1059" w:bottom="0" w:left="407" w:header="0" w:footer="0" w:gutter="0"/>
          <w:cols w:equalWidth="0" w:num="2">
            <w:col w:w="5552" w:space="100"/>
            <w:col w:w="478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ind w:left="760"/>
        <w:spacing w:before="129" w:line="19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30"/>
          <w:szCs w:val="30"/>
          <w:color w:val="231F20"/>
          <w:spacing w:val="6"/>
          <w:position w:val="-4"/>
        </w:rPr>
        <w:t>18  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2"/>
        </w:rPr>
        <w:t>●   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6"/>
          <w:position w:val="-3"/>
        </w:rPr>
        <w:t>中国循证</w:t>
      </w:r>
      <w:r>
        <w:rPr>
          <w:rFonts w:ascii="Microsoft YaHei" w:hAnsi="Microsoft YaHei" w:eastAsia="Microsoft YaHei" w:cs="Microsoft YaHei"/>
          <w:sz w:val="30"/>
          <w:szCs w:val="30"/>
          <w:color w:val="231F20"/>
          <w:spacing w:val="6"/>
          <w:position w:val="-3"/>
        </w:rPr>
        <w:t>指南共识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6"/>
          <w:position w:val="2"/>
        </w:rPr>
        <w:t>●          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2"/>
        </w:rPr>
        <w:t xml:space="preserve">     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5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5"/>
          <w:position w:val="2"/>
        </w:rPr>
        <w:t>肿瘤综合治疗电子杂志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5"/>
          <w:position w:val="2"/>
        </w:rPr>
        <w:t>2017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5"/>
          <w:position w:val="2"/>
        </w:rPr>
        <w:t>年第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5"/>
          <w:position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5"/>
          <w:position w:val="2"/>
        </w:rPr>
        <w:t>卷第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u w:val="single" w:color="auto"/>
          <w:color w:val="231F20"/>
          <w:spacing w:val="5"/>
          <w:position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5"/>
          <w:position w:val="2"/>
        </w:rPr>
        <w:t>期</w:t>
      </w: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7"/>
          <w:pgSz w:w="11906" w:h="16158"/>
          <w:pgMar w:top="400" w:right="987" w:bottom="0" w:left="407" w:header="0" w:footer="0" w:gutter="0"/>
          <w:cols w:equalWidth="0" w:num="1">
            <w:col w:w="10510" w:space="0"/>
          </w:cols>
        </w:sectPr>
        <w:rPr/>
      </w:pPr>
    </w:p>
    <w:p>
      <w:pPr>
        <w:pStyle w:val="BodyText"/>
        <w:ind w:left="634" w:right="298" w:firstLine="96"/>
        <w:spacing w:before="43" w:line="233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7"/>
        </w:rPr>
        <w:t>较了</w:t>
      </w:r>
      <w:r>
        <w:rPr>
          <w:rFonts w:ascii="Times New Roman" w:hAnsi="Times New Roman" w:eastAsia="Times New Roman" w:cs="Times New Roman"/>
          <w:color w:val="231F20"/>
          <w:spacing w:val="7"/>
        </w:rPr>
        <w:t>5-</w:t>
      </w:r>
      <w:r>
        <w:rPr>
          <w:rFonts w:ascii="Times New Roman" w:hAnsi="Times New Roman" w:eastAsia="Times New Roman" w:cs="Times New Roman"/>
          <w:color w:val="231F20"/>
        </w:rPr>
        <w:t>FU</w:t>
      </w:r>
      <w:r>
        <w:rPr>
          <w:rFonts w:ascii="Microsoft YaHei" w:hAnsi="Microsoft YaHei" w:eastAsia="Microsoft YaHei" w:cs="Microsoft YaHei"/>
          <w:color w:val="231F20"/>
          <w:spacing w:val="7"/>
        </w:rPr>
        <w:t>单药静脉连续注射与</w:t>
      </w:r>
      <w:r>
        <w:rPr>
          <w:rFonts w:ascii="Times New Roman" w:hAnsi="Times New Roman" w:eastAsia="Times New Roman" w:cs="Times New Roman"/>
          <w:color w:val="231F20"/>
          <w:spacing w:val="7"/>
        </w:rPr>
        <w:t>5-</w:t>
      </w:r>
      <w:r>
        <w:rPr>
          <w:rFonts w:ascii="Times New Roman" w:hAnsi="Times New Roman" w:eastAsia="Times New Roman" w:cs="Times New Roman"/>
          <w:color w:val="231F20"/>
        </w:rPr>
        <w:t>FU</w:t>
      </w:r>
      <w:r>
        <w:rPr>
          <w:rFonts w:ascii="Microsoft YaHei" w:hAnsi="Microsoft YaHei" w:eastAsia="Microsoft YaHei" w:cs="Microsoft YaHei"/>
          <w:color w:val="231F20"/>
          <w:spacing w:val="7"/>
        </w:rPr>
        <w:t>联合甲氨蝶呤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MTX</w:t>
      </w:r>
      <w:r>
        <w:rPr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color w:val="231F20"/>
          <w:spacing w:val="-2"/>
        </w:rPr>
        <w:t>的疗效和安全性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color w:val="231F20"/>
          <w:spacing w:val="-2"/>
        </w:rPr>
        <w:t>结果显示 </w:t>
      </w:r>
      <w:r>
        <w:rPr>
          <w:color w:val="231F20"/>
          <w:spacing w:val="-2"/>
        </w:rPr>
        <w:t>：</w:t>
      </w:r>
      <w:r>
        <w:rPr>
          <w:rFonts w:ascii="Microsoft YaHei" w:hAnsi="Microsoft YaHei" w:eastAsia="Microsoft YaHei" w:cs="Microsoft YaHei"/>
          <w:color w:val="231F20"/>
          <w:spacing w:val="-2"/>
        </w:rPr>
        <w:t>联合方案并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8"/>
        </w:rPr>
        <w:t>未延长患者生存期</w:t>
      </w:r>
      <w:r>
        <w:rPr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color w:val="231F20"/>
          <w:spacing w:val="-8"/>
        </w:rPr>
        <w:t>中位</w:t>
      </w:r>
      <w:r>
        <w:rPr>
          <w:rFonts w:ascii="Times New Roman" w:hAnsi="Times New Roman" w:eastAsia="Times New Roman" w:cs="Times New Roman"/>
          <w:color w:val="231F20"/>
          <w:spacing w:val="-8"/>
        </w:rPr>
        <w:t>OS </w:t>
      </w:r>
      <w:r>
        <w:rPr>
          <w:color w:val="231F20"/>
          <w:spacing w:val="-8"/>
        </w:rPr>
        <w:t>：</w:t>
      </w:r>
      <w:r>
        <w:rPr>
          <w:rFonts w:ascii="Times New Roman" w:hAnsi="Times New Roman" w:eastAsia="Times New Roman" w:cs="Times New Roman"/>
          <w:color w:val="231F20"/>
          <w:spacing w:val="-8"/>
        </w:rPr>
        <w:t>10.6</w:t>
      </w:r>
      <w:r>
        <w:rPr>
          <w:rFonts w:ascii="Microsoft YaHei" w:hAnsi="Microsoft YaHei" w:eastAsia="Microsoft YaHei" w:cs="Microsoft YaHei"/>
          <w:color w:val="231F20"/>
          <w:spacing w:val="-8"/>
        </w:rPr>
        <w:t>个月</w:t>
      </w:r>
      <w:r>
        <w:rPr>
          <w:rFonts w:ascii="Microsoft YaHei" w:hAnsi="Microsoft YaHei" w:eastAsia="Microsoft YaHei" w:cs="Microsoft YaHei"/>
          <w:color w:val="231F20"/>
          <w:spacing w:val="41"/>
        </w:rPr>
        <w:t xml:space="preserve"> </w:t>
      </w:r>
      <w:r>
        <w:rPr>
          <w:color w:val="231F20"/>
          <w:spacing w:val="-8"/>
        </w:rPr>
        <w:t>︰</w:t>
      </w:r>
      <w:r>
        <w:rPr>
          <w:color w:val="231F20"/>
          <w:spacing w:val="5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9.4</w:t>
      </w:r>
      <w:r>
        <w:rPr>
          <w:rFonts w:ascii="Microsoft YaHei" w:hAnsi="Microsoft YaHei" w:eastAsia="Microsoft YaHei" w:cs="Microsoft YaHei"/>
          <w:color w:val="231F20"/>
          <w:spacing w:val="-8"/>
        </w:rPr>
        <w:t>个月</w:t>
      </w:r>
      <w:r>
        <w:rPr>
          <w:color w:val="231F20"/>
          <w:spacing w:val="-8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8"/>
        </w:rPr>
        <w:t xml:space="preserve"> </w:t>
      </w:r>
      <w:r>
        <w:rPr>
          <w:color w:val="231F20"/>
          <w:spacing w:val="3"/>
        </w:rPr>
        <w:t>＝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0.31</w:t>
      </w:r>
      <w:r>
        <w:rPr>
          <w:color w:val="231F20"/>
          <w:spacing w:val="-51"/>
        </w:rPr>
        <w:t>），</w:t>
      </w:r>
      <w:r>
        <w:rPr>
          <w:rFonts w:ascii="Microsoft YaHei" w:hAnsi="Microsoft YaHei" w:eastAsia="Microsoft YaHei" w:cs="Microsoft YaHei"/>
          <w:color w:val="231F20"/>
          <w:spacing w:val="3"/>
        </w:rPr>
        <w:t>反而增加了血液学毒性</w:t>
      </w:r>
      <w:r>
        <w:rPr>
          <w:color w:val="231F20"/>
          <w:spacing w:val="3"/>
        </w:rPr>
        <w:t>。</w:t>
      </w:r>
    </w:p>
    <w:p>
      <w:pPr>
        <w:pStyle w:val="BodyText"/>
        <w:ind w:left="730" w:right="282" w:firstLine="324"/>
        <w:spacing w:before="5" w:line="233" w:lineRule="auto"/>
        <w:jc w:val="both"/>
        <w:rPr/>
      </w:pP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4</w:t>
      </w:r>
      <w:r>
        <w:rPr>
          <w:color w:val="231F20"/>
          <w:spacing w:val="-4"/>
        </w:rPr>
        <w:t>）</w:t>
      </w:r>
      <w:r>
        <w:rPr>
          <w:rFonts w:ascii="Times New Roman" w:hAnsi="Times New Roman" w:eastAsia="Times New Roman" w:cs="Times New Roman"/>
          <w:color w:val="231F20"/>
          <w:spacing w:val="-4"/>
        </w:rPr>
        <w:t>Boku</w:t>
      </w:r>
      <w:r>
        <w:rPr>
          <w:rFonts w:ascii="Microsoft YaHei" w:hAnsi="Microsoft YaHei" w:eastAsia="Microsoft YaHei" w:cs="Microsoft YaHei"/>
          <w:color w:val="231F20"/>
          <w:spacing w:val="-4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4"/>
          <w:position w:val="9"/>
        </w:rPr>
        <w:t>[55]</w:t>
      </w:r>
      <w:r>
        <w:rPr>
          <w:rFonts w:ascii="Microsoft YaHei" w:hAnsi="Microsoft YaHei" w:eastAsia="Microsoft YaHei" w:cs="Microsoft YaHei"/>
          <w:color w:val="231F20"/>
          <w:spacing w:val="-4"/>
        </w:rPr>
        <w:t>在</w:t>
      </w:r>
      <w:r>
        <w:rPr>
          <w:rFonts w:ascii="Microsoft YaHei" w:hAnsi="Microsoft YaHei" w:eastAsia="Microsoft YaHei" w:cs="Microsoft YaHei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Ⅲ 期</w:t>
      </w:r>
      <w:r>
        <w:rPr>
          <w:rFonts w:ascii="Microsoft YaHei" w:hAnsi="Microsoft YaHei" w:eastAsia="Microsoft YaHei" w:cs="Microsoft YaHei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随 机 对 照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临 床 研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究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JCOG</w:t>
      </w:r>
      <w:r>
        <w:rPr>
          <w:rFonts w:ascii="Times New Roman" w:hAnsi="Times New Roman" w:eastAsia="Times New Roman" w:cs="Times New Roman"/>
          <w:color w:val="231F20"/>
          <w:spacing w:val="5"/>
        </w:rPr>
        <w:t>9912</w:t>
      </w:r>
      <w:r>
        <w:rPr>
          <w:rFonts w:ascii="Microsoft YaHei" w:hAnsi="Microsoft YaHei" w:eastAsia="Microsoft YaHei" w:cs="Microsoft YaHei"/>
          <w:color w:val="231F20"/>
          <w:spacing w:val="5"/>
        </w:rPr>
        <w:t>中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color w:val="231F20"/>
          <w:spacing w:val="5"/>
        </w:rPr>
        <w:t>共纳入</w:t>
      </w:r>
      <w:r>
        <w:rPr>
          <w:rFonts w:ascii="Times New Roman" w:hAnsi="Times New Roman" w:eastAsia="Times New Roman" w:cs="Times New Roman"/>
          <w:color w:val="231F20"/>
          <w:spacing w:val="5"/>
        </w:rPr>
        <w:t>704</w:t>
      </w:r>
      <w:r>
        <w:rPr>
          <w:rFonts w:ascii="Microsoft YaHei" w:hAnsi="Microsoft YaHei" w:eastAsia="Microsoft YaHei" w:cs="Microsoft YaHei"/>
          <w:color w:val="231F20"/>
          <w:spacing w:val="5"/>
        </w:rPr>
        <w:t>例晚期胃癌患者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6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比较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4"/>
        </w:rPr>
        <w:t>5-</w:t>
      </w:r>
      <w:r>
        <w:rPr>
          <w:rFonts w:ascii="Times New Roman" w:hAnsi="Times New Roman" w:eastAsia="Times New Roman" w:cs="Times New Roman"/>
          <w:color w:val="231F20"/>
        </w:rPr>
        <w:t>FU</w:t>
      </w:r>
      <w:r>
        <w:rPr>
          <w:rFonts w:ascii="Microsoft YaHei" w:hAnsi="Microsoft YaHei" w:eastAsia="Microsoft YaHei" w:cs="Microsoft YaHei"/>
          <w:color w:val="231F20"/>
          <w:spacing w:val="4"/>
        </w:rPr>
        <w:t>单药静脉连续注射</w:t>
      </w:r>
      <w:r>
        <w:rPr>
          <w:color w:val="231F20"/>
          <w:spacing w:val="4"/>
        </w:rPr>
        <w:t>、</w:t>
      </w:r>
      <w:r>
        <w:rPr>
          <w:rFonts w:ascii="Times New Roman" w:hAnsi="Times New Roman" w:eastAsia="Times New Roman" w:cs="Times New Roman"/>
          <w:color w:val="231F20"/>
          <w:spacing w:val="4"/>
        </w:rPr>
        <w:t>S-1</w:t>
      </w:r>
      <w:r>
        <w:rPr>
          <w:rFonts w:ascii="Microsoft YaHei" w:hAnsi="Microsoft YaHei" w:eastAsia="Microsoft YaHei" w:cs="Microsoft YaHei"/>
          <w:color w:val="231F20"/>
          <w:spacing w:val="4"/>
        </w:rPr>
        <w:t>单药方案以及伊立替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康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CPT-11</w:t>
      </w:r>
      <w:r>
        <w:rPr>
          <w:color w:val="231F20"/>
          <w:spacing w:val="-2"/>
        </w:rPr>
        <w:t>）</w:t>
      </w:r>
      <w:r>
        <w:rPr>
          <w:rFonts w:ascii="Times New Roman" w:hAnsi="Times New Roman" w:eastAsia="Times New Roman" w:cs="Times New Roman"/>
          <w:color w:val="231F20"/>
          <w:spacing w:val="-2"/>
        </w:rPr>
        <w:t>/CDDP</w:t>
      </w:r>
      <w:r>
        <w:rPr>
          <w:rFonts w:ascii="Microsoft YaHei" w:hAnsi="Microsoft YaHei" w:eastAsia="Microsoft YaHei" w:cs="Microsoft YaHei"/>
          <w:color w:val="231F20"/>
          <w:spacing w:val="-2"/>
        </w:rPr>
        <w:t>方案的疗效和安全</w:t>
      </w:r>
      <w:r>
        <w:rPr>
          <w:rFonts w:ascii="Microsoft YaHei" w:hAnsi="Microsoft YaHei" w:eastAsia="Microsoft YaHei" w:cs="Microsoft YaHei"/>
          <w:color w:val="231F20"/>
          <w:spacing w:val="-3"/>
        </w:rPr>
        <w:t>性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color w:val="231F20"/>
          <w:spacing w:val="-3"/>
        </w:rPr>
        <w:t>。</w:t>
      </w:r>
      <w:r>
        <w:rPr>
          <w:rFonts w:ascii="Microsoft YaHei" w:hAnsi="Microsoft YaHei" w:eastAsia="Microsoft YaHei" w:cs="Microsoft YaHei"/>
          <w:color w:val="231F20"/>
          <w:spacing w:val="-3"/>
        </w:rPr>
        <w:t>结果显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示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5"/>
        </w:rPr>
        <w:t>：</w:t>
      </w:r>
      <w:r>
        <w:rPr>
          <w:rFonts w:ascii="Microsoft YaHei" w:hAnsi="Microsoft YaHei" w:eastAsia="Microsoft YaHei" w:cs="Microsoft YaHei"/>
          <w:color w:val="231F20"/>
          <w:spacing w:val="-5"/>
        </w:rPr>
        <w:t>三组患者的中位</w:t>
      </w:r>
      <w:r>
        <w:rPr>
          <w:rFonts w:ascii="Times New Roman" w:hAnsi="Times New Roman" w:eastAsia="Times New Roman" w:cs="Times New Roman"/>
          <w:color w:val="231F20"/>
          <w:spacing w:val="-5"/>
        </w:rPr>
        <w:t>OS</w:t>
      </w:r>
      <w:r>
        <w:rPr>
          <w:rFonts w:ascii="Microsoft YaHei" w:hAnsi="Microsoft YaHei" w:eastAsia="Microsoft YaHei" w:cs="Microsoft YaHei"/>
          <w:color w:val="231F20"/>
          <w:spacing w:val="-5"/>
        </w:rPr>
        <w:t>分别为</w:t>
      </w:r>
      <w:r>
        <w:rPr>
          <w:rFonts w:ascii="Times New Roman" w:hAnsi="Times New Roman" w:eastAsia="Times New Roman" w:cs="Times New Roman"/>
          <w:color w:val="231F20"/>
          <w:spacing w:val="-5"/>
        </w:rPr>
        <w:t>10.8</w:t>
      </w:r>
      <w:r>
        <w:rPr>
          <w:rFonts w:ascii="Microsoft YaHei" w:hAnsi="Microsoft YaHei" w:eastAsia="Microsoft YaHei" w:cs="Microsoft YaHei"/>
          <w:color w:val="231F20"/>
          <w:spacing w:val="-5"/>
        </w:rPr>
        <w:t>个月</w:t>
      </w:r>
      <w:r>
        <w:rPr>
          <w:color w:val="231F20"/>
          <w:spacing w:val="-5"/>
        </w:rPr>
        <w:t>、</w:t>
      </w:r>
      <w:r>
        <w:rPr>
          <w:rFonts w:ascii="Times New Roman" w:hAnsi="Times New Roman" w:eastAsia="Times New Roman" w:cs="Times New Roman"/>
          <w:color w:val="231F20"/>
          <w:spacing w:val="-5"/>
        </w:rPr>
        <w:t>11.4</w:t>
      </w:r>
      <w:r>
        <w:rPr>
          <w:rFonts w:ascii="Microsoft YaHei" w:hAnsi="Microsoft YaHei" w:eastAsia="Microsoft YaHei" w:cs="Microsoft YaHei"/>
          <w:color w:val="231F20"/>
          <w:spacing w:val="-5"/>
        </w:rPr>
        <w:t>个月</w:t>
      </w:r>
      <w:r>
        <w:rPr>
          <w:color w:val="231F20"/>
          <w:spacing w:val="-5"/>
        </w:rPr>
        <w:t>。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亚组分析显示 </w:t>
      </w:r>
      <w:r>
        <w:rPr>
          <w:color w:val="231F20"/>
          <w:spacing w:val="-4"/>
        </w:rPr>
        <w:t>：</w:t>
      </w:r>
      <w:r>
        <w:rPr>
          <w:rFonts w:ascii="Microsoft YaHei" w:hAnsi="Microsoft YaHei" w:eastAsia="Microsoft YaHei" w:cs="Microsoft YaHei"/>
          <w:color w:val="231F20"/>
          <w:spacing w:val="-4"/>
        </w:rPr>
        <w:t>对于腹膜转移的胃癌患者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与</w:t>
      </w:r>
      <w:r>
        <w:rPr>
          <w:rFonts w:ascii="Microsoft YaHei" w:hAnsi="Microsoft YaHei" w:eastAsia="Microsoft YaHei" w:cs="Microsoft YaHei"/>
          <w:color w:val="231F20"/>
          <w:spacing w:val="-5"/>
        </w:rPr>
        <w:t>单药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"/>
        </w:rPr>
        <w:t>5-FU</w:t>
      </w:r>
      <w:r>
        <w:rPr>
          <w:rFonts w:ascii="Microsoft YaHei" w:hAnsi="Microsoft YaHei" w:eastAsia="Microsoft YaHei" w:cs="Microsoft YaHei"/>
          <w:color w:val="231F20"/>
          <w:spacing w:val="-2"/>
        </w:rPr>
        <w:t>相比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S-1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＝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0.83</w:t>
      </w:r>
      <w:r>
        <w:rPr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color w:val="231F20"/>
          <w:spacing w:val="-2"/>
        </w:rPr>
        <w:t>或</w:t>
      </w:r>
      <w:r>
        <w:rPr>
          <w:rFonts w:ascii="Times New Roman" w:hAnsi="Times New Roman" w:eastAsia="Times New Roman" w:cs="Times New Roman"/>
          <w:color w:val="231F20"/>
          <w:spacing w:val="-2"/>
        </w:rPr>
        <w:t>CPT-11/CDDP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7"/>
        </w:rPr>
        <w:t xml:space="preserve"> </w:t>
      </w:r>
      <w:r>
        <w:rPr>
          <w:color w:val="231F20"/>
          <w:spacing w:val="-2"/>
        </w:rPr>
        <w:t>=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0.07</w:t>
      </w:r>
      <w:r>
        <w:rPr>
          <w:color w:val="231F20"/>
        </w:rPr>
        <w:t>）</w:t>
      </w:r>
      <w:r>
        <w:rPr>
          <w:rFonts w:ascii="Microsoft YaHei" w:hAnsi="Microsoft YaHei" w:eastAsia="Microsoft YaHei" w:cs="Microsoft YaHei"/>
          <w:color w:val="231F20"/>
        </w:rPr>
        <w:t>并无明确的生存获益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</w:rPr>
        <w:t>，</w:t>
      </w:r>
      <w:r>
        <w:rPr>
          <w:rFonts w:ascii="Microsoft YaHei" w:hAnsi="Microsoft YaHei" w:eastAsia="Microsoft YaHei" w:cs="Microsoft YaHei"/>
          <w:color w:val="231F20"/>
        </w:rPr>
        <w:t>且</w:t>
      </w:r>
      <w:r>
        <w:rPr>
          <w:rFonts w:ascii="Times New Roman" w:hAnsi="Times New Roman" w:eastAsia="Times New Roman" w:cs="Times New Roman"/>
          <w:color w:val="231F20"/>
        </w:rPr>
        <w:t>CPT-11/CDDP</w:t>
      </w:r>
      <w:r>
        <w:rPr>
          <w:rFonts w:ascii="Microsoft YaHei" w:hAnsi="Microsoft YaHei" w:eastAsia="Microsoft YaHei" w:cs="Microsoft YaHei"/>
          <w:color w:val="231F20"/>
          <w:spacing w:val="-1"/>
        </w:rPr>
        <w:t>出现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的</w:t>
      </w:r>
      <w:r>
        <w:rPr>
          <w:rFonts w:ascii="Times New Roman" w:hAnsi="Times New Roman" w:eastAsia="Times New Roman" w:cs="Times New Roman"/>
          <w:color w:val="231F20"/>
          <w:spacing w:val="-1"/>
        </w:rPr>
        <w:t>3/4</w:t>
      </w:r>
      <w:r>
        <w:rPr>
          <w:rFonts w:ascii="Microsoft YaHei" w:hAnsi="Microsoft YaHei" w:eastAsia="Microsoft YaHei" w:cs="Microsoft YaHei"/>
          <w:color w:val="231F20"/>
          <w:spacing w:val="-1"/>
        </w:rPr>
        <w:t>级血液学毒性更加明显</w:t>
      </w:r>
      <w:r>
        <w:rPr>
          <w:color w:val="231F20"/>
          <w:spacing w:val="-1"/>
        </w:rPr>
        <w:t>。</w:t>
      </w:r>
    </w:p>
    <w:p>
      <w:pPr>
        <w:pStyle w:val="BodyText"/>
        <w:ind w:left="729" w:right="356" w:firstLine="325"/>
        <w:spacing w:before="2" w:line="228" w:lineRule="auto"/>
        <w:rPr/>
      </w:pP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5</w:t>
      </w:r>
      <w:r>
        <w:rPr>
          <w:color w:val="231F20"/>
          <w:spacing w:val="-5"/>
        </w:rPr>
        <w:t>）</w:t>
      </w:r>
      <w:r>
        <w:rPr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目前大型的Ⅲ期临床研究</w:t>
      </w:r>
      <w:r>
        <w:rPr>
          <w:rFonts w:ascii="Microsoft YaHei" w:hAnsi="Microsoft YaHei" w:eastAsia="Microsoft YaHei" w:cs="Microsoft YaHei"/>
          <w:color w:val="231F20"/>
          <w:spacing w:val="-36"/>
        </w:rPr>
        <w:t xml:space="preserve"> </w:t>
      </w:r>
      <w:r>
        <w:rPr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涉及腹膜转移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亚组分析的临床研究还包括</w:t>
      </w:r>
      <w:r>
        <w:rPr>
          <w:rFonts w:ascii="Times New Roman" w:hAnsi="Times New Roman" w:eastAsia="Times New Roman" w:cs="Times New Roman"/>
          <w:color w:val="231F20"/>
        </w:rPr>
        <w:t>REGARD</w:t>
      </w:r>
      <w:r>
        <w:rPr>
          <w:color w:val="231F20"/>
          <w:spacing w:val="10"/>
        </w:rPr>
        <w:t>（</w:t>
      </w:r>
      <w:r>
        <w:rPr>
          <w:rFonts w:ascii="Microsoft YaHei" w:hAnsi="Microsoft YaHei" w:eastAsia="Microsoft YaHei" w:cs="Microsoft YaHei"/>
          <w:color w:val="231F20"/>
          <w:spacing w:val="10"/>
        </w:rPr>
        <w:t>二线雷莫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卢单抗对比安慰剂</w:t>
      </w:r>
      <w:r>
        <w:rPr>
          <w:color w:val="231F20"/>
          <w:spacing w:val="-9"/>
        </w:rPr>
        <w:t>）、</w:t>
      </w:r>
      <w:r>
        <w:rPr>
          <w:rFonts w:ascii="Times New Roman" w:hAnsi="Times New Roman" w:eastAsia="Times New Roman" w:cs="Times New Roman"/>
          <w:color w:val="231F20"/>
          <w:spacing w:val="-9"/>
        </w:rPr>
        <w:t>RAINBOW</w:t>
      </w:r>
      <w:r>
        <w:rPr>
          <w:color w:val="231F20"/>
          <w:spacing w:val="-9"/>
        </w:rPr>
        <w:t>（</w:t>
      </w:r>
      <w:r>
        <w:rPr>
          <w:rFonts w:ascii="Microsoft YaHei" w:hAnsi="Microsoft YaHei" w:eastAsia="Microsoft YaHei" w:cs="Microsoft YaHei"/>
          <w:color w:val="231F20"/>
          <w:spacing w:val="-9"/>
        </w:rPr>
        <w:t>二线雷莫卢单抗</w:t>
      </w:r>
      <w:r>
        <w:rPr>
          <w:rFonts w:ascii="Times New Roman" w:hAnsi="Times New Roman" w:eastAsia="Times New Roman" w:cs="Times New Roman"/>
          <w:color w:val="231F20"/>
          <w:spacing w:val="-9"/>
        </w:rPr>
        <w:t>/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PTX</w:t>
      </w:r>
      <w:r>
        <w:rPr>
          <w:rFonts w:ascii="Microsoft YaHei" w:hAnsi="Microsoft YaHei" w:eastAsia="Microsoft YaHei" w:cs="Microsoft YaHei"/>
          <w:color w:val="231F20"/>
        </w:rPr>
        <w:t>对比雷莫卢单抗</w:t>
      </w:r>
      <w:r>
        <w:rPr>
          <w:color w:val="231F20"/>
        </w:rPr>
        <w:t>）、</w:t>
      </w:r>
      <w:r>
        <w:rPr>
          <w:rFonts w:ascii="Times New Roman" w:hAnsi="Times New Roman" w:eastAsia="Times New Roman" w:cs="Times New Roman"/>
          <w:color w:val="231F20"/>
        </w:rPr>
        <w:t>WJOG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4007</w:t>
      </w:r>
      <w:r>
        <w:rPr>
          <w:color w:val="231F20"/>
        </w:rPr>
        <w:t>（</w:t>
      </w:r>
      <w:r>
        <w:rPr>
          <w:rFonts w:ascii="Microsoft YaHei" w:hAnsi="Microsoft YaHei" w:eastAsia="Microsoft YaHei" w:cs="Microsoft YaHei"/>
          <w:color w:val="231F20"/>
        </w:rPr>
        <w:t>二线</w:t>
      </w:r>
      <w:r>
        <w:rPr>
          <w:rFonts w:ascii="Times New Roman" w:hAnsi="Times New Roman" w:eastAsia="Times New Roman" w:cs="Times New Roman"/>
          <w:color w:val="231F20"/>
        </w:rPr>
        <w:t>PTX</w:t>
      </w:r>
      <w:r>
        <w:rPr>
          <w:rFonts w:ascii="Microsoft YaHei" w:hAnsi="Microsoft YaHei" w:eastAsia="Microsoft YaHei" w:cs="Microsoft YaHei"/>
          <w:color w:val="231F20"/>
        </w:rPr>
        <w:t>对 </w:t>
      </w:r>
      <w:r>
        <w:rPr>
          <w:rFonts w:ascii="Microsoft YaHei" w:hAnsi="Microsoft YaHei" w:eastAsia="Microsoft YaHei" w:cs="Microsoft YaHei"/>
          <w:color w:val="231F20"/>
          <w:spacing w:val="-3"/>
        </w:rPr>
        <w:t>比</w:t>
      </w:r>
      <w:r>
        <w:rPr>
          <w:rFonts w:ascii="Times New Roman" w:hAnsi="Times New Roman" w:eastAsia="Times New Roman" w:cs="Times New Roman"/>
          <w:color w:val="231F20"/>
          <w:spacing w:val="-3"/>
        </w:rPr>
        <w:t>CPT-11</w:t>
      </w:r>
      <w:r>
        <w:rPr>
          <w:color w:val="231F20"/>
          <w:spacing w:val="-3"/>
        </w:rPr>
        <w:t>）</w:t>
      </w:r>
      <w:r>
        <w:rPr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和</w:t>
      </w:r>
      <w:r>
        <w:rPr>
          <w:rFonts w:ascii="Times New Roman" w:hAnsi="Times New Roman" w:eastAsia="Times New Roman" w:cs="Times New Roman"/>
          <w:color w:val="231F20"/>
          <w:spacing w:val="-3"/>
        </w:rPr>
        <w:t>GC0301/TOP-002</w:t>
      </w:r>
      <w:r>
        <w:rPr>
          <w:color w:val="231F20"/>
          <w:spacing w:val="-3"/>
        </w:rPr>
        <w:t>（ </w:t>
      </w:r>
      <w:r>
        <w:rPr>
          <w:rFonts w:ascii="Microsoft YaHei" w:hAnsi="Microsoft YaHei" w:eastAsia="Microsoft YaHei" w:cs="Microsoft YaHei"/>
          <w:color w:val="231F20"/>
          <w:spacing w:val="-3"/>
        </w:rPr>
        <w:t>一 线</w:t>
      </w:r>
      <w:r>
        <w:rPr>
          <w:rFonts w:ascii="Times New Roman" w:hAnsi="Times New Roman" w:eastAsia="Times New Roman" w:cs="Times New Roman"/>
          <w:color w:val="231F20"/>
          <w:spacing w:val="-3"/>
        </w:rPr>
        <w:t>S-1/CPT-11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对比</w:t>
      </w:r>
      <w:r>
        <w:rPr>
          <w:rFonts w:ascii="Times New Roman" w:hAnsi="Times New Roman" w:eastAsia="Times New Roman" w:cs="Times New Roman"/>
          <w:color w:val="231F20"/>
        </w:rPr>
        <w:t>S-1</w:t>
      </w:r>
      <w:r>
        <w:rPr>
          <w:color w:val="231F20"/>
          <w:spacing w:val="-44"/>
        </w:rPr>
        <w:t>），</w:t>
      </w:r>
      <w:r>
        <w:rPr>
          <w:rFonts w:ascii="Microsoft YaHei" w:hAnsi="Microsoft YaHei" w:eastAsia="Microsoft YaHei" w:cs="Microsoft YaHei"/>
          <w:color w:val="231F20"/>
        </w:rPr>
        <w:t>但上述研究并未发现某种治疗方案优于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position w:val="-3"/>
        </w:rPr>
        <w:t>对照组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7"/>
        </w:rPr>
        <w:t>[56-59]</w:t>
      </w:r>
      <w:r>
        <w:rPr>
          <w:color w:val="231F20"/>
          <w:position w:val="-3"/>
        </w:rPr>
        <w:t>。</w:t>
      </w:r>
    </w:p>
    <w:p>
      <w:pPr>
        <w:pStyle w:val="BodyText"/>
        <w:ind w:left="737" w:right="281" w:firstLine="317"/>
        <w:spacing w:before="52" w:line="229" w:lineRule="auto"/>
        <w:rPr/>
      </w:pPr>
      <w:r>
        <w:rPr>
          <w:color w:val="231F20"/>
          <w:spacing w:val="9"/>
        </w:rPr>
        <w:t>（</w:t>
      </w:r>
      <w:r>
        <w:rPr>
          <w:rFonts w:ascii="Times New Roman" w:hAnsi="Times New Roman" w:eastAsia="Times New Roman" w:cs="Times New Roman"/>
          <w:color w:val="231F20"/>
          <w:spacing w:val="9"/>
        </w:rPr>
        <w:t>6</w:t>
      </w:r>
      <w:r>
        <w:rPr>
          <w:color w:val="231F20"/>
          <w:spacing w:val="9"/>
        </w:rPr>
        <w:t>）</w:t>
      </w:r>
      <w:r>
        <w:rPr>
          <w:rFonts w:ascii="Times New Roman" w:hAnsi="Times New Roman" w:eastAsia="Times New Roman" w:cs="Times New Roman"/>
          <w:color w:val="231F20"/>
        </w:rPr>
        <w:t>Nishina</w:t>
      </w:r>
      <w:r>
        <w:rPr>
          <w:rFonts w:ascii="Microsoft YaHei" w:hAnsi="Microsoft YaHei" w:eastAsia="Microsoft YaHei" w:cs="Microsoft YaHei"/>
          <w:color w:val="231F20"/>
          <w:spacing w:val="9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9"/>
          <w:position w:val="9"/>
        </w:rPr>
        <w:t>[60]</w:t>
      </w:r>
      <w:r>
        <w:rPr>
          <w:rFonts w:ascii="Microsoft YaHei" w:hAnsi="Microsoft YaHei" w:eastAsia="Microsoft YaHei" w:cs="Microsoft YaHei"/>
          <w:color w:val="231F20"/>
          <w:spacing w:val="9"/>
        </w:rPr>
        <w:t>在一项Ⅱ期多中心随机对照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临床试验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JCOG0407</w:t>
      </w:r>
      <w:r>
        <w:rPr>
          <w:color w:val="231F20"/>
          <w:spacing w:val="-2"/>
        </w:rPr>
        <w:t>）</w:t>
      </w:r>
      <w:r>
        <w:rPr>
          <w:rFonts w:ascii="Microsoft YaHei" w:hAnsi="Microsoft YaHei" w:eastAsia="Microsoft YaHei" w:cs="Microsoft YaHei"/>
          <w:color w:val="231F20"/>
          <w:spacing w:val="-2"/>
        </w:rPr>
        <w:t>中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纳入</w:t>
      </w:r>
      <w:r>
        <w:rPr>
          <w:rFonts w:ascii="Times New Roman" w:hAnsi="Times New Roman" w:eastAsia="Times New Roman" w:cs="Times New Roman"/>
          <w:color w:val="231F20"/>
          <w:spacing w:val="-2"/>
        </w:rPr>
        <w:t>110</w:t>
      </w:r>
      <w:r>
        <w:rPr>
          <w:rFonts w:ascii="Microsoft YaHei" w:hAnsi="Microsoft YaHei" w:eastAsia="Microsoft YaHei" w:cs="Microsoft YaHei"/>
          <w:color w:val="231F20"/>
          <w:spacing w:val="-2"/>
        </w:rPr>
        <w:t>例经一线</w:t>
      </w:r>
      <w:r>
        <w:rPr>
          <w:rFonts w:ascii="Times New Roman" w:hAnsi="Times New Roman" w:eastAsia="Times New Roman" w:cs="Times New Roman"/>
          <w:color w:val="231F20"/>
          <w:spacing w:val="-3"/>
        </w:rPr>
        <w:t>5-FU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方案</w:t>
      </w:r>
      <w:r>
        <w:rPr>
          <w:color w:val="231F20"/>
          <w:spacing w:val="5"/>
        </w:rPr>
        <w:t>（</w:t>
      </w:r>
      <w:r>
        <w:rPr>
          <w:rFonts w:ascii="Times New Roman" w:hAnsi="Times New Roman" w:eastAsia="Times New Roman" w:cs="Times New Roman"/>
          <w:color w:val="231F20"/>
          <w:spacing w:val="5"/>
        </w:rPr>
        <w:t>5-</w:t>
      </w:r>
      <w:r>
        <w:rPr>
          <w:rFonts w:ascii="Times New Roman" w:hAnsi="Times New Roman" w:eastAsia="Times New Roman" w:cs="Times New Roman"/>
          <w:color w:val="231F20"/>
        </w:rPr>
        <w:t>FU</w:t>
      </w:r>
      <w:r>
        <w:rPr>
          <w:rFonts w:ascii="Microsoft YaHei" w:hAnsi="Microsoft YaHei" w:eastAsia="Microsoft YaHei" w:cs="Microsoft YaHei"/>
          <w:color w:val="231F20"/>
          <w:spacing w:val="5"/>
        </w:rPr>
        <w:t>持续静脉滴注或</w:t>
      </w:r>
      <w:r>
        <w:rPr>
          <w:rFonts w:ascii="Times New Roman" w:hAnsi="Times New Roman" w:eastAsia="Times New Roman" w:cs="Times New Roman"/>
          <w:color w:val="231F20"/>
          <w:spacing w:val="5"/>
        </w:rPr>
        <w:t>5-</w:t>
      </w:r>
      <w:r>
        <w:rPr>
          <w:rFonts w:ascii="Times New Roman" w:hAnsi="Times New Roman" w:eastAsia="Times New Roman" w:cs="Times New Roman"/>
          <w:color w:val="231F20"/>
        </w:rPr>
        <w:t>FU</w:t>
      </w:r>
      <w:r>
        <w:rPr>
          <w:rFonts w:ascii="Microsoft YaHei" w:hAnsi="Microsoft YaHei" w:eastAsia="Microsoft YaHei" w:cs="Microsoft YaHei"/>
          <w:color w:val="231F20"/>
          <w:spacing w:val="5"/>
        </w:rPr>
        <w:t>联合</w:t>
      </w:r>
      <w:r>
        <w:rPr>
          <w:rFonts w:ascii="Times New Roman" w:hAnsi="Times New Roman" w:eastAsia="Times New Roman" w:cs="Times New Roman"/>
          <w:color w:val="231F20"/>
        </w:rPr>
        <w:t>MTX</w:t>
      </w:r>
      <w:r>
        <w:rPr>
          <w:color w:val="231F20"/>
          <w:spacing w:val="5"/>
        </w:rPr>
        <w:t>）</w:t>
      </w:r>
      <w:r>
        <w:rPr>
          <w:rFonts w:ascii="Microsoft YaHei" w:hAnsi="Microsoft YaHei" w:eastAsia="Microsoft YaHei" w:cs="Microsoft YaHei"/>
          <w:color w:val="231F20"/>
          <w:spacing w:val="5"/>
        </w:rPr>
        <w:t>治疗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失败的腹膜转移患者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随机分至二线</w:t>
      </w:r>
      <w:r>
        <w:rPr>
          <w:rFonts w:ascii="Times New Roman" w:hAnsi="Times New Roman" w:eastAsia="Times New Roman" w:cs="Times New Roman"/>
          <w:color w:val="231F20"/>
          <w:spacing w:val="-2"/>
        </w:rPr>
        <w:t>PTX</w:t>
      </w:r>
      <w:r>
        <w:rPr>
          <w:rFonts w:ascii="Microsoft YaHei" w:hAnsi="Microsoft YaHei" w:eastAsia="Microsoft YaHei" w:cs="Microsoft YaHei"/>
          <w:color w:val="231F20"/>
          <w:spacing w:val="-2"/>
        </w:rPr>
        <w:t>组</w:t>
      </w:r>
      <w:r>
        <w:rPr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color w:val="231F20"/>
          <w:spacing w:val="-2"/>
        </w:rPr>
        <w:t>第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color w:val="231F20"/>
          <w:spacing w:val="-2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8</w:t>
      </w:r>
      <w:r>
        <w:rPr>
          <w:color w:val="231F20"/>
          <w:spacing w:val="-9"/>
        </w:rPr>
        <w:t>、</w:t>
      </w:r>
      <w:r>
        <w:rPr>
          <w:rFonts w:ascii="Times New Roman" w:hAnsi="Times New Roman" w:eastAsia="Times New Roman" w:cs="Times New Roman"/>
          <w:color w:val="231F20"/>
          <w:spacing w:val="-9"/>
        </w:rPr>
        <w:t>15</w:t>
      </w:r>
      <w:r>
        <w:rPr>
          <w:rFonts w:ascii="Microsoft YaHei" w:hAnsi="Microsoft YaHei" w:eastAsia="Microsoft YaHei" w:cs="Microsoft YaHei"/>
          <w:color w:val="231F20"/>
          <w:spacing w:val="-9"/>
        </w:rPr>
        <w:t>天</w:t>
      </w:r>
      <w:r>
        <w:rPr>
          <w:rFonts w:ascii="Times New Roman" w:hAnsi="Times New Roman" w:eastAsia="Times New Roman" w:cs="Times New Roman"/>
          <w:color w:val="231F20"/>
          <w:spacing w:val="-9"/>
        </w:rPr>
        <w:t>PTX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80 mg/m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5"/>
          <w:position w:val="10"/>
        </w:rPr>
        <w:t>2</w:t>
      </w:r>
      <w:r>
        <w:rPr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  <w:spacing w:val="-9"/>
        </w:rPr>
        <w:t>每</w:t>
      </w:r>
      <w:r>
        <w:rPr>
          <w:rFonts w:ascii="Times New Roman" w:hAnsi="Times New Roman" w:eastAsia="Times New Roman" w:cs="Times New Roman"/>
          <w:color w:val="231F20"/>
          <w:spacing w:val="-9"/>
        </w:rPr>
        <w:t>4</w:t>
      </w:r>
      <w:r>
        <w:rPr>
          <w:rFonts w:ascii="Microsoft YaHei" w:hAnsi="Microsoft YaHei" w:eastAsia="Microsoft YaHei" w:cs="Microsoft YaHei"/>
          <w:color w:val="231F20"/>
          <w:spacing w:val="-9"/>
        </w:rPr>
        <w:t>周一周期</w:t>
      </w:r>
      <w:r>
        <w:rPr>
          <w:color w:val="231F20"/>
          <w:spacing w:val="-9"/>
        </w:rPr>
        <w:t>）</w:t>
      </w:r>
      <w:r>
        <w:rPr>
          <w:rFonts w:ascii="Microsoft YaHei" w:hAnsi="Microsoft YaHei" w:eastAsia="Microsoft YaHei" w:cs="Microsoft YaHei"/>
          <w:color w:val="231F20"/>
          <w:spacing w:val="-9"/>
        </w:rPr>
        <w:t>或另一种</w:t>
      </w:r>
      <w:r>
        <w:rPr>
          <w:rFonts w:ascii="Times New Roman" w:hAnsi="Times New Roman" w:eastAsia="Times New Roman" w:cs="Times New Roman"/>
          <w:color w:val="231F20"/>
          <w:spacing w:val="-9"/>
        </w:rPr>
        <w:t>5-FU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方案组</w:t>
      </w:r>
      <w:r>
        <w:rPr>
          <w:color w:val="231F20"/>
          <w:spacing w:val="8"/>
        </w:rPr>
        <w:t>（</w:t>
      </w:r>
      <w:r>
        <w:rPr>
          <w:rFonts w:ascii="Microsoft YaHei" w:hAnsi="Microsoft YaHei" w:eastAsia="Microsoft YaHei" w:cs="Microsoft YaHei"/>
          <w:color w:val="231F20"/>
          <w:spacing w:val="8"/>
        </w:rPr>
        <w:t>即一线使用</w:t>
      </w:r>
      <w:r>
        <w:rPr>
          <w:rFonts w:ascii="Times New Roman" w:hAnsi="Times New Roman" w:eastAsia="Times New Roman" w:cs="Times New Roman"/>
          <w:color w:val="231F20"/>
          <w:spacing w:val="8"/>
        </w:rPr>
        <w:t>5-</w:t>
      </w:r>
      <w:r>
        <w:rPr>
          <w:rFonts w:ascii="Times New Roman" w:hAnsi="Times New Roman" w:eastAsia="Times New Roman" w:cs="Times New Roman"/>
          <w:color w:val="231F20"/>
        </w:rPr>
        <w:t>FU</w:t>
      </w:r>
      <w:r>
        <w:rPr>
          <w:rFonts w:ascii="Microsoft YaHei" w:hAnsi="Microsoft YaHei" w:eastAsia="Microsoft YaHei" w:cs="Microsoft YaHei"/>
          <w:color w:val="231F20"/>
          <w:spacing w:val="8"/>
        </w:rPr>
        <w:t>持续静脉滴注者二线使</w:t>
      </w:r>
      <w:r>
        <w:rPr>
          <w:rFonts w:ascii="Microsoft YaHei" w:hAnsi="Microsoft YaHei" w:eastAsia="Microsoft YaHei" w:cs="Microsoft Ya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用</w:t>
      </w:r>
      <w:r>
        <w:rPr>
          <w:rFonts w:ascii="Times New Roman" w:hAnsi="Times New Roman" w:eastAsia="Times New Roman" w:cs="Times New Roman"/>
          <w:color w:val="231F20"/>
          <w:spacing w:val="-4"/>
        </w:rPr>
        <w:t>5-FU</w:t>
      </w:r>
      <w:r>
        <w:rPr>
          <w:rFonts w:ascii="Microsoft YaHei" w:hAnsi="Microsoft YaHei" w:eastAsia="Microsoft YaHei" w:cs="Microsoft YaHei"/>
          <w:color w:val="231F20"/>
          <w:spacing w:val="-4"/>
        </w:rPr>
        <w:t>联合</w:t>
      </w:r>
      <w:r>
        <w:rPr>
          <w:rFonts w:ascii="Times New Roman" w:hAnsi="Times New Roman" w:eastAsia="Times New Roman" w:cs="Times New Roman"/>
          <w:color w:val="231F20"/>
          <w:spacing w:val="-4"/>
        </w:rPr>
        <w:t>MTX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color w:val="231F20"/>
          <w:spacing w:val="-4"/>
        </w:rPr>
        <w:t>反之亦然</w:t>
      </w:r>
      <w:r>
        <w:rPr>
          <w:color w:val="231F20"/>
          <w:spacing w:val="-4"/>
        </w:rPr>
        <w:t>）。</w:t>
      </w:r>
      <w:r>
        <w:rPr>
          <w:rFonts w:ascii="Times New Roman" w:hAnsi="Times New Roman" w:eastAsia="Times New Roman" w:cs="Times New Roman"/>
          <w:color w:val="231F20"/>
          <w:spacing w:val="-4"/>
        </w:rPr>
        <w:t>PTX</w:t>
      </w:r>
      <w:r>
        <w:rPr>
          <w:rFonts w:ascii="Microsoft YaHei" w:hAnsi="Microsoft YaHei" w:eastAsia="Microsoft YaHei" w:cs="Microsoft YaHei"/>
          <w:color w:val="231F20"/>
          <w:spacing w:val="-4"/>
        </w:rPr>
        <w:t>组和最佳</w:t>
      </w:r>
      <w:r>
        <w:rPr>
          <w:rFonts w:ascii="Times New Roman" w:hAnsi="Times New Roman" w:eastAsia="Times New Roman" w:cs="Times New Roman"/>
          <w:color w:val="231F20"/>
          <w:spacing w:val="-4"/>
        </w:rPr>
        <w:t>5-FU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的中位</w:t>
      </w:r>
      <w:r>
        <w:rPr>
          <w:rFonts w:ascii="Times New Roman" w:hAnsi="Times New Roman" w:eastAsia="Times New Roman" w:cs="Times New Roman"/>
          <w:color w:val="231F20"/>
          <w:spacing w:val="-7"/>
        </w:rPr>
        <w:t>OS</w:t>
      </w:r>
      <w:r>
        <w:rPr>
          <w:rFonts w:ascii="Microsoft YaHei" w:hAnsi="Microsoft YaHei" w:eastAsia="Microsoft YaHei" w:cs="Microsoft YaHei"/>
          <w:color w:val="231F20"/>
          <w:spacing w:val="-7"/>
        </w:rPr>
        <w:t>和中位</w:t>
      </w:r>
      <w:r>
        <w:rPr>
          <w:rFonts w:ascii="Times New Roman" w:hAnsi="Times New Roman" w:eastAsia="Times New Roman" w:cs="Times New Roman"/>
          <w:color w:val="231F20"/>
          <w:spacing w:val="-7"/>
        </w:rPr>
        <w:t>PFS</w:t>
      </w:r>
      <w:r>
        <w:rPr>
          <w:rFonts w:ascii="Microsoft YaHei" w:hAnsi="Microsoft YaHei" w:eastAsia="Microsoft YaHei" w:cs="Microsoft YaHei"/>
          <w:color w:val="231F20"/>
          <w:spacing w:val="-7"/>
        </w:rPr>
        <w:t>分别为</w:t>
      </w:r>
      <w:r>
        <w:rPr>
          <w:rFonts w:ascii="Times New Roman" w:hAnsi="Times New Roman" w:eastAsia="Times New Roman" w:cs="Times New Roman"/>
          <w:color w:val="231F20"/>
          <w:spacing w:val="-7"/>
        </w:rPr>
        <w:t>7.7</w:t>
      </w:r>
      <w:r>
        <w:rPr>
          <w:rFonts w:ascii="Microsoft YaHei" w:hAnsi="Microsoft YaHei" w:eastAsia="Microsoft YaHei" w:cs="Microsoft YaHei"/>
          <w:color w:val="231F20"/>
          <w:spacing w:val="-7"/>
        </w:rPr>
        <w:t>个月</w:t>
      </w:r>
      <w:r>
        <w:rPr>
          <w:rFonts w:ascii="Microsoft YaHei" w:hAnsi="Microsoft YaHei" w:eastAsia="Microsoft YaHei" w:cs="Microsoft YaHei"/>
          <w:color w:val="231F20"/>
          <w:spacing w:val="34"/>
        </w:rPr>
        <w:t xml:space="preserve"> </w:t>
      </w:r>
      <w:r>
        <w:rPr>
          <w:color w:val="231F20"/>
          <w:spacing w:val="-7"/>
        </w:rPr>
        <w:t>︰</w:t>
      </w:r>
      <w:r>
        <w:rPr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7.7</w:t>
      </w:r>
      <w:r>
        <w:rPr>
          <w:rFonts w:ascii="Microsoft YaHei" w:hAnsi="Microsoft YaHei" w:eastAsia="Microsoft YaHei" w:cs="Microsoft YaHei"/>
          <w:color w:val="231F20"/>
          <w:spacing w:val="-7"/>
        </w:rPr>
        <w:t>个月和</w:t>
      </w:r>
      <w:r>
        <w:rPr>
          <w:rFonts w:ascii="Times New Roman" w:hAnsi="Times New Roman" w:eastAsia="Times New Roman" w:cs="Times New Roman"/>
          <w:color w:val="231F20"/>
          <w:spacing w:val="-7"/>
        </w:rPr>
        <w:t>3.7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7"/>
        </w:rPr>
        <w:t>个月</w:t>
      </w:r>
      <w:r>
        <w:rPr>
          <w:rFonts w:ascii="Microsoft YaHei" w:hAnsi="Microsoft YaHei" w:eastAsia="Microsoft YaHei" w:cs="Microsoft YaHei"/>
          <w:color w:val="231F20"/>
          <w:spacing w:val="27"/>
        </w:rPr>
        <w:t xml:space="preserve"> </w:t>
      </w:r>
      <w:r>
        <w:rPr>
          <w:color w:val="231F20"/>
          <w:spacing w:val="-17"/>
        </w:rPr>
        <w:t>︰</w:t>
      </w:r>
      <w:r>
        <w:rPr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7"/>
        </w:rPr>
        <w:t>2.4</w:t>
      </w:r>
      <w:r>
        <w:rPr>
          <w:rFonts w:ascii="Microsoft YaHei" w:hAnsi="Microsoft YaHei" w:eastAsia="Microsoft YaHei" w:cs="Microsoft YaHei"/>
          <w:color w:val="231F20"/>
          <w:spacing w:val="-17"/>
        </w:rPr>
        <w:t>个月</w:t>
      </w:r>
      <w:r>
        <w:rPr>
          <w:color w:val="231F20"/>
          <w:spacing w:val="-17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17"/>
        </w:rPr>
        <w:t>HR</w:t>
      </w:r>
      <w:r>
        <w:rPr>
          <w:rFonts w:ascii="Times New Roman" w:hAnsi="Times New Roman" w:eastAsia="Times New Roman" w:cs="Times New Roman"/>
          <w:i/>
          <w:iCs/>
          <w:color w:val="231F20"/>
          <w:spacing w:val="28"/>
          <w:w w:val="101"/>
        </w:rPr>
        <w:t xml:space="preserve"> </w:t>
      </w:r>
      <w:r>
        <w:rPr>
          <w:color w:val="231F20"/>
          <w:spacing w:val="-17"/>
        </w:rPr>
        <w:t>＝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7"/>
        </w:rPr>
        <w:t>0.58</w:t>
      </w:r>
      <w:r>
        <w:rPr>
          <w:color w:val="231F20"/>
          <w:spacing w:val="-17"/>
        </w:rPr>
        <w:t>，</w:t>
      </w:r>
      <w:r>
        <w:rPr>
          <w:rFonts w:ascii="Times New Roman" w:hAnsi="Times New Roman" w:eastAsia="Times New Roman" w:cs="Times New Roman"/>
          <w:color w:val="231F20"/>
          <w:spacing w:val="-17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17"/>
        </w:rPr>
        <w:t>CI</w:t>
      </w:r>
      <w:r>
        <w:rPr>
          <w:color w:val="231F20"/>
          <w:spacing w:val="-18"/>
        </w:rPr>
        <w:t>：</w:t>
      </w:r>
      <w:r>
        <w:rPr>
          <w:rFonts w:ascii="Times New Roman" w:hAnsi="Times New Roman" w:eastAsia="Times New Roman" w:cs="Times New Roman"/>
          <w:color w:val="231F20"/>
          <w:spacing w:val="-18"/>
        </w:rPr>
        <w:t>0.38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-18"/>
        </w:rPr>
        <w:t>～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8"/>
        </w:rPr>
        <w:t>0.88</w:t>
      </w:r>
      <w:r>
        <w:rPr>
          <w:color w:val="231F20"/>
          <w:spacing w:val="-18"/>
        </w:rPr>
        <w:t>）。</w:t>
      </w:r>
    </w:p>
    <w:p>
      <w:pPr>
        <w:pStyle w:val="BodyText"/>
        <w:ind w:left="734" w:right="300" w:firstLine="320"/>
        <w:spacing w:before="55" w:line="227" w:lineRule="auto"/>
        <w:rPr/>
      </w:pPr>
      <w:r>
        <w:rPr>
          <w:color w:val="231F20"/>
          <w:spacing w:val="6"/>
        </w:rPr>
        <w:t>（</w:t>
      </w:r>
      <w:r>
        <w:rPr>
          <w:rFonts w:ascii="Times New Roman" w:hAnsi="Times New Roman" w:eastAsia="Times New Roman" w:cs="Times New Roman"/>
          <w:color w:val="231F20"/>
          <w:spacing w:val="6"/>
        </w:rPr>
        <w:t>7</w:t>
      </w:r>
      <w:r>
        <w:rPr>
          <w:color w:val="231F20"/>
          <w:spacing w:val="6"/>
        </w:rPr>
        <w:t>）</w:t>
      </w:r>
      <w:r>
        <w:rPr>
          <w:rFonts w:ascii="Times New Roman" w:hAnsi="Times New Roman" w:eastAsia="Times New Roman" w:cs="Times New Roman"/>
          <w:color w:val="231F20"/>
        </w:rPr>
        <w:t>Moehler</w:t>
      </w:r>
      <w:r>
        <w:rPr>
          <w:rFonts w:ascii="Microsoft YaHei" w:hAnsi="Microsoft YaHei" w:eastAsia="Microsoft YaHei" w:cs="Microsoft YaHei"/>
          <w:color w:val="231F20"/>
          <w:spacing w:val="6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6"/>
          <w:position w:val="9"/>
        </w:rPr>
        <w:t>[61]</w:t>
      </w:r>
      <w:r>
        <w:rPr>
          <w:rFonts w:ascii="Microsoft YaHei" w:hAnsi="Microsoft YaHei" w:eastAsia="Microsoft YaHei" w:cs="Microsoft YaHei"/>
          <w:color w:val="231F20"/>
          <w:spacing w:val="6"/>
        </w:rPr>
        <w:t>在一项Ⅱ期多中心随机对照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临床试验中</w:t>
      </w:r>
      <w:r>
        <w:rPr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纳入了</w:t>
      </w:r>
      <w:r>
        <w:rPr>
          <w:rFonts w:ascii="Times New Roman" w:hAnsi="Times New Roman" w:eastAsia="Times New Roman" w:cs="Times New Roman"/>
          <w:color w:val="231F20"/>
          <w:spacing w:val="-1"/>
        </w:rPr>
        <w:t>114</w:t>
      </w:r>
      <w:r>
        <w:rPr>
          <w:rFonts w:ascii="Microsoft YaHei" w:hAnsi="Microsoft YaHei" w:eastAsia="Microsoft YaHei" w:cs="Microsoft YaHei"/>
          <w:color w:val="231F20"/>
          <w:spacing w:val="-1"/>
        </w:rPr>
        <w:t>例晚期胃癌患者</w:t>
      </w:r>
      <w:r>
        <w:rPr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比较</w:t>
      </w:r>
      <w:r>
        <w:rPr>
          <w:rFonts w:ascii="Times New Roman" w:hAnsi="Times New Roman" w:eastAsia="Times New Roman" w:cs="Times New Roman"/>
          <w:color w:val="231F20"/>
          <w:spacing w:val="-1"/>
        </w:rPr>
        <w:t>ILF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方案</w:t>
      </w: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CPT-11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color w:val="231F20"/>
          <w:spacing w:val="-5"/>
        </w:rPr>
        <w:t>／</w:t>
      </w:r>
      <w:r>
        <w:rPr>
          <w:rFonts w:ascii="Microsoft YaHei" w:hAnsi="Microsoft YaHei" w:eastAsia="Microsoft YaHei" w:cs="Microsoft YaHei"/>
          <w:color w:val="231F20"/>
          <w:spacing w:val="-5"/>
        </w:rPr>
        <w:t>醛氢叶酸</w:t>
      </w:r>
      <w:r>
        <w:rPr>
          <w:color w:val="231F20"/>
          <w:spacing w:val="-5"/>
        </w:rPr>
        <w:t>／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5-FU</w:t>
      </w:r>
      <w:r>
        <w:rPr>
          <w:color w:val="231F20"/>
          <w:spacing w:val="-5"/>
        </w:rPr>
        <w:t>）</w:t>
      </w:r>
      <w:r>
        <w:rPr>
          <w:rFonts w:ascii="Microsoft YaHei" w:hAnsi="Microsoft YaHei" w:eastAsia="Microsoft YaHei" w:cs="Microsoft YaHei"/>
          <w:color w:val="231F20"/>
          <w:spacing w:val="-5"/>
        </w:rPr>
        <w:t>与</w:t>
      </w:r>
      <w:r>
        <w:rPr>
          <w:rFonts w:ascii="Times New Roman" w:hAnsi="Times New Roman" w:eastAsia="Times New Roman" w:cs="Times New Roman"/>
          <w:color w:val="231F20"/>
          <w:spacing w:val="-5"/>
        </w:rPr>
        <w:t>EL</w:t>
      </w:r>
      <w:r>
        <w:rPr>
          <w:rFonts w:ascii="Times New Roman" w:hAnsi="Times New Roman" w:eastAsia="Times New Roman" w:cs="Times New Roman"/>
          <w:color w:val="231F20"/>
          <w:spacing w:val="-6"/>
        </w:rPr>
        <w:t>F</w:t>
      </w:r>
      <w:r>
        <w:rPr>
          <w:rFonts w:ascii="Microsoft YaHei" w:hAnsi="Microsoft YaHei" w:eastAsia="Microsoft YaHei" w:cs="Microsoft YaHei"/>
          <w:color w:val="231F20"/>
          <w:spacing w:val="-6"/>
        </w:rPr>
        <w:t>方案</w:t>
      </w:r>
      <w:r>
        <w:rPr>
          <w:color w:val="231F20"/>
          <w:spacing w:val="-6"/>
        </w:rPr>
        <w:t>（</w:t>
      </w:r>
      <w:r>
        <w:rPr>
          <w:rFonts w:ascii="Microsoft YaHei" w:hAnsi="Microsoft YaHei" w:eastAsia="Microsoft YaHei" w:cs="Microsoft YaHei"/>
          <w:color w:val="231F20"/>
          <w:spacing w:val="-6"/>
        </w:rPr>
        <w:t>足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叶乙甙</w:t>
      </w:r>
      <w:r>
        <w:rPr>
          <w:color w:val="231F20"/>
          <w:spacing w:val="-4"/>
        </w:rPr>
        <w:t>／</w:t>
      </w:r>
      <w:r>
        <w:rPr>
          <w:rFonts w:ascii="Microsoft YaHei" w:hAnsi="Microsoft YaHei" w:eastAsia="Microsoft YaHei" w:cs="Microsoft YaHei"/>
          <w:color w:val="231F20"/>
          <w:spacing w:val="-4"/>
        </w:rPr>
        <w:t>醛氢叶酸</w:t>
      </w:r>
      <w:r>
        <w:rPr>
          <w:color w:val="231F20"/>
          <w:spacing w:val="-4"/>
        </w:rPr>
        <w:t>／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5-FU</w:t>
      </w:r>
      <w:r>
        <w:rPr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color w:val="231F20"/>
          <w:spacing w:val="-4"/>
        </w:rPr>
        <w:t>一线治疗晚期胃癌的疗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效和安全性</w:t>
      </w:r>
      <w:r>
        <w:rPr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结果显示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ILF</w:t>
      </w:r>
      <w:r>
        <w:rPr>
          <w:rFonts w:ascii="Microsoft YaHei" w:hAnsi="Microsoft YaHei" w:eastAsia="Microsoft YaHei" w:cs="Microsoft YaHei"/>
          <w:color w:val="231F20"/>
        </w:rPr>
        <w:t>组和</w:t>
      </w:r>
      <w:r>
        <w:rPr>
          <w:rFonts w:ascii="Times New Roman" w:hAnsi="Times New Roman" w:eastAsia="Times New Roman" w:cs="Times New Roman"/>
          <w:color w:val="231F20"/>
        </w:rPr>
        <w:t>ELF</w:t>
      </w:r>
      <w:r>
        <w:rPr>
          <w:rFonts w:ascii="Microsoft YaHei" w:hAnsi="Microsoft YaHei" w:eastAsia="Microsoft YaHei" w:cs="Microsoft YaHei"/>
          <w:color w:val="231F20"/>
        </w:rPr>
        <w:t>组患者的</w:t>
      </w:r>
      <w:r>
        <w:rPr>
          <w:rFonts w:ascii="Times New Roman" w:hAnsi="Times New Roman" w:eastAsia="Times New Roman" w:cs="Times New Roman"/>
          <w:color w:val="231F20"/>
        </w:rPr>
        <w:t>PFS  </w:t>
      </w:r>
      <w:r>
        <w:rPr>
          <w:rFonts w:ascii="Microsoft YaHei" w:hAnsi="Microsoft YaHei" w:eastAsia="Microsoft YaHei" w:cs="Microsoft YaHei"/>
          <w:color w:val="231F20"/>
          <w:spacing w:val="-15"/>
        </w:rPr>
        <w:t>和</w:t>
      </w:r>
      <w:r>
        <w:rPr>
          <w:rFonts w:ascii="Times New Roman" w:hAnsi="Times New Roman" w:eastAsia="Times New Roman" w:cs="Times New Roman"/>
          <w:color w:val="231F20"/>
          <w:spacing w:val="-15"/>
        </w:rPr>
        <w:t>OS</w:t>
      </w:r>
      <w:r>
        <w:rPr>
          <w:rFonts w:ascii="Microsoft YaHei" w:hAnsi="Microsoft YaHei" w:eastAsia="Microsoft YaHei" w:cs="Microsoft YaHei"/>
          <w:color w:val="231F20"/>
          <w:spacing w:val="-15"/>
        </w:rPr>
        <w:t>分别为</w:t>
      </w:r>
      <w:r>
        <w:rPr>
          <w:rFonts w:ascii="Times New Roman" w:hAnsi="Times New Roman" w:eastAsia="Times New Roman" w:cs="Times New Roman"/>
          <w:color w:val="231F20"/>
          <w:spacing w:val="-15"/>
        </w:rPr>
        <w:t>4.5</w:t>
      </w:r>
      <w:r>
        <w:rPr>
          <w:rFonts w:ascii="Microsoft YaHei" w:hAnsi="Microsoft YaHei" w:eastAsia="Microsoft YaHei" w:cs="Microsoft YaHei"/>
          <w:color w:val="231F20"/>
          <w:spacing w:val="-15"/>
        </w:rPr>
        <w:t>个月</w:t>
      </w:r>
      <w:r>
        <w:rPr>
          <w:rFonts w:ascii="Microsoft YaHei" w:hAnsi="Microsoft YaHei" w:eastAsia="Microsoft YaHei" w:cs="Microsoft YaHei"/>
          <w:color w:val="231F20"/>
          <w:spacing w:val="28"/>
          <w:w w:val="101"/>
        </w:rPr>
        <w:t xml:space="preserve"> </w:t>
      </w:r>
      <w:r>
        <w:rPr>
          <w:color w:val="231F20"/>
          <w:spacing w:val="-15"/>
        </w:rPr>
        <w:t>︰</w:t>
      </w:r>
      <w:r>
        <w:rPr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5"/>
        </w:rPr>
        <w:t>2.3</w:t>
      </w:r>
      <w:r>
        <w:rPr>
          <w:rFonts w:ascii="Microsoft YaHei" w:hAnsi="Microsoft YaHei" w:eastAsia="Microsoft YaHei" w:cs="Microsoft YaHei"/>
          <w:color w:val="231F20"/>
          <w:spacing w:val="-15"/>
        </w:rPr>
        <w:t>个月</w:t>
      </w:r>
      <w:r>
        <w:rPr>
          <w:color w:val="231F20"/>
          <w:spacing w:val="-15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15"/>
        </w:rPr>
        <w:t>HR</w:t>
      </w:r>
      <w:r>
        <w:rPr>
          <w:rFonts w:ascii="Times New Roman" w:hAnsi="Times New Roman" w:eastAsia="Times New Roman" w:cs="Times New Roman"/>
          <w:i/>
          <w:iCs/>
          <w:color w:val="231F20"/>
          <w:spacing w:val="21"/>
          <w:w w:val="101"/>
        </w:rPr>
        <w:t xml:space="preserve"> </w:t>
      </w:r>
      <w:r>
        <w:rPr>
          <w:color w:val="231F20"/>
          <w:spacing w:val="-15"/>
        </w:rPr>
        <w:t>＝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5"/>
        </w:rPr>
        <w:t>1.10</w:t>
      </w:r>
      <w:r>
        <w:rPr>
          <w:color w:val="231F20"/>
          <w:spacing w:val="-15"/>
        </w:rPr>
        <w:t>，</w:t>
      </w:r>
      <w:r>
        <w:rPr>
          <w:rFonts w:ascii="Times New Roman" w:hAnsi="Times New Roman" w:eastAsia="Times New Roman" w:cs="Times New Roman"/>
          <w:color w:val="231F20"/>
          <w:spacing w:val="-15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15"/>
        </w:rPr>
        <w:t>CI</w:t>
      </w:r>
      <w:r>
        <w:rPr>
          <w:color w:val="231F20"/>
          <w:spacing w:val="-15"/>
        </w:rPr>
        <w:t>：</w:t>
      </w:r>
    </w:p>
    <w:p>
      <w:pPr>
        <w:pStyle w:val="BodyText"/>
        <w:ind w:left="634" w:right="282" w:firstLine="98"/>
        <w:spacing w:before="53" w:line="22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8"/>
        </w:rPr>
        <w:t>0.75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～ </w:t>
      </w:r>
      <w:r>
        <w:rPr>
          <w:rFonts w:ascii="Times New Roman" w:hAnsi="Times New Roman" w:eastAsia="Times New Roman" w:cs="Times New Roman"/>
          <w:color w:val="231F20"/>
          <w:spacing w:val="-8"/>
        </w:rPr>
        <w:t>1.62</w:t>
      </w:r>
      <w:r>
        <w:rPr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3"/>
        </w:rPr>
        <w:t xml:space="preserve"> </w:t>
      </w:r>
      <w:r>
        <w:rPr>
          <w:color w:val="231F20"/>
          <w:spacing w:val="-8"/>
        </w:rPr>
        <w:t>＝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0.6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116</w:t>
      </w:r>
      <w:r>
        <w:rPr>
          <w:color w:val="231F20"/>
          <w:spacing w:val="-8"/>
        </w:rPr>
        <w:t>）</w:t>
      </w:r>
      <w:r>
        <w:rPr>
          <w:rFonts w:ascii="Microsoft YaHei" w:hAnsi="Microsoft YaHei" w:eastAsia="Microsoft YaHei" w:cs="Microsoft YaHei"/>
          <w:color w:val="231F20"/>
          <w:spacing w:val="-8"/>
        </w:rPr>
        <w:t>和</w:t>
      </w:r>
      <w:r>
        <w:rPr>
          <w:rFonts w:ascii="Times New Roman" w:hAnsi="Times New Roman" w:eastAsia="Times New Roman" w:cs="Times New Roman"/>
          <w:color w:val="231F20"/>
          <w:spacing w:val="-8"/>
        </w:rPr>
        <w:t>10.8</w:t>
      </w:r>
      <w:r>
        <w:rPr>
          <w:rFonts w:ascii="Microsoft YaHei" w:hAnsi="Microsoft YaHei" w:eastAsia="Microsoft YaHei" w:cs="Microsoft YaHei"/>
          <w:color w:val="231F20"/>
          <w:spacing w:val="-8"/>
        </w:rPr>
        <w:t>个月  </w:t>
      </w:r>
      <w:r>
        <w:rPr>
          <w:color w:val="231F20"/>
          <w:spacing w:val="-8"/>
        </w:rPr>
        <w:t>︰</w:t>
      </w:r>
      <w:r>
        <w:rPr>
          <w:color w:val="231F20"/>
          <w:spacing w:val="6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8.3</w:t>
      </w:r>
      <w:r>
        <w:rPr>
          <w:rFonts w:ascii="Microsoft YaHei" w:hAnsi="Microsoft YaHei" w:eastAsia="Microsoft YaHei" w:cs="Microsoft YaHei"/>
          <w:color w:val="231F20"/>
          <w:spacing w:val="-8"/>
        </w:rPr>
        <w:t>个月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  <w:spacing w:val="-12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12"/>
        </w:rPr>
        <w:t>HR</w:t>
      </w:r>
      <w:r>
        <w:rPr>
          <w:rFonts w:ascii="Times New Roman" w:hAnsi="Times New Roman" w:eastAsia="Times New Roman" w:cs="Times New Roman"/>
          <w:i/>
          <w:iCs/>
          <w:color w:val="231F20"/>
          <w:spacing w:val="41"/>
        </w:rPr>
        <w:t xml:space="preserve"> </w:t>
      </w:r>
      <w:r>
        <w:rPr>
          <w:color w:val="231F20"/>
          <w:spacing w:val="-12"/>
        </w:rPr>
        <w:t>＝ </w:t>
      </w:r>
      <w:r>
        <w:rPr>
          <w:rFonts w:ascii="Times New Roman" w:hAnsi="Times New Roman" w:eastAsia="Times New Roman" w:cs="Times New Roman"/>
          <w:color w:val="231F20"/>
          <w:spacing w:val="-12"/>
        </w:rPr>
        <w:t>1.25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  <w:spacing w:val="-12"/>
        </w:rPr>
        <w:t>，</w:t>
      </w:r>
      <w:r>
        <w:rPr>
          <w:rFonts w:ascii="Times New Roman" w:hAnsi="Times New Roman" w:eastAsia="Times New Roman" w:cs="Times New Roman"/>
          <w:color w:val="231F20"/>
          <w:spacing w:val="-12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12"/>
        </w:rPr>
        <w:t>CI</w:t>
      </w:r>
      <w:r>
        <w:rPr>
          <w:rFonts w:ascii="Times New Roman" w:hAnsi="Times New Roman" w:eastAsia="Times New Roman" w:cs="Times New Roman"/>
          <w:i/>
          <w:iCs/>
          <w:color w:val="231F20"/>
          <w:spacing w:val="-19"/>
        </w:rPr>
        <w:t xml:space="preserve"> </w:t>
      </w:r>
      <w:r>
        <w:rPr>
          <w:color w:val="231F20"/>
          <w:spacing w:val="-12"/>
        </w:rPr>
        <w:t>：</w:t>
      </w:r>
      <w:r>
        <w:rPr>
          <w:rFonts w:ascii="Times New Roman" w:hAnsi="Times New Roman" w:eastAsia="Times New Roman" w:cs="Times New Roman"/>
          <w:color w:val="231F20"/>
          <w:spacing w:val="-12"/>
        </w:rPr>
        <w:t>0.83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～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1.86</w:t>
      </w:r>
      <w:r>
        <w:rPr>
          <w:color w:val="231F20"/>
          <w:spacing w:val="-12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12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33"/>
          <w:w w:val="101"/>
        </w:rPr>
        <w:t xml:space="preserve"> </w:t>
      </w:r>
      <w:r>
        <w:rPr>
          <w:color w:val="231F20"/>
          <w:spacing w:val="-12"/>
        </w:rPr>
        <w:t>＝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0.2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818</w:t>
      </w:r>
      <w:r>
        <w:rPr>
          <w:color w:val="231F20"/>
          <w:spacing w:val="-12"/>
        </w:rPr>
        <w:t>）。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亚组分析显示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-1"/>
        </w:rPr>
        <w:t>：</w:t>
      </w:r>
      <w:r>
        <w:rPr>
          <w:rFonts w:ascii="Microsoft YaHei" w:hAnsi="Microsoft YaHei" w:eastAsia="Microsoft YaHei" w:cs="Microsoft YaHei"/>
          <w:color w:val="231F20"/>
          <w:spacing w:val="-1"/>
        </w:rPr>
        <w:t>对于腹膜转移患者</w:t>
      </w:r>
      <w:r>
        <w:rPr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</w:rPr>
        <w:t>ELF</w:t>
      </w:r>
      <w:r>
        <w:rPr>
          <w:rFonts w:ascii="Microsoft YaHei" w:hAnsi="Microsoft YaHei" w:eastAsia="Microsoft YaHei" w:cs="Microsoft YaHei"/>
          <w:color w:val="231F20"/>
          <w:spacing w:val="-1"/>
        </w:rPr>
        <w:t>组较</w:t>
      </w:r>
      <w:r>
        <w:rPr>
          <w:rFonts w:ascii="Times New Roman" w:hAnsi="Times New Roman" w:eastAsia="Times New Roman" w:cs="Times New Roman"/>
          <w:color w:val="231F20"/>
          <w:spacing w:val="-1"/>
        </w:rPr>
        <w:t>ILF</w:t>
      </w:r>
      <w:r>
        <w:rPr>
          <w:rFonts w:ascii="Microsoft YaHei" w:hAnsi="Microsoft YaHei" w:eastAsia="Microsoft YaHei" w:cs="Microsoft YaHei"/>
          <w:color w:val="231F20"/>
          <w:spacing w:val="-1"/>
        </w:rPr>
        <w:t>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2"/>
        </w:rPr>
        <w:t>的死亡风险更高</w:t>
      </w:r>
      <w:r>
        <w:rPr>
          <w:color w:val="231F20"/>
          <w:spacing w:val="-12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12"/>
        </w:rPr>
        <w:t>HR</w:t>
      </w:r>
      <w:r>
        <w:rPr>
          <w:rFonts w:ascii="Times New Roman" w:hAnsi="Times New Roman" w:eastAsia="Times New Roman" w:cs="Times New Roman"/>
          <w:i/>
          <w:iCs/>
          <w:color w:val="231F20"/>
          <w:spacing w:val="30"/>
        </w:rPr>
        <w:t xml:space="preserve"> </w:t>
      </w:r>
      <w:r>
        <w:rPr>
          <w:color w:val="231F20"/>
          <w:spacing w:val="-12"/>
        </w:rPr>
        <w:t>＝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2.41</w:t>
      </w:r>
      <w:r>
        <w:rPr>
          <w:color w:val="231F20"/>
          <w:spacing w:val="-12"/>
        </w:rPr>
        <w:t>，</w:t>
      </w:r>
      <w:r>
        <w:rPr>
          <w:rFonts w:ascii="Times New Roman" w:hAnsi="Times New Roman" w:eastAsia="Times New Roman" w:cs="Times New Roman"/>
          <w:color w:val="231F20"/>
          <w:spacing w:val="-12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12"/>
        </w:rPr>
        <w:t>CI</w:t>
      </w:r>
      <w:r>
        <w:rPr>
          <w:color w:val="231F20"/>
          <w:spacing w:val="-12"/>
        </w:rPr>
        <w:t>：</w:t>
      </w:r>
      <w:r>
        <w:rPr>
          <w:rFonts w:ascii="Times New Roman" w:hAnsi="Times New Roman" w:eastAsia="Times New Roman" w:cs="Times New Roman"/>
          <w:color w:val="231F20"/>
          <w:spacing w:val="-12"/>
        </w:rPr>
        <w:t>0.99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color w:val="231F20"/>
          <w:spacing w:val="-12"/>
        </w:rPr>
        <w:t>～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5.82</w:t>
      </w:r>
      <w:r>
        <w:rPr>
          <w:color w:val="231F20"/>
          <w:spacing w:val="-12"/>
        </w:rPr>
        <w:t>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33" w:firstLine="420"/>
        <w:spacing w:before="44" w:line="308" w:lineRule="auto"/>
        <w:jc w:val="both"/>
        <w:rPr/>
      </w:pPr>
      <w:r>
        <w:rPr>
          <w:color w:val="231F20"/>
          <w:spacing w:val="-4"/>
        </w:rPr>
        <w:t>综合已有研究证据，专家组推荐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4"/>
        </w:rPr>
        <w:t>：对于一般情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况良好的患者，予以</w:t>
      </w:r>
      <w:r>
        <w:rPr>
          <w:rFonts w:ascii="Times New Roman" w:hAnsi="Times New Roman" w:eastAsia="Times New Roman" w:cs="Times New Roman"/>
          <w:color w:val="231F20"/>
        </w:rPr>
        <w:t>SP</w:t>
      </w:r>
      <w:r>
        <w:rPr>
          <w:color w:val="231F20"/>
          <w:spacing w:val="9"/>
        </w:rPr>
        <w:t>或</w:t>
      </w:r>
      <w:r>
        <w:rPr>
          <w:rFonts w:ascii="Times New Roman" w:hAnsi="Times New Roman" w:eastAsia="Times New Roman" w:cs="Times New Roman"/>
          <w:color w:val="231F20"/>
        </w:rPr>
        <w:t>SOX</w:t>
      </w:r>
      <w:r>
        <w:rPr>
          <w:color w:val="231F20"/>
          <w:spacing w:val="9"/>
        </w:rPr>
        <w:t>方案（对于腹水较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多的患者，因</w:t>
      </w:r>
      <w:r>
        <w:rPr>
          <w:rFonts w:ascii="Times New Roman" w:hAnsi="Times New Roman" w:eastAsia="Times New Roman" w:cs="Times New Roman"/>
          <w:color w:val="231F20"/>
          <w:spacing w:val="-4"/>
        </w:rPr>
        <w:t>CDDP</w:t>
      </w:r>
      <w:r>
        <w:rPr>
          <w:color w:val="231F20"/>
          <w:spacing w:val="-4"/>
        </w:rPr>
        <w:t>所需的水化可能导致腹水增多，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"/>
        </w:rPr>
        <w:t>故此类患者首选</w:t>
      </w:r>
      <w:r>
        <w:rPr>
          <w:rFonts w:ascii="Times New Roman" w:hAnsi="Times New Roman" w:eastAsia="Times New Roman" w:cs="Times New Roman"/>
          <w:color w:val="231F20"/>
        </w:rPr>
        <w:t>SOX</w:t>
      </w:r>
      <w:r>
        <w:rPr>
          <w:color w:val="231F20"/>
          <w:spacing w:val="3"/>
        </w:rPr>
        <w:t>方案</w:t>
      </w:r>
      <w:r>
        <w:rPr>
          <w:color w:val="231F20"/>
          <w:spacing w:val="-33"/>
        </w:rPr>
        <w:t>）；</w:t>
      </w:r>
      <w:r>
        <w:rPr>
          <w:color w:val="231F20"/>
          <w:spacing w:val="3"/>
        </w:rPr>
        <w:t>对于一般状况较差的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患者，可考虑单药化疗（</w:t>
      </w:r>
      <w:r>
        <w:rPr>
          <w:rFonts w:ascii="Times New Roman" w:hAnsi="Times New Roman" w:eastAsia="Times New Roman" w:cs="Times New Roman"/>
          <w:color w:val="231F20"/>
        </w:rPr>
        <w:t>PTX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3"/>
        </w:rPr>
        <w:t>、</w:t>
      </w:r>
      <w:r>
        <w:rPr>
          <w:rFonts w:ascii="Times New Roman" w:hAnsi="Times New Roman" w:eastAsia="Times New Roman" w:cs="Times New Roman"/>
          <w:color w:val="231F20"/>
          <w:spacing w:val="3"/>
        </w:rPr>
        <w:t>S-1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  <w:spacing w:val="3"/>
        </w:rPr>
        <w:t>、</w:t>
      </w:r>
      <w:r>
        <w:rPr>
          <w:rFonts w:ascii="Times New Roman" w:hAnsi="Times New Roman" w:eastAsia="Times New Roman" w:cs="Times New Roman"/>
          <w:color w:val="231F20"/>
          <w:spacing w:val="3"/>
        </w:rPr>
        <w:t>5-</w:t>
      </w:r>
      <w:r>
        <w:rPr>
          <w:rFonts w:ascii="Times New Roman" w:hAnsi="Times New Roman" w:eastAsia="Times New Roman" w:cs="Times New Roman"/>
          <w:color w:val="231F20"/>
        </w:rPr>
        <w:t>FU</w:t>
      </w:r>
      <w:r>
        <w:rPr>
          <w:color w:val="231F20"/>
          <w:spacing w:val="3"/>
        </w:rPr>
        <w:t>持续静</w:t>
      </w:r>
      <w:r>
        <w:rPr>
          <w:color w:val="231F20"/>
        </w:rPr>
        <w:t xml:space="preserve"> </w:t>
      </w:r>
      <w:r>
        <w:rPr>
          <w:color w:val="231F20"/>
          <w:spacing w:val="-26"/>
        </w:rPr>
        <w:t>脉滴注）。</w:t>
      </w:r>
    </w:p>
    <w:p>
      <w:pPr>
        <w:pStyle w:val="BodyText"/>
        <w:ind w:right="32"/>
        <w:spacing w:before="3" w:line="305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4.1.2    </w:t>
      </w:r>
      <w:r>
        <w:rPr>
          <w:color w:val="231F20"/>
        </w:rPr>
        <w:t>腹腔灌注化疗  腹腔灌注化疗可</w:t>
      </w:r>
      <w:r>
        <w:rPr>
          <w:color w:val="231F20"/>
          <w:spacing w:val="-1"/>
        </w:rPr>
        <w:t>以提高局部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药物浓度，减轻全身不良反应。由于腹膜转移是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全身系统性疾病的局部反应，因此全身系统化疗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仍为核心治疗方案，腹腔灌注化疗为补充。目前，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尚无大型临床研究确证腹腔灌注化疗的疗效，在</w:t>
      </w:r>
      <w:r>
        <w:rPr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PHOENIX-GC</w:t>
      </w:r>
      <w:r>
        <w:rPr>
          <w:color w:val="231F20"/>
        </w:rPr>
        <w:t>研究中观察到腹腔灌注</w:t>
      </w:r>
      <w:r>
        <w:rPr>
          <w:rFonts w:ascii="Times New Roman" w:hAnsi="Times New Roman" w:eastAsia="Times New Roman" w:cs="Times New Roman"/>
          <w:color w:val="231F20"/>
        </w:rPr>
        <w:t>PT</w:t>
      </w:r>
      <w:r>
        <w:rPr>
          <w:rFonts w:ascii="Times New Roman" w:hAnsi="Times New Roman" w:eastAsia="Times New Roman" w:cs="Times New Roman"/>
          <w:color w:val="231F20"/>
          <w:spacing w:val="-1"/>
        </w:rPr>
        <w:t>X</w:t>
      </w:r>
      <w:r>
        <w:rPr>
          <w:color w:val="231F20"/>
          <w:spacing w:val="-1"/>
        </w:rPr>
        <w:t>对中量腹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水患者的临床疗效。因此应结合腹水分级考虑在系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统化疗的基础上添加腹腔灌注化疗。国内有一些观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察性研究和Ⅱ期研究显示，</w:t>
      </w:r>
      <w:r>
        <w:rPr>
          <w:rFonts w:ascii="Times New Roman" w:hAnsi="Times New Roman" w:eastAsia="Times New Roman" w:cs="Times New Roman"/>
          <w:color w:val="231F20"/>
          <w:spacing w:val="3"/>
        </w:rPr>
        <w:t>5-</w:t>
      </w:r>
      <w:r>
        <w:rPr>
          <w:rFonts w:ascii="Times New Roman" w:hAnsi="Times New Roman" w:eastAsia="Times New Roman" w:cs="Times New Roman"/>
          <w:color w:val="231F20"/>
        </w:rPr>
        <w:t>FU</w:t>
      </w:r>
      <w:r>
        <w:rPr>
          <w:rFonts w:ascii="Times New Roman" w:hAnsi="Times New Roman" w:eastAsia="Times New Roman" w:cs="Times New Roman"/>
          <w:color w:val="231F20"/>
          <w:spacing w:val="3"/>
        </w:rPr>
        <w:t>/</w:t>
      </w:r>
      <w:r>
        <w:rPr>
          <w:rFonts w:ascii="Times New Roman" w:hAnsi="Times New Roman" w:eastAsia="Times New Roman" w:cs="Times New Roman"/>
          <w:color w:val="231F20"/>
        </w:rPr>
        <w:t>CDDP</w:t>
      </w:r>
      <w:r>
        <w:rPr>
          <w:rFonts w:ascii="Times New Roman" w:hAnsi="Times New Roman" w:eastAsia="Times New Roman" w:cs="Times New Roman"/>
          <w:color w:val="231F20"/>
          <w:spacing w:val="3"/>
        </w:rPr>
        <w:t>/</w:t>
      </w:r>
      <w:r>
        <w:rPr>
          <w:rFonts w:ascii="Times New Roman" w:hAnsi="Times New Roman" w:eastAsia="Times New Roman" w:cs="Times New Roman"/>
          <w:color w:val="231F20"/>
        </w:rPr>
        <w:t>PTX</w:t>
      </w:r>
      <w:r>
        <w:rPr>
          <w:rFonts w:ascii="Times New Roman" w:hAnsi="Times New Roman" w:eastAsia="Times New Roman" w:cs="Times New Roman"/>
          <w:color w:val="231F20"/>
          <w:spacing w:val="3"/>
        </w:rPr>
        <w:t>/</w:t>
      </w:r>
      <w:r>
        <w:rPr>
          <w:rFonts w:ascii="Times New Roman" w:hAnsi="Times New Roman" w:eastAsia="Times New Roman" w:cs="Times New Roman"/>
          <w:color w:val="231F20"/>
        </w:rPr>
        <w:t>DOX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color w:val="231F20"/>
          <w:spacing w:val="10"/>
        </w:rPr>
        <w:t>腹腔灌注化疗联合</w:t>
      </w:r>
      <w:r>
        <w:rPr>
          <w:rFonts w:ascii="Times New Roman" w:hAnsi="Times New Roman" w:eastAsia="Times New Roman" w:cs="Times New Roman"/>
          <w:color w:val="231F20"/>
        </w:rPr>
        <w:t>CF</w:t>
      </w:r>
      <w:r>
        <w:rPr>
          <w:rFonts w:ascii="Times New Roman" w:hAnsi="Times New Roman" w:eastAsia="Times New Roman" w:cs="Times New Roman"/>
          <w:color w:val="231F20"/>
          <w:spacing w:val="10"/>
        </w:rPr>
        <w:t>/5-</w:t>
      </w:r>
      <w:r>
        <w:rPr>
          <w:rFonts w:ascii="Times New Roman" w:hAnsi="Times New Roman" w:eastAsia="Times New Roman" w:cs="Times New Roman"/>
          <w:color w:val="231F20"/>
        </w:rPr>
        <w:t>FU</w:t>
      </w:r>
      <w:r>
        <w:rPr>
          <w:rFonts w:ascii="Times New Roman" w:hAnsi="Times New Roman" w:eastAsia="Times New Roman" w:cs="Times New Roman"/>
          <w:color w:val="231F20"/>
          <w:spacing w:val="10"/>
        </w:rPr>
        <w:t>/</w:t>
      </w:r>
      <w:r>
        <w:rPr>
          <w:rFonts w:ascii="Times New Roman" w:hAnsi="Times New Roman" w:eastAsia="Times New Roman" w:cs="Times New Roman"/>
          <w:color w:val="231F20"/>
        </w:rPr>
        <w:t>OXA</w:t>
      </w:r>
      <w:r>
        <w:rPr>
          <w:color w:val="231F20"/>
          <w:spacing w:val="10"/>
        </w:rPr>
        <w:t>对于晚期胃癌合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并恶性腹水患者有一定疗效。</w:t>
      </w:r>
    </w:p>
    <w:p>
      <w:pPr>
        <w:pStyle w:val="BodyText"/>
        <w:ind w:firstLine="421"/>
        <w:spacing w:before="2" w:line="239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10"/>
        </w:rPr>
        <w:t>推荐方案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10"/>
        </w:rPr>
        <w:t>：</w:t>
      </w:r>
      <w:r>
        <w:rPr>
          <w:rFonts w:ascii="Times New Roman" w:hAnsi="Times New Roman" w:eastAsia="Times New Roman" w:cs="Times New Roman"/>
          <w:color w:val="231F20"/>
        </w:rPr>
        <w:t>PTX</w:t>
      </w:r>
      <w:r>
        <w:rPr>
          <w:color w:val="231F20"/>
          <w:spacing w:val="10"/>
        </w:rPr>
        <w:t>（</w:t>
      </w:r>
      <w:r>
        <w:rPr>
          <w:rFonts w:ascii="Microsoft YaHei" w:hAnsi="Microsoft YaHei" w:eastAsia="Microsoft YaHei" w:cs="Microsoft YaHei"/>
          <w:color w:val="231F20"/>
          <w:spacing w:val="10"/>
        </w:rPr>
        <w:t>腹腔灌注化疗</w:t>
      </w:r>
      <w:r>
        <w:rPr>
          <w:color w:val="231F20"/>
          <w:spacing w:val="10"/>
        </w:rPr>
        <w:t>）</w:t>
      </w:r>
      <w:r>
        <w:rPr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联合</w:t>
      </w:r>
      <w:r>
        <w:rPr>
          <w:rFonts w:ascii="Times New Roman" w:hAnsi="Times New Roman" w:eastAsia="Times New Roman" w:cs="Times New Roman"/>
          <w:color w:val="231F20"/>
          <w:spacing w:val="10"/>
        </w:rPr>
        <w:t>S-1/</w:t>
      </w:r>
      <w:r>
        <w:rPr>
          <w:rFonts w:ascii="Times New Roman" w:hAnsi="Times New Roman" w:eastAsia="Times New Roman" w:cs="Times New Roman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-6"/>
        </w:rPr>
        <w:t>PTX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color w:val="231F20"/>
          <w:spacing w:val="-6"/>
        </w:rPr>
        <w:t>(</w:t>
      </w:r>
      <w:r>
        <w:rPr>
          <w:rFonts w:ascii="Microsoft YaHei" w:hAnsi="Microsoft YaHei" w:eastAsia="Microsoft YaHei" w:cs="Microsoft YaHei"/>
          <w:color w:val="231F20"/>
          <w:spacing w:val="-6"/>
        </w:rPr>
        <w:t>Ⅲ级</w:t>
      </w:r>
      <w:r>
        <w:rPr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color w:val="231F20"/>
          <w:spacing w:val="-6"/>
        </w:rPr>
        <w:t>Grade B</w:t>
      </w:r>
      <w:r>
        <w:rPr>
          <w:color w:val="231F20"/>
          <w:spacing w:val="-41"/>
          <w:w w:val="73"/>
        </w:rPr>
        <w:t>）；</w:t>
      </w:r>
      <w:r>
        <w:rPr>
          <w:rFonts w:ascii="Times New Roman" w:hAnsi="Times New Roman" w:eastAsia="Times New Roman" w:cs="Times New Roman"/>
          <w:color w:val="231F20"/>
          <w:spacing w:val="-6"/>
        </w:rPr>
        <w:t>5-FU/CDDP</w:t>
      </w:r>
      <w:r>
        <w:rPr>
          <w:color w:val="231F20"/>
          <w:spacing w:val="-6"/>
        </w:rPr>
        <w:t>（</w:t>
      </w:r>
      <w:r>
        <w:rPr>
          <w:rFonts w:ascii="Microsoft YaHei" w:hAnsi="Microsoft YaHei" w:eastAsia="Microsoft YaHei" w:cs="Microsoft YaHei"/>
          <w:color w:val="231F20"/>
          <w:spacing w:val="-6"/>
        </w:rPr>
        <w:t>腹腔灌注化疗</w:t>
      </w:r>
      <w:r>
        <w:rPr>
          <w:color w:val="231F20"/>
          <w:spacing w:val="-6"/>
        </w:rPr>
        <w:t>）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联合</w:t>
      </w:r>
      <w:r>
        <w:rPr>
          <w:rFonts w:ascii="Times New Roman" w:hAnsi="Times New Roman" w:eastAsia="Times New Roman" w:cs="Times New Roman"/>
          <w:color w:val="231F20"/>
          <w:spacing w:val="-4"/>
        </w:rPr>
        <w:t>5-FU/CAP/OXA  </w:t>
      </w:r>
      <w:r>
        <w:rPr>
          <w:color w:val="231F20"/>
          <w:spacing w:val="-4"/>
        </w:rPr>
        <w:t>(</w:t>
      </w:r>
      <w:r>
        <w:rPr>
          <w:rFonts w:ascii="Microsoft YaHei" w:hAnsi="Microsoft YaHei" w:eastAsia="Microsoft YaHei" w:cs="Microsoft YaHei"/>
          <w:color w:val="231F20"/>
          <w:spacing w:val="-4"/>
        </w:rPr>
        <w:t>Ⅲ级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Grade B</w:t>
      </w:r>
      <w:r>
        <w:rPr>
          <w:color w:val="231F20"/>
          <w:spacing w:val="-4"/>
        </w:rPr>
        <w:t>）。</w:t>
      </w:r>
    </w:p>
    <w:p>
      <w:pPr>
        <w:pStyle w:val="BodyText"/>
        <w:ind w:left="420"/>
        <w:spacing w:before="1" w:line="185" w:lineRule="auto"/>
        <w:rPr/>
      </w:pPr>
      <w:r>
        <w:rPr>
          <w:rFonts w:ascii="Microsoft YaHei" w:hAnsi="Microsoft YaHei" w:eastAsia="Microsoft YaHei" w:cs="Microsoft YaHei"/>
          <w:color w:val="231F20"/>
          <w:spacing w:val="-3"/>
        </w:rPr>
        <w:t>循证证据 </w:t>
      </w:r>
      <w:r>
        <w:rPr>
          <w:color w:val="231F20"/>
          <w:spacing w:val="-3"/>
        </w:rPr>
        <w:t>：</w:t>
      </w:r>
    </w:p>
    <w:p>
      <w:pPr>
        <w:pStyle w:val="BodyText"/>
        <w:ind w:right="32" w:firstLine="325"/>
        <w:spacing w:before="48" w:line="234" w:lineRule="auto"/>
        <w:jc w:val="both"/>
        <w:rPr/>
      </w:pPr>
      <w:r>
        <w:rPr>
          <w:color w:val="231F20"/>
          <w:spacing w:val="16"/>
        </w:rPr>
        <w:t>（</w:t>
      </w:r>
      <w:r>
        <w:rPr>
          <w:rFonts w:ascii="Times New Roman" w:hAnsi="Times New Roman" w:eastAsia="Times New Roman" w:cs="Times New Roman"/>
          <w:color w:val="231F20"/>
          <w:spacing w:val="16"/>
        </w:rPr>
        <w:t>1</w:t>
      </w:r>
      <w:r>
        <w:rPr>
          <w:color w:val="231F20"/>
          <w:spacing w:val="16"/>
        </w:rPr>
        <w:t>）</w:t>
      </w:r>
      <w:r>
        <w:rPr>
          <w:rFonts w:ascii="Times New Roman" w:hAnsi="Times New Roman" w:eastAsia="Times New Roman" w:cs="Times New Roman"/>
          <w:color w:val="231F20"/>
        </w:rPr>
        <w:t>Ishigami</w:t>
      </w:r>
      <w:r>
        <w:rPr>
          <w:rFonts w:ascii="Microsoft YaHei" w:hAnsi="Microsoft YaHei" w:eastAsia="Microsoft YaHei" w:cs="Microsoft YaHei"/>
          <w:color w:val="231F20"/>
          <w:spacing w:val="16"/>
        </w:rPr>
        <w:t>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6"/>
          <w:position w:val="9"/>
        </w:rPr>
        <w:t>[62]</w:t>
      </w:r>
      <w:r>
        <w:rPr>
          <w:rFonts w:ascii="Microsoft YaHei" w:hAnsi="Microsoft YaHei" w:eastAsia="Microsoft YaHei" w:cs="Microsoft YaHei"/>
          <w:color w:val="231F20"/>
          <w:spacing w:val="16"/>
        </w:rPr>
        <w:t>在Ⅲ期随机对照临床研究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5"/>
        </w:rPr>
        <w:t>PHOENIX-GC</w:t>
      </w:r>
      <w:r>
        <w:rPr>
          <w:rFonts w:ascii="Microsoft YaHei" w:hAnsi="Microsoft YaHei" w:eastAsia="Microsoft YaHei" w:cs="Microsoft YaHei"/>
          <w:color w:val="231F20"/>
          <w:spacing w:val="-15"/>
        </w:rPr>
        <w:t>中</w:t>
      </w:r>
      <w:r>
        <w:rPr>
          <w:color w:val="231F20"/>
          <w:spacing w:val="-15"/>
        </w:rPr>
        <w:t>，</w:t>
      </w:r>
      <w:r>
        <w:rPr>
          <w:rFonts w:ascii="Microsoft YaHei" w:hAnsi="Microsoft YaHei" w:eastAsia="Microsoft YaHei" w:cs="Microsoft YaHei"/>
          <w:color w:val="231F20"/>
          <w:spacing w:val="-15"/>
        </w:rPr>
        <w:t>将</w:t>
      </w:r>
      <w:r>
        <w:rPr>
          <w:rFonts w:ascii="Times New Roman" w:hAnsi="Times New Roman" w:eastAsia="Times New Roman" w:cs="Times New Roman"/>
          <w:color w:val="231F20"/>
          <w:spacing w:val="-15"/>
        </w:rPr>
        <w:t>183</w:t>
      </w:r>
      <w:r>
        <w:rPr>
          <w:rFonts w:ascii="Microsoft YaHei" w:hAnsi="Microsoft YaHei" w:eastAsia="Microsoft YaHei" w:cs="Microsoft YaHei"/>
          <w:color w:val="231F20"/>
          <w:spacing w:val="-15"/>
        </w:rPr>
        <w:t>例胃癌腹膜转</w:t>
      </w:r>
      <w:r>
        <w:rPr>
          <w:rFonts w:ascii="Microsoft YaHei" w:hAnsi="Microsoft YaHei" w:eastAsia="Microsoft YaHei" w:cs="Microsoft YaHei"/>
          <w:color w:val="231F20"/>
          <w:spacing w:val="-16"/>
        </w:rPr>
        <w:t>移患者以</w:t>
      </w:r>
      <w:r>
        <w:rPr>
          <w:rFonts w:ascii="Times New Roman" w:hAnsi="Times New Roman" w:eastAsia="Times New Roman" w:cs="Times New Roman"/>
          <w:color w:val="231F20"/>
          <w:spacing w:val="-16"/>
        </w:rPr>
        <w:t>2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 </w:t>
      </w:r>
      <w:r>
        <w:rPr>
          <w:color w:val="231F20"/>
          <w:spacing w:val="-16"/>
        </w:rPr>
        <w:t>︰</w:t>
      </w:r>
      <w:r>
        <w:rPr>
          <w:color w:val="231F20"/>
          <w:spacing w:val="6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6"/>
        </w:rPr>
        <w:t>1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的比例随机分配至</w:t>
      </w:r>
      <w:r>
        <w:rPr>
          <w:rFonts w:ascii="Times New Roman" w:hAnsi="Times New Roman" w:eastAsia="Times New Roman" w:cs="Times New Roman"/>
          <w:color w:val="231F20"/>
        </w:rPr>
        <w:t>IP</w:t>
      </w:r>
      <w:r>
        <w:rPr>
          <w:rFonts w:ascii="Microsoft YaHei" w:hAnsi="Microsoft YaHei" w:eastAsia="Microsoft YaHei" w:cs="Microsoft YaHei"/>
          <w:color w:val="231F20"/>
          <w:spacing w:val="2"/>
        </w:rPr>
        <w:t>组</w:t>
      </w:r>
      <w:r>
        <w:rPr>
          <w:rFonts w:ascii="Times New Roman" w:hAnsi="Times New Roman" w:eastAsia="Times New Roman" w:cs="Times New Roman"/>
          <w:color w:val="231F20"/>
          <w:spacing w:val="2"/>
        </w:rPr>
        <w:t>[</w:t>
      </w:r>
      <w:r>
        <w:rPr>
          <w:rFonts w:ascii="Times New Roman" w:hAnsi="Times New Roman" w:eastAsia="Times New Roman" w:cs="Times New Roman"/>
          <w:color w:val="231F20"/>
        </w:rPr>
        <w:t>PTX</w:t>
      </w:r>
      <w:r>
        <w:rPr>
          <w:rFonts w:ascii="Microsoft YaHei" w:hAnsi="Microsoft YaHei" w:eastAsia="Microsoft YaHei" w:cs="Microsoft YaHei"/>
          <w:color w:val="231F20"/>
          <w:spacing w:val="2"/>
        </w:rPr>
        <w:t>腹腔灌注化疗联合</w:t>
      </w:r>
      <w:r>
        <w:rPr>
          <w:rFonts w:ascii="Times New Roman" w:hAnsi="Times New Roman" w:eastAsia="Times New Roman" w:cs="Times New Roman"/>
          <w:color w:val="231F20"/>
          <w:spacing w:val="2"/>
        </w:rPr>
        <w:t>S-</w:t>
      </w:r>
      <w:r>
        <w:rPr>
          <w:rFonts w:ascii="Times New Roman" w:hAnsi="Times New Roman" w:eastAsia="Times New Roman" w:cs="Times New Roman"/>
          <w:color w:val="231F20"/>
          <w:spacing w:val="1"/>
        </w:rPr>
        <w:t>1/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9"/>
        </w:rPr>
        <w:t>PTX</w:t>
      </w:r>
      <w:r>
        <w:rPr>
          <w:rFonts w:ascii="Microsoft YaHei" w:hAnsi="Microsoft YaHei" w:eastAsia="Microsoft YaHei" w:cs="Microsoft YaHei"/>
          <w:color w:val="231F20"/>
          <w:spacing w:val="-9"/>
        </w:rPr>
        <w:t>全身化疗方案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-9"/>
        </w:rPr>
        <w:t>：</w:t>
      </w:r>
      <w:r>
        <w:rPr>
          <w:rFonts w:ascii="Microsoft YaHei" w:hAnsi="Microsoft YaHei" w:eastAsia="Microsoft YaHei" w:cs="Microsoft YaHei"/>
          <w:color w:val="231F20"/>
          <w:spacing w:val="-9"/>
        </w:rPr>
        <w:t>第</w:t>
      </w:r>
      <w:r>
        <w:rPr>
          <w:rFonts w:ascii="Times New Roman" w:hAnsi="Times New Roman" w:eastAsia="Times New Roman" w:cs="Times New Roman"/>
          <w:color w:val="231F20"/>
          <w:spacing w:val="-9"/>
        </w:rPr>
        <w:t>1</w:t>
      </w:r>
      <w:r>
        <w:rPr>
          <w:rFonts w:ascii="Times New Roman" w:hAnsi="Times New Roman" w:eastAsia="Times New Roman" w:cs="Times New Roman"/>
          <w:color w:val="231F20"/>
          <w:spacing w:val="-31"/>
        </w:rPr>
        <w:t xml:space="preserve"> </w:t>
      </w:r>
      <w:r>
        <w:rPr>
          <w:color w:val="231F20"/>
          <w:spacing w:val="-9"/>
        </w:rPr>
        <w:t>、</w:t>
      </w:r>
      <w:r>
        <w:rPr>
          <w:rFonts w:ascii="Times New Roman" w:hAnsi="Times New Roman" w:eastAsia="Times New Roman" w:cs="Times New Roman"/>
          <w:color w:val="231F20"/>
          <w:spacing w:val="-9"/>
        </w:rPr>
        <w:t>8</w:t>
      </w:r>
      <w:r>
        <w:rPr>
          <w:rFonts w:ascii="Microsoft YaHei" w:hAnsi="Microsoft YaHei" w:eastAsia="Microsoft YaHei" w:cs="Microsoft YaHei"/>
          <w:color w:val="231F20"/>
          <w:spacing w:val="-9"/>
        </w:rPr>
        <w:t>天</w:t>
      </w:r>
      <w:r>
        <w:rPr>
          <w:rFonts w:ascii="Times New Roman" w:hAnsi="Times New Roman" w:eastAsia="Times New Roman" w:cs="Times New Roman"/>
          <w:color w:val="231F20"/>
          <w:spacing w:val="-9"/>
        </w:rPr>
        <w:t>PTX</w:t>
      </w:r>
      <w:r>
        <w:rPr>
          <w:rFonts w:ascii="Microsoft YaHei" w:hAnsi="Microsoft YaHei" w:eastAsia="Microsoft YaHei" w:cs="Microsoft YaHei"/>
          <w:color w:val="231F20"/>
          <w:spacing w:val="-9"/>
        </w:rPr>
        <w:t>灌注</w:t>
      </w:r>
      <w:r>
        <w:rPr>
          <w:rFonts w:ascii="Times New Roman" w:hAnsi="Times New Roman" w:eastAsia="Times New Roman" w:cs="Times New Roman"/>
          <w:color w:val="231F20"/>
          <w:spacing w:val="-9"/>
        </w:rPr>
        <w:t>20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mg/m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9"/>
          <w:position w:val="10"/>
        </w:rPr>
        <w:t>2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6"/>
          <w:position w:val="10"/>
        </w:rPr>
        <w:t xml:space="preserve"> </w:t>
      </w:r>
      <w:r>
        <w:rPr>
          <w:color w:val="231F20"/>
          <w:spacing w:val="-13"/>
        </w:rPr>
        <w:t>，</w:t>
      </w:r>
      <w:r>
        <w:rPr>
          <w:rFonts w:ascii="Microsoft YaHei" w:hAnsi="Microsoft YaHei" w:eastAsia="Microsoft YaHei" w:cs="Microsoft YaHei"/>
          <w:color w:val="231F20"/>
          <w:spacing w:val="-13"/>
        </w:rPr>
        <w:t>静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脉滴注</w:t>
      </w:r>
      <w:r>
        <w:rPr>
          <w:rFonts w:ascii="Times New Roman" w:hAnsi="Times New Roman" w:eastAsia="Times New Roman" w:cs="Times New Roman"/>
          <w:color w:val="231F20"/>
          <w:spacing w:val="-2"/>
        </w:rPr>
        <w:t>50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mg/m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2"/>
          <w:position w:val="10"/>
        </w:rPr>
        <w:t>2 </w:t>
      </w:r>
      <w:r>
        <w:rPr>
          <w:color w:val="231F20"/>
          <w:spacing w:val="-2"/>
        </w:rPr>
        <w:t>，</w:t>
      </w:r>
      <w:r>
        <w:rPr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第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color w:val="231F20"/>
          <w:spacing w:val="-2"/>
        </w:rPr>
        <w:t>～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14</w:t>
      </w:r>
      <w:r>
        <w:rPr>
          <w:rFonts w:ascii="Microsoft YaHei" w:hAnsi="Microsoft YaHei" w:eastAsia="Microsoft YaHei" w:cs="Microsoft YaHei"/>
          <w:color w:val="231F20"/>
          <w:spacing w:val="-2"/>
        </w:rPr>
        <w:t>天</w:t>
      </w:r>
      <w:r>
        <w:rPr>
          <w:rFonts w:ascii="Times New Roman" w:hAnsi="Times New Roman" w:eastAsia="Times New Roman" w:cs="Times New Roman"/>
          <w:color w:val="231F20"/>
          <w:spacing w:val="-2"/>
        </w:rPr>
        <w:t>S-1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80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mg</w:t>
      </w:r>
      <w:r>
        <w:rPr>
          <w:rFonts w:ascii="Times New Roman" w:hAnsi="Times New Roman" w:eastAsia="Times New Roman" w:cs="Times New Roman"/>
          <w:color w:val="231F20"/>
          <w:spacing w:val="-3"/>
        </w:rPr>
        <w:t>/</w:t>
      </w: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3"/>
          <w:position w:val="10"/>
        </w:rPr>
        <w:t>2</w:t>
      </w:r>
      <w:r>
        <w:rPr>
          <w:rFonts w:ascii="Times New Roman" w:hAnsi="Times New Roman" w:eastAsia="Times New Roman" w:cs="Times New Roman"/>
          <w:color w:val="231F20"/>
          <w:spacing w:val="-3"/>
        </w:rPr>
        <w:t>•d</w:t>
      </w:r>
      <w:r>
        <w:rPr>
          <w:color w:val="231F20"/>
          <w:spacing w:val="-47"/>
          <w:w w:val="86"/>
        </w:rPr>
        <w:t>），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每</w:t>
      </w:r>
      <w:r>
        <w:rPr>
          <w:rFonts w:ascii="Times New Roman" w:hAnsi="Times New Roman" w:eastAsia="Times New Roman" w:cs="Times New Roman"/>
          <w:color w:val="231F20"/>
          <w:spacing w:val="-8"/>
        </w:rPr>
        <w:t>3</w:t>
      </w:r>
      <w:r>
        <w:rPr>
          <w:rFonts w:ascii="Microsoft YaHei" w:hAnsi="Microsoft YaHei" w:eastAsia="Microsoft YaHei" w:cs="Microsoft YaHei"/>
          <w:color w:val="231F20"/>
          <w:spacing w:val="-8"/>
        </w:rPr>
        <w:t>周一周期</w:t>
      </w:r>
      <w:r>
        <w:rPr>
          <w:rFonts w:ascii="Times New Roman" w:hAnsi="Times New Roman" w:eastAsia="Times New Roman" w:cs="Times New Roman"/>
          <w:color w:val="231F20"/>
          <w:spacing w:val="-8"/>
        </w:rPr>
        <w:t>]</w:t>
      </w:r>
      <w:r>
        <w:rPr>
          <w:rFonts w:ascii="Microsoft YaHei" w:hAnsi="Microsoft YaHei" w:eastAsia="Microsoft YaHei" w:cs="Microsoft YaHei"/>
          <w:color w:val="231F20"/>
          <w:spacing w:val="-8"/>
        </w:rPr>
        <w:t>或</w:t>
      </w:r>
      <w:r>
        <w:rPr>
          <w:rFonts w:ascii="Times New Roman" w:hAnsi="Times New Roman" w:eastAsia="Times New Roman" w:cs="Times New Roman"/>
          <w:color w:val="231F20"/>
          <w:spacing w:val="-8"/>
        </w:rPr>
        <w:t>SP</w:t>
      </w:r>
      <w:r>
        <w:rPr>
          <w:rFonts w:ascii="Microsoft YaHei" w:hAnsi="Microsoft YaHei" w:eastAsia="Microsoft YaHei" w:cs="Microsoft YaHei"/>
          <w:color w:val="231F20"/>
          <w:spacing w:val="-8"/>
        </w:rPr>
        <w:t>组</w:t>
      </w:r>
      <w:r>
        <w:rPr>
          <w:rFonts w:ascii="Times New Roman" w:hAnsi="Times New Roman" w:eastAsia="Times New Roman" w:cs="Times New Roman"/>
          <w:color w:val="231F20"/>
          <w:spacing w:val="-8"/>
        </w:rPr>
        <w:t>[</w:t>
      </w:r>
      <w:r>
        <w:rPr>
          <w:rFonts w:ascii="Microsoft YaHei" w:hAnsi="Microsoft YaHei" w:eastAsia="Microsoft YaHei" w:cs="Microsoft YaHei"/>
          <w:color w:val="231F20"/>
          <w:spacing w:val="-8"/>
        </w:rPr>
        <w:t>第</w:t>
      </w:r>
      <w:r>
        <w:rPr>
          <w:rFonts w:ascii="Times New Roman" w:hAnsi="Times New Roman" w:eastAsia="Times New Roman" w:cs="Times New Roman"/>
          <w:color w:val="231F20"/>
          <w:spacing w:val="-8"/>
        </w:rPr>
        <w:t>8</w:t>
      </w:r>
      <w:r>
        <w:rPr>
          <w:rFonts w:ascii="Microsoft YaHei" w:hAnsi="Microsoft YaHei" w:eastAsia="Microsoft YaHei" w:cs="Microsoft YaHei"/>
          <w:color w:val="231F20"/>
          <w:spacing w:val="-8"/>
        </w:rPr>
        <w:t>天静脉滴注</w:t>
      </w:r>
      <w:r>
        <w:rPr>
          <w:rFonts w:ascii="Times New Roman" w:hAnsi="Times New Roman" w:eastAsia="Times New Roman" w:cs="Times New Roman"/>
          <w:color w:val="231F20"/>
          <w:spacing w:val="-8"/>
        </w:rPr>
        <w:t>CDDP 60 mg/m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10"/>
        </w:rPr>
        <w:t>2</w:t>
      </w:r>
      <w:r>
        <w:rPr>
          <w:color w:val="231F20"/>
          <w:spacing w:val="-27"/>
        </w:rPr>
        <w:t>，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第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～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21</w:t>
      </w:r>
      <w:r>
        <w:rPr>
          <w:rFonts w:ascii="Microsoft YaHei" w:hAnsi="Microsoft YaHei" w:eastAsia="Microsoft YaHei" w:cs="Microsoft YaHei"/>
          <w:color w:val="231F20"/>
          <w:spacing w:val="-3"/>
        </w:rPr>
        <w:t>天</w:t>
      </w:r>
      <w:r>
        <w:rPr>
          <w:rFonts w:ascii="Times New Roman" w:hAnsi="Times New Roman" w:eastAsia="Times New Roman" w:cs="Times New Roman"/>
          <w:color w:val="231F20"/>
          <w:spacing w:val="-3"/>
        </w:rPr>
        <w:t>S-1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80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mg/</w:t>
      </w: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3"/>
          <w:position w:val="10"/>
        </w:rPr>
        <w:t>2</w:t>
      </w:r>
      <w:r>
        <w:rPr>
          <w:rFonts w:ascii="Times New Roman" w:hAnsi="Times New Roman" w:eastAsia="Times New Roman" w:cs="Times New Roman"/>
          <w:color w:val="231F20"/>
          <w:spacing w:val="-3"/>
        </w:rPr>
        <w:t>•d</w:t>
      </w:r>
      <w:r>
        <w:rPr>
          <w:color w:val="231F20"/>
          <w:spacing w:val="-43"/>
        </w:rPr>
        <w:t>），</w:t>
      </w:r>
      <w:r>
        <w:rPr>
          <w:rFonts w:ascii="Microsoft YaHei" w:hAnsi="Microsoft YaHei" w:eastAsia="Microsoft YaHei" w:cs="Microsoft YaHei"/>
          <w:color w:val="231F20"/>
          <w:spacing w:val="-3"/>
        </w:rPr>
        <w:t>每</w:t>
      </w:r>
      <w:r>
        <w:rPr>
          <w:rFonts w:ascii="Times New Roman" w:hAnsi="Times New Roman" w:eastAsia="Times New Roman" w:cs="Times New Roman"/>
          <w:color w:val="231F20"/>
          <w:spacing w:val="-3"/>
        </w:rPr>
        <w:t>5</w:t>
      </w:r>
      <w:r>
        <w:rPr>
          <w:rFonts w:ascii="Microsoft YaHei" w:hAnsi="Microsoft YaHei" w:eastAsia="Microsoft YaHei" w:cs="Microsoft YaHei"/>
          <w:color w:val="231F20"/>
          <w:spacing w:val="-3"/>
        </w:rPr>
        <w:t>周一周期</w:t>
      </w:r>
      <w:r>
        <w:rPr>
          <w:rFonts w:ascii="Times New Roman" w:hAnsi="Times New Roman" w:eastAsia="Times New Roman" w:cs="Times New Roman"/>
          <w:color w:val="231F20"/>
          <w:spacing w:val="-3"/>
        </w:rPr>
        <w:t>]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3"/>
        </w:rPr>
        <w:t>。</w:t>
      </w:r>
      <w:r>
        <w:rPr>
          <w:rFonts w:ascii="Microsoft YaHei" w:hAnsi="Microsoft YaHei" w:eastAsia="Microsoft YaHei" w:cs="Microsoft YaHei"/>
          <w:color w:val="231F20"/>
          <w:spacing w:val="-3"/>
        </w:rPr>
        <w:t>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果显示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IP</w:t>
      </w:r>
      <w:r>
        <w:rPr>
          <w:rFonts w:ascii="Microsoft YaHei" w:hAnsi="Microsoft YaHei" w:eastAsia="Microsoft YaHei" w:cs="Microsoft YaHei"/>
          <w:color w:val="231F20"/>
          <w:spacing w:val="-2"/>
        </w:rPr>
        <w:t>组和</w:t>
      </w:r>
      <w:r>
        <w:rPr>
          <w:rFonts w:ascii="Times New Roman" w:hAnsi="Times New Roman" w:eastAsia="Times New Roman" w:cs="Times New Roman"/>
          <w:color w:val="231F20"/>
          <w:spacing w:val="-2"/>
        </w:rPr>
        <w:t>SP</w:t>
      </w:r>
      <w:r>
        <w:rPr>
          <w:rFonts w:ascii="Microsoft YaHei" w:hAnsi="Microsoft YaHei" w:eastAsia="Microsoft YaHei" w:cs="Microsoft YaHei"/>
          <w:color w:val="231F20"/>
          <w:spacing w:val="-2"/>
        </w:rPr>
        <w:t>组患者的中位</w:t>
      </w:r>
      <w:r>
        <w:rPr>
          <w:rFonts w:ascii="Times New Roman" w:hAnsi="Times New Roman" w:eastAsia="Times New Roman" w:cs="Times New Roman"/>
          <w:color w:val="231F20"/>
          <w:spacing w:val="-2"/>
        </w:rPr>
        <w:t>OS</w:t>
      </w:r>
      <w:r>
        <w:rPr>
          <w:rFonts w:ascii="Microsoft YaHei" w:hAnsi="Microsoft YaHei" w:eastAsia="Microsoft YaHei" w:cs="Microsoft YaHei"/>
          <w:color w:val="231F20"/>
          <w:spacing w:val="-2"/>
        </w:rPr>
        <w:t>分别为</w:t>
      </w:r>
      <w:r>
        <w:rPr>
          <w:rFonts w:ascii="Times New Roman" w:hAnsi="Times New Roman" w:eastAsia="Times New Roman" w:cs="Times New Roman"/>
          <w:color w:val="231F20"/>
          <w:spacing w:val="-2"/>
        </w:rPr>
        <w:t>17.7</w:t>
      </w:r>
      <w:r>
        <w:rPr>
          <w:rFonts w:ascii="Microsoft YaHei" w:hAnsi="Microsoft YaHei" w:eastAsia="Microsoft YaHei" w:cs="Microsoft YaHei"/>
          <w:color w:val="231F20"/>
          <w:spacing w:val="-2"/>
        </w:rPr>
        <w:t>个月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8"/>
        </w:rPr>
        <w:t>和</w:t>
      </w:r>
      <w:r>
        <w:rPr>
          <w:rFonts w:ascii="Times New Roman" w:hAnsi="Times New Roman" w:eastAsia="Times New Roman" w:cs="Times New Roman"/>
          <w:color w:val="231F20"/>
          <w:spacing w:val="-8"/>
        </w:rPr>
        <w:t>15.2</w:t>
      </w:r>
      <w:r>
        <w:rPr>
          <w:rFonts w:ascii="Microsoft YaHei" w:hAnsi="Microsoft YaHei" w:eastAsia="Microsoft YaHei" w:cs="Microsoft YaHei"/>
          <w:color w:val="231F20"/>
          <w:spacing w:val="-8"/>
        </w:rPr>
        <w:t>个月</w:t>
      </w:r>
      <w:r>
        <w:rPr>
          <w:color w:val="231F20"/>
          <w:spacing w:val="-8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HR</w:t>
      </w:r>
      <w:r>
        <w:rPr>
          <w:rFonts w:ascii="Times New Roman" w:hAnsi="Times New Roman" w:eastAsia="Times New Roman" w:cs="Times New Roman"/>
          <w:i/>
          <w:iCs/>
          <w:color w:val="231F20"/>
          <w:spacing w:val="36"/>
        </w:rPr>
        <w:t xml:space="preserve"> </w:t>
      </w:r>
      <w:r>
        <w:rPr>
          <w:color w:val="231F20"/>
          <w:spacing w:val="-8"/>
        </w:rPr>
        <w:t>＝</w:t>
      </w:r>
      <w:r>
        <w:rPr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0.72</w:t>
      </w:r>
      <w:r>
        <w:rPr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color w:val="231F20"/>
          <w:spacing w:val="-8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CI</w:t>
      </w:r>
      <w:r>
        <w:rPr>
          <w:color w:val="231F20"/>
          <w:spacing w:val="-8"/>
        </w:rPr>
        <w:t>：</w:t>
      </w:r>
      <w:r>
        <w:rPr>
          <w:rFonts w:ascii="Times New Roman" w:hAnsi="Times New Roman" w:eastAsia="Times New Roman" w:cs="Times New Roman"/>
          <w:color w:val="231F20"/>
          <w:spacing w:val="-8"/>
        </w:rPr>
        <w:t>0.49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～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1.04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=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"/>
        </w:rPr>
        <w:t>0.08</w:t>
      </w:r>
      <w:r>
        <w:rPr>
          <w:color w:val="231F20"/>
          <w:spacing w:val="1"/>
        </w:rPr>
        <w:t>）。</w:t>
      </w:r>
      <w:r>
        <w:rPr>
          <w:rFonts w:ascii="Microsoft YaHei" w:hAnsi="Microsoft YaHei" w:eastAsia="Microsoft YaHei" w:cs="Microsoft YaHei"/>
          <w:color w:val="231F20"/>
          <w:spacing w:val="1"/>
        </w:rPr>
        <w:t>腹水量是影响预后的重要因素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color w:val="231F20"/>
        </w:rPr>
        <w:t>。</w:t>
      </w:r>
      <w:r>
        <w:rPr>
          <w:rFonts w:ascii="Microsoft YaHei" w:hAnsi="Microsoft YaHei" w:eastAsia="Microsoft YaHei" w:cs="Microsoft YaHei"/>
          <w:color w:val="231F20"/>
        </w:rPr>
        <w:t>将基线腹  </w:t>
      </w:r>
      <w:r>
        <w:rPr>
          <w:rFonts w:ascii="Microsoft YaHei" w:hAnsi="Microsoft YaHei" w:eastAsia="Microsoft YaHei" w:cs="Microsoft YaHei"/>
          <w:color w:val="231F20"/>
          <w:spacing w:val="10"/>
        </w:rPr>
        <w:t>水因素进行校正后显示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color w:val="231F20"/>
          <w:spacing w:val="10"/>
        </w:rPr>
        <w:t>，</w:t>
      </w:r>
      <w:r>
        <w:rPr>
          <w:rFonts w:ascii="Times New Roman" w:hAnsi="Times New Roman" w:eastAsia="Times New Roman" w:cs="Times New Roman"/>
          <w:color w:val="231F20"/>
        </w:rPr>
        <w:t>IP</w:t>
      </w:r>
      <w:r>
        <w:rPr>
          <w:rFonts w:ascii="Microsoft YaHei" w:hAnsi="Microsoft YaHei" w:eastAsia="Microsoft YaHei" w:cs="Microsoft YaHei"/>
          <w:color w:val="231F20"/>
          <w:spacing w:val="10"/>
        </w:rPr>
        <w:t>组患者的生存获益显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2"/>
        </w:rPr>
        <w:t>著</w:t>
      </w:r>
      <w:r>
        <w:rPr>
          <w:color w:val="231F20"/>
          <w:spacing w:val="-12"/>
        </w:rPr>
        <w:t>（</w:t>
      </w:r>
      <w:r>
        <w:rPr>
          <w:rFonts w:ascii="Times New Roman" w:hAnsi="Times New Roman" w:eastAsia="Times New Roman" w:cs="Times New Roman"/>
          <w:color w:val="231F20"/>
          <w:spacing w:val="-12"/>
        </w:rPr>
        <w:t>17.7</w:t>
      </w:r>
      <w:r>
        <w:rPr>
          <w:rFonts w:ascii="Microsoft YaHei" w:hAnsi="Microsoft YaHei" w:eastAsia="Microsoft YaHei" w:cs="Microsoft YaHei"/>
          <w:color w:val="231F20"/>
          <w:spacing w:val="-12"/>
        </w:rPr>
        <w:t>个</w:t>
      </w:r>
      <w:r>
        <w:rPr>
          <w:rFonts w:ascii="Microsoft YaHei" w:hAnsi="Microsoft YaHei" w:eastAsia="Microsoft YaHei" w:cs="Microsoft YaHei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月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 </w:t>
      </w:r>
      <w:r>
        <w:rPr>
          <w:color w:val="231F20"/>
          <w:spacing w:val="-12"/>
        </w:rPr>
        <w:t>︰</w:t>
      </w:r>
      <w:r>
        <w:rPr>
          <w:color w:val="231F20"/>
          <w:spacing w:val="8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14.3</w:t>
      </w:r>
      <w:r>
        <w:rPr>
          <w:rFonts w:ascii="Microsoft YaHei" w:hAnsi="Microsoft YaHei" w:eastAsia="Microsoft YaHei" w:cs="Microsoft YaHei"/>
          <w:color w:val="231F20"/>
          <w:spacing w:val="-12"/>
        </w:rPr>
        <w:t>个</w:t>
      </w:r>
      <w:r>
        <w:rPr>
          <w:rFonts w:ascii="Microsoft YaHei" w:hAnsi="Microsoft YaHei" w:eastAsia="Microsoft YaHei" w:cs="Microsoft YaHei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月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12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12"/>
        </w:rPr>
        <w:t>HR</w:t>
      </w:r>
      <w:r>
        <w:rPr>
          <w:rFonts w:ascii="Times New Roman" w:hAnsi="Times New Roman" w:eastAsia="Times New Roman" w:cs="Times New Roman"/>
          <w:i/>
          <w:iCs/>
          <w:color w:val="231F20"/>
          <w:spacing w:val="43"/>
        </w:rPr>
        <w:t xml:space="preserve"> </w:t>
      </w:r>
      <w:r>
        <w:rPr>
          <w:color w:val="231F20"/>
          <w:spacing w:val="-12"/>
        </w:rPr>
        <w:t>＝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0</w:t>
      </w:r>
      <w:r>
        <w:rPr>
          <w:rFonts w:ascii="Times New Roman" w:hAnsi="Times New Roman" w:eastAsia="Times New Roman" w:cs="Times New Roman"/>
          <w:color w:val="231F20"/>
          <w:spacing w:val="-13"/>
        </w:rPr>
        <w:t>.64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-13"/>
        </w:rPr>
        <w:t>，</w:t>
      </w:r>
      <w:r>
        <w:rPr>
          <w:rFonts w:ascii="Times New Roman" w:hAnsi="Times New Roman" w:eastAsia="Times New Roman" w:cs="Times New Roman"/>
          <w:color w:val="231F20"/>
          <w:spacing w:val="-13"/>
        </w:rPr>
        <w:t>95%</w:t>
      </w:r>
      <w:r>
        <w:rPr>
          <w:rFonts w:ascii="Times New Roman" w:hAnsi="Times New Roman" w:eastAsia="Times New Roman" w:cs="Times New Roman"/>
          <w:i/>
          <w:iCs/>
          <w:color w:val="231F20"/>
          <w:spacing w:val="-13"/>
        </w:rPr>
        <w:t>CI</w:t>
      </w:r>
      <w:r>
        <w:rPr>
          <w:rFonts w:ascii="Times New Roman" w:hAnsi="Times New Roman" w:eastAsia="Times New Roman" w:cs="Times New Roman"/>
          <w:i/>
          <w:iCs/>
          <w:color w:val="231F20"/>
          <w:spacing w:val="-16"/>
        </w:rPr>
        <w:t xml:space="preserve"> </w:t>
      </w:r>
      <w:r>
        <w:rPr>
          <w:color w:val="231F20"/>
          <w:spacing w:val="-13"/>
        </w:rPr>
        <w:t>：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0.43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～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0.94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8"/>
        </w:rPr>
        <w:t xml:space="preserve"> </w:t>
      </w:r>
      <w:r>
        <w:rPr>
          <w:color w:val="231F20"/>
          <w:spacing w:val="-3"/>
        </w:rPr>
        <w:t>＝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0.023</w:t>
      </w:r>
      <w:r>
        <w:rPr>
          <w:color w:val="231F20"/>
          <w:spacing w:val="-42"/>
        </w:rPr>
        <w:t>），</w:t>
      </w:r>
      <w:r>
        <w:rPr>
          <w:rFonts w:ascii="Microsoft YaHei" w:hAnsi="Microsoft YaHei" w:eastAsia="Microsoft YaHei" w:cs="Microsoft YaHei"/>
          <w:color w:val="231F20"/>
          <w:spacing w:val="-3"/>
        </w:rPr>
        <w:t>特别是在中量腹水</w:t>
      </w:r>
      <w:r>
        <w:rPr>
          <w:color w:val="231F20"/>
          <w:spacing w:val="-3"/>
        </w:rPr>
        <w:t>（</w:t>
      </w:r>
      <w:r>
        <w:rPr>
          <w:rFonts w:ascii="Microsoft YaHei" w:hAnsi="Microsoft YaHei" w:eastAsia="Microsoft YaHei" w:cs="Microsoft YaHei"/>
          <w:color w:val="231F20"/>
          <w:spacing w:val="-3"/>
        </w:rPr>
        <w:t>腹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水位于盆腔以上</w:t>
      </w:r>
      <w:r>
        <w:rPr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color w:val="231F20"/>
          <w:spacing w:val="-7"/>
        </w:rPr>
        <w:t>的患者中</w:t>
      </w:r>
      <w:r>
        <w:rPr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7"/>
        </w:rPr>
        <w:t>两组的差异明显</w:t>
      </w:r>
      <w:r>
        <w:rPr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color w:val="231F20"/>
          <w:spacing w:val="-7"/>
        </w:rPr>
        <w:t>13.0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9"/>
        </w:rPr>
        <w:t>个月</w:t>
      </w:r>
      <w:r>
        <w:rPr>
          <w:rFonts w:ascii="Microsoft YaHei" w:hAnsi="Microsoft YaHei" w:eastAsia="Microsoft YaHei" w:cs="Microsoft YaHei"/>
          <w:color w:val="231F20"/>
          <w:spacing w:val="40"/>
        </w:rPr>
        <w:t xml:space="preserve"> </w:t>
      </w:r>
      <w:r>
        <w:rPr>
          <w:color w:val="231F20"/>
          <w:spacing w:val="-19"/>
        </w:rPr>
        <w:t>︰</w:t>
      </w:r>
      <w:r>
        <w:rPr>
          <w:color w:val="231F20"/>
          <w:spacing w:val="5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9"/>
        </w:rPr>
        <w:t>6.8</w:t>
      </w:r>
      <w:r>
        <w:rPr>
          <w:rFonts w:ascii="Microsoft YaHei" w:hAnsi="Microsoft YaHei" w:eastAsia="Microsoft YaHei" w:cs="Microsoft YaHei"/>
          <w:color w:val="231F20"/>
          <w:spacing w:val="-19"/>
        </w:rPr>
        <w:t>个月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19"/>
        </w:rPr>
        <w:t>，</w:t>
      </w:r>
      <w:r>
        <w:rPr>
          <w:rFonts w:ascii="Times New Roman" w:hAnsi="Times New Roman" w:eastAsia="Times New Roman" w:cs="Times New Roman"/>
          <w:i/>
          <w:iCs/>
          <w:color w:val="231F20"/>
          <w:spacing w:val="-19"/>
        </w:rPr>
        <w:t>HR</w:t>
      </w:r>
      <w:r>
        <w:rPr>
          <w:rFonts w:ascii="Times New Roman" w:hAnsi="Times New Roman" w:eastAsia="Times New Roman" w:cs="Times New Roman"/>
          <w:i/>
          <w:iCs/>
          <w:color w:val="231F20"/>
          <w:spacing w:val="29"/>
          <w:w w:val="101"/>
        </w:rPr>
        <w:t xml:space="preserve"> </w:t>
      </w:r>
      <w:r>
        <w:rPr>
          <w:color w:val="231F20"/>
          <w:spacing w:val="-19"/>
        </w:rPr>
        <w:t>＝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9"/>
        </w:rPr>
        <w:t>0.38</w:t>
      </w:r>
      <w:r>
        <w:rPr>
          <w:color w:val="231F20"/>
          <w:spacing w:val="-19"/>
        </w:rPr>
        <w:t>）。</w:t>
      </w:r>
    </w:p>
    <w:p>
      <w:pPr>
        <w:pStyle w:val="BodyText"/>
        <w:ind w:left="5" w:right="90" w:firstLine="320"/>
        <w:spacing w:before="4" w:line="206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2</w:t>
      </w:r>
      <w:r>
        <w:rPr>
          <w:color w:val="231F20"/>
          <w:spacing w:val="-1"/>
        </w:rPr>
        <w:t>）</w:t>
      </w:r>
      <w:r>
        <w:rPr>
          <w:rFonts w:ascii="Microsoft YaHei" w:hAnsi="Microsoft YaHei" w:eastAsia="Microsoft YaHei" w:cs="Microsoft YaHei"/>
          <w:color w:val="231F20"/>
          <w:spacing w:val="-1"/>
        </w:rPr>
        <w:t>李燕等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[63]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0"/>
          <w:position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的一项观察性研究</w:t>
      </w:r>
      <w:r>
        <w:rPr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纳入</w:t>
      </w:r>
      <w:r>
        <w:rPr>
          <w:rFonts w:ascii="Times New Roman" w:hAnsi="Times New Roman" w:eastAsia="Times New Roman" w:cs="Times New Roman"/>
          <w:color w:val="231F20"/>
          <w:spacing w:val="-1"/>
        </w:rPr>
        <w:t>81</w:t>
      </w:r>
      <w:r>
        <w:rPr>
          <w:rFonts w:ascii="Microsoft YaHei" w:hAnsi="Microsoft YaHei" w:eastAsia="Microsoft YaHei" w:cs="Microsoft YaHei"/>
          <w:color w:val="231F20"/>
          <w:spacing w:val="-1"/>
        </w:rPr>
        <w:t>例胃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肠道恶性肿瘤并发腹腔积液患者</w:t>
      </w:r>
      <w:r>
        <w:rPr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color w:val="231F20"/>
          <w:spacing w:val="9"/>
        </w:rPr>
        <w:t>观察腹腔持续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引流后直接腹腔化疗联合全身化疗治疗的疗效及</w:t>
      </w:r>
    </w:p>
    <w:p>
      <w:pPr>
        <w:spacing w:line="206" w:lineRule="auto"/>
        <w:sectPr>
          <w:type w:val="continuous"/>
          <w:pgSz w:w="11906" w:h="16158"/>
          <w:pgMar w:top="400" w:right="987" w:bottom="0" w:left="407" w:header="0" w:footer="0" w:gutter="0"/>
          <w:cols w:equalWidth="0" w:num="2">
            <w:col w:w="5703" w:space="100"/>
            <w:col w:w="4708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8"/>
          <w:pgSz w:w="11906" w:h="16158"/>
          <w:pgMar w:top="1229" w:right="1059" w:bottom="0" w:left="407" w:header="767" w:footer="0" w:gutter="0"/>
          <w:cols w:equalWidth="0" w:num="1">
            <w:col w:w="10439" w:space="0"/>
          </w:cols>
        </w:sectPr>
        <w:rPr/>
      </w:pPr>
    </w:p>
    <w:p>
      <w:pPr>
        <w:pStyle w:val="BodyText"/>
        <w:ind w:left="669" w:right="269" w:firstLine="16"/>
        <w:spacing w:before="44" w:line="233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2"/>
        </w:rPr>
        <w:t>不良反应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color w:val="231F20"/>
          <w:spacing w:val="2"/>
        </w:rPr>
        <w:t>腹腔灌注药物氟尿嘧啶类药物和</w:t>
      </w:r>
      <w:r>
        <w:rPr>
          <w:color w:val="231F20"/>
          <w:spacing w:val="2"/>
        </w:rPr>
        <w:t>（</w:t>
      </w:r>
      <w:r>
        <w:rPr>
          <w:rFonts w:ascii="Microsoft YaHei" w:hAnsi="Microsoft YaHei" w:eastAsia="Microsoft YaHei" w:cs="Microsoft YaHei"/>
          <w:color w:val="231F20"/>
          <w:spacing w:val="2"/>
        </w:rPr>
        <w:t>或</w:t>
      </w:r>
      <w:r>
        <w:rPr>
          <w:color w:val="231F20"/>
          <w:spacing w:val="2"/>
        </w:rPr>
        <w:t>）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CDDP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之后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rFonts w:ascii="Microsoft YaHei" w:hAnsi="Microsoft YaHei" w:eastAsia="Microsoft YaHei" w:cs="Microsoft YaHei"/>
          <w:color w:val="231F20"/>
          <w:spacing w:val="-3"/>
        </w:rPr>
        <w:t>周行以</w:t>
      </w:r>
      <w:r>
        <w:rPr>
          <w:rFonts w:ascii="Times New Roman" w:hAnsi="Times New Roman" w:eastAsia="Times New Roman" w:cs="Times New Roman"/>
          <w:color w:val="231F20"/>
          <w:spacing w:val="-3"/>
        </w:rPr>
        <w:t>5-FU</w:t>
      </w:r>
      <w:r>
        <w:rPr>
          <w:rFonts w:ascii="Microsoft YaHei" w:hAnsi="Microsoft YaHei" w:eastAsia="Microsoft YaHei" w:cs="Microsoft YaHei"/>
          <w:color w:val="231F20"/>
          <w:spacing w:val="-3"/>
        </w:rPr>
        <w:t>或</w:t>
      </w:r>
      <w:r>
        <w:rPr>
          <w:rFonts w:ascii="Times New Roman" w:hAnsi="Times New Roman" w:eastAsia="Times New Roman" w:cs="Times New Roman"/>
          <w:color w:val="231F20"/>
          <w:spacing w:val="-3"/>
        </w:rPr>
        <w:t>CAP</w:t>
      </w:r>
      <w:r>
        <w:rPr>
          <w:rFonts w:ascii="Microsoft YaHei" w:hAnsi="Microsoft YaHei" w:eastAsia="Microsoft YaHei" w:cs="Microsoft YaHei"/>
          <w:color w:val="231F20"/>
          <w:spacing w:val="-3"/>
        </w:rPr>
        <w:t>为基础联合表柔比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星</w:t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EPI</w:t>
      </w:r>
      <w:r>
        <w:rPr>
          <w:color w:val="231F20"/>
          <w:spacing w:val="-4"/>
        </w:rPr>
        <w:t>）、</w:t>
      </w:r>
      <w:r>
        <w:rPr>
          <w:rFonts w:ascii="Times New Roman" w:hAnsi="Times New Roman" w:eastAsia="Times New Roman" w:cs="Times New Roman"/>
          <w:color w:val="231F20"/>
          <w:spacing w:val="-4"/>
        </w:rPr>
        <w:t>CDDP</w:t>
      </w:r>
      <w:r>
        <w:rPr>
          <w:color w:val="231F20"/>
          <w:spacing w:val="-4"/>
        </w:rPr>
        <w:t>（</w:t>
      </w:r>
      <w:r>
        <w:rPr>
          <w:rFonts w:ascii="Microsoft YaHei" w:hAnsi="Microsoft YaHei" w:eastAsia="Microsoft YaHei" w:cs="Microsoft YaHei"/>
          <w:color w:val="231F20"/>
          <w:spacing w:val="-4"/>
        </w:rPr>
        <w:t>或</w:t>
      </w:r>
      <w:r>
        <w:rPr>
          <w:rFonts w:ascii="Times New Roman" w:hAnsi="Times New Roman" w:eastAsia="Times New Roman" w:cs="Times New Roman"/>
          <w:color w:val="231F20"/>
          <w:spacing w:val="-4"/>
        </w:rPr>
        <w:t>OXA</w:t>
      </w:r>
      <w:r>
        <w:rPr>
          <w:color w:val="231F20"/>
          <w:spacing w:val="-47"/>
        </w:rPr>
        <w:t>），</w:t>
      </w:r>
      <w:r>
        <w:rPr>
          <w:rFonts w:ascii="Microsoft YaHei" w:hAnsi="Microsoft YaHei" w:eastAsia="Microsoft YaHei" w:cs="Microsoft YaHei"/>
          <w:color w:val="231F20"/>
          <w:spacing w:val="-4"/>
        </w:rPr>
        <w:t>进行</w:t>
      </w:r>
      <w:r>
        <w:rPr>
          <w:rFonts w:ascii="Times New Roman" w:hAnsi="Times New Roman" w:eastAsia="Times New Roman" w:cs="Times New Roman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color w:val="231F20"/>
          <w:spacing w:val="-4"/>
        </w:rPr>
        <w:t>～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4</w:t>
      </w:r>
      <w:r>
        <w:rPr>
          <w:rFonts w:ascii="Microsoft YaHei" w:hAnsi="Microsoft YaHei" w:eastAsia="Microsoft YaHei" w:cs="Microsoft YaHei"/>
          <w:color w:val="231F20"/>
          <w:spacing w:val="-5"/>
        </w:rPr>
        <w:t>个周期的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全身化疗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color w:val="231F20"/>
          <w:spacing w:val="-2"/>
        </w:rPr>
        <w:t>结果显示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81</w:t>
      </w:r>
      <w:r>
        <w:rPr>
          <w:rFonts w:ascii="Microsoft YaHei" w:hAnsi="Microsoft YaHei" w:eastAsia="Microsoft YaHei" w:cs="Microsoft YaHei"/>
          <w:color w:val="231F20"/>
          <w:spacing w:val="-2"/>
        </w:rPr>
        <w:t>例患者中腹腔积液完全缓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7"/>
        </w:rPr>
        <w:t>解</w:t>
      </w:r>
      <w:r>
        <w:rPr>
          <w:color w:val="231F20"/>
          <w:spacing w:val="-17"/>
        </w:rPr>
        <w:t>（</w:t>
      </w:r>
      <w:r>
        <w:rPr>
          <w:rFonts w:ascii="Times New Roman" w:hAnsi="Times New Roman" w:eastAsia="Times New Roman" w:cs="Times New Roman"/>
          <w:color w:val="231F20"/>
          <w:spacing w:val="-17"/>
        </w:rPr>
        <w:t>CR</w:t>
      </w:r>
      <w:r>
        <w:rPr>
          <w:color w:val="231F20"/>
          <w:spacing w:val="-17"/>
        </w:rPr>
        <w:t>）</w:t>
      </w:r>
      <w:r>
        <w:rPr>
          <w:rFonts w:ascii="Times New Roman" w:hAnsi="Times New Roman" w:eastAsia="Times New Roman" w:cs="Times New Roman"/>
          <w:color w:val="231F20"/>
          <w:spacing w:val="-17"/>
        </w:rPr>
        <w:t>16</w:t>
      </w:r>
      <w:r>
        <w:rPr>
          <w:rFonts w:ascii="Microsoft YaHei" w:hAnsi="Microsoft YaHei" w:eastAsia="Microsoft YaHei" w:cs="Microsoft YaHei"/>
          <w:color w:val="231F20"/>
          <w:spacing w:val="-17"/>
        </w:rPr>
        <w:t>例</w:t>
      </w:r>
      <w:r>
        <w:rPr>
          <w:color w:val="231F20"/>
          <w:spacing w:val="-17"/>
        </w:rPr>
        <w:t>（</w:t>
      </w:r>
      <w:r>
        <w:rPr>
          <w:rFonts w:ascii="Times New Roman" w:hAnsi="Times New Roman" w:eastAsia="Times New Roman" w:cs="Times New Roman"/>
          <w:color w:val="231F20"/>
          <w:spacing w:val="-17"/>
        </w:rPr>
        <w:t>19.8%</w:t>
      </w:r>
      <w:r>
        <w:rPr>
          <w:color w:val="231F20"/>
          <w:spacing w:val="-41"/>
          <w:w w:val="74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7"/>
        </w:rPr>
        <w:t>部分缓解</w:t>
      </w:r>
      <w:r>
        <w:rPr>
          <w:color w:val="231F20"/>
          <w:spacing w:val="-17"/>
        </w:rPr>
        <w:t>（</w:t>
      </w:r>
      <w:r>
        <w:rPr>
          <w:rFonts w:ascii="Times New Roman" w:hAnsi="Times New Roman" w:eastAsia="Times New Roman" w:cs="Times New Roman"/>
          <w:color w:val="231F20"/>
          <w:spacing w:val="-17"/>
        </w:rPr>
        <w:t>PR</w:t>
      </w:r>
      <w:r>
        <w:rPr>
          <w:color w:val="231F20"/>
          <w:spacing w:val="-17"/>
        </w:rPr>
        <w:t>）</w:t>
      </w:r>
      <w:r>
        <w:rPr>
          <w:rFonts w:ascii="Times New Roman" w:hAnsi="Times New Roman" w:eastAsia="Times New Roman" w:cs="Times New Roman"/>
          <w:color w:val="231F20"/>
          <w:spacing w:val="-17"/>
        </w:rPr>
        <w:t>18</w:t>
      </w:r>
      <w:r>
        <w:rPr>
          <w:rFonts w:ascii="Microsoft YaHei" w:hAnsi="Microsoft YaHei" w:eastAsia="Microsoft YaHei" w:cs="Microsoft YaHei"/>
          <w:color w:val="231F20"/>
          <w:spacing w:val="-17"/>
        </w:rPr>
        <w:t>例</w:t>
      </w:r>
      <w:r>
        <w:rPr>
          <w:color w:val="231F20"/>
          <w:spacing w:val="-17"/>
        </w:rPr>
        <w:t>（</w:t>
      </w:r>
      <w:r>
        <w:rPr>
          <w:rFonts w:ascii="Times New Roman" w:hAnsi="Times New Roman" w:eastAsia="Times New Roman" w:cs="Times New Roman"/>
          <w:color w:val="231F20"/>
          <w:spacing w:val="-17"/>
        </w:rPr>
        <w:t>22.2%</w:t>
      </w:r>
      <w:r>
        <w:rPr>
          <w:color w:val="231F20"/>
          <w:spacing w:val="-41"/>
          <w:w w:val="74"/>
        </w:rPr>
        <w:t>），</w:t>
      </w:r>
      <w:r>
        <w:rPr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稳定</w:t>
      </w:r>
      <w:r>
        <w:rPr>
          <w:color w:val="231F20"/>
          <w:spacing w:val="-10"/>
        </w:rPr>
        <w:t>（</w:t>
      </w:r>
      <w:r>
        <w:rPr>
          <w:rFonts w:ascii="Times New Roman" w:hAnsi="Times New Roman" w:eastAsia="Times New Roman" w:cs="Times New Roman"/>
          <w:color w:val="231F20"/>
          <w:spacing w:val="-10"/>
        </w:rPr>
        <w:t>SD</w:t>
      </w:r>
      <w:r>
        <w:rPr>
          <w:color w:val="231F20"/>
          <w:spacing w:val="-10"/>
        </w:rPr>
        <w:t>）</w:t>
      </w:r>
      <w:r>
        <w:rPr>
          <w:rFonts w:ascii="Times New Roman" w:hAnsi="Times New Roman" w:eastAsia="Times New Roman" w:cs="Times New Roman"/>
          <w:color w:val="231F20"/>
          <w:spacing w:val="-10"/>
        </w:rPr>
        <w:t>27</w:t>
      </w:r>
      <w:r>
        <w:rPr>
          <w:rFonts w:ascii="Microsoft YaHei" w:hAnsi="Microsoft YaHei" w:eastAsia="Microsoft YaHei" w:cs="Microsoft YaHei"/>
          <w:color w:val="231F20"/>
          <w:spacing w:val="-10"/>
        </w:rPr>
        <w:t>例</w:t>
      </w:r>
      <w:r>
        <w:rPr>
          <w:color w:val="231F20"/>
          <w:spacing w:val="-10"/>
        </w:rPr>
        <w:t>（</w:t>
      </w:r>
      <w:r>
        <w:rPr>
          <w:rFonts w:ascii="Times New Roman" w:hAnsi="Times New Roman" w:eastAsia="Times New Roman" w:cs="Times New Roman"/>
          <w:color w:val="231F20"/>
          <w:spacing w:val="-10"/>
        </w:rPr>
        <w:t>33.3%</w:t>
      </w:r>
      <w:r>
        <w:rPr>
          <w:color w:val="231F20"/>
          <w:spacing w:val="-40"/>
          <w:w w:val="73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0"/>
        </w:rPr>
        <w:t>进展</w:t>
      </w:r>
      <w:r>
        <w:rPr>
          <w:color w:val="231F20"/>
          <w:spacing w:val="-10"/>
        </w:rPr>
        <w:t>（</w:t>
      </w:r>
      <w:r>
        <w:rPr>
          <w:rFonts w:ascii="Times New Roman" w:hAnsi="Times New Roman" w:eastAsia="Times New Roman" w:cs="Times New Roman"/>
          <w:color w:val="231F20"/>
          <w:spacing w:val="-10"/>
        </w:rPr>
        <w:t>PD</w:t>
      </w:r>
      <w:r>
        <w:rPr>
          <w:color w:val="231F20"/>
          <w:spacing w:val="-10"/>
        </w:rPr>
        <w:t>）</w:t>
      </w:r>
      <w:r>
        <w:rPr>
          <w:rFonts w:ascii="Times New Roman" w:hAnsi="Times New Roman" w:eastAsia="Times New Roman" w:cs="Times New Roman"/>
          <w:color w:val="231F20"/>
          <w:spacing w:val="-10"/>
        </w:rPr>
        <w:t>2</w:t>
      </w:r>
      <w:r>
        <w:rPr>
          <w:rFonts w:ascii="Times New Roman" w:hAnsi="Times New Roman" w:eastAsia="Times New Roman" w:cs="Times New Roman"/>
          <w:color w:val="231F20"/>
          <w:spacing w:val="-11"/>
        </w:rPr>
        <w:t>0</w:t>
      </w:r>
      <w:r>
        <w:rPr>
          <w:rFonts w:ascii="Microsoft YaHei" w:hAnsi="Microsoft YaHei" w:eastAsia="Microsoft YaHei" w:cs="Microsoft YaHei"/>
          <w:color w:val="231F20"/>
          <w:spacing w:val="-11"/>
        </w:rPr>
        <w:t>例</w:t>
      </w:r>
      <w:r>
        <w:rPr>
          <w:color w:val="231F20"/>
          <w:spacing w:val="-11"/>
        </w:rPr>
        <w:t>（</w:t>
      </w:r>
      <w:r>
        <w:rPr>
          <w:rFonts w:ascii="Times New Roman" w:hAnsi="Times New Roman" w:eastAsia="Times New Roman" w:cs="Times New Roman"/>
          <w:color w:val="231F20"/>
          <w:spacing w:val="-11"/>
        </w:rPr>
        <w:t>24.7%</w:t>
      </w:r>
      <w:r>
        <w:rPr>
          <w:color w:val="231F20"/>
          <w:spacing w:val="-40"/>
          <w:w w:val="73"/>
        </w:rPr>
        <w:t>），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总有效</w:t>
      </w:r>
      <w:r>
        <w:rPr>
          <w:color w:val="231F20"/>
          <w:spacing w:val="10"/>
        </w:rPr>
        <w:t>（</w:t>
      </w:r>
      <w:r>
        <w:rPr>
          <w:rFonts w:ascii="Times New Roman" w:hAnsi="Times New Roman" w:eastAsia="Times New Roman" w:cs="Times New Roman"/>
          <w:color w:val="231F20"/>
        </w:rPr>
        <w:t>CR</w:t>
      </w:r>
      <w:r>
        <w:rPr>
          <w:rFonts w:ascii="Times New Roman" w:hAnsi="Times New Roman" w:eastAsia="Times New Roman" w:cs="Times New Roman"/>
          <w:color w:val="231F20"/>
          <w:spacing w:val="45"/>
          <w:w w:val="101"/>
        </w:rPr>
        <w:t xml:space="preserve"> </w:t>
      </w:r>
      <w:r>
        <w:rPr>
          <w:color w:val="231F20"/>
          <w:spacing w:val="10"/>
        </w:rPr>
        <w:t>＋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PB</w:t>
      </w:r>
      <w:r>
        <w:rPr>
          <w:color w:val="231F20"/>
          <w:spacing w:val="10"/>
        </w:rPr>
        <w:t>）</w:t>
      </w:r>
      <w:r>
        <w:rPr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率为</w:t>
      </w:r>
      <w:r>
        <w:rPr>
          <w:rFonts w:ascii="Times New Roman" w:hAnsi="Times New Roman" w:eastAsia="Times New Roman" w:cs="Times New Roman"/>
          <w:color w:val="231F20"/>
          <w:spacing w:val="10"/>
        </w:rPr>
        <w:t>42%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color w:val="231F20"/>
          <w:spacing w:val="10"/>
        </w:rPr>
        <w:t>；</w:t>
      </w:r>
      <w:r>
        <w:rPr>
          <w:rFonts w:ascii="Microsoft YaHei" w:hAnsi="Microsoft YaHei" w:eastAsia="Microsoft YaHei" w:cs="Microsoft YaHei"/>
          <w:color w:val="231F20"/>
          <w:spacing w:val="10"/>
        </w:rPr>
        <w:t>总获益</w:t>
      </w:r>
      <w:r>
        <w:rPr>
          <w:color w:val="231F20"/>
          <w:spacing w:val="10"/>
        </w:rPr>
        <w:t>（</w:t>
      </w:r>
      <w:r>
        <w:rPr>
          <w:rFonts w:ascii="Times New Roman" w:hAnsi="Times New Roman" w:eastAsia="Times New Roman" w:cs="Times New Roman"/>
          <w:color w:val="231F20"/>
        </w:rPr>
        <w:t>CR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color w:val="231F20"/>
          <w:spacing w:val="10"/>
        </w:rPr>
        <w:t>+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3"/>
        </w:rPr>
        <w:t>PR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＋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SD</w:t>
      </w:r>
      <w:r>
        <w:rPr>
          <w:color w:val="231F20"/>
          <w:spacing w:val="-3"/>
        </w:rPr>
        <w:t>）</w:t>
      </w:r>
      <w:r>
        <w:rPr>
          <w:rFonts w:ascii="Microsoft YaHei" w:hAnsi="Microsoft YaHei" w:eastAsia="Microsoft YaHei" w:cs="Microsoft YaHei"/>
          <w:color w:val="231F20"/>
          <w:spacing w:val="-3"/>
        </w:rPr>
        <w:t>率为</w:t>
      </w:r>
      <w:r>
        <w:rPr>
          <w:rFonts w:ascii="Times New Roman" w:hAnsi="Times New Roman" w:eastAsia="Times New Roman" w:cs="Times New Roman"/>
          <w:color w:val="231F20"/>
          <w:spacing w:val="-3"/>
        </w:rPr>
        <w:t>75.3%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中位进展时间为</w:t>
      </w:r>
      <w:r>
        <w:rPr>
          <w:rFonts w:ascii="Times New Roman" w:hAnsi="Times New Roman" w:eastAsia="Times New Roman" w:cs="Times New Roman"/>
          <w:color w:val="231F20"/>
          <w:spacing w:val="-3"/>
        </w:rPr>
        <w:t>4</w:t>
      </w:r>
      <w:r>
        <w:rPr>
          <w:rFonts w:ascii="Microsoft YaHei" w:hAnsi="Microsoft YaHei" w:eastAsia="Microsoft YaHei" w:cs="Microsoft YaHei"/>
          <w:color w:val="231F20"/>
          <w:spacing w:val="-3"/>
        </w:rPr>
        <w:t>个月</w:t>
      </w:r>
      <w:r>
        <w:rPr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中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位生存期为</w:t>
      </w:r>
      <w:r>
        <w:rPr>
          <w:rFonts w:ascii="Times New Roman" w:hAnsi="Times New Roman" w:eastAsia="Times New Roman" w:cs="Times New Roman"/>
          <w:color w:val="231F20"/>
          <w:spacing w:val="-2"/>
        </w:rPr>
        <w:t>5.3</w:t>
      </w:r>
      <w:r>
        <w:rPr>
          <w:rFonts w:ascii="Microsoft YaHei" w:hAnsi="Microsoft YaHei" w:eastAsia="Microsoft YaHei" w:cs="Microsoft YaHei"/>
          <w:color w:val="231F20"/>
          <w:spacing w:val="-2"/>
        </w:rPr>
        <w:t>个月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rFonts w:ascii="Microsoft YaHei" w:hAnsi="Microsoft YaHei" w:eastAsia="Microsoft YaHei" w:cs="Microsoft YaHei"/>
          <w:color w:val="231F20"/>
          <w:spacing w:val="-2"/>
        </w:rPr>
        <w:t>年生存率为</w:t>
      </w:r>
      <w:r>
        <w:rPr>
          <w:rFonts w:ascii="Times New Roman" w:hAnsi="Times New Roman" w:eastAsia="Times New Roman" w:cs="Times New Roman"/>
          <w:color w:val="231F20"/>
          <w:spacing w:val="-2"/>
        </w:rPr>
        <w:t>16.0%</w:t>
      </w:r>
      <w:r>
        <w:rPr>
          <w:color w:val="231F20"/>
          <w:spacing w:val="-2"/>
        </w:rPr>
        <w:t>。</w:t>
      </w:r>
    </w:p>
    <w:p>
      <w:pPr>
        <w:pStyle w:val="BodyText"/>
        <w:ind w:left="673" w:right="360" w:firstLine="325"/>
        <w:spacing w:before="2" w:line="228" w:lineRule="auto"/>
        <w:rPr/>
      </w:pPr>
      <w:r>
        <w:rPr>
          <w:color w:val="231F20"/>
          <w:spacing w:val="8"/>
        </w:rPr>
        <w:t>（</w:t>
      </w:r>
      <w:r>
        <w:rPr>
          <w:rFonts w:ascii="Times New Roman" w:hAnsi="Times New Roman" w:eastAsia="Times New Roman" w:cs="Times New Roman"/>
          <w:color w:val="231F20"/>
          <w:spacing w:val="8"/>
        </w:rPr>
        <w:t>3</w:t>
      </w:r>
      <w:r>
        <w:rPr>
          <w:color w:val="231F20"/>
          <w:spacing w:val="8"/>
        </w:rPr>
        <w:t>）</w:t>
      </w:r>
      <w:r>
        <w:rPr>
          <w:rFonts w:ascii="Microsoft YaHei" w:hAnsi="Microsoft YaHei" w:eastAsia="Microsoft YaHei" w:cs="Microsoft YaHei"/>
          <w:color w:val="231F20"/>
          <w:spacing w:val="8"/>
        </w:rPr>
        <w:t>黄万中等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8"/>
          <w:position w:val="9"/>
        </w:rPr>
        <w:t>[64]</w:t>
      </w:r>
      <w:r>
        <w:rPr>
          <w:rFonts w:ascii="Microsoft YaHei" w:hAnsi="Microsoft YaHei" w:eastAsia="Microsoft YaHei" w:cs="Microsoft YaHei"/>
          <w:color w:val="231F20"/>
          <w:spacing w:val="8"/>
        </w:rPr>
        <w:t>在一项Ⅱ期临床研</w:t>
      </w:r>
      <w:r>
        <w:rPr>
          <w:rFonts w:ascii="Microsoft YaHei" w:hAnsi="Microsoft YaHei" w:eastAsia="Microsoft YaHei" w:cs="Microsoft YaHei"/>
          <w:color w:val="231F20"/>
          <w:spacing w:val="7"/>
        </w:rPr>
        <w:t>究中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color w:val="231F20"/>
          <w:spacing w:val="7"/>
        </w:rPr>
        <w:t>纳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入</w:t>
      </w:r>
      <w:r>
        <w:rPr>
          <w:rFonts w:ascii="Times New Roman" w:hAnsi="Times New Roman" w:eastAsia="Times New Roman" w:cs="Times New Roman"/>
          <w:color w:val="231F20"/>
          <w:spacing w:val="8"/>
        </w:rPr>
        <w:t>43</w:t>
      </w:r>
      <w:r>
        <w:rPr>
          <w:rFonts w:ascii="Microsoft YaHei" w:hAnsi="Microsoft YaHei" w:eastAsia="Microsoft YaHei" w:cs="Microsoft YaHei"/>
          <w:color w:val="231F20"/>
          <w:spacing w:val="8"/>
        </w:rPr>
        <w:t>例Ⅲ</w:t>
      </w:r>
      <w:r>
        <w:rPr>
          <w:rFonts w:ascii="Times New Roman" w:hAnsi="Times New Roman" w:eastAsia="Times New Roman" w:cs="Times New Roman"/>
          <w:color w:val="231F20"/>
          <w:spacing w:val="8"/>
        </w:rPr>
        <w:t>b</w:t>
      </w:r>
      <w:r>
        <w:rPr>
          <w:color w:val="231F20"/>
          <w:spacing w:val="8"/>
        </w:rPr>
        <w:t>~</w:t>
      </w:r>
      <w:r>
        <w:rPr>
          <w:rFonts w:ascii="Microsoft YaHei" w:hAnsi="Microsoft YaHei" w:eastAsia="Microsoft YaHei" w:cs="Microsoft YaHei"/>
          <w:color w:val="231F20"/>
          <w:spacing w:val="8"/>
        </w:rPr>
        <w:t>Ⅳ期胃癌患者</w:t>
      </w:r>
      <w:r>
        <w:rPr>
          <w:color w:val="231F20"/>
          <w:spacing w:val="8"/>
        </w:rPr>
        <w:t>（</w:t>
      </w:r>
      <w:r>
        <w:rPr>
          <w:rFonts w:ascii="Microsoft YaHei" w:hAnsi="Microsoft YaHei" w:eastAsia="Microsoft YaHei" w:cs="Microsoft YaHei"/>
          <w:color w:val="231F20"/>
          <w:spacing w:val="8"/>
        </w:rPr>
        <w:t>其中</w:t>
      </w:r>
      <w:r>
        <w:rPr>
          <w:rFonts w:ascii="Times New Roman" w:hAnsi="Times New Roman" w:eastAsia="Times New Roman" w:cs="Times New Roman"/>
          <w:color w:val="231F20"/>
          <w:spacing w:val="8"/>
        </w:rPr>
        <w:t>14</w:t>
      </w:r>
      <w:r>
        <w:rPr>
          <w:rFonts w:ascii="Microsoft YaHei" w:hAnsi="Microsoft YaHei" w:eastAsia="Microsoft YaHei" w:cs="Microsoft YaHei"/>
          <w:color w:val="231F20"/>
          <w:spacing w:val="8"/>
        </w:rPr>
        <w:t>例合并腹膜转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移</w:t>
      </w:r>
      <w:r>
        <w:rPr>
          <w:color w:val="231F20"/>
          <w:spacing w:val="-50"/>
        </w:rPr>
        <w:t>），</w:t>
      </w:r>
      <w:r>
        <w:rPr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旨在评价多西紫杉醇腹腔灌注化疗联合</w:t>
      </w:r>
      <w:r>
        <w:rPr>
          <w:rFonts w:ascii="Times New Roman" w:hAnsi="Times New Roman" w:eastAsia="Times New Roman" w:cs="Times New Roman"/>
          <w:color w:val="231F20"/>
          <w:spacing w:val="-1"/>
        </w:rPr>
        <w:t>CF/5-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FU</w:t>
      </w:r>
      <w:r>
        <w:rPr>
          <w:rFonts w:ascii="Times New Roman" w:hAnsi="Times New Roman" w:eastAsia="Times New Roman" w:cs="Times New Roman"/>
          <w:color w:val="231F20"/>
          <w:spacing w:val="8"/>
        </w:rPr>
        <w:t>/</w:t>
      </w:r>
      <w:r>
        <w:rPr>
          <w:rFonts w:ascii="Times New Roman" w:hAnsi="Times New Roman" w:eastAsia="Times New Roman" w:cs="Times New Roman"/>
          <w:color w:val="231F20"/>
        </w:rPr>
        <w:t>OXA</w:t>
      </w:r>
      <w:r>
        <w:rPr>
          <w:rFonts w:ascii="Microsoft YaHei" w:hAnsi="Microsoft YaHei" w:eastAsia="Microsoft YaHei" w:cs="Microsoft YaHei"/>
          <w:color w:val="231F20"/>
          <w:spacing w:val="8"/>
        </w:rPr>
        <w:t>的临床疗效和安全性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8"/>
        </w:rPr>
        <w:t>。</w:t>
      </w:r>
      <w:r>
        <w:rPr>
          <w:rFonts w:ascii="Microsoft YaHei" w:hAnsi="Microsoft YaHei" w:eastAsia="Microsoft YaHei" w:cs="Microsoft YaHei"/>
          <w:color w:val="231F20"/>
          <w:spacing w:val="8"/>
        </w:rPr>
        <w:t>结果显示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8"/>
        </w:rPr>
        <w:t>，</w:t>
      </w:r>
      <w:r>
        <w:rPr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多西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紫杉醇腹腔灌注化疗联合全身化疗总有效</w:t>
      </w:r>
      <w:r>
        <w:rPr>
          <w:color w:val="231F20"/>
          <w:spacing w:val="6"/>
        </w:rPr>
        <w:t>（</w:t>
      </w:r>
      <w:r>
        <w:rPr>
          <w:rFonts w:ascii="Times New Roman" w:hAnsi="Times New Roman" w:eastAsia="Times New Roman" w:cs="Times New Roman"/>
          <w:color w:val="231F20"/>
        </w:rPr>
        <w:t>CR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+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PR</w:t>
      </w:r>
      <w:r>
        <w:rPr>
          <w:color w:val="231F20"/>
          <w:spacing w:val="-1"/>
        </w:rPr>
        <w:t>）</w:t>
      </w:r>
      <w:r>
        <w:rPr>
          <w:rFonts w:ascii="Microsoft YaHei" w:hAnsi="Microsoft YaHei" w:eastAsia="Microsoft YaHei" w:cs="Microsoft YaHei"/>
          <w:color w:val="231F20"/>
          <w:spacing w:val="-1"/>
        </w:rPr>
        <w:t>率为</w:t>
      </w:r>
      <w:r>
        <w:rPr>
          <w:rFonts w:ascii="Times New Roman" w:hAnsi="Times New Roman" w:eastAsia="Times New Roman" w:cs="Times New Roman"/>
          <w:color w:val="231F20"/>
          <w:spacing w:val="-1"/>
        </w:rPr>
        <w:t>58.1%</w:t>
      </w:r>
      <w:r>
        <w:rPr>
          <w:rFonts w:ascii="Times New Roman" w:hAnsi="Times New Roman" w:eastAsia="Times New Roman" w:cs="Times New Roman"/>
          <w:color w:val="231F20"/>
          <w:spacing w:val="-27"/>
        </w:rPr>
        <w:t xml:space="preserve"> </w:t>
      </w:r>
      <w:r>
        <w:rPr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color w:val="231F20"/>
          <w:spacing w:val="-1"/>
        </w:rPr>
        <w:t>年生存率为</w:t>
      </w:r>
      <w:r>
        <w:rPr>
          <w:rFonts w:ascii="Times New Roman" w:hAnsi="Times New Roman" w:eastAsia="Times New Roman" w:cs="Times New Roman"/>
          <w:color w:val="231F20"/>
          <w:spacing w:val="-1"/>
        </w:rPr>
        <w:t>67.4%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且</w:t>
      </w:r>
      <w:r>
        <w:rPr>
          <w:rFonts w:ascii="Microsoft YaHei" w:hAnsi="Microsoft YaHei" w:eastAsia="Microsoft YaHei" w:cs="Microsoft YaHei"/>
          <w:color w:val="231F20"/>
          <w:spacing w:val="-2"/>
        </w:rPr>
        <w:t>患者对不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良反应可以耐受</w:t>
      </w:r>
      <w:r>
        <w:rPr>
          <w:color w:val="231F20"/>
          <w:spacing w:val="-1"/>
        </w:rPr>
        <w:t>。</w:t>
      </w:r>
    </w:p>
    <w:p>
      <w:pPr>
        <w:pStyle w:val="BodyText"/>
        <w:ind w:left="673" w:right="349" w:firstLine="325"/>
        <w:spacing w:before="52" w:line="226" w:lineRule="auto"/>
        <w:rPr>
          <w:rFonts w:ascii="Times New Roman" w:hAnsi="Times New Roman" w:eastAsia="Times New Roman" w:cs="Times New Roman"/>
        </w:rPr>
      </w:pPr>
      <w:r>
        <w:rPr>
          <w:color w:val="231F20"/>
          <w:spacing w:val="8"/>
        </w:rPr>
        <w:t>（</w:t>
      </w:r>
      <w:r>
        <w:rPr>
          <w:rFonts w:ascii="Times New Roman" w:hAnsi="Times New Roman" w:eastAsia="Times New Roman" w:cs="Times New Roman"/>
          <w:color w:val="231F20"/>
          <w:spacing w:val="8"/>
        </w:rPr>
        <w:t>4</w:t>
      </w:r>
      <w:r>
        <w:rPr>
          <w:color w:val="231F20"/>
          <w:spacing w:val="8"/>
        </w:rPr>
        <w:t>）</w:t>
      </w:r>
      <w:r>
        <w:rPr>
          <w:rFonts w:ascii="Microsoft YaHei" w:hAnsi="Microsoft YaHei" w:eastAsia="Microsoft YaHei" w:cs="Microsoft YaHei"/>
          <w:color w:val="231F20"/>
          <w:spacing w:val="8"/>
        </w:rPr>
        <w:t>李翔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8"/>
          <w:position w:val="9"/>
        </w:rPr>
        <w:t>[65]</w:t>
      </w:r>
      <w:r>
        <w:rPr>
          <w:rFonts w:ascii="Microsoft YaHei" w:hAnsi="Microsoft YaHei" w:eastAsia="Microsoft YaHei" w:cs="Microsoft YaHei"/>
          <w:color w:val="231F20"/>
          <w:spacing w:val="8"/>
        </w:rPr>
        <w:t>在一项观察性研究中</w:t>
      </w:r>
      <w:r>
        <w:rPr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color w:val="231F20"/>
          <w:spacing w:val="8"/>
        </w:rPr>
        <w:t>纳入</w:t>
      </w:r>
      <w:r>
        <w:rPr>
          <w:rFonts w:ascii="Times New Roman" w:hAnsi="Times New Roman" w:eastAsia="Times New Roman" w:cs="Times New Roman"/>
          <w:color w:val="231F20"/>
          <w:spacing w:val="8"/>
        </w:rPr>
        <w:t>23</w:t>
      </w:r>
      <w:r>
        <w:rPr>
          <w:rFonts w:ascii="Microsoft YaHei" w:hAnsi="Microsoft YaHei" w:eastAsia="Microsoft YaHei" w:cs="Microsoft YaHei"/>
          <w:color w:val="231F20"/>
          <w:spacing w:val="8"/>
        </w:rPr>
        <w:t>例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晚期胃癌合并癌性腹水患者</w:t>
      </w:r>
      <w:r>
        <w:rPr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color w:val="231F20"/>
          <w:spacing w:val="8"/>
        </w:rPr>
        <w:t>给予</w:t>
      </w:r>
      <w:r>
        <w:rPr>
          <w:rFonts w:ascii="Times New Roman" w:hAnsi="Times New Roman" w:eastAsia="Times New Roman" w:cs="Times New Roman"/>
          <w:color w:val="231F20"/>
        </w:rPr>
        <w:t>PTX</w:t>
      </w:r>
      <w:r>
        <w:rPr>
          <w:rFonts w:ascii="Times New Roman" w:hAnsi="Times New Roman" w:eastAsia="Times New Roman" w:cs="Times New Roman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60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8"/>
        </w:rPr>
        <w:t>/m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8"/>
          <w:position w:val="10"/>
        </w:rPr>
        <w:t>2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1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0"/>
        </w:rPr>
        <w:t>腹腔灌注</w:t>
      </w:r>
      <w:r>
        <w:rPr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color w:val="231F20"/>
          <w:spacing w:val="-10"/>
        </w:rPr>
        <w:t>第</w:t>
      </w:r>
      <w:r>
        <w:rPr>
          <w:rFonts w:ascii="Times New Roman" w:hAnsi="Times New Roman" w:eastAsia="Times New Roman" w:cs="Times New Roman"/>
          <w:color w:val="231F20"/>
          <w:spacing w:val="-10"/>
        </w:rPr>
        <w:t>1</w:t>
      </w:r>
      <w:r>
        <w:rPr>
          <w:color w:val="231F20"/>
          <w:spacing w:val="-10"/>
        </w:rPr>
        <w:t>、</w:t>
      </w:r>
      <w:r>
        <w:rPr>
          <w:rFonts w:ascii="Times New Roman" w:hAnsi="Times New Roman" w:eastAsia="Times New Roman" w:cs="Times New Roman"/>
          <w:color w:val="231F20"/>
          <w:spacing w:val="-10"/>
        </w:rPr>
        <w:t>5</w:t>
      </w:r>
      <w:r>
        <w:rPr>
          <w:color w:val="231F20"/>
          <w:spacing w:val="-10"/>
        </w:rPr>
        <w:t>、</w:t>
      </w:r>
      <w:r>
        <w:rPr>
          <w:rFonts w:ascii="Times New Roman" w:hAnsi="Times New Roman" w:eastAsia="Times New Roman" w:cs="Times New Roman"/>
          <w:color w:val="231F20"/>
          <w:spacing w:val="-10"/>
        </w:rPr>
        <w:t>8</w:t>
      </w:r>
      <w:r>
        <w:rPr>
          <w:rFonts w:ascii="Microsoft YaHei" w:hAnsi="Microsoft YaHei" w:eastAsia="Microsoft YaHei" w:cs="Microsoft YaHei"/>
          <w:color w:val="231F20"/>
          <w:spacing w:val="-10"/>
        </w:rPr>
        <w:t>天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10"/>
        </w:rPr>
        <w:t>；</w:t>
      </w:r>
      <w:r>
        <w:rPr>
          <w:rFonts w:ascii="Microsoft YaHei" w:hAnsi="Microsoft YaHei" w:eastAsia="Microsoft YaHei" w:cs="Microsoft YaHei"/>
          <w:color w:val="231F20"/>
          <w:spacing w:val="-10"/>
        </w:rPr>
        <w:t>亚叶酸钙</w:t>
      </w:r>
      <w:r>
        <w:rPr>
          <w:color w:val="231F20"/>
          <w:spacing w:val="-10"/>
        </w:rPr>
        <w:t>（</w:t>
      </w:r>
      <w:r>
        <w:rPr>
          <w:rFonts w:ascii="Times New Roman" w:hAnsi="Times New Roman" w:eastAsia="Times New Roman" w:cs="Times New Roman"/>
          <w:color w:val="231F20"/>
          <w:spacing w:val="-10"/>
        </w:rPr>
        <w:t>LV</w:t>
      </w:r>
      <w:r>
        <w:rPr>
          <w:color w:val="231F20"/>
          <w:spacing w:val="-10"/>
        </w:rPr>
        <w:t>）</w:t>
      </w:r>
      <w:r>
        <w:rPr>
          <w:rFonts w:ascii="Times New Roman" w:hAnsi="Times New Roman" w:eastAsia="Times New Roman" w:cs="Times New Roman"/>
          <w:color w:val="231F20"/>
          <w:spacing w:val="-10"/>
        </w:rPr>
        <w:t>200 mg/</w:t>
      </w:r>
      <w:r>
        <w:rPr>
          <w:rFonts w:ascii="Times New Roman" w:hAnsi="Times New Roman" w:eastAsia="Times New Roman" w:cs="Times New Roman"/>
          <w:color w:val="231F20"/>
          <w:spacing w:val="-11"/>
        </w:rPr>
        <w:t>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1"/>
          <w:position w:val="10"/>
        </w:rPr>
        <w:t>2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1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静脉滴注 </w:t>
      </w:r>
      <w:r>
        <w:rPr>
          <w:rFonts w:ascii="Times New Roman" w:hAnsi="Times New Roman" w:eastAsia="Times New Roman" w:cs="Times New Roman"/>
          <w:color w:val="231F20"/>
          <w:spacing w:val="-7"/>
        </w:rPr>
        <w:t>2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小时</w:t>
      </w:r>
      <w:r>
        <w:rPr>
          <w:color w:val="231F20"/>
          <w:spacing w:val="-7"/>
        </w:rPr>
        <w:t>，</w:t>
      </w:r>
      <w:r>
        <w:rPr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第</w:t>
      </w:r>
      <w:r>
        <w:rPr>
          <w:rFonts w:ascii="Microsoft YaHei" w:hAnsi="Microsoft YaHei" w:eastAsia="Microsoft YaHei" w:cs="Microsoft YaHei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1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color w:val="231F20"/>
          <w:spacing w:val="-7"/>
        </w:rPr>
        <w:t>～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4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天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7"/>
        </w:rPr>
        <w:t>；</w:t>
      </w:r>
      <w:r>
        <w:rPr>
          <w:rFonts w:ascii="Times New Roman" w:hAnsi="Times New Roman" w:eastAsia="Times New Roman" w:cs="Times New Roman"/>
          <w:color w:val="231F20"/>
          <w:spacing w:val="-7"/>
        </w:rPr>
        <w:t>5-FU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750 </w:t>
      </w:r>
      <w:r>
        <w:rPr>
          <w:rFonts w:ascii="Times New Roman" w:hAnsi="Times New Roman" w:eastAsia="Times New Roman" w:cs="Times New Roman"/>
          <w:color w:val="231F20"/>
          <w:spacing w:val="-8"/>
        </w:rPr>
        <w:t>mg/m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8"/>
          <w:position w:val="10"/>
        </w:rPr>
        <w:t>2  </w:t>
      </w:r>
      <w:r>
        <w:rPr>
          <w:rFonts w:ascii="Microsoft YaHei" w:hAnsi="Microsoft YaHei" w:eastAsia="Microsoft YaHei" w:cs="Microsoft YaHei"/>
          <w:color w:val="231F20"/>
          <w:spacing w:val="-4"/>
          <w:w w:val="95"/>
        </w:rPr>
        <w:t>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续静脉滴注 </w:t>
      </w:r>
      <w:r>
        <w:rPr>
          <w:rFonts w:ascii="Times New Roman" w:hAnsi="Times New Roman" w:eastAsia="Times New Roman" w:cs="Times New Roman"/>
          <w:color w:val="231F20"/>
          <w:spacing w:val="-12"/>
        </w:rPr>
        <w:t>24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小时</w:t>
      </w:r>
      <w:r>
        <w:rPr>
          <w:color w:val="231F20"/>
          <w:spacing w:val="-12"/>
        </w:rPr>
        <w:t>，</w:t>
      </w:r>
      <w:r>
        <w:rPr>
          <w:rFonts w:ascii="Microsoft YaHei" w:hAnsi="Microsoft YaHei" w:eastAsia="Microsoft YaHei" w:cs="Microsoft YaHei"/>
          <w:color w:val="231F20"/>
          <w:spacing w:val="-12"/>
        </w:rPr>
        <w:t>每天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1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次</w:t>
      </w:r>
      <w:r>
        <w:rPr>
          <w:color w:val="231F20"/>
          <w:spacing w:val="-12"/>
        </w:rPr>
        <w:t>，</w:t>
      </w:r>
      <w:r>
        <w:rPr>
          <w:rFonts w:ascii="Microsoft YaHei" w:hAnsi="Microsoft YaHei" w:eastAsia="Microsoft YaHei" w:cs="Microsoft YaHei"/>
          <w:color w:val="231F20"/>
          <w:spacing w:val="-12"/>
        </w:rPr>
        <w:t>第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1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color w:val="231F20"/>
          <w:spacing w:val="-12"/>
        </w:rPr>
        <w:t>～</w:t>
      </w:r>
      <w:r>
        <w:rPr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4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天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12"/>
        </w:rPr>
        <w:t>；</w:t>
      </w:r>
      <w:r>
        <w:rPr>
          <w:rFonts w:ascii="Times New Roman" w:hAnsi="Times New Roman" w:eastAsia="Times New Roman" w:cs="Times New Roman"/>
          <w:color w:val="231F20"/>
          <w:spacing w:val="-12"/>
        </w:rPr>
        <w:t>OXA</w:t>
      </w:r>
    </w:p>
    <w:p>
      <w:pPr>
        <w:pStyle w:val="BodyText"/>
        <w:ind w:left="678" w:right="360" w:firstLine="16"/>
        <w:spacing w:before="27" w:line="238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7"/>
        </w:rPr>
        <w:t>130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mg/m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5"/>
          <w:position w:val="10"/>
        </w:rPr>
        <w:t>2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25"/>
          <w:position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静脉滴注 </w:t>
      </w:r>
      <w:r>
        <w:rPr>
          <w:rFonts w:ascii="Times New Roman" w:hAnsi="Times New Roman" w:eastAsia="Times New Roman" w:cs="Times New Roman"/>
          <w:color w:val="231F20"/>
          <w:spacing w:val="-5"/>
        </w:rPr>
        <w:t>2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小时</w:t>
      </w:r>
      <w:r>
        <w:rPr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  <w:spacing w:val="-5"/>
        </w:rPr>
        <w:t>第 </w:t>
      </w:r>
      <w:r>
        <w:rPr>
          <w:rFonts w:ascii="Times New Roman" w:hAnsi="Times New Roman" w:eastAsia="Times New Roman" w:cs="Times New Roman"/>
          <w:color w:val="231F20"/>
          <w:spacing w:val="-5"/>
        </w:rPr>
        <w:t>1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天</w:t>
      </w:r>
      <w:r>
        <w:rPr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color w:val="231F20"/>
          <w:spacing w:val="-5"/>
        </w:rPr>
        <w:t>每 </w:t>
      </w:r>
      <w:r>
        <w:rPr>
          <w:rFonts w:ascii="Times New Roman" w:hAnsi="Times New Roman" w:eastAsia="Times New Roman" w:cs="Times New Roman"/>
          <w:color w:val="231F20"/>
          <w:spacing w:val="-5"/>
        </w:rPr>
        <w:t>21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天为一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周期</w:t>
      </w:r>
      <w:r>
        <w:rPr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每 </w:t>
      </w:r>
      <w:r>
        <w:rPr>
          <w:rFonts w:ascii="Times New Roman" w:hAnsi="Times New Roman" w:eastAsia="Times New Roman" w:cs="Times New Roman"/>
          <w:color w:val="231F20"/>
          <w:spacing w:val="-2"/>
        </w:rPr>
        <w:t>2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个周期评价疗效</w:t>
      </w:r>
      <w:r>
        <w:rPr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color w:val="231F20"/>
          <w:spacing w:val="-2"/>
        </w:rPr>
        <w:t>结果显示</w:t>
      </w:r>
      <w:r>
        <w:rPr>
          <w:color w:val="231F20"/>
          <w:spacing w:val="-2"/>
        </w:rPr>
        <w:t>，</w:t>
      </w:r>
      <w:r>
        <w:rPr>
          <w:rFonts w:ascii="Microsoft YaHei" w:hAnsi="Microsoft YaHei" w:eastAsia="Microsoft YaHei" w:cs="Microsoft YaHei"/>
          <w:color w:val="231F20"/>
          <w:spacing w:val="-2"/>
        </w:rPr>
        <w:t>有效率为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69.6%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疾病控制率为 </w:t>
      </w:r>
      <w:r>
        <w:rPr>
          <w:rFonts w:ascii="Times New Roman" w:hAnsi="Times New Roman" w:eastAsia="Times New Roman" w:cs="Times New Roman"/>
          <w:color w:val="231F20"/>
          <w:spacing w:val="-6"/>
        </w:rPr>
        <w:t>86.9%</w:t>
      </w:r>
      <w:r>
        <w:rPr>
          <w:rFonts w:ascii="Times New Roman" w:hAnsi="Times New Roman" w:eastAsia="Times New Roman" w:cs="Times New Roman"/>
          <w:color w:val="231F20"/>
          <w:spacing w:val="-31"/>
        </w:rPr>
        <w:t xml:space="preserve"> </w:t>
      </w:r>
      <w:r>
        <w:rPr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color w:val="231F20"/>
          <w:spacing w:val="-6"/>
        </w:rPr>
        <w:t>中位肿瘤进展时间为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6.6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个月</w:t>
      </w:r>
      <w:r>
        <w:rPr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color w:val="231F20"/>
          <w:spacing w:val="-5"/>
        </w:rPr>
        <w:t>1 </w:t>
      </w:r>
      <w:r>
        <w:rPr>
          <w:rFonts w:ascii="Microsoft YaHei" w:hAnsi="Microsoft YaHei" w:eastAsia="Microsoft YaHei" w:cs="Microsoft YaHei"/>
          <w:color w:val="231F20"/>
          <w:spacing w:val="-5"/>
        </w:rPr>
        <w:t>年生存率为 </w:t>
      </w:r>
      <w:r>
        <w:rPr>
          <w:rFonts w:ascii="Times New Roman" w:hAnsi="Times New Roman" w:eastAsia="Times New Roman" w:cs="Times New Roman"/>
          <w:color w:val="231F20"/>
          <w:spacing w:val="-5"/>
        </w:rPr>
        <w:t>71.0%</w:t>
      </w:r>
      <w:r>
        <w:rPr>
          <w:color w:val="231F20"/>
          <w:spacing w:val="-5"/>
        </w:rPr>
        <w:t>。</w:t>
      </w:r>
    </w:p>
    <w:p>
      <w:pPr>
        <w:pStyle w:val="BodyText"/>
        <w:ind w:left="578" w:right="303" w:firstLine="94"/>
        <w:spacing w:before="5" w:line="305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4.1.3    </w:t>
      </w:r>
      <w:r>
        <w:rPr>
          <w:color w:val="231F20"/>
        </w:rPr>
        <w:t>手术  对于确诊为腹膜转移的初</w:t>
      </w:r>
      <w:r>
        <w:rPr>
          <w:color w:val="231F20"/>
          <w:spacing w:val="-1"/>
        </w:rPr>
        <w:t>治患者，现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有证据显示手术联合化疗较单纯化疗没有显示生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7"/>
        </w:rPr>
        <w:t>存优势，不推荐手术治疗。如果存在外科急症，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如肠梗阻、出血、顽固性腹水等，多学科协作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（</w:t>
      </w:r>
      <w:r>
        <w:rPr>
          <w:rFonts w:ascii="Times New Roman" w:hAnsi="Times New Roman" w:eastAsia="Times New Roman" w:cs="Times New Roman"/>
          <w:color w:val="231F20"/>
        </w:rPr>
        <w:t>multidisciplinary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team</w:t>
      </w:r>
      <w:r>
        <w:rPr>
          <w:rFonts w:ascii="Times New Roman" w:hAnsi="Times New Roman" w:eastAsia="Times New Roman" w:cs="Times New Roman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MDT</w:t>
      </w:r>
      <w:r>
        <w:rPr>
          <w:color w:val="231F20"/>
          <w:spacing w:val="8"/>
        </w:rPr>
        <w:t>）讨论后，可以考虑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通过姑息性手术缓解相关症状。</w:t>
      </w:r>
    </w:p>
    <w:p>
      <w:pPr>
        <w:pStyle w:val="BodyText"/>
        <w:ind w:left="677" w:right="269" w:firstLine="419"/>
        <w:spacing w:before="15" w:line="306" w:lineRule="auto"/>
        <w:jc w:val="both"/>
        <w:rPr/>
      </w:pPr>
      <w:r>
        <w:rPr>
          <w:color w:val="231F20"/>
          <w:spacing w:val="4"/>
        </w:rPr>
        <w:t>对于化疗后出现明确腹膜转移缓解（</w:t>
      </w:r>
      <w:r>
        <w:rPr>
          <w:rFonts w:ascii="Times New Roman" w:hAnsi="Times New Roman" w:eastAsia="Times New Roman" w:cs="Times New Roman"/>
          <w:color w:val="231F20"/>
        </w:rPr>
        <w:t>CY</w:t>
      </w:r>
      <w:r>
        <w:rPr>
          <w:rFonts w:ascii="Times New Roman" w:hAnsi="Times New Roman" w:eastAsia="Times New Roman" w:cs="Times New Roman"/>
          <w:color w:val="231F20"/>
          <w:spacing w:val="4"/>
        </w:rPr>
        <w:t>0P0</w:t>
      </w:r>
      <w:r>
        <w:rPr>
          <w:color w:val="231F20"/>
          <w:spacing w:val="4"/>
        </w:rPr>
        <w:t>）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的患者，如一般状况较好，经过</w:t>
      </w:r>
      <w:r>
        <w:rPr>
          <w:rFonts w:ascii="Times New Roman" w:hAnsi="Times New Roman" w:eastAsia="Times New Roman" w:cs="Times New Roman"/>
          <w:color w:val="231F20"/>
          <w:spacing w:val="-3"/>
        </w:rPr>
        <w:t>MDT</w:t>
      </w:r>
      <w:r>
        <w:rPr>
          <w:color w:val="231F20"/>
          <w:spacing w:val="-3"/>
        </w:rPr>
        <w:t>讨论后，可以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考虑手术治疗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2"/>
          <w:position w:val="9"/>
        </w:rPr>
        <w:t>[66] </w:t>
      </w:r>
      <w:r>
        <w:rPr>
          <w:color w:val="231F20"/>
          <w:spacing w:val="-2"/>
        </w:rPr>
        <w:t>。但目前手术治疗胃癌腹膜转移仍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缺乏前瞻性高级别证据，无论是减瘤手术还是姑息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性手术，术后的获益人群仍然需要进一步明确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2"/>
          <w:position w:val="9"/>
        </w:rPr>
        <w:t>[67]</w:t>
      </w:r>
      <w:r>
        <w:rPr>
          <w:color w:val="231F20"/>
          <w:spacing w:val="-2"/>
        </w:rPr>
        <w:t>。</w:t>
      </w:r>
    </w:p>
    <w:p>
      <w:pPr>
        <w:ind w:left="678"/>
        <w:spacing w:before="1"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2"/>
        </w:rPr>
        <w:t>5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胃癌腹膜转移相关并发症的处理</w:t>
      </w:r>
    </w:p>
    <w:p>
      <w:pPr>
        <w:pStyle w:val="BodyText"/>
        <w:ind w:left="683" w:right="360" w:firstLine="428"/>
        <w:spacing w:before="51" w:line="246" w:lineRule="auto"/>
        <w:rPr/>
      </w:pPr>
      <w:r>
        <w:rPr>
          <w:color w:val="231F20"/>
          <w:spacing w:val="-2"/>
        </w:rPr>
        <w:t>当胃癌腹膜转移患者出现癌性腹水和肠梗阻等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并发症时，患者的生活质量和预后较差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[68]</w:t>
      </w:r>
      <w:r>
        <w:rPr>
          <w:color w:val="231F20"/>
          <w:spacing w:val="-1"/>
        </w:rPr>
        <w:t>。针对并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" w:firstLine="4"/>
        <w:spacing w:before="42" w:line="308" w:lineRule="auto"/>
        <w:jc w:val="both"/>
        <w:rPr/>
      </w:pPr>
      <w:r>
        <w:rPr>
          <w:color w:val="231F20"/>
          <w:spacing w:val="-3"/>
        </w:rPr>
        <w:t>发症，目前分为对症治疗和抗肿瘤治疗两部分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3"/>
        </w:rPr>
        <w:t>：对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症治疗是以缓解症状为主的治疗，如腹水引流、利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尿剂、低钠饮食、改善肠梗阻、维持营养状况等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6"/>
          <w:position w:val="9"/>
        </w:rPr>
        <w:t>[69]</w:t>
      </w:r>
      <w:r>
        <w:rPr>
          <w:color w:val="231F20"/>
          <w:spacing w:val="-6"/>
        </w:rPr>
        <w:t>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抗肿瘤治疗是根据患者并发症的程度，经</w:t>
      </w:r>
      <w:r>
        <w:rPr>
          <w:rFonts w:ascii="Times New Roman" w:hAnsi="Times New Roman" w:eastAsia="Times New Roman" w:cs="Times New Roman"/>
          <w:color w:val="231F20"/>
        </w:rPr>
        <w:t>MDT</w:t>
      </w:r>
      <w:r>
        <w:rPr>
          <w:color w:val="231F20"/>
          <w:spacing w:val="8"/>
        </w:rPr>
        <w:t>讨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论后，个体化地选择系统化疗、局部灌注治疗或最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佳支持治疗。</w:t>
      </w:r>
    </w:p>
    <w:p>
      <w:pPr>
        <w:ind w:left="3"/>
        <w:spacing w:before="1" w:line="19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5.1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对症治疗</w:t>
      </w:r>
    </w:p>
    <w:p>
      <w:pPr>
        <w:pStyle w:val="BodyText"/>
        <w:ind w:left="1" w:firstLine="1"/>
        <w:spacing w:before="61" w:line="301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5.1.1    </w:t>
      </w:r>
      <w:r>
        <w:rPr>
          <w:color w:val="231F20"/>
          <w:spacing w:val="1"/>
        </w:rPr>
        <w:t>癌性腹水的控制  约</w:t>
      </w:r>
      <w:r>
        <w:rPr>
          <w:rFonts w:ascii="Times New Roman" w:hAnsi="Times New Roman" w:eastAsia="Times New Roman" w:cs="Times New Roman"/>
          <w:color w:val="231F20"/>
          <w:spacing w:val="1"/>
        </w:rPr>
        <w:t>10%</w:t>
      </w:r>
      <w:r>
        <w:rPr>
          <w:color w:val="231F20"/>
          <w:spacing w:val="1"/>
        </w:rPr>
        <w:t>的</w:t>
      </w:r>
      <w:r>
        <w:rPr>
          <w:color w:val="231F20"/>
        </w:rPr>
        <w:t>胃癌患者存在腹 </w:t>
      </w:r>
      <w:r>
        <w:rPr>
          <w:color w:val="231F20"/>
        </w:rPr>
        <w:t>水，而对于检出腹水＞ </w:t>
      </w:r>
      <w:r>
        <w:rPr>
          <w:rFonts w:ascii="Times New Roman" w:hAnsi="Times New Roman" w:eastAsia="Times New Roman" w:cs="Times New Roman"/>
          <w:color w:val="231F20"/>
        </w:rPr>
        <w:t>50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</w:t>
      </w:r>
      <w:r>
        <w:rPr>
          <w:color w:val="231F20"/>
        </w:rPr>
        <w:t>的胃癌患者，腹膜转 </w:t>
      </w:r>
      <w:r>
        <w:rPr>
          <w:color w:val="231F20"/>
          <w:spacing w:val="3"/>
        </w:rPr>
        <w:t>移的发生率高达</w:t>
      </w:r>
      <w:r>
        <w:rPr>
          <w:rFonts w:ascii="Times New Roman" w:hAnsi="Times New Roman" w:eastAsia="Times New Roman" w:cs="Times New Roman"/>
          <w:color w:val="231F20"/>
          <w:spacing w:val="3"/>
        </w:rPr>
        <w:t>75%</w:t>
      </w:r>
      <w:r>
        <w:rPr>
          <w:color w:val="231F20"/>
          <w:spacing w:val="3"/>
        </w:rPr>
        <w:t>以上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3"/>
          <w:position w:val="9"/>
        </w:rPr>
        <w:t>[70] </w:t>
      </w:r>
      <w:r>
        <w:rPr>
          <w:color w:val="231F20"/>
          <w:spacing w:val="3"/>
        </w:rPr>
        <w:t>。腹水患者常伴腹痛、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厌食、腹胀、恶心等症状，以及黄疸和肠梗阻等并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发症，临床处理难度极大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[71]</w:t>
      </w:r>
      <w:r>
        <w:rPr>
          <w:color w:val="231F20"/>
          <w:spacing w:val="-1"/>
        </w:rPr>
        <w:t>。针对癌性腹水，尚无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基于循证证据的治疗指南。目前，腹水引流仍然是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临床控制腹水的主要手段，每日引流量应根据患者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症状、血电解质、白蛋白水平综合考虑。反复穿刺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放腹水有引起有效循环血量下降、低钠血症、肾功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能障碍、低白蛋白血症以及感染等并发症的危险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6"/>
          <w:position w:val="9"/>
        </w:rPr>
        <w:t>[72]</w:t>
      </w:r>
      <w:r>
        <w:rPr>
          <w:color w:val="231F20"/>
          <w:spacing w:val="-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腹腔置管引流术适用于腹腔穿刺放液并发严重电解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质紊乱或需反复腹腔穿刺放液的患者。该方法极少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引起电解质紊乱，少有凝血机制障碍的危险，且引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  <w:position w:val="-2"/>
        </w:rPr>
        <w:t>流管不易阻塞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7"/>
        </w:rPr>
        <w:t>[73,74]</w:t>
      </w:r>
      <w:r>
        <w:rPr>
          <w:color w:val="231F20"/>
          <w:spacing w:val="-1"/>
          <w:position w:val="-2"/>
        </w:rPr>
        <w:t>。</w:t>
      </w:r>
    </w:p>
    <w:p>
      <w:pPr>
        <w:pStyle w:val="BodyText"/>
        <w:ind w:right="15" w:firstLine="2"/>
        <w:spacing w:before="101" w:line="290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5.1.2    </w:t>
      </w:r>
      <w:r>
        <w:rPr>
          <w:color w:val="231F20"/>
          <w:spacing w:val="-1"/>
        </w:rPr>
        <w:t>恶性肠梗阻的改善  恶性肠梗阻是胃癌腹膜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转移发生后的主要临床表现之一，此类患者占恶性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肠梗阻患者总数的</w:t>
      </w:r>
      <w:r>
        <w:rPr>
          <w:rFonts w:ascii="Times New Roman" w:hAnsi="Times New Roman" w:eastAsia="Times New Roman" w:cs="Times New Roman"/>
          <w:color w:val="231F20"/>
          <w:spacing w:val="-2"/>
        </w:rPr>
        <w:t>30%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～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40%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2"/>
        </w:rPr>
        <w:t>。目前因认识不足，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缺乏有效的治疗手段，临床主要的处理原则是对症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  <w:position w:val="-3"/>
        </w:rPr>
        <w:t>治疗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6"/>
        </w:rPr>
        <w:t>[75]</w:t>
      </w:r>
      <w:r>
        <w:rPr>
          <w:color w:val="231F20"/>
          <w:spacing w:val="-1"/>
          <w:position w:val="-3"/>
        </w:rPr>
        <w:t>。</w:t>
      </w:r>
    </w:p>
    <w:p>
      <w:pPr>
        <w:pStyle w:val="BodyText"/>
        <w:ind w:right="74" w:firstLine="402"/>
        <w:spacing w:before="97" w:line="308" w:lineRule="auto"/>
        <w:jc w:val="both"/>
        <w:rPr/>
      </w:pPr>
      <w:r>
        <w:rPr>
          <w:color w:val="231F20"/>
          <w:spacing w:val="-10"/>
        </w:rPr>
        <w:t>药物治疗需要联合应用抗分泌药物、止痛、止吐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药物以及激素类药物来达到缓解恶性肠梗阻症状的目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</w:rPr>
        <w:t>的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8"/>
          <w:position w:val="9"/>
        </w:rPr>
        <w:t>[76]</w:t>
      </w:r>
      <w:r>
        <w:rPr>
          <w:color w:val="231F20"/>
          <w:spacing w:val="-8"/>
        </w:rPr>
        <w:t>。生长抑素类似物可达到良好的止吐效果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8"/>
          <w:position w:val="9"/>
        </w:rPr>
        <w:t>[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9"/>
          <w:position w:val="9"/>
        </w:rPr>
        <w:t>77]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9"/>
          <w:position w:val="9"/>
        </w:rPr>
        <w:t xml:space="preserve"> </w:t>
      </w:r>
      <w:r>
        <w:rPr>
          <w:color w:val="231F20"/>
          <w:spacing w:val="-9"/>
        </w:rPr>
        <w:t>；皮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质类固醇激素不仅可以发挥止吐作用，还可以减轻肿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瘤周围及肠道的炎性病变和水肿，从而使肠梗阻得到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缓解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14"/>
        </w:rPr>
        <w:t>；抗胆碱类药物可减少消化道平滑肌运动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1"/>
          <w:position w:val="9"/>
        </w:rPr>
        <w:t>[78]</w:t>
      </w:r>
      <w:r>
        <w:rPr>
          <w:color w:val="231F20"/>
          <w:spacing w:val="1"/>
        </w:rPr>
        <w:t>。</w:t>
      </w:r>
    </w:p>
    <w:p>
      <w:pPr>
        <w:pStyle w:val="BodyText"/>
        <w:ind w:right="74" w:firstLine="421"/>
        <w:spacing w:before="3" w:line="307" w:lineRule="auto"/>
        <w:jc w:val="both"/>
        <w:rPr/>
      </w:pPr>
      <w:r>
        <w:rPr>
          <w:color w:val="231F20"/>
          <w:spacing w:val="-1"/>
        </w:rPr>
        <w:t>此类患者通常不适宜手术治疗，或因术后的高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死亡率及高并发症发生率而无法获益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9"/>
        </w:rPr>
        <w:t>[79]</w:t>
      </w:r>
      <w:r>
        <w:rPr>
          <w:color w:val="231F20"/>
        </w:rPr>
        <w:t>。但对于肿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瘤引起的单一部位梗阻或非癌性因素导致的机械性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梗阻，手术可作为治疗选择。</w:t>
      </w:r>
    </w:p>
    <w:p>
      <w:pPr>
        <w:pStyle w:val="BodyText"/>
        <w:ind w:right="74" w:firstLine="455"/>
        <w:spacing w:before="3" w:line="266" w:lineRule="auto"/>
        <w:jc w:val="both"/>
        <w:rPr/>
      </w:pPr>
      <w:r>
        <w:rPr>
          <w:color w:val="231F20"/>
          <w:spacing w:val="-3"/>
        </w:rPr>
        <w:t>自扩张金属支架置入适用于胃幽门、十二指肠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及结直肠梗阻的姑息治疗，被认为是腹腔转移癌所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致结直肠梗阻的首选治疗方式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position w:val="9"/>
        </w:rPr>
        <w:t>[80]</w:t>
      </w:r>
      <w:r>
        <w:rPr>
          <w:color w:val="231F20"/>
        </w:rPr>
        <w:t>。但对于多部位梗</w:t>
      </w:r>
    </w:p>
    <w:p>
      <w:pPr>
        <w:spacing w:line="266" w:lineRule="auto"/>
        <w:sectPr>
          <w:type w:val="continuous"/>
          <w:pgSz w:w="11906" w:h="16158"/>
          <w:pgMar w:top="1229" w:right="1059" w:bottom="0" w:left="407" w:header="767" w:footer="0" w:gutter="0"/>
          <w:cols w:equalWidth="0" w:num="2">
            <w:col w:w="5651" w:space="100"/>
            <w:col w:w="4688" w:space="0"/>
          </w:cols>
        </w:sectPr>
        <w:rPr/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9"/>
          <w:pgSz w:w="11906" w:h="16158"/>
          <w:pgMar w:top="1229" w:right="1077" w:bottom="0" w:left="407" w:header="767" w:footer="0" w:gutter="0"/>
          <w:cols w:equalWidth="0" w:num="1">
            <w:col w:w="10420" w:space="0"/>
          </w:cols>
        </w:sectPr>
        <w:rPr/>
      </w:pPr>
    </w:p>
    <w:p>
      <w:pPr>
        <w:pStyle w:val="BodyText"/>
        <w:ind w:left="747"/>
        <w:spacing w:before="41" w:line="220" w:lineRule="auto"/>
        <w:rPr/>
      </w:pPr>
      <w:r>
        <w:rPr>
          <w:color w:val="231F20"/>
          <w:spacing w:val="-3"/>
        </w:rPr>
        <w:t>阻及腹腔广泛转移的患者，支架治疗属于禁忌。</w:t>
      </w:r>
    </w:p>
    <w:p>
      <w:pPr>
        <w:pStyle w:val="BodyText"/>
        <w:ind w:left="732" w:right="267" w:firstLine="421"/>
        <w:spacing w:before="67" w:line="313" w:lineRule="auto"/>
        <w:jc w:val="both"/>
        <w:rPr/>
      </w:pPr>
      <w:r>
        <w:rPr>
          <w:color w:val="231F20"/>
          <w:spacing w:val="-1"/>
        </w:rPr>
        <w:t>全胃肠外营养（</w:t>
      </w:r>
      <w:r>
        <w:rPr>
          <w:rFonts w:ascii="Times New Roman" w:hAnsi="Times New Roman" w:eastAsia="Times New Roman" w:cs="Times New Roman"/>
          <w:color w:val="231F20"/>
          <w:spacing w:val="-1"/>
        </w:rPr>
        <w:t>total parenteral nutrit</w:t>
      </w:r>
      <w:r>
        <w:rPr>
          <w:rFonts w:ascii="Times New Roman" w:hAnsi="Times New Roman" w:eastAsia="Times New Roman" w:cs="Times New Roman"/>
          <w:color w:val="231F20"/>
          <w:spacing w:val="-2"/>
        </w:rPr>
        <w:t>ion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TPN</w:t>
      </w:r>
      <w:r>
        <w:rPr>
          <w:color w:val="231F20"/>
          <w:spacing w:val="-2"/>
        </w:rPr>
        <w:t>）</w:t>
      </w:r>
      <w:r>
        <w:rPr>
          <w:color w:val="231F20"/>
        </w:rPr>
        <w:t xml:space="preserve"> </w:t>
      </w:r>
      <w:r>
        <w:rPr>
          <w:color w:val="231F20"/>
        </w:rPr>
        <w:t>可改善患者的一般状况，纠正营养不良，</w:t>
      </w:r>
      <w:r>
        <w:rPr>
          <w:rFonts w:ascii="Times New Roman" w:hAnsi="Times New Roman" w:eastAsia="Times New Roman" w:cs="Times New Roman"/>
          <w:color w:val="231F20"/>
        </w:rPr>
        <w:t>TPN</w:t>
      </w:r>
      <w:r>
        <w:rPr>
          <w:color w:val="231F20"/>
        </w:rPr>
        <w:t>适用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于</w:t>
      </w:r>
      <w:r>
        <w:rPr>
          <w:rFonts w:ascii="Times New Roman" w:hAnsi="Times New Roman" w:eastAsia="Times New Roman" w:cs="Times New Roman"/>
          <w:color w:val="231F20"/>
          <w:spacing w:val="-3"/>
        </w:rPr>
        <w:t>Karnofsky</w:t>
      </w:r>
      <w:r>
        <w:rPr>
          <w:color w:val="231F20"/>
          <w:spacing w:val="-3"/>
        </w:rPr>
        <w:t>评分＞ </w:t>
      </w:r>
      <w:r>
        <w:rPr>
          <w:rFonts w:ascii="Times New Roman" w:hAnsi="Times New Roman" w:eastAsia="Times New Roman" w:cs="Times New Roman"/>
          <w:color w:val="231F20"/>
          <w:spacing w:val="-3"/>
        </w:rPr>
        <w:t>50</w:t>
      </w:r>
      <w:r>
        <w:rPr>
          <w:color w:val="231F20"/>
          <w:spacing w:val="-3"/>
        </w:rPr>
        <w:t>分、预计生存时间＞ 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color w:val="231F20"/>
          <w:spacing w:val="-3"/>
        </w:rPr>
        <w:t>个月、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瘤生长缓慢、可能接受进一步化疗、肿瘤尚未引起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其他重要脏器功能损害的患者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9"/>
        </w:rPr>
        <w:t>[81]</w:t>
      </w:r>
      <w:r>
        <w:rPr>
          <w:color w:val="231F20"/>
          <w:spacing w:val="-1"/>
        </w:rPr>
        <w:t>。</w:t>
      </w:r>
    </w:p>
    <w:p>
      <w:pPr>
        <w:pStyle w:val="BodyText"/>
        <w:ind w:left="734" w:right="283" w:firstLine="1"/>
        <w:spacing w:before="6" w:line="290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5.2    </w:t>
      </w:r>
      <w:r>
        <w:rPr>
          <w:rFonts w:ascii="Microsoft YaHei" w:hAnsi="Microsoft YaHei" w:eastAsia="Microsoft YaHei" w:cs="Microsoft YaHei"/>
          <w:color w:val="231F20"/>
          <w:spacing w:val="5"/>
        </w:rPr>
        <w:t>抗肿瘤治疗</w:t>
      </w:r>
      <w:r>
        <w:rPr>
          <w:rFonts w:ascii="Microsoft YaHei" w:hAnsi="Microsoft YaHei" w:eastAsia="Microsoft YaHei" w:cs="Microsoft YaHei"/>
          <w:color w:val="231F20"/>
          <w:spacing w:val="15"/>
        </w:rPr>
        <w:t xml:space="preserve">   </w:t>
      </w:r>
      <w:r>
        <w:rPr>
          <w:color w:val="231F20"/>
          <w:spacing w:val="5"/>
        </w:rPr>
        <w:t>腹水是影响患者生存预后的核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心因素之一。临床实际中，不同腹水量患者的生存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预后具有较大的差异。经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color w:val="231F20"/>
          <w:spacing w:val="7"/>
        </w:rPr>
        <w:t>检查评估腹水量将患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者分级为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9"/>
        </w:rPr>
        <w:t>：无腹水、少量腹水（腹水在盆腔以下）、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中量腹水（腹水在盆腔以上）及大量腹水（腹水蔓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延至整个腹腔并伴有症状</w:t>
      </w:r>
      <w:r>
        <w:rPr>
          <w:color w:val="231F20"/>
          <w:spacing w:val="6"/>
        </w:rPr>
        <w:t>），</w:t>
      </w:r>
      <w:r>
        <w:rPr>
          <w:color w:val="231F20"/>
          <w:spacing w:val="-2"/>
        </w:rPr>
        <w:t>分别考虑予以不同的</w:t>
      </w:r>
      <w:r>
        <w:rPr>
          <w:color w:val="231F20"/>
        </w:rPr>
        <w:t xml:space="preserve">  </w:t>
      </w:r>
      <w:r>
        <w:rPr>
          <w:color w:val="231F20"/>
          <w:spacing w:val="-1"/>
          <w:position w:val="-3"/>
        </w:rPr>
        <w:t>治疗策略</w:t>
      </w:r>
      <w:r>
        <w:rPr>
          <w:rFonts w:ascii="Times New Roman" w:hAnsi="Times New Roman" w:eastAsia="Times New Roman" w:cs="Times New Roman"/>
          <w:sz w:val="12"/>
          <w:szCs w:val="12"/>
          <w:color w:val="231F20"/>
          <w:spacing w:val="-1"/>
          <w:position w:val="7"/>
        </w:rPr>
        <w:t>[62,82]</w:t>
      </w:r>
      <w:r>
        <w:rPr>
          <w:color w:val="231F20"/>
          <w:spacing w:val="-1"/>
          <w:position w:val="-3"/>
        </w:rPr>
        <w:t>。</w:t>
      </w:r>
    </w:p>
    <w:p>
      <w:pPr>
        <w:pStyle w:val="BodyText"/>
        <w:ind w:left="733" w:right="358" w:firstLine="2"/>
        <w:spacing w:line="277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5.2.1     </w:t>
      </w:r>
      <w:r>
        <w:rPr>
          <w:color w:val="231F20"/>
          <w:spacing w:val="3"/>
        </w:rPr>
        <w:t>无</w:t>
      </w:r>
      <w:r>
        <w:rPr>
          <w:rFonts w:ascii="Times New Roman" w:hAnsi="Times New Roman" w:eastAsia="Times New Roman" w:cs="Times New Roman"/>
          <w:color w:val="231F20"/>
          <w:spacing w:val="3"/>
        </w:rPr>
        <w:t>/</w:t>
      </w:r>
      <w:r>
        <w:rPr>
          <w:color w:val="231F20"/>
          <w:spacing w:val="3"/>
        </w:rPr>
        <w:t>少量腹水患者  全身系统化疗为核</w:t>
      </w:r>
      <w:r>
        <w:rPr>
          <w:color w:val="231F20"/>
          <w:spacing w:val="2"/>
        </w:rPr>
        <w:t>心治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疗，参见</w:t>
      </w:r>
      <w:r>
        <w:rPr>
          <w:rFonts w:ascii="Times New Roman" w:hAnsi="Times New Roman" w:eastAsia="Times New Roman" w:cs="Times New Roman"/>
          <w:color w:val="231F20"/>
          <w:spacing w:val="-1"/>
        </w:rPr>
        <w:t>5.1.1</w:t>
      </w:r>
      <w:r>
        <w:rPr>
          <w:color w:val="231F20"/>
          <w:spacing w:val="-1"/>
        </w:rPr>
        <w:t>。</w:t>
      </w:r>
    </w:p>
    <w:p>
      <w:pPr>
        <w:pStyle w:val="BodyText"/>
        <w:ind w:left="735" w:right="300"/>
        <w:spacing w:before="102" w:line="278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5.2.2    </w:t>
      </w:r>
      <w:r>
        <w:rPr>
          <w:color w:val="231F20"/>
          <w:spacing w:val="1"/>
        </w:rPr>
        <w:t>中量腹水患者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1"/>
        </w:rPr>
        <w:t>在全身系统化疗的基础上，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可以考虑联合腹腔灌注化疗，可以有效地控制腹</w:t>
      </w:r>
      <w:r>
        <w:rPr>
          <w:color w:val="231F20"/>
          <w:spacing w:val="-8"/>
        </w:rPr>
        <w:t>水，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改善生活质量，延缓恶液质，参见</w:t>
      </w:r>
      <w:r>
        <w:rPr>
          <w:rFonts w:ascii="Times New Roman" w:hAnsi="Times New Roman" w:eastAsia="Times New Roman" w:cs="Times New Roman"/>
          <w:color w:val="231F20"/>
          <w:spacing w:val="-1"/>
        </w:rPr>
        <w:t>4.1.2</w:t>
      </w:r>
      <w:r>
        <w:rPr>
          <w:color w:val="231F20"/>
          <w:spacing w:val="-1"/>
        </w:rPr>
        <w:t>。</w:t>
      </w:r>
    </w:p>
    <w:p>
      <w:pPr>
        <w:pStyle w:val="BodyText"/>
        <w:ind w:left="734" w:right="358" w:firstLine="2"/>
        <w:spacing w:before="101" w:line="29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5.2.3    </w:t>
      </w:r>
      <w:r>
        <w:rPr>
          <w:color w:val="231F20"/>
          <w:spacing w:val="-2"/>
        </w:rPr>
        <w:t>大量腹水患者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2"/>
        </w:rPr>
        <w:t>由于预期生存较差，大量腹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水的患者往往被排除在临床研究之外。因反复引流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以及多种临床症状，该类患者往往难以实施抗肿瘤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治疗。为此，针对该类患者，引流缓解症状配合最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佳支持治疗仍然是主要的治疗手段。对于腹水控制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良好且体能较好的患者，可以经</w:t>
      </w:r>
      <w:r>
        <w:rPr>
          <w:rFonts w:ascii="Times New Roman" w:hAnsi="Times New Roman" w:eastAsia="Times New Roman" w:cs="Times New Roman"/>
          <w:color w:val="231F20"/>
        </w:rPr>
        <w:t>MDT</w:t>
      </w:r>
      <w:r>
        <w:rPr>
          <w:color w:val="231F20"/>
          <w:spacing w:val="8"/>
        </w:rPr>
        <w:t>讨论后给予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抗肿瘤治疗。</w:t>
      </w:r>
    </w:p>
    <w:p>
      <w:pPr>
        <w:ind w:left="733"/>
        <w:spacing w:before="63" w:line="23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231F20"/>
          <w:spacing w:val="-4"/>
        </w:rPr>
        <w:t>6</w:t>
      </w:r>
      <w:r>
        <w:rPr>
          <w:rFonts w:ascii="Arial" w:hAnsi="Arial" w:eastAsia="Arial" w:cs="Arial"/>
          <w:sz w:val="21"/>
          <w:szCs w:val="21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结语</w:t>
      </w:r>
    </w:p>
    <w:p>
      <w:pPr>
        <w:pStyle w:val="BodyText"/>
        <w:ind w:left="733" w:right="358" w:firstLine="421"/>
        <w:spacing w:before="30" w:line="297" w:lineRule="auto"/>
        <w:jc w:val="both"/>
        <w:rPr/>
      </w:pPr>
      <w:r>
        <w:rPr>
          <w:color w:val="231F20"/>
          <w:spacing w:val="-1"/>
        </w:rPr>
        <w:t>本共识以循证证据和临床现实为基础、以规范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中国胃癌腹膜转移患者诊疗现状为出发点、以综合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国内胃癌领域专家认知为原则而撰写。力求简单实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用、科学严谨，具有普遍适用性。部分尚未在国内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上市的药物（如卡妥索单抗</w:t>
      </w:r>
      <w:r>
        <w:rPr>
          <w:color w:val="231F20"/>
          <w:spacing w:val="1"/>
        </w:rPr>
        <w:t>），</w:t>
      </w:r>
      <w:r>
        <w:rPr>
          <w:color w:val="231F20"/>
          <w:spacing w:val="-1"/>
        </w:rPr>
        <w:t>以及尚在研究阶段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的治疗方案（如减瘤手术、术前新辅助腹腔灌注化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疗、腹腔灌注贝伐珠单抗等</w:t>
      </w:r>
      <w:r>
        <w:rPr>
          <w:color w:val="231F20"/>
        </w:rPr>
        <w:t>），</w:t>
      </w:r>
      <w:r>
        <w:rPr>
          <w:color w:val="231F20"/>
          <w:spacing w:val="-1"/>
        </w:rPr>
        <w:t>未列入其中。希望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通过本共识的制定，能为广大临床医师提供工作参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考。胃癌腹膜转移的诊疗流程见图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color w:val="231F20"/>
          <w:spacing w:val="4"/>
        </w:rPr>
        <w:t>。初诊伴有腹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膜转移者治疗流程图见图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color w:val="231F20"/>
          <w:spacing w:val="4"/>
        </w:rPr>
        <w:t>。随着更多高级别</w:t>
      </w:r>
      <w:r>
        <w:rPr>
          <w:color w:val="231F20"/>
          <w:spacing w:val="3"/>
        </w:rPr>
        <w:t>临床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hanging="2"/>
        <w:spacing w:before="43" w:line="309" w:lineRule="auto"/>
        <w:rPr/>
      </w:pPr>
      <w:r>
        <w:rPr>
          <w:color w:val="231F20"/>
          <w:spacing w:val="-1"/>
        </w:rPr>
        <w:t>研究的公布，专家委员会将及时对本共识内容进行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更新和补充，以期不断提高我国胃癌的诊治水平。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90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致谢</w:t>
      </w:r>
    </w:p>
    <w:p>
      <w:pPr>
        <w:pStyle w:val="BodyText"/>
        <w:ind w:left="21" w:firstLine="9"/>
        <w:spacing w:before="46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中国抗癌协会胃癌专业委员会</w:t>
      </w:r>
      <w:r>
        <w:rPr>
          <w:color w:val="231F20"/>
          <w:spacing w:val="-2"/>
        </w:rPr>
        <w:t>《</w:t>
      </w:r>
      <w:r>
        <w:rPr>
          <w:rFonts w:ascii="Microsoft YaHei" w:hAnsi="Microsoft YaHei" w:eastAsia="Microsoft YaHei" w:cs="Microsoft YaHei"/>
          <w:color w:val="231F20"/>
          <w:spacing w:val="-2"/>
        </w:rPr>
        <w:t>胃癌腹膜转移防治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中国专家共识</w:t>
      </w:r>
      <w:r>
        <w:rPr>
          <w:color w:val="231F20"/>
          <w:spacing w:val="-3"/>
        </w:rPr>
        <w:t>》</w:t>
      </w:r>
      <w:r>
        <w:rPr>
          <w:rFonts w:ascii="Microsoft YaHei" w:hAnsi="Microsoft YaHei" w:eastAsia="Microsoft YaHei" w:cs="Microsoft YaHei"/>
          <w:color w:val="231F20"/>
          <w:spacing w:val="-3"/>
        </w:rPr>
        <w:t>制定专家组</w:t>
      </w:r>
      <w:r>
        <w:rPr>
          <w:color w:val="231F20"/>
          <w:spacing w:val="-3"/>
        </w:rPr>
        <w:t>（</w:t>
      </w:r>
      <w:r>
        <w:rPr>
          <w:rFonts w:ascii="Microsoft YaHei" w:hAnsi="Microsoft YaHei" w:eastAsia="Microsoft YaHei" w:cs="Microsoft YaHei"/>
          <w:color w:val="231F20"/>
          <w:spacing w:val="-3"/>
        </w:rPr>
        <w:t>排名不分先后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-3"/>
        </w:rPr>
        <w:t>以姓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氏拼音顺序排列</w:t>
      </w:r>
      <w:r>
        <w:rPr>
          <w:color w:val="231F20"/>
          <w:spacing w:val="-13"/>
        </w:rPr>
        <w:t>）：</w:t>
      </w:r>
    </w:p>
    <w:p>
      <w:pPr>
        <w:pStyle w:val="BodyText"/>
        <w:spacing w:before="21" w:line="206" w:lineRule="auto"/>
        <w:rPr/>
      </w:pPr>
      <w:r>
        <w:rPr>
          <w:rFonts w:ascii="Microsoft YaHei" w:hAnsi="Microsoft YaHei" w:eastAsia="Microsoft YaHei" w:cs="Microsoft YaHei"/>
          <w:color w:val="231F20"/>
          <w:spacing w:val="-11"/>
        </w:rPr>
        <w:t>组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11"/>
        </w:rPr>
        <w:t>长 </w:t>
      </w:r>
      <w:r>
        <w:rPr>
          <w:color w:val="231F20"/>
          <w:spacing w:val="-11"/>
        </w:rPr>
        <w:t>：季加孚</w:t>
      </w:r>
    </w:p>
    <w:p>
      <w:pPr>
        <w:pStyle w:val="BodyText"/>
        <w:ind w:left="1" w:right="630" w:firstLine="1"/>
        <w:spacing w:before="95" w:line="288" w:lineRule="auto"/>
        <w:jc w:val="right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副组长 </w:t>
      </w:r>
      <w:r>
        <w:rPr>
          <w:color w:val="231F20"/>
          <w:spacing w:val="-5"/>
        </w:rPr>
        <w:t>：沈  琳  徐惠绵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徐瑞华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朱正纲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执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6"/>
        </w:rPr>
        <w:t>笔 </w:t>
      </w:r>
      <w:r>
        <w:rPr>
          <w:color w:val="231F20"/>
          <w:spacing w:val="-6"/>
        </w:rPr>
        <w:t>：程向东  刘云鹏  李子禹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陕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飞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沈  琳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孙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宇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唐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磊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周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军</w:t>
      </w:r>
    </w:p>
    <w:p>
      <w:pPr>
        <w:pStyle w:val="BodyText"/>
        <w:ind w:left="9" w:right="3150" w:firstLine="839"/>
        <w:spacing w:before="37" w:line="287" w:lineRule="auto"/>
        <w:rPr/>
      </w:pPr>
      <w:r>
        <w:rPr>
          <w:color w:val="231F20"/>
          <w:spacing w:val="-5"/>
        </w:rPr>
        <w:t>张小田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审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7"/>
        </w:rPr>
        <w:t>校 </w:t>
      </w:r>
      <w:r>
        <w:rPr>
          <w:color w:val="231F20"/>
          <w:spacing w:val="-7"/>
        </w:rPr>
        <w:t>：</w:t>
      </w:r>
    </w:p>
    <w:p>
      <w:pPr>
        <w:pStyle w:val="BodyText"/>
        <w:ind w:left="2" w:right="630" w:firstLine="31"/>
        <w:spacing w:before="13" w:line="307" w:lineRule="auto"/>
        <w:jc w:val="both"/>
        <w:rPr/>
      </w:pPr>
      <w:r>
        <w:rPr>
          <w:color w:val="231F20"/>
          <w:spacing w:val="-10"/>
        </w:rPr>
        <w:t>白  莉   卜建红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0"/>
        </w:rPr>
        <w:t>步召德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0"/>
        </w:rPr>
        <w:t>蔡清萍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0"/>
        </w:rPr>
        <w:t>陈环球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陈  嘉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7"/>
        </w:rPr>
        <w:t>陈丽荣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陈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凛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陈路川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崔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庆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崔书中  崔同建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戴广海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戴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勇  杜义安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冯文明  高志斌  韩方海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何庆泗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何裕隆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胡  祥  黄昌明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金建华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靖昌庆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李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非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李国立  李国新  李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进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李乐平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李宇红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梁  寒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梁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军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梁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品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林小燕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凌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扬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刘洪俊  刘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静  刘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平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刘天舒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刘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岩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陆建伟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7"/>
        </w:rPr>
        <w:t>吕成余  马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冬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马力文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马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锐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茅国新  牟一平  牛作兴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潘宏铭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彭俊生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秦宝丽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3"/>
        </w:rPr>
        <w:t>曲秀娟  沈振斌  苏向前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孙益红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陶  敏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童建东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万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进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汪宝林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汪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欣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汪  昱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王  巍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王潍博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王文跃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王小忠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王秀问  王亚农  吴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丹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吴祖光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谢聪颖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徐建明  徐  农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徐泽宽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严志龙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燕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敏</w:t>
      </w:r>
    </w:p>
    <w:p>
      <w:pPr>
        <w:pStyle w:val="BodyText"/>
        <w:ind w:left="5"/>
        <w:spacing w:before="1" w:line="218" w:lineRule="auto"/>
        <w:rPr/>
      </w:pPr>
      <w:r>
        <w:rPr>
          <w:color w:val="231F20"/>
          <w:spacing w:val="-2"/>
        </w:rPr>
        <w:t>杨道贵  杨建伟  杨锡贵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2"/>
        </w:rPr>
        <w:t>叶颖江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依荷芭丽</w:t>
      </w:r>
      <w:r>
        <w:rPr>
          <w:rFonts w:ascii="Times New Roman" w:hAnsi="Times New Roman" w:eastAsia="Times New Roman" w:cs="Times New Roman"/>
          <w:color w:val="231F20"/>
          <w:spacing w:val="-2"/>
        </w:rPr>
        <w:t>•</w:t>
      </w:r>
      <w:r>
        <w:rPr>
          <w:color w:val="231F20"/>
          <w:spacing w:val="-2"/>
        </w:rPr>
        <w:t>迟</w:t>
      </w:r>
    </w:p>
    <w:p>
      <w:pPr>
        <w:pStyle w:val="BodyText"/>
        <w:ind w:left="4" w:right="604" w:firstLine="41"/>
        <w:spacing w:before="103" w:line="306" w:lineRule="auto"/>
        <w:jc w:val="both"/>
        <w:rPr/>
      </w:pPr>
      <w:r>
        <w:rPr>
          <w:color w:val="231F20"/>
          <w:spacing w:val="-6"/>
        </w:rPr>
        <w:t>印季良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印  慨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应杰儿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于吉人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袁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瑛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张  健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张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俊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张良明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张小桥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张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阳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张有成  张忠涛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郑磊贞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郑振东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郑志超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郑志强  钟海均  周爱萍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周岩冰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周志伟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朱晓东  庄志祥</w:t>
      </w:r>
    </w:p>
    <w:p>
      <w:pPr>
        <w:pStyle w:val="BodyText"/>
        <w:spacing w:line="160" w:lineRule="auto"/>
        <w:rPr/>
      </w:pPr>
      <w:r>
        <w:rPr>
          <w:rFonts w:ascii="Microsoft YaHei" w:hAnsi="Microsoft YaHei" w:eastAsia="Microsoft YaHei" w:cs="Microsoft YaHei"/>
          <w:color w:val="231F20"/>
          <w:spacing w:val="-8"/>
        </w:rPr>
        <w:t>编审秘书 </w:t>
      </w:r>
      <w:r>
        <w:rPr>
          <w:color w:val="231F20"/>
          <w:spacing w:val="-8"/>
        </w:rPr>
        <w:t>：武爱文</w:t>
      </w:r>
    </w:p>
    <w:p>
      <w:pPr>
        <w:spacing w:line="160" w:lineRule="auto"/>
        <w:sectPr>
          <w:type w:val="continuous"/>
          <w:pgSz w:w="11906" w:h="16158"/>
          <w:pgMar w:top="1229" w:right="1077" w:bottom="0" w:left="407" w:header="767" w:footer="0" w:gutter="0"/>
          <w:cols w:equalWidth="0" w:num="2">
            <w:col w:w="5705" w:space="100"/>
            <w:col w:w="4616" w:space="0"/>
          </w:cols>
        </w:sectPr>
        <w:rPr/>
      </w:pPr>
    </w:p>
    <w:p>
      <w:pPr>
        <w:spacing w:line="302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929744</wp:posOffset>
            </wp:positionH>
            <wp:positionV relativeFrom="paragraph">
              <wp:posOffset>119340</wp:posOffset>
            </wp:positionV>
            <wp:extent cx="5088900" cy="418755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8900" cy="4187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796"/>
        <w:spacing w:before="59" w:line="21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胃癌患者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6315"/>
        <w:spacing w:before="52" w:line="19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-3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/N+</w:t>
      </w:r>
    </w:p>
    <w:p>
      <w:pPr>
        <w:pStyle w:val="BodyText"/>
        <w:ind w:left="5573"/>
        <w:spacing w:before="168" w:line="22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腹腔镜检查+</w:t>
      </w:r>
    </w:p>
    <w:p>
      <w:pPr>
        <w:pStyle w:val="BodyText"/>
        <w:ind w:left="5303"/>
        <w:spacing w:before="1" w:line="22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腹腔游离癌细胞检查</w:t>
      </w:r>
    </w:p>
    <w:p>
      <w:pPr>
        <w:spacing w:line="294" w:lineRule="auto"/>
        <w:rPr>
          <w:rFonts w:ascii="Arial"/>
          <w:sz w:val="21"/>
        </w:rPr>
      </w:pPr>
      <w:r>
        <w:pict>
          <v:shape id="_x0000_s28" style="position:absolute;margin-left:183.772pt;margin-top:12.8424pt;mso-position-vertical-relative:text;mso-position-horizontal-relative:text;width:0.25pt;height:7pt;z-index:-251645952;" filled="false" strokecolor="#231F20" strokeweight="0.25pt" coordsize="5,140" coordorigin="0,0" path="m2,0l2,139e">
            <v:stroke joinstyle="miter" miterlimit="4"/>
          </v:shape>
        </w:pict>
      </w:r>
      <w:r>
        <w:pict>
          <v:shape id="_x0000_s30" style="position:absolute;margin-left:429.061pt;margin-top:12.8424pt;mso-position-vertical-relative:text;mso-position-horizontal-relative:text;width:0.25pt;height:7pt;z-index:-251644928;" filled="false" strokecolor="#231F20" strokeweight="0.25pt" coordsize="5,140" coordorigin="0,0" path="m2,0l2,139e">
            <v:stroke joinstyle="miter" miterlimit="4"/>
          </v:shape>
        </w:pict>
      </w: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5650"/>
        <w:spacing w:before="59" w:line="221" w:lineRule="auto"/>
        <w:rPr>
          <w:sz w:val="18"/>
          <w:szCs w:val="18"/>
        </w:rPr>
      </w:pPr>
      <w:r>
        <w:pict>
          <v:shape id="_x0000_s32" style="position:absolute;margin-left:154.664pt;margin-top:1.96291pt;mso-position-vertical-relative:text;mso-position-horizontal-relative:text;width:55.65pt;height:12.8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2"/>
                    </w:rPr>
                    <w:t>P1CY0/1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患者</w:t>
                  </w:r>
                </w:p>
              </w:txbxContent>
            </v:textbox>
          </v:shape>
        </w:pict>
      </w:r>
      <w:r>
        <w:pict>
          <v:shape id="_x0000_s34" style="position:absolute;margin-left:404.835pt;margin-top:1.96291pt;mso-position-vertical-relative:text;mso-position-horizontal-relative:text;width:48.65pt;height:12.8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2"/>
                    </w:rPr>
                    <w:t>P0CY0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患者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>P0CY1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患者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5581" w:right="3709" w:firstLine="71"/>
        <w:spacing w:before="59" w:line="224" w:lineRule="auto"/>
        <w:rPr>
          <w:sz w:val="18"/>
          <w:szCs w:val="18"/>
        </w:rPr>
      </w:pPr>
      <w:r>
        <w:pict>
          <v:shape id="_x0000_s36" style="position:absolute;margin-left:154.742pt;margin-top:1.95632pt;mso-position-vertical-relative:text;mso-position-horizontal-relative:text;width:55.65pt;height:23.5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1"/>
                    <w:spacing w:before="19" w:line="22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系统化疗</w:t>
                  </w:r>
                  <w:r>
                    <w:rPr>
                      <w:sz w:val="18"/>
                      <w:szCs w:val="18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8"/>
                    </w:rPr>
                    <w:t>±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腹腔灌注化疗</w:t>
                  </w:r>
                </w:p>
              </w:txbxContent>
            </v:textbox>
          </v:shape>
        </w:pict>
      </w:r>
      <w:r>
        <w:pict>
          <v:shape id="_x0000_s38" style="position:absolute;margin-left:402.735pt;margin-top:1.95632pt;mso-position-vertical-relative:text;mso-position-horizontal-relative:text;width:53.1pt;height:23.5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3" w:right="20" w:hanging="244"/>
                    <w:spacing w:before="19" w:line="22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经</w:t>
                  </w:r>
                  <w:r>
                    <w:rPr>
                      <w:sz w:val="18"/>
                      <w:szCs w:val="18"/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2"/>
                    </w:rPr>
                    <w:t>MDT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讨论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后手术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8"/>
        </w:rPr>
        <w:t>系统化疗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8"/>
        </w:rPr>
        <w:t>±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腹腔灌注化疗</w:t>
      </w:r>
    </w:p>
    <w:p>
      <w:pPr>
        <w:pStyle w:val="BodyText"/>
        <w:ind w:left="8856"/>
        <w:spacing w:before="163" w:line="22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腹膜转移</w:t>
      </w:r>
    </w:p>
    <w:p>
      <w:pPr>
        <w:pStyle w:val="BodyText"/>
        <w:ind w:left="8861"/>
        <w:spacing w:before="1" w:line="22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高危患者</w:t>
      </w:r>
    </w:p>
    <w:p>
      <w:pPr>
        <w:pStyle w:val="BodyText"/>
        <w:ind w:left="7984"/>
        <w:spacing w:before="170" w:line="220" w:lineRule="auto"/>
        <w:rPr>
          <w:sz w:val="18"/>
          <w:szCs w:val="18"/>
        </w:rPr>
      </w:pPr>
      <w:r>
        <w:pict>
          <v:shape id="_x0000_s40" style="position:absolute;margin-left:73.4582pt;margin-top:18.3955pt;mso-position-vertical-relative:text;mso-position-horizontal-relative:text;width:14.2pt;height:0.25pt;z-index:-251643904;" filled="false" strokecolor="#231F20" strokeweight="0.25pt" coordsize="283,5" coordorigin="0,0" path="m0,2l283,2e">
            <v:stroke joinstyle="miter" miterlimit="4"/>
          </v:shape>
        </w:pict>
      </w:r>
      <w:r>
        <w:pict>
          <v:shape id="_x0000_s42" style="position:absolute;margin-left:221.017pt;margin-top:7.49884pt;mso-position-vertical-relative:text;mso-position-horizontal-relative:text;width:46.55pt;height:23.5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6" w:right="20" w:hanging="87"/>
                    <w:spacing w:before="19" w:line="22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大量腹水并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表现症状</w:t>
                  </w:r>
                </w:p>
              </w:txbxContent>
            </v:textbox>
          </v:shape>
        </w:pict>
      </w:r>
      <w:r>
        <w:pict>
          <v:shape id="_x0000_s44" style="position:absolute;margin-left:94.1455pt;margin-top:6.16687pt;mso-position-vertical-relative:text;mso-position-horizontal-relative:text;width:53.6pt;height:24.9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60" w:right="20" w:hanging="340"/>
                    <w:spacing w:before="19"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无腹水</w:t>
                  </w:r>
                  <w:r>
                    <w:rPr>
                      <w:sz w:val="18"/>
                      <w:szCs w:val="18"/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2"/>
                    </w:rPr>
                    <w:t>/ </w:t>
                  </w: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腹水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可控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3"/>
        </w:rPr>
        <w:t>预防</w:t>
      </w:r>
      <w:r>
        <w:rPr>
          <w:sz w:val="18"/>
          <w:szCs w:val="18"/>
          <w:color w:val="231F20"/>
          <w:spacing w:val="-45"/>
        </w:rPr>
        <w:t xml:space="preserve"> </w:t>
      </w:r>
      <w:r>
        <w:rPr>
          <w:sz w:val="18"/>
          <w:szCs w:val="18"/>
          <w:color w:val="231F20"/>
          <w:spacing w:val="-3"/>
        </w:rPr>
        <w:t>：</w:t>
      </w:r>
    </w:p>
    <w:p>
      <w:pPr>
        <w:pStyle w:val="BodyText"/>
        <w:ind w:left="7986"/>
        <w:spacing w:before="1" w:line="220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•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3"/>
        </w:rPr>
        <w:t>术中无癌技术</w:t>
      </w:r>
    </w:p>
    <w:p>
      <w:pPr>
        <w:pStyle w:val="BodyText"/>
        <w:ind w:left="7986"/>
        <w:spacing w:before="2" w:line="220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•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</w:t>
      </w:r>
      <w:r>
        <w:rPr>
          <w:sz w:val="18"/>
          <w:szCs w:val="18"/>
          <w:color w:val="231F20"/>
          <w:spacing w:val="-3"/>
        </w:rPr>
        <w:t>术中热灌注</w:t>
      </w:r>
    </w:p>
    <w:p>
      <w:pPr>
        <w:pStyle w:val="BodyText"/>
        <w:ind w:left="7986"/>
        <w:spacing w:before="1" w:line="220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•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3"/>
        </w:rPr>
        <w:t>术后辅助化疗</w:t>
      </w:r>
    </w:p>
    <w:p>
      <w:pPr>
        <w:pStyle w:val="BodyText"/>
        <w:ind w:left="4528"/>
        <w:spacing w:before="219" w:line="22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腹水引流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6503"/>
        <w:spacing w:before="58" w:line="21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随访评估</w:t>
      </w:r>
    </w:p>
    <w:p>
      <w:pPr>
        <w:ind w:left="4204"/>
        <w:spacing w:before="301" w:line="204" w:lineRule="auto"/>
        <w:outlineLvl w:val="0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图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2"/>
        </w:rPr>
        <w:t>2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胃癌腹膜转移的诊疗流程图</w:t>
      </w:r>
    </w:p>
    <w:p>
      <w:pPr>
        <w:pStyle w:val="BodyText"/>
        <w:ind w:left="985"/>
        <w:spacing w:before="23" w:line="19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注 </w:t>
      </w:r>
      <w:r>
        <w:rPr>
          <w:sz w:val="16"/>
          <w:szCs w:val="16"/>
          <w:color w:val="231F20"/>
          <w:spacing w:val="-9"/>
        </w:rPr>
        <w:t>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图中治疗推荐仅针对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>P1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或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>CY1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为唯一非治愈因子的情况</w:t>
      </w:r>
      <w:r>
        <w:rPr>
          <w:sz w:val="16"/>
          <w:szCs w:val="16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如果出现多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脏器转移</w:t>
      </w:r>
      <w:r>
        <w:rPr>
          <w:sz w:val="16"/>
          <w:szCs w:val="16"/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应以全身系统治疗为主 </w:t>
      </w:r>
      <w:r>
        <w:rPr>
          <w:sz w:val="16"/>
          <w:szCs w:val="16"/>
          <w:color w:val="231F20"/>
          <w:spacing w:val="-10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>MDT </w:t>
      </w:r>
      <w:r>
        <w:rPr>
          <w:sz w:val="16"/>
          <w:szCs w:val="16"/>
          <w:color w:val="231F20"/>
          <w:spacing w:val="-10"/>
        </w:rPr>
        <w:t>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多学科协作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46" style="position:absolute;margin-left:202.841pt;margin-top:13.051pt;mso-position-vertical-relative:text;mso-position-horizontal-relative:text;width:77.95pt;height:0.3pt;z-index:-251640832;" filled="false" stroked="false" coordsize="1558,6" coordorigin="0,0">
            <v:shape id="_x0000_s48" style="position:absolute;left:41;top:0;width:1456;height:5;" filled="false" strokecolor="#231F20" strokeweight="0.25pt" coordsize="1456,5" coordorigin="0,0" path="m1455,2l0,2e">
              <v:stroke dashstyle="dash" joinstyle="miter" miterlimit="4"/>
            </v:shape>
            <v:shape id="_x0000_s50" style="position:absolute;left:0;top:0;width:1558;height:5;" filled="false" strokecolor="#231F20" strokeweight="0.25pt" coordsize="1558,5" coordorigin="0,0" path="m1558,2l1537,2m20,2l0,2e">
              <v:stroke joinstyle="miter" miterlimit="4"/>
            </v:shape>
          </v:group>
        </w:pict>
      </w:r>
      <w:r/>
    </w:p>
    <w:p>
      <w:pPr>
        <w:ind w:left="4054"/>
        <w:spacing w:before="1" w:line="19" w:lineRule="exact"/>
        <w:rPr/>
      </w:pPr>
      <w:r>
        <w:rPr/>
        <w:drawing>
          <wp:inline distT="0" distB="0" distL="0" distR="0">
            <wp:extent cx="992746" cy="1183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746" cy="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54"/>
        <w:spacing w:before="18" w:line="239" w:lineRule="auto"/>
        <w:rPr>
          <w:sz w:val="18"/>
          <w:szCs w:val="18"/>
        </w:rPr>
      </w:pPr>
      <w:r>
        <w:rPr>
          <w:sz w:val="18"/>
          <w:szCs w:val="18"/>
          <w:color w:val="231F20"/>
          <w:position w:val="-4"/>
        </w:rPr>
        <w:drawing>
          <wp:inline distT="0" distB="0" distL="0" distR="0">
            <wp:extent cx="3175" cy="13026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13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晚期胃癌腹膜转移</w:t>
      </w:r>
      <w:r>
        <w:rPr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position w:val="-2"/>
        </w:rPr>
        <w:drawing>
          <wp:inline distT="0" distB="0" distL="0" distR="0">
            <wp:extent cx="3175" cy="13026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" cy="13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54"/>
        <w:spacing w:before="6" w:line="22" w:lineRule="exact"/>
        <w:rPr/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2363876</wp:posOffset>
            </wp:positionH>
            <wp:positionV relativeFrom="paragraph">
              <wp:posOffset>14281</wp:posOffset>
            </wp:positionV>
            <wp:extent cx="2278684" cy="321979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8684" cy="321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992746" cy="1342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746" cy="1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3792"/>
        <w:spacing w:before="58" w:line="22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无腹水</w:t>
      </w:r>
      <w:r>
        <w:rPr>
          <w:sz w:val="18"/>
          <w:szCs w:val="18"/>
          <w:color w:val="231F20"/>
          <w:spacing w:val="4"/>
        </w:rPr>
        <w:t xml:space="preserve">           </w:t>
      </w:r>
      <w:r>
        <w:rPr>
          <w:sz w:val="18"/>
          <w:szCs w:val="18"/>
          <w:color w:val="231F20"/>
          <w:spacing w:val="-3"/>
        </w:rPr>
        <w:t>有腹水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left="4826"/>
        <w:spacing w:before="59" w:line="22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无症状</w:t>
      </w:r>
      <w:r>
        <w:rPr>
          <w:sz w:val="18"/>
          <w:szCs w:val="18"/>
          <w:color w:val="231F20"/>
          <w:spacing w:val="3"/>
        </w:rPr>
        <w:t xml:space="preserve">       </w:t>
      </w:r>
      <w:r>
        <w:rPr>
          <w:sz w:val="18"/>
          <w:szCs w:val="18"/>
          <w:color w:val="231F20"/>
          <w:spacing w:val="-3"/>
        </w:rPr>
        <w:t>有症状</w:t>
      </w:r>
    </w:p>
    <w:p>
      <w:pPr>
        <w:pStyle w:val="BodyText"/>
        <w:ind w:left="4737"/>
        <w:spacing w:before="3" w:line="22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不需引流</w:t>
      </w:r>
      <w:r>
        <w:rPr>
          <w:sz w:val="18"/>
          <w:szCs w:val="18"/>
          <w:color w:val="231F20"/>
          <w:spacing w:val="5"/>
        </w:rPr>
        <w:t xml:space="preserve">      </w:t>
      </w:r>
      <w:r>
        <w:rPr>
          <w:sz w:val="18"/>
          <w:szCs w:val="18"/>
          <w:color w:val="231F20"/>
          <w:spacing w:val="-4"/>
        </w:rPr>
        <w:t>需引流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4164"/>
        <w:spacing w:before="59" w:line="22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系统化疗</w:t>
      </w:r>
      <w:r>
        <w:rPr>
          <w:sz w:val="18"/>
          <w:szCs w:val="18"/>
          <w:color w:val="231F20"/>
          <w:spacing w:val="6"/>
        </w:rPr>
        <w:t xml:space="preserve">           </w:t>
      </w:r>
      <w:r>
        <w:rPr>
          <w:sz w:val="18"/>
          <w:szCs w:val="18"/>
          <w:color w:val="231F20"/>
          <w:spacing w:val="-4"/>
        </w:rPr>
        <w:t>引流腹水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5734" w:right="3531" w:hanging="21"/>
        <w:spacing w:before="59" w:line="22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腹腔灌注化疗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7"/>
        </w:rPr>
        <w:t>±</w:t>
      </w:r>
      <w:r>
        <w:rPr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  <w:spacing w:val="-7"/>
        </w:rPr>
        <w:t>系统性化疗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6718" w:right="3114" w:hanging="182"/>
        <w:spacing w:before="59" w:line="224" w:lineRule="auto"/>
        <w:rPr>
          <w:sz w:val="18"/>
          <w:szCs w:val="18"/>
        </w:rPr>
      </w:pPr>
      <w:r>
        <w:pict>
          <v:shape id="_x0000_s52" style="position:absolute;margin-left:263.811pt;margin-top:1.95971pt;mso-position-vertical-relative:text;mso-position-horizontal-relative:text;width:37.65pt;height:58.6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0" w:right="20" w:hanging="270"/>
                    <w:spacing w:before="19" w:line="22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2"/>
                    </w:rPr>
                    <w:t>腹水控制</w:t>
                  </w:r>
                  <w:r>
                    <w:rPr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</w:rPr>
                    <w:t>好</w:t>
                  </w:r>
                </w:p>
                <w:p>
                  <w:pPr>
                    <w:spacing w:line="41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3"/>
                    <w:spacing w:before="58" w:line="22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系统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2"/>
        </w:rPr>
        <w:t>腹水控制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不好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5476"/>
        <w:spacing w:before="58" w:line="220" w:lineRule="auto"/>
        <w:rPr>
          <w:sz w:val="18"/>
          <w:szCs w:val="18"/>
        </w:rPr>
      </w:pPr>
      <w:r>
        <w:pict>
          <v:shape id="_x0000_s54" style="position:absolute;margin-left:325.931pt;margin-top:-8.87186pt;mso-position-vertical-relative:text;mso-position-horizontal-relative:text;width:37.55pt;height:23.5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2" w:right="20" w:hanging="182"/>
                    <w:spacing w:before="19" w:line="22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最佳支持</w:t>
                  </w:r>
                  <w:r>
                    <w:rPr>
                      <w:sz w:val="18"/>
                      <w:szCs w:val="18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</w:rPr>
                    <w:t>治疗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-2"/>
        </w:rPr>
        <w:t>化疗</w:t>
      </w:r>
    </w:p>
    <w:p>
      <w:pPr>
        <w:ind w:left="4024"/>
        <w:spacing w:before="192" w:line="204" w:lineRule="auto"/>
        <w:outlineLvl w:val="0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图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2"/>
        </w:rPr>
        <w:t>3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初诊伴有腹膜转移者治疗流程图</w:t>
      </w:r>
    </w:p>
    <w:p>
      <w:pPr>
        <w:spacing w:line="204" w:lineRule="auto"/>
        <w:sectPr>
          <w:headerReference w:type="default" r:id="rId10"/>
          <w:pgSz w:w="11906" w:h="16158"/>
          <w:pgMar w:top="1229" w:right="1133" w:bottom="0" w:left="407" w:header="767" w:footer="0" w:gutter="0"/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17"/>
          <w:pgSz w:w="11906" w:h="16158"/>
          <w:pgMar w:top="1229" w:right="1032" w:bottom="0" w:left="407" w:header="767" w:footer="0" w:gutter="0"/>
          <w:cols w:equalWidth="0" w:num="1">
            <w:col w:w="10466" w:space="0"/>
          </w:cols>
        </w:sectPr>
        <w:rPr/>
      </w:pPr>
    </w:p>
    <w:p>
      <w:pPr>
        <w:ind w:left="729"/>
        <w:spacing w:before="63" w:line="20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参考文献</w:t>
      </w:r>
    </w:p>
    <w:p>
      <w:pPr>
        <w:ind w:left="1263" w:right="366" w:hanging="525"/>
        <w:spacing w:before="69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[1]  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Globocan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2012: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Estimated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incidence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mortality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prevalence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worldwide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2012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Internet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International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Agency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Cancer[EB/OL].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[2016-04-08].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hyperlink w:history="true" r:id="rId1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http://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1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globocan.iarc.fr/Default.aspx.</w:t>
        </w:r>
      </w:hyperlink>
    </w:p>
    <w:p>
      <w:pPr>
        <w:ind w:left="1268" w:right="365" w:hanging="530"/>
        <w:spacing w:before="39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[2]         Shen 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Shan YS, Hu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resource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strati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2013,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14(12):e535-547.</w:t>
      </w:r>
    </w:p>
    <w:p>
      <w:pPr>
        <w:ind w:left="1264" w:right="365" w:hanging="526"/>
        <w:spacing w:before="38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[3]        Nashimoto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kazawa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Isobe Y, 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2002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Japan: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2009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annual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JGCA 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registry[J]. Gastric Cancer,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2013,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16(1):1-27.</w:t>
      </w:r>
    </w:p>
    <w:p>
      <w:pPr>
        <w:ind w:left="1266" w:right="365" w:hanging="528"/>
        <w:spacing w:before="40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[4]        Fushida  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Oyama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Kinoshita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Intraperitoneal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Chemotherapy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Multimodal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Metastasis[J].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(9A):6-15.</w:t>
      </w:r>
    </w:p>
    <w:p>
      <w:pPr>
        <w:ind w:left="1263" w:right="364" w:hanging="525"/>
        <w:spacing w:before="54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[5]  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Yonemura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Bandou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Kawamura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Quantitative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prognostic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indicators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dissemin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 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cancer[J]. Eur 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 Oncol, 2006, 32(6):602-6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06.</w:t>
      </w:r>
    </w:p>
    <w:p>
      <w:pPr>
        <w:ind w:left="1266" w:right="365" w:hanging="528"/>
        <w:spacing w:before="40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[6]        Dalkey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Helmer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Experimental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Appli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Delphi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Method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Experts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1963, 9(3):458-467.</w:t>
      </w:r>
    </w:p>
    <w:p>
      <w:pPr>
        <w:ind w:left="1269" w:right="364" w:hanging="531"/>
        <w:spacing w:before="40" w:line="30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[7]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Atkins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Briss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Grading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quality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idence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strength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recommendations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2004,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328(7454):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1490-1494.</w:t>
      </w:r>
    </w:p>
    <w:p>
      <w:pPr>
        <w:ind w:left="1263" w:right="366" w:hanging="525"/>
        <w:spacing w:before="55" w:line="30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[8]  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Paget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Distribution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secondary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growths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breast[J]. Cancer Met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astasis Rev,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1989,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8(2):98-101.</w:t>
      </w:r>
    </w:p>
    <w:p>
      <w:pPr>
        <w:ind w:left="1271" w:right="365" w:hanging="533"/>
        <w:spacing w:before="39" w:line="30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[9]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Fidler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IJ.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pathogenesis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 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metastasis: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'seed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soil' hypothesis revisited[J]. Nat Rev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 xml:space="preserve"> Cancer, 2003, 3(6):453-458.</w:t>
      </w:r>
    </w:p>
    <w:p>
      <w:pPr>
        <w:ind w:left="1264" w:right="365" w:hanging="526"/>
        <w:spacing w:before="40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[10]      Ahmed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Riley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integrin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eceptors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bronectin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collagen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laminin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regulation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ovarian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functions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response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matrix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microenviron-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ment[J]. Clin Exp Met, 2005, 22(5):391-402.</w:t>
      </w:r>
    </w:p>
    <w:p>
      <w:pPr>
        <w:ind w:left="1266" w:right="366" w:hanging="528"/>
        <w:spacing w:before="40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[11]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Miyazono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Suzuki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Imamura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Regulation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TGF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-β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signaling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roles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progression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tumors[J].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Sci,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2003, 94(3):230-234.</w:t>
      </w:r>
    </w:p>
    <w:p>
      <w:pPr>
        <w:ind w:left="1264" w:right="365" w:hanging="526"/>
        <w:spacing w:before="39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[12]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Shammaa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Yonemura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Current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status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future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strategies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of cytoreductive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plus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intraperitoneal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hyperthermic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chemotherap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carcinomatosis[J].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World J Gastroenterol, 2008,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14(8):1159-1166.</w:t>
      </w:r>
    </w:p>
    <w:p>
      <w:pPr>
        <w:pStyle w:val="BodyText"/>
        <w:ind w:left="1268" w:right="367" w:hanging="530"/>
        <w:spacing w:before="64" w:line="25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[13]      </w:t>
      </w:r>
      <w:r>
        <w:rPr>
          <w:sz w:val="16"/>
          <w:szCs w:val="16"/>
          <w:color w:val="231F20"/>
          <w:spacing w:val="2"/>
        </w:rPr>
        <w:t>徐惠绵，武建华．</w:t>
      </w:r>
      <w:r>
        <w:rPr>
          <w:sz w:val="16"/>
          <w:szCs w:val="16"/>
          <w:color w:val="231F20"/>
          <w:spacing w:val="-46"/>
        </w:rPr>
        <w:t xml:space="preserve"> </w:t>
      </w:r>
      <w:r>
        <w:rPr>
          <w:sz w:val="16"/>
          <w:szCs w:val="16"/>
          <w:color w:val="231F20"/>
          <w:spacing w:val="2"/>
        </w:rPr>
        <w:t>胃癌腹膜转移机理及其临</w:t>
      </w:r>
      <w:r>
        <w:rPr>
          <w:sz w:val="16"/>
          <w:szCs w:val="16"/>
          <w:color w:val="231F20"/>
          <w:spacing w:val="1"/>
        </w:rPr>
        <w:t>床应用的研究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进展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2"/>
        </w:rPr>
        <w:t>．中国肿瘤临床，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39</w:t>
      </w:r>
      <w:r>
        <w:rPr>
          <w:sz w:val="16"/>
          <w:szCs w:val="16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22</w:t>
      </w:r>
      <w:r>
        <w:rPr>
          <w:sz w:val="16"/>
          <w:szCs w:val="16"/>
          <w:color w:val="231F20"/>
          <w:spacing w:val="-31"/>
        </w:rPr>
        <w:t>）：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1687-1690</w:t>
      </w:r>
      <w:r>
        <w:rPr>
          <w:sz w:val="16"/>
          <w:szCs w:val="16"/>
          <w:color w:val="231F20"/>
          <w:spacing w:val="-3"/>
        </w:rPr>
        <w:t>．</w:t>
      </w:r>
    </w:p>
    <w:p>
      <w:pPr>
        <w:ind w:left="1266" w:right="365" w:hanging="528"/>
        <w:spacing w:before="43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[14]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18F-FDG pet for detecting 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metastasis on the preoper-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evaluation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carcinoma[J].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Korean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Radiol,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2006, 7(4):249-256.</w:t>
      </w:r>
    </w:p>
    <w:p>
      <w:pPr>
        <w:ind w:left="1264" w:right="364" w:hanging="526"/>
        <w:spacing w:before="39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[15]      Kwee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Kwee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TC.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Modern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imaging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techniques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preope-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rative detection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distant metastases in gastric cancer[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J]. World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 Gastroenterol, 2015, 21(37):10502-10509.</w:t>
      </w:r>
    </w:p>
    <w:p>
      <w:pPr>
        <w:ind w:left="1264" w:right="365" w:hanging="526"/>
        <w:spacing w:before="40" w:line="30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[16]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Z,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JQ.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Imaging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assessing hepatic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 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metastases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cancer: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syst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review[J].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BMC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Gastroenterol, 2011,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11:19.</w:t>
      </w:r>
    </w:p>
    <w:p>
      <w:pPr>
        <w:ind w:left="1269" w:right="352" w:hanging="531"/>
        <w:spacing w:before="54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[17]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Yajima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Kanda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OhashiM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diagnostic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signi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preoperative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computed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tomography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ndings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ascites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advanced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cancer[J]. 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28"/>
        <w:spacing w:before="40" w:line="21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2006,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192(2):185-190.</w:t>
      </w:r>
    </w:p>
    <w:p>
      <w:pPr>
        <w:ind w:left="527" w:right="44" w:hanging="527"/>
        <w:spacing w:before="40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[18]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Metastasis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Detection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16-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64-Detector 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CT in Patients Underg-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Radiology,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2009,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253(2):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407-415.</w:t>
      </w:r>
    </w:p>
    <w:p>
      <w:pPr>
        <w:pStyle w:val="BodyText"/>
        <w:ind w:left="532" w:right="1" w:hanging="532"/>
        <w:spacing w:before="76" w:line="27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[19]       </w:t>
      </w:r>
      <w:r>
        <w:rPr>
          <w:sz w:val="16"/>
          <w:szCs w:val="16"/>
          <w:color w:val="231F20"/>
          <w:spacing w:val="-2"/>
        </w:rPr>
        <w:t>严超，朱正纲，燕敏，等．多排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CT </w:t>
      </w:r>
      <w:r>
        <w:rPr>
          <w:sz w:val="16"/>
          <w:szCs w:val="16"/>
          <w:color w:val="231F20"/>
          <w:spacing w:val="-2"/>
        </w:rPr>
        <w:t>对胃癌腹膜转移术前预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测的单中心大宗病例研究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1"/>
        </w:rPr>
        <w:t>．中华胃肠外科杂志，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2010</w:t>
      </w:r>
      <w:r>
        <w:rPr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13</w:t>
      </w:r>
      <w:r>
        <w:rPr>
          <w:sz w:val="16"/>
          <w:szCs w:val="16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</w:t>
      </w:r>
      <w:r>
        <w:rPr>
          <w:sz w:val="16"/>
          <w:szCs w:val="16"/>
          <w:color w:val="231F20"/>
          <w:spacing w:val="-29"/>
        </w:rPr>
        <w:t>）：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106-110</w:t>
      </w:r>
      <w:r>
        <w:rPr>
          <w:sz w:val="16"/>
          <w:szCs w:val="16"/>
          <w:color w:val="231F20"/>
          <w:spacing w:val="-3"/>
        </w:rPr>
        <w:t>．</w:t>
      </w:r>
    </w:p>
    <w:p>
      <w:pPr>
        <w:ind w:left="527" w:right="28" w:hanging="527"/>
        <w:spacing w:before="25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[20]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significance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minimal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ascites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World J Gastroenterol, 2005,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11(42):6587-6592.</w:t>
      </w:r>
    </w:p>
    <w:p>
      <w:pPr>
        <w:ind w:left="531" w:right="43" w:hanging="531"/>
        <w:spacing w:before="38" w:line="31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[21]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Fehniger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Thomas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Lengyel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evaluating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diffusion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weighted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magnetic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resonance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imaging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(DW-MRI)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detection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 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carcinomat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suspected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gynecologic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malignancies[J].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Oncol,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2016,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142(1):169-175.</w:t>
      </w:r>
    </w:p>
    <w:p>
      <w:pPr>
        <w:pStyle w:val="BodyText"/>
        <w:ind w:left="532" w:right="1" w:hanging="532"/>
        <w:spacing w:before="62" w:line="27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[22]      </w:t>
      </w:r>
      <w:r>
        <w:rPr>
          <w:sz w:val="16"/>
          <w:szCs w:val="16"/>
          <w:color w:val="231F20"/>
          <w:spacing w:val="2"/>
        </w:rPr>
        <w:t>周鹏，曲辉，史惠文，等．血清糖类抗原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125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2"/>
        </w:rPr>
        <w:t>对胃癌腹膜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转移及其预后的预测价值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1"/>
        </w:rPr>
        <w:t>．中华胃肠外科杂志，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2014</w:t>
      </w:r>
      <w:r>
        <w:rPr>
          <w:sz w:val="16"/>
          <w:szCs w:val="16"/>
          <w:color w:val="231F20"/>
          <w:spacing w:val="1"/>
        </w:rPr>
        <w:t>，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17</w:t>
      </w:r>
      <w:r>
        <w:rPr>
          <w:sz w:val="16"/>
          <w:szCs w:val="16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</w:t>
      </w:r>
      <w:r>
        <w:rPr>
          <w:sz w:val="16"/>
          <w:szCs w:val="16"/>
          <w:color w:val="231F20"/>
          <w:spacing w:val="-29"/>
        </w:rPr>
        <w:t>）：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1027-1030</w:t>
      </w:r>
      <w:r>
        <w:rPr>
          <w:sz w:val="16"/>
          <w:szCs w:val="16"/>
          <w:color w:val="231F20"/>
          <w:spacing w:val="-2"/>
        </w:rPr>
        <w:t>．</w:t>
      </w:r>
    </w:p>
    <w:p>
      <w:pPr>
        <w:ind w:left="526" w:right="45" w:hanging="526"/>
        <w:spacing w:before="25" w:line="31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[23]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Combined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lysyl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oxidase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carcino-embryonic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antigen,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carbohydrate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antigens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improves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sensitivityof biomarkers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predicting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lymph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metastasis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metastasis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Tumour Biol, 2014, 35(10):10547-10554.</w:t>
      </w:r>
    </w:p>
    <w:p>
      <w:pPr>
        <w:ind w:left="530" w:right="44" w:hanging="530"/>
        <w:spacing w:before="39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[24]       Emoto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Ishigami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H, Yamashita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signiﬁcance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CA125 and CA72-4 in gastric cancer with peritoneal 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sem-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ination[J]. Gastric Cancer,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2012,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15(2):154-161.</w:t>
      </w:r>
    </w:p>
    <w:p>
      <w:pPr>
        <w:ind w:left="530" w:right="44" w:hanging="530"/>
        <w:spacing w:before="39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[25]      Nakata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Hirakawa-YS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Chung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Kato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Serum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125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level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predictor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dissemination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 carcinoma[J].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Cancer,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1998,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83(12):2488-2492.</w:t>
      </w:r>
    </w:p>
    <w:p>
      <w:pPr>
        <w:ind w:left="528" w:right="29" w:hanging="528"/>
        <w:spacing w:before="40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[26]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Yoo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Sohn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Predictive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Value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Preoperative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Serum CEA, CA19-9 and CA125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Levels 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Perit-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oneal Metastasis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Patients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Carcinoma[J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 Treat, 2004, 36(3):178-181.</w:t>
      </w:r>
    </w:p>
    <w:p>
      <w:pPr>
        <w:pStyle w:val="BodyText"/>
        <w:ind w:left="528" w:hanging="528"/>
        <w:spacing w:before="70" w:line="269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[27]       </w:t>
      </w:r>
      <w:r>
        <w:rPr>
          <w:sz w:val="16"/>
          <w:szCs w:val="16"/>
          <w:color w:val="231F20"/>
          <w:spacing w:val="-6"/>
        </w:rPr>
        <w:t>张永乐，薛英威，蓝秀文，等．肿瘤标记物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CA19-9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6"/>
        </w:rPr>
        <w:t>、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CEA </w:t>
      </w:r>
      <w:r>
        <w:rPr>
          <w:sz w:val="16"/>
          <w:szCs w:val="16"/>
          <w:color w:val="231F20"/>
          <w:spacing w:val="-6"/>
        </w:rPr>
        <w:t>对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胃癌转移和预后预测价值的分析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4"/>
        </w:rPr>
        <w:t>．哈尔滨</w:t>
      </w:r>
      <w:r>
        <w:rPr>
          <w:sz w:val="16"/>
          <w:szCs w:val="16"/>
          <w:color w:val="231F20"/>
          <w:spacing w:val="-5"/>
        </w:rPr>
        <w:t>医科大学学报，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2010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7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44</w:t>
      </w:r>
      <w:r>
        <w:rPr>
          <w:sz w:val="16"/>
          <w:szCs w:val="16"/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2</w:t>
      </w:r>
      <w:r>
        <w:rPr>
          <w:sz w:val="16"/>
          <w:szCs w:val="16"/>
          <w:color w:val="231F20"/>
          <w:spacing w:val="-34"/>
        </w:rPr>
        <w:t>）：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>181-188</w:t>
      </w:r>
      <w:r>
        <w:rPr>
          <w:sz w:val="16"/>
          <w:szCs w:val="16"/>
          <w:color w:val="231F20"/>
          <w:spacing w:val="-7"/>
        </w:rPr>
        <w:t>．</w:t>
      </w:r>
    </w:p>
    <w:p>
      <w:pPr>
        <w:ind w:left="525" w:right="44" w:hanging="526"/>
        <w:spacing w:before="76" w:line="29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[28]      National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Comprehensive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etwork: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NCCN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Oncology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(NCCN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Guidelines):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Cancer Version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3[EB/OL].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(2015-03-23).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[2017-08-25]. </w:t>
      </w:r>
      <w:hyperlink w:history="true" r:id="rId1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2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www.nccn.org/professionals/physician_gls/f_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guidelines.asp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</w:p>
    <w:p>
      <w:pPr>
        <w:ind w:left="527" w:right="46" w:hanging="527"/>
        <w:spacing w:before="4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[29]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Application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laparoscopy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 cancer[J].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Ann Transl Med, 2015, 3(9):126.</w:t>
      </w:r>
    </w:p>
    <w:p>
      <w:pPr>
        <w:ind w:left="525" w:right="29" w:hanging="525"/>
        <w:spacing w:before="39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[30]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Ryu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Prognostic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signiﬁcance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washing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cytology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ncer[J].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 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Surg, 2012, 99(3):397-4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03.</w:t>
      </w:r>
    </w:p>
    <w:p>
      <w:pPr>
        <w:pStyle w:val="BodyText"/>
        <w:ind w:left="530" w:right="27" w:hanging="531"/>
        <w:spacing w:before="39" w:line="28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[31]      Japanese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Association.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Japanese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Classiﬁcation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(The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14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7"/>
        </w:rPr>
        <w:t>th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Edition)[M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Tokyo: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金原出版株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式会社，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2010.</w:t>
      </w:r>
    </w:p>
    <w:p>
      <w:pPr>
        <w:ind w:left="527" w:right="45" w:hanging="527"/>
        <w:spacing w:before="37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[32]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Yonemura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Elnemr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Multidisciplinary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carcinomatosis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World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Gastrointest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2010,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2(2):85-97.</w:t>
      </w:r>
    </w:p>
    <w:p>
      <w:pPr>
        <w:spacing w:before="39" w:line="21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[33]      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Andrade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JP,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Mezhir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JJ.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The  critical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role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of 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eritoneal</w:t>
      </w:r>
    </w:p>
    <w:p>
      <w:pPr>
        <w:spacing w:line="210" w:lineRule="exact"/>
        <w:sectPr>
          <w:type w:val="continuous"/>
          <w:pgSz w:w="11906" w:h="16158"/>
          <w:pgMar w:top="1229" w:right="1032" w:bottom="0" w:left="407" w:header="767" w:footer="0" w:gutter="0"/>
          <w:cols w:equalWidth="0" w:num="2">
            <w:col w:w="5713" w:space="100"/>
            <w:col w:w="4653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121" w:lineRule="exact"/>
        <w:rPr/>
      </w:pPr>
      <w:r/>
    </w:p>
    <w:p>
      <w:pPr>
        <w:spacing w:line="121" w:lineRule="exact"/>
        <w:sectPr>
          <w:headerReference w:type="default" r:id="rId21"/>
          <w:pgSz w:w="11906" w:h="16158"/>
          <w:pgMar w:top="1229" w:right="1131" w:bottom="0" w:left="407" w:header="767" w:footer="0" w:gutter="0"/>
          <w:cols w:equalWidth="0" w:num="1">
            <w:col w:w="10366" w:space="0"/>
          </w:cols>
        </w:sectPr>
        <w:rPr/>
      </w:pPr>
    </w:p>
    <w:p>
      <w:pPr>
        <w:ind w:left="1209" w:right="369" w:firstLine="4"/>
        <w:spacing w:before="42" w:line="32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cytology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staging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cer: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evidence-based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review[J]. 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 Oncol, 2014,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110:291-297.</w:t>
      </w:r>
    </w:p>
    <w:p>
      <w:pPr>
        <w:ind w:left="1213" w:right="366" w:hanging="530"/>
        <w:spacing w:before="2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[34]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Yoo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Recurrence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following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curative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2000,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87(2):236-242.</w:t>
      </w:r>
    </w:p>
    <w:p>
      <w:pPr>
        <w:ind w:left="1208" w:right="363" w:hanging="525"/>
        <w:spacing w:before="39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[35]       Tanaka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Kumagai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Shimizu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Perit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metastasis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particular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erence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lymphatic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advan-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cement;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Extranodal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invasion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significant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 metastasis[J]. 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 Oncol, 2000, 75(3):165-1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71.</w:t>
      </w:r>
    </w:p>
    <w:p>
      <w:pPr>
        <w:ind w:left="1208" w:right="368" w:hanging="525"/>
        <w:spacing w:before="40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[36]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Huang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associated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metastasis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serosa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invasive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prospectively-col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lected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database[J].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BMC Cancer, 2013,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13:57.</w:t>
      </w:r>
    </w:p>
    <w:p>
      <w:pPr>
        <w:ind w:left="1213" w:right="364" w:hanging="530"/>
        <w:spacing w:before="54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[37]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Esaki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Hirayama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Hirokawa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patterns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metastasis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histologic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type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Cancer,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1990, 65(9):2086-2090.</w:t>
      </w:r>
    </w:p>
    <w:p>
      <w:pPr>
        <w:pStyle w:val="BodyText"/>
        <w:ind w:left="1218" w:right="366" w:hanging="535"/>
        <w:spacing w:before="63" w:line="254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[38]       </w:t>
      </w:r>
      <w:r>
        <w:rPr>
          <w:sz w:val="16"/>
          <w:szCs w:val="16"/>
          <w:color w:val="231F20"/>
          <w:spacing w:val="-1"/>
        </w:rPr>
        <w:t>季加孚．</w:t>
      </w:r>
      <w:r>
        <w:rPr>
          <w:sz w:val="16"/>
          <w:szCs w:val="16"/>
          <w:color w:val="231F20"/>
          <w:spacing w:val="-48"/>
        </w:rPr>
        <w:t xml:space="preserve"> </w:t>
      </w:r>
      <w:r>
        <w:rPr>
          <w:sz w:val="16"/>
          <w:szCs w:val="16"/>
          <w:color w:val="231F20"/>
          <w:spacing w:val="-1"/>
        </w:rPr>
        <w:t>胃肠道恶性</w:t>
      </w:r>
      <w:r>
        <w:rPr>
          <w:sz w:val="16"/>
          <w:szCs w:val="16"/>
          <w:color w:val="231F20"/>
          <w:spacing w:val="-2"/>
        </w:rPr>
        <w:t>肿瘤外科的无瘤技术和原则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2"/>
        </w:rPr>
        <w:t>．中国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实用外科杂志，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2005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25</w:t>
      </w:r>
      <w:r>
        <w:rPr>
          <w:sz w:val="16"/>
          <w:szCs w:val="16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4</w:t>
      </w:r>
      <w:r>
        <w:rPr>
          <w:sz w:val="16"/>
          <w:szCs w:val="16"/>
          <w:color w:val="231F20"/>
          <w:spacing w:val="-32"/>
        </w:rPr>
        <w:t>）：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254-256</w:t>
      </w:r>
      <w:r>
        <w:rPr>
          <w:sz w:val="16"/>
          <w:szCs w:val="16"/>
          <w:color w:val="231F20"/>
          <w:spacing w:val="-2"/>
        </w:rPr>
        <w:t>．</w:t>
      </w:r>
    </w:p>
    <w:p>
      <w:pPr>
        <w:ind w:left="1213" w:right="365" w:hanging="530"/>
        <w:spacing w:before="36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[39]       Oshima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T, Yamada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Hatori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Pharmacok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inetics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 S-1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dissemination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Oncol Rep, 2006,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16(2):361-366.</w:t>
      </w:r>
    </w:p>
    <w:p>
      <w:pPr>
        <w:pStyle w:val="BodyText"/>
        <w:ind w:left="1209" w:right="366" w:hanging="526"/>
        <w:spacing w:before="39" w:line="29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[40]       Sasako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Sakuramoto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Katai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Five-Year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Phase </w:t>
      </w:r>
      <w:r>
        <w:rPr>
          <w:sz w:val="16"/>
          <w:szCs w:val="16"/>
          <w:color w:val="231F20"/>
        </w:rPr>
        <w:t>Ⅲ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Comparing Ad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juvant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Chemo-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therapy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S-1 Versus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Surgery Alone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Stage  </w:t>
      </w:r>
      <w:r>
        <w:rPr>
          <w:sz w:val="16"/>
          <w:szCs w:val="16"/>
          <w:color w:val="231F20"/>
          <w:spacing w:val="-2"/>
        </w:rPr>
        <w:t>Ⅱ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or </w:t>
      </w:r>
      <w:r>
        <w:rPr>
          <w:sz w:val="16"/>
          <w:szCs w:val="16"/>
          <w:color w:val="231F20"/>
          <w:spacing w:val="-2"/>
        </w:rPr>
        <w:t>Ⅲ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Gast-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ric Cancer[J]. J Clin Oncol, 2011, 29(33):4387-4393.</w:t>
      </w:r>
    </w:p>
    <w:p>
      <w:pPr>
        <w:pStyle w:val="BodyText"/>
        <w:ind w:left="1214" w:right="366" w:hanging="531"/>
        <w:spacing w:before="39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[41]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Kanda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Murotani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Kobayashi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Postoperative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adjuvant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chemotherapy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recurrence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patterns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prognostic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amongpatients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stage  </w:t>
      </w:r>
      <w:r>
        <w:rPr>
          <w:sz w:val="16"/>
          <w:szCs w:val="16"/>
          <w:color w:val="231F20"/>
          <w:spacing w:val="-1"/>
        </w:rPr>
        <w:t>Ⅱ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/</w:t>
      </w:r>
      <w:r>
        <w:rPr>
          <w:sz w:val="16"/>
          <w:szCs w:val="16"/>
          <w:color w:val="231F20"/>
          <w:spacing w:val="-1"/>
        </w:rPr>
        <w:t>Ⅲ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cancer: A propensity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score matching analysis[J].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Surgery, 2015,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158(6):1573-1580.</w:t>
      </w:r>
    </w:p>
    <w:p>
      <w:pPr>
        <w:ind w:left="1208" w:right="365" w:hanging="525"/>
        <w:spacing w:before="38" w:line="31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[42]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Tsuburaya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Yoshida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Kobayashi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Sequential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paclitaxel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followed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tegafur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uracil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UFT)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UFT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monotherapy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adjuvant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chemotherapy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4a/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(SAMIT):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3fac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randomised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controlled trial[J]. Lancet Oncol, 2014,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15(8):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886-893.</w:t>
      </w:r>
    </w:p>
    <w:p>
      <w:pPr>
        <w:pStyle w:val="BodyText"/>
        <w:ind w:left="1213" w:right="366" w:hanging="530"/>
        <w:spacing w:before="39" w:line="2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[43]       Takahari D, Hamaguchi T,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Yoshimura K, et 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Survival 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adjuvant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chemothera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plus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cisplatin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stage  </w:t>
      </w:r>
      <w:r>
        <w:rPr>
          <w:sz w:val="16"/>
          <w:szCs w:val="16"/>
          <w:color w:val="231F20"/>
          <w:spacing w:val="-1"/>
        </w:rPr>
        <w:t>Ⅲ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 cancer[J]. Gastric Cancer,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2014,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17(2):383-386.</w:t>
      </w:r>
    </w:p>
    <w:p>
      <w:pPr>
        <w:pStyle w:val="BodyText"/>
        <w:ind w:left="1208" w:right="365" w:hanging="525"/>
        <w:spacing w:before="39" w:line="29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[44]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Fujitani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Tamura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Kimura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Three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5"/>
        </w:rPr>
        <w:t>Ⅱ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adjuvant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chemotherapy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S-1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plus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docetaxel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ge  </w:t>
      </w:r>
      <w:r>
        <w:rPr>
          <w:sz w:val="16"/>
          <w:szCs w:val="16"/>
          <w:color w:val="231F20"/>
          <w:spacing w:val="2"/>
        </w:rPr>
        <w:t>Ⅲ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gastriccancer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curative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D2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gastrectomy[J]. Gastric Cancer, 2014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17(2):348-353.</w:t>
      </w:r>
    </w:p>
    <w:p>
      <w:pPr>
        <w:pStyle w:val="BodyText"/>
        <w:ind w:left="1209" w:right="364" w:hanging="526"/>
        <w:spacing w:before="41" w:line="3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[45]       Yoon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S, Yoo C, Ryu MH, et al. Ph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ase 2 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adjuvant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chem-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docetaxel,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capecitabine,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isplatin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curativelyresected stage </w:t>
      </w:r>
      <w:r>
        <w:rPr>
          <w:sz w:val="16"/>
          <w:szCs w:val="16"/>
          <w:color w:val="231F20"/>
        </w:rPr>
        <w:t>Ⅲ</w:t>
      </w:r>
      <w:r>
        <w:rPr>
          <w:sz w:val="16"/>
          <w:szCs w:val="16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Ⅳ</w:t>
      </w:r>
      <w:r>
        <w:rPr>
          <w:sz w:val="16"/>
          <w:szCs w:val="16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astric cancer[J]. 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Cancer, 2017, 20(1):182-189.</w:t>
      </w:r>
    </w:p>
    <w:p>
      <w:pPr>
        <w:pStyle w:val="BodyText"/>
        <w:ind w:left="1214" w:right="320" w:hanging="531"/>
        <w:spacing w:before="67" w:line="26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[46]       </w:t>
      </w:r>
      <w:r>
        <w:rPr>
          <w:sz w:val="16"/>
          <w:szCs w:val="16"/>
          <w:color w:val="231F20"/>
          <w:spacing w:val="-3"/>
        </w:rPr>
        <w:t>梁寒．胃癌腹膜转移的诊治策略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4"/>
        </w:rPr>
        <w:t>．中国肿瘤临床，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2012</w:t>
      </w:r>
      <w:r>
        <w:rPr>
          <w:sz w:val="16"/>
          <w:szCs w:val="16"/>
          <w:color w:val="231F20"/>
          <w:spacing w:val="-4"/>
        </w:rPr>
        <w:t>，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39</w:t>
      </w:r>
      <w:r>
        <w:rPr>
          <w:sz w:val="16"/>
          <w:szCs w:val="16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22</w:t>
      </w:r>
      <w:r>
        <w:rPr>
          <w:sz w:val="16"/>
          <w:szCs w:val="16"/>
          <w:color w:val="231F20"/>
          <w:spacing w:val="-34"/>
        </w:rPr>
        <w:t>）：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1696-1698</w:t>
      </w:r>
      <w:r>
        <w:rPr>
          <w:sz w:val="16"/>
          <w:szCs w:val="16"/>
          <w:color w:val="231F20"/>
          <w:spacing w:val="-6"/>
        </w:rPr>
        <w:t>．</w:t>
      </w:r>
    </w:p>
    <w:p>
      <w:pPr>
        <w:ind w:left="1213" w:right="365" w:hanging="530"/>
        <w:spacing w:before="26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[47]      Yan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Black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Sugarbaker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meta-analysis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controll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trials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adjuvant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intraperitoneal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chemotherapy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resectable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 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ncol, 2007,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14(10):2702-2713.</w:t>
      </w:r>
    </w:p>
    <w:p>
      <w:pPr>
        <w:ind w:left="1209" w:right="349" w:hanging="526"/>
        <w:spacing w:before="39" w:line="30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[48]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Fujimoto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Takahashi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Mutou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Successful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intrape-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hyperthermic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chemoperfusion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vention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30" w:hanging="5"/>
        <w:spacing w:before="40" w:line="3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postoperative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recurrence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adv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anced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gastric carcinoma[J]. Cancer,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1999,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85(3):529-534.</w:t>
      </w:r>
    </w:p>
    <w:p>
      <w:pPr>
        <w:pStyle w:val="BodyText"/>
        <w:ind w:left="455" w:right="2" w:hanging="456"/>
        <w:spacing w:before="57" w:line="27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[49]      </w:t>
      </w:r>
      <w:r>
        <w:rPr>
          <w:sz w:val="16"/>
          <w:szCs w:val="16"/>
          <w:color w:val="231F20"/>
          <w:spacing w:val="8"/>
        </w:rPr>
        <w:t>朱正纲，汤睿，燕敏，</w:t>
      </w:r>
      <w:r>
        <w:rPr>
          <w:sz w:val="16"/>
          <w:szCs w:val="16"/>
          <w:color w:val="231F20"/>
          <w:spacing w:val="7"/>
        </w:rPr>
        <w:t>等．术中腹腔内温热化疗对进展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期胃癌的临床疗效研究</w:t>
      </w:r>
      <w:r>
        <w:rPr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4"/>
        </w:rPr>
        <w:t>．中华胃肠外科杂志，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2006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4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</w:t>
      </w:r>
      <w:r>
        <w:rPr>
          <w:sz w:val="16"/>
          <w:szCs w:val="16"/>
          <w:color w:val="231F20"/>
          <w:spacing w:val="-38"/>
        </w:rPr>
        <w:t>）：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26-30</w:t>
      </w:r>
      <w:r>
        <w:rPr>
          <w:sz w:val="16"/>
          <w:szCs w:val="16"/>
          <w:color w:val="231F20"/>
          <w:spacing w:val="-2"/>
        </w:rPr>
        <w:t>．</w:t>
      </w:r>
    </w:p>
    <w:p>
      <w:pPr>
        <w:ind w:left="525" w:right="1" w:hanging="525"/>
        <w:spacing w:before="24" w:line="31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[50]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Pyrh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Kuitunen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Nyandoto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Randomised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fluorouracil,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ep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idoxorubicin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methotrexate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(FEMTX)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plus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supportive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suppo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non-resectable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cancer[J]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Br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Cancer,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1995, 71(3):587-591.</w:t>
      </w:r>
    </w:p>
    <w:p>
      <w:pPr>
        <w:pStyle w:val="BodyText"/>
        <w:ind w:left="526" w:right="1" w:hanging="526"/>
        <w:spacing w:before="38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[51]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Cutsem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Moiseyenko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Tjulandin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Phase </w:t>
      </w:r>
      <w:r>
        <w:rPr>
          <w:sz w:val="16"/>
          <w:szCs w:val="16"/>
          <w:color w:val="231F20"/>
        </w:rPr>
        <w:t>Ⅲ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docetaxel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cisplatin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ﬂuorouracil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compared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cisplatin and ﬂuorouracil as ﬁrst-line 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325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Group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Oncol, 2006, 24(31):4991-4997.</w:t>
      </w:r>
    </w:p>
    <w:p>
      <w:pPr>
        <w:pStyle w:val="BodyText"/>
        <w:ind w:left="526" w:right="1" w:hanging="526"/>
        <w:spacing w:before="41" w:line="3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[52]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Koizumi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Narahara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S-1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cisplatin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alone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first-line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advanced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gast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 (SPIRITS trial): a 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</w:rPr>
        <w:t>Ⅲ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trial[J]. Lancet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Oncol,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8,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9(3):215-221.</w:t>
      </w:r>
    </w:p>
    <w:p>
      <w:pPr>
        <w:pStyle w:val="BodyText"/>
        <w:ind w:left="526" w:right="1" w:hanging="526"/>
        <w:spacing w:before="40" w:line="3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[53]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Yamada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Higuchi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Nishikawa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4"/>
        </w:rPr>
        <w:t>Ⅲ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comparing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oxaliplatin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cisplatin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plus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chemotherapy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ï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advanced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Ann Oncol, 2015, 26(1):141-148.</w:t>
      </w:r>
    </w:p>
    <w:p>
      <w:pPr>
        <w:pStyle w:val="BodyText"/>
        <w:ind w:left="526" w:right="1" w:hanging="526"/>
        <w:spacing w:before="38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[54]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Shirao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Boku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Yamada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sz w:val="16"/>
          <w:szCs w:val="16"/>
          <w:color w:val="231F20"/>
          <w:spacing w:val="3"/>
        </w:rPr>
        <w:t>Ⅲ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5-fluorouracil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ntinuous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infusion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sequential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methotrexate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5-ﬂuorouraci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 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advanced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metastasis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JCOG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0106)[J].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Jpn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Oncol, 2013, 43(10):972-980.</w:t>
      </w:r>
    </w:p>
    <w:p>
      <w:pPr>
        <w:ind w:left="528" w:hanging="528"/>
        <w:spacing w:before="40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[55]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Boku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Yamamoto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Fukuda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Fluorouracil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versus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combination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irinotecan plus cisplatin versus 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 in metastatic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arandomised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2009,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10(11):1063-1069.</w:t>
      </w:r>
    </w:p>
    <w:p>
      <w:pPr>
        <w:ind w:left="526" w:hanging="526"/>
        <w:spacing w:before="38" w:line="31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[56]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Fuchs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Tomasek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Ramucirumab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monot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 previously 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advanced 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 gastro-oesop-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hageal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junctionadenocarcinoma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REGARD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international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multicentre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placebo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controlled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Lancet, 2014, 383(9911):31-39.</w:t>
      </w:r>
    </w:p>
    <w:p>
      <w:pPr>
        <w:ind w:left="525" w:right="1" w:hanging="525"/>
        <w:spacing w:before="39" w:line="31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[57]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Wilke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Cutsem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Ramucirumab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plus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paclitaxel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placebo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plus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paclitaxel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previo-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usly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advancedgastric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gastro-oesophageal jun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adenocarcinoma (RAINBOW): a double-blind, randomised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 xml:space="preserve"> 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3 trial[J]. Lancet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Oncol, 2014,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15(11):1224-1235.</w:t>
      </w:r>
    </w:p>
    <w:p>
      <w:pPr>
        <w:pStyle w:val="BodyText"/>
        <w:ind w:left="525" w:right="1" w:hanging="525"/>
        <w:spacing w:before="38" w:line="31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[58]      Hironaka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Ueda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Yasui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Randomized,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open-label,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Ⅲ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comparing irinotecan with paclitaxel in patients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advanced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without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severe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prior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combination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chemotherapy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usingfl-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uoropyrimidine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platinum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WJOG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4007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Oncol, 2013, 31(35):4438-4444.</w:t>
      </w:r>
    </w:p>
    <w:p>
      <w:pPr>
        <w:pStyle w:val="BodyText"/>
        <w:ind w:left="526" w:hanging="526"/>
        <w:spacing w:before="40" w:line="3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[59]      Narahara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Iishi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Imamura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-1"/>
        </w:rPr>
        <w:t>Ⅲ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comparing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ﬁcacy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irinotecan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plus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S-1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wit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S-1alone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ﬁrst-line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advanced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(study GC0301/TOP-002)[J]. Gastric Cancer, 2011,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14(1):72-80.</w:t>
      </w:r>
    </w:p>
    <w:p>
      <w:pPr>
        <w:pStyle w:val="BodyText"/>
        <w:ind w:left="533" w:right="2" w:hanging="533"/>
        <w:spacing w:before="39" w:line="28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[60]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Nishina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Boku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Gotoh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Randomized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 </w:t>
      </w:r>
      <w:r>
        <w:rPr>
          <w:sz w:val="16"/>
          <w:szCs w:val="16"/>
          <w:color w:val="231F20"/>
          <w:spacing w:val="4"/>
        </w:rPr>
        <w:t>Ⅱ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second-line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chemotherapy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available</w:t>
      </w:r>
    </w:p>
    <w:p>
      <w:pPr>
        <w:spacing w:line="282" w:lineRule="auto"/>
        <w:sectPr>
          <w:type w:val="continuous"/>
          <w:pgSz w:w="11906" w:h="16158"/>
          <w:pgMar w:top="1229" w:right="1131" w:bottom="0" w:left="407" w:header="767" w:footer="0" w:gutter="0"/>
          <w:cols w:equalWidth="0" w:num="2">
            <w:col w:w="5657" w:space="100"/>
            <w:col w:w="4610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22"/>
          <w:pgSz w:w="11906" w:h="16158"/>
          <w:pgMar w:top="1229" w:right="1061" w:bottom="0" w:left="407" w:header="767" w:footer="0" w:gutter="0"/>
          <w:cols w:equalWidth="0" w:num="1">
            <w:col w:w="10436" w:space="0"/>
          </w:cols>
        </w:sectPr>
        <w:rPr/>
      </w:pPr>
    </w:p>
    <w:p>
      <w:pPr>
        <w:ind w:left="1265" w:right="365" w:firstLine="6"/>
        <w:spacing w:before="42" w:line="315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5-fluorouracil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regimen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versusweekly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administration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pacl-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itaxel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advanced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severe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metastases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refractory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5-fluorouracil-containing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regimens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(JCOG0407)[J]. Gastric Cancer, 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16,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19(3):902-910.</w:t>
      </w:r>
    </w:p>
    <w:p>
      <w:pPr>
        <w:pStyle w:val="BodyText"/>
        <w:ind w:left="1266" w:right="364" w:hanging="528"/>
        <w:spacing w:before="33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[61]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Moehler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EimermacherA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Siebler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Randomised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phase </w:t>
      </w:r>
      <w:r>
        <w:rPr>
          <w:sz w:val="16"/>
          <w:szCs w:val="16"/>
          <w:color w:val="231F20"/>
          <w:spacing w:val="12"/>
        </w:rPr>
        <w:t>Ⅱ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evaluation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irinotecan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high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5-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fluorouracil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leucovorin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ILF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5-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fluorouracil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leucovorin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etoposide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untreated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metastatic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2005, 92(12):2122-2128.</w:t>
      </w:r>
    </w:p>
    <w:p>
      <w:pPr>
        <w:pStyle w:val="BodyText"/>
        <w:ind w:left="1265" w:right="350" w:hanging="527"/>
        <w:spacing w:before="40" w:line="3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[62]       Ishigami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Fujiwara 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Fukushima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Phase </w:t>
      </w:r>
      <w:r>
        <w:rPr>
          <w:sz w:val="16"/>
          <w:szCs w:val="16"/>
          <w:color w:val="231F20"/>
          <w:spacing w:val="-1"/>
        </w:rPr>
        <w:t>Ⅲ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intraperitoneal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paclitaxel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plus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S-1/paclitaxel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compared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S-1/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cisplatin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tasis: PHOENIX-GC trial[C]. Chicago: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ASCO, 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016.</w:t>
      </w:r>
    </w:p>
    <w:p>
      <w:pPr>
        <w:pStyle w:val="BodyText"/>
        <w:ind w:left="1266" w:right="322" w:hanging="528"/>
        <w:spacing w:before="62" w:line="27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[63]      </w:t>
      </w:r>
      <w:r>
        <w:rPr>
          <w:sz w:val="16"/>
          <w:szCs w:val="16"/>
          <w:color w:val="231F20"/>
          <w:spacing w:val="3"/>
        </w:rPr>
        <w:t>李燕，李洁，张晓东，等．腹腔联合全</w:t>
      </w:r>
      <w:r>
        <w:rPr>
          <w:sz w:val="16"/>
          <w:szCs w:val="16"/>
          <w:color w:val="231F20"/>
          <w:spacing w:val="2"/>
        </w:rPr>
        <w:t>身化疗治疗胃肠道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恶性肿瘤并发腹腔积液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81 </w:t>
      </w:r>
      <w:r>
        <w:rPr>
          <w:sz w:val="16"/>
          <w:szCs w:val="16"/>
          <w:color w:val="231F20"/>
          <w:spacing w:val="-2"/>
        </w:rPr>
        <w:t>例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2"/>
        </w:rPr>
        <w:t>．肿瘤研究与临床，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2009</w:t>
      </w:r>
      <w:r>
        <w:rPr>
          <w:sz w:val="16"/>
          <w:szCs w:val="16"/>
          <w:color w:val="231F20"/>
          <w:spacing w:val="-2"/>
        </w:rPr>
        <w:t>，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21</w:t>
      </w:r>
      <w:r>
        <w:rPr>
          <w:sz w:val="16"/>
          <w:szCs w:val="16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</w:t>
      </w:r>
      <w:r>
        <w:rPr>
          <w:sz w:val="16"/>
          <w:szCs w:val="16"/>
          <w:color w:val="231F20"/>
          <w:spacing w:val="-33"/>
        </w:rPr>
        <w:t>）：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52-53</w:t>
      </w:r>
      <w:r>
        <w:rPr>
          <w:sz w:val="16"/>
          <w:szCs w:val="16"/>
          <w:color w:val="231F20"/>
          <w:spacing w:val="-2"/>
        </w:rPr>
        <w:t>．</w:t>
      </w:r>
    </w:p>
    <w:p>
      <w:pPr>
        <w:pStyle w:val="BodyText"/>
        <w:ind w:left="1268" w:right="321" w:hanging="530"/>
        <w:spacing w:before="47" w:line="264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[64]      </w:t>
      </w:r>
      <w:r>
        <w:rPr>
          <w:sz w:val="16"/>
          <w:szCs w:val="16"/>
          <w:color w:val="231F20"/>
          <w:spacing w:val="3"/>
        </w:rPr>
        <w:t>黄万中，蒋华，刘燕文，等．多西紫杉</w:t>
      </w:r>
      <w:r>
        <w:rPr>
          <w:sz w:val="16"/>
          <w:szCs w:val="16"/>
          <w:color w:val="231F20"/>
          <w:spacing w:val="2"/>
        </w:rPr>
        <w:t>醇腹腔灌注化疗治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0"/>
        </w:rPr>
        <w:t>疗晚期胃癌Ⅱ期临床研究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10"/>
        </w:rPr>
        <w:t>．</w:t>
      </w:r>
      <w:r>
        <w:rPr>
          <w:sz w:val="16"/>
          <w:szCs w:val="16"/>
          <w:color w:val="231F20"/>
          <w:spacing w:val="-40"/>
        </w:rPr>
        <w:t xml:space="preserve"> </w:t>
      </w:r>
      <w:r>
        <w:rPr>
          <w:sz w:val="16"/>
          <w:szCs w:val="16"/>
          <w:color w:val="231F20"/>
          <w:spacing w:val="-10"/>
        </w:rPr>
        <w:t>现代肿瘤医学，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>2011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10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>19</w:t>
      </w:r>
      <w:r>
        <w:rPr>
          <w:sz w:val="16"/>
          <w:szCs w:val="16"/>
          <w:color w:val="231F20"/>
          <w:spacing w:val="-10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>5</w:t>
      </w:r>
      <w:r>
        <w:rPr>
          <w:sz w:val="16"/>
          <w:szCs w:val="16"/>
          <w:color w:val="231F20"/>
          <w:spacing w:val="-39"/>
          <w:w w:val="90"/>
        </w:rPr>
        <w:t>）：</w:t>
      </w:r>
      <w:r>
        <w:rPr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960-963</w:t>
      </w:r>
      <w:r>
        <w:rPr>
          <w:sz w:val="16"/>
          <w:szCs w:val="16"/>
          <w:color w:val="231F20"/>
          <w:spacing w:val="-1"/>
        </w:rPr>
        <w:t>．</w:t>
      </w:r>
    </w:p>
    <w:p>
      <w:pPr>
        <w:pStyle w:val="BodyText"/>
        <w:ind w:left="1269" w:right="367" w:hanging="531"/>
        <w:spacing w:before="67" w:line="25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[65]      </w:t>
      </w:r>
      <w:r>
        <w:rPr>
          <w:sz w:val="16"/>
          <w:szCs w:val="16"/>
          <w:color w:val="231F20"/>
          <w:spacing w:val="3"/>
        </w:rPr>
        <w:t>李翔．紫杉醇腹腔灌注化疗治疗胃癌恶性</w:t>
      </w:r>
      <w:r>
        <w:rPr>
          <w:sz w:val="16"/>
          <w:szCs w:val="16"/>
          <w:color w:val="231F20"/>
          <w:spacing w:val="2"/>
        </w:rPr>
        <w:t>腹腔积液的临床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3"/>
        </w:rPr>
        <w:t>研究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3"/>
        </w:rPr>
        <w:t>．江西医药，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2015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50</w:t>
      </w:r>
      <w:r>
        <w:rPr>
          <w:sz w:val="16"/>
          <w:szCs w:val="16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5</w:t>
      </w:r>
      <w:r>
        <w:rPr>
          <w:sz w:val="16"/>
          <w:szCs w:val="16"/>
          <w:color w:val="231F20"/>
          <w:spacing w:val="-29"/>
        </w:rPr>
        <w:t>）：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390-393</w:t>
      </w:r>
      <w:r>
        <w:rPr>
          <w:sz w:val="16"/>
          <w:szCs w:val="16"/>
          <w:color w:val="231F20"/>
          <w:spacing w:val="-3"/>
        </w:rPr>
        <w:t>．</w:t>
      </w:r>
    </w:p>
    <w:p>
      <w:pPr>
        <w:ind w:left="1264" w:right="363" w:hanging="526"/>
        <w:spacing w:before="43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[66]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Fujitani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Mizusawa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Gastrectomy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plus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chemotherapy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chemotherapy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advanced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single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non-curable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factor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(REGATTA):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3,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randomised controlled trial[J]. Lance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 Oncol, 2016,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17(3):309-318.</w:t>
      </w:r>
    </w:p>
    <w:p>
      <w:pPr>
        <w:ind w:left="1265" w:right="365" w:hanging="527"/>
        <w:spacing w:before="40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[67]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Feingold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Kwong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MLM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Sabesan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Cytoreductive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hyperthermic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intraperitoneal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chemotherapy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other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less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common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histologies: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time?[J]. J Gastrointest Oncol, 2016, 7(1):87-98.</w:t>
      </w:r>
    </w:p>
    <w:p>
      <w:pPr>
        <w:ind w:left="1265" w:right="366" w:hanging="527"/>
        <w:spacing w:before="39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[68]       Sangisetty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SL, Miner TJ. Malignant asci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tes: A review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progn-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ostic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factors,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pathophysiology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therapeutic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measures[J].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World J Gastrointest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2012, 4(4):87-95.</w:t>
      </w:r>
    </w:p>
    <w:p>
      <w:pPr>
        <w:ind w:left="1266" w:right="365" w:hanging="528"/>
        <w:spacing w:before="39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[69]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Saif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Siddiqui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Sohail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ascites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gastrointestinal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malignancy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[J].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Saudi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2009,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29(5):369-377.</w:t>
      </w:r>
    </w:p>
    <w:p>
      <w:pPr>
        <w:ind w:left="1265" w:right="349" w:hanging="527"/>
        <w:spacing w:before="39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[70]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significance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minimal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ascites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World J Gastroenterol, 2015,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11(42):6587-6592.</w:t>
      </w:r>
    </w:p>
    <w:p>
      <w:pPr>
        <w:ind w:left="1268" w:right="365" w:hanging="530"/>
        <w:spacing w:before="4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[71]      Maeda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Kobayashi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Sakamoto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Evaluati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 malignant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ascites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secondary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cancer[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World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J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31"/>
        <w:spacing w:before="40" w:line="21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Gastroenterol, 2015, 21(39):10936-10947.</w:t>
      </w:r>
    </w:p>
    <w:p>
      <w:pPr>
        <w:ind w:left="525" w:hanging="526"/>
        <w:spacing w:before="39" w:line="30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[72]       Smith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Jayson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GC.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current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future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malignant ascites[J]. Clin Oncol, 2003,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(2):59-72.</w:t>
      </w:r>
    </w:p>
    <w:p>
      <w:pPr>
        <w:ind w:left="525" w:right="15" w:hanging="525"/>
        <w:spacing w:before="40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[73]      O'Neill  MJ,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Weissleder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Gervais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Tunneled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catheter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placement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under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sonographic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ﬂuorosc-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opic guidance in the palliative treatment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malignant ascite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 J Roentgenol, 2001,177(3):615-618.</w:t>
      </w:r>
    </w:p>
    <w:p>
      <w:pPr>
        <w:ind w:left="525" w:right="14" w:hanging="525"/>
        <w:spacing w:before="40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[74]      Barnett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Rubins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Placement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permanent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tunneled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drainage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catheter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 palliation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malignant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ascites: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simplified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percutaneous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approach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Interv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Radiol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2002,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13(4):379-383.</w:t>
      </w:r>
    </w:p>
    <w:p>
      <w:pPr>
        <w:pStyle w:val="BodyText"/>
        <w:ind w:left="455" w:right="16" w:hanging="455"/>
        <w:spacing w:before="62" w:line="27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[75]       </w:t>
      </w:r>
      <w:r>
        <w:rPr>
          <w:sz w:val="16"/>
          <w:szCs w:val="16"/>
          <w:color w:val="231F20"/>
          <w:spacing w:val="1"/>
        </w:rPr>
        <w:t>张岂凡，郑宏群，孙凌宇，</w:t>
      </w:r>
      <w:r>
        <w:rPr>
          <w:sz w:val="16"/>
          <w:szCs w:val="16"/>
          <w:color w:val="231F20"/>
        </w:rPr>
        <w:t>等．</w:t>
      </w:r>
      <w:r>
        <w:rPr>
          <w:sz w:val="16"/>
          <w:szCs w:val="16"/>
          <w:color w:val="231F20"/>
          <w:spacing w:val="-46"/>
        </w:rPr>
        <w:t xml:space="preserve"> </w:t>
      </w:r>
      <w:r>
        <w:rPr>
          <w:sz w:val="16"/>
          <w:szCs w:val="16"/>
          <w:color w:val="231F20"/>
        </w:rPr>
        <w:t>胃癌腹腔转移所致恶性肠 </w:t>
      </w:r>
      <w:r>
        <w:rPr>
          <w:sz w:val="16"/>
          <w:szCs w:val="16"/>
          <w:color w:val="231F20"/>
          <w:spacing w:val="1"/>
        </w:rPr>
        <w:t>梗阻的诊治及营养支持策略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1"/>
        </w:rPr>
        <w:t>．中国肿瘤临床，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2014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41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12</w:t>
      </w:r>
      <w:r>
        <w:rPr>
          <w:sz w:val="16"/>
          <w:szCs w:val="16"/>
          <w:color w:val="231F20"/>
          <w:spacing w:val="-35"/>
        </w:rPr>
        <w:t>）：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749-752</w:t>
      </w:r>
      <w:r>
        <w:rPr>
          <w:sz w:val="16"/>
          <w:szCs w:val="16"/>
          <w:color w:val="231F20"/>
          <w:spacing w:val="-2"/>
        </w:rPr>
        <w:t>．</w:t>
      </w:r>
    </w:p>
    <w:p>
      <w:pPr>
        <w:ind w:left="527" w:right="16" w:hanging="528"/>
        <w:spacing w:before="25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[76]      O'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Connor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Creedon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Pharmacological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obstruction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Expert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Opin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Pharmacother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2011,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12(14):2205-2214.</w:t>
      </w:r>
    </w:p>
    <w:p>
      <w:pPr>
        <w:ind w:left="527" w:right="16" w:hanging="528"/>
        <w:spacing w:before="40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[77]       Watari H, Hosaka M, Wakui Y, et al.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prospective 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on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efﬁcacy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of octreotide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of malignant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obstruction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gynecologic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cancer[J].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Cancer,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2012, 22(4):692-696.</w:t>
      </w:r>
    </w:p>
    <w:p>
      <w:pPr>
        <w:ind w:left="530" w:right="15" w:hanging="531"/>
        <w:spacing w:before="4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[78]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Prommer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Anticholinergics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palliative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medicine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upd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ate[J].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 J Hosp Palliat Care, 2013, 30(5):490-498.</w:t>
      </w:r>
    </w:p>
    <w:p>
      <w:pPr>
        <w:ind w:left="525" w:right="15" w:hanging="526"/>
        <w:spacing w:before="39" w:line="30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[79]       Olson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TJP,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Pinkerton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Brasel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Palliative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malignant 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obstruction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carcinomatosis: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review[J]. JAMA Surg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2014,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149(4):383-392.</w:t>
      </w:r>
    </w:p>
    <w:p>
      <w:pPr>
        <w:ind w:left="525" w:right="15" w:hanging="526"/>
        <w:spacing w:before="40" w:line="31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[80]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Ku YS,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Jeon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efﬁcacy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of self-expanding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 malignant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colorectal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obstruction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by noncolonic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malignancy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carcinomatosis[J]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Colon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Rectum, 2013, 56(11):1228-1232.</w:t>
      </w:r>
    </w:p>
    <w:p>
      <w:pPr>
        <w:ind w:left="525" w:right="13" w:hanging="526"/>
        <w:spacing w:before="40" w:line="30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[81]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Tuca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Guell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Martinez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Losada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Malignant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obstruction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advanced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pat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ients: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epidemiology,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management, and factors inﬂuencing spontaneous resolution[J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Cancer Manag Res, 2012, 4:159-169.</w:t>
      </w:r>
    </w:p>
    <w:p>
      <w:pPr>
        <w:ind w:left="525" w:right="15" w:hanging="526"/>
        <w:spacing w:before="53" w:line="31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[82]       Iwasa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Goto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Yasui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Multicenter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feasibility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stu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combination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ﬂ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uorouracil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leucovorin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pacli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taxel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(FLTAX)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peritoneal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disseminated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gastric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cancer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massive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ascites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inadequate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intake[J].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Jpn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Oncol,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2012, 42(9):787-793.</w:t>
      </w:r>
    </w:p>
    <w:p>
      <w:pPr>
        <w:pStyle w:val="BodyText"/>
        <w:ind w:right="16"/>
        <w:spacing w:before="63" w:line="219" w:lineRule="auto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收稿日期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2017-04-26</w:t>
      </w:r>
    </w:p>
    <w:sectPr>
      <w:type w:val="continuous"/>
      <w:pgSz w:w="11906" w:h="16158"/>
      <w:pgMar w:top="1229" w:right="1061" w:bottom="0" w:left="407" w:header="767" w:footer="0" w:gutter="0"/>
      <w:cols w:equalWidth="0" w:num="2">
        <w:col w:w="5713" w:space="100"/>
        <w:col w:w="462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4"/>
      <w:spacing w:before="67" w:line="179" w:lineRule="auto"/>
      <w:rPr>
        <w:rFonts w:ascii="Times New Roman" w:hAnsi="Times New Roman" w:eastAsia="Times New Roman" w:cs="Times New Roman"/>
        <w:sz w:val="30"/>
        <w:szCs w:val="30"/>
      </w:rPr>
    </w:pPr>
    <w:r>
      <w:pict>
        <v:shape id="WordPictureWatermark14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肿瘤综合治疗电子杂志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7"/>
        <w:position w:val="2"/>
      </w:rPr>
      <w:t>2017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年第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7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卷第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7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期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7"/>
        <w:position w:val="2"/>
      </w:rPr>
      <w:t xml:space="preserve">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7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7"/>
        <w:position w:val="-3"/>
      </w:rPr>
      <w:t>中国循证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7"/>
        <w:position w:val="-3"/>
      </w:rPr>
      <w:t>指南共识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67"/>
        <w:w w:val="101"/>
        <w:position w:val="-3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7"/>
        <w:position w:val="2"/>
      </w:rPr>
      <w:t>●  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  <w:position w:val="2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color w:val="231F20"/>
        <w:spacing w:val="6"/>
        <w:position w:val="-4"/>
      </w:rPr>
      <w:t>15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" style="position:absolute;margin-left:20.4pt;margin-top:780.47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8" style="position:absolute;margin-left:20.4pt;margin-top:780.47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0" style="position:absolute;margin-left:20.4pt;margin-top:780.474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6"/>
      <w:spacing w:before="67" w:line="179" w:lineRule="auto"/>
      <w:jc w:val="right"/>
      <w:rPr>
        <w:rFonts w:ascii="Times New Roman" w:hAnsi="Times New Roman" w:eastAsia="Times New Roman" w:cs="Times New Roman"/>
        <w:sz w:val="30"/>
        <w:szCs w:val="30"/>
      </w:rPr>
    </w:pPr>
    <w:r>
      <w:pict>
        <v:shape id="WordPictureWatermark22" style="position:absolute;margin-left:20.4pt;margin-top:780.474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肿瘤综合治疗电子杂志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7"/>
        <w:position w:val="2"/>
      </w:rPr>
      <w:t>2017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年第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7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卷第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7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期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7"/>
        <w:position w:val="2"/>
      </w:rPr>
      <w:t xml:space="preserve">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7"/>
        <w:position w:val="2"/>
      </w:rPr>
      <w:t>● 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7"/>
        <w:position w:val="-3"/>
      </w:rPr>
      <w:t>中国循证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7"/>
        <w:position w:val="-3"/>
      </w:rPr>
      <w:t>指南共识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67"/>
        <w:w w:val="101"/>
        <w:position w:val="-3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7"/>
        <w:position w:val="2"/>
      </w:rPr>
      <w:t>●  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  <w:position w:val="2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color w:val="231F20"/>
        <w:spacing w:val="6"/>
        <w:position w:val="-4"/>
      </w:rPr>
      <w:t>19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7" w:line="179" w:lineRule="auto"/>
      <w:jc w:val="right"/>
      <w:rPr>
        <w:rFonts w:ascii="Microsoft YaHei" w:hAnsi="Microsoft YaHei" w:eastAsia="Microsoft YaHei" w:cs="Microsoft YaHei"/>
        <w:sz w:val="21"/>
        <w:szCs w:val="21"/>
      </w:rPr>
    </w:pPr>
    <w:r>
      <w:pict>
        <v:shape id="WordPictureWatermark24" style="position:absolute;margin-left:20.4pt;margin-top:780.474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rPr>
        <w:rFonts w:ascii="Times New Roman" w:hAnsi="Times New Roman" w:eastAsia="Times New Roman" w:cs="Times New Roman"/>
        <w:sz w:val="30"/>
        <w:szCs w:val="30"/>
        <w:color w:val="231F20"/>
        <w:spacing w:val="6"/>
        <w:position w:val="-4"/>
      </w:rPr>
      <w:t>20</w:t>
    </w:r>
    <w:r>
      <w:rPr>
        <w:rFonts w:ascii="Times New Roman" w:hAnsi="Times New Roman" w:eastAsia="Times New Roman" w:cs="Times New Roman"/>
        <w:sz w:val="30"/>
        <w:szCs w:val="30"/>
        <w:color w:val="231F20"/>
        <w:spacing w:val="4"/>
        <w:position w:val="-4"/>
      </w:rPr>
      <w:t xml:space="preserve">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  <w:position w:val="2"/>
      </w:rPr>
      <w:t>●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6"/>
        <w:position w:val="-3"/>
      </w:rPr>
      <w:t>中国循证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6"/>
        <w:position w:val="-3"/>
      </w:rPr>
      <w:t>指南共识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69"/>
        <w:position w:val="-3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  <w:position w:val="2"/>
      </w:rPr>
      <w:t>●        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5"/>
        <w:position w:val="2"/>
      </w:rPr>
      <w:t xml:space="preserve">                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-58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5"/>
        <w:position w:val="2"/>
      </w:rPr>
      <w:t>肿瘤综合治疗电子杂志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5"/>
        <w:position w:val="2"/>
      </w:rPr>
      <w:t>2017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5"/>
        <w:position w:val="2"/>
      </w:rPr>
      <w:t>年第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5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5"/>
        <w:position w:val="2"/>
      </w:rPr>
      <w:t>卷第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5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5"/>
        <w:position w:val="2"/>
      </w:rPr>
      <w:t>期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7" w:line="179" w:lineRule="auto"/>
      <w:jc w:val="right"/>
      <w:rPr>
        <w:rFonts w:ascii="Times New Roman" w:hAnsi="Times New Roman" w:eastAsia="Times New Roman" w:cs="Times New Roman"/>
        <w:sz w:val="30"/>
        <w:szCs w:val="30"/>
      </w:rPr>
    </w:pPr>
    <w:r>
      <w:pict>
        <v:shape id="WordPictureWatermark26" style="position:absolute;margin-left:20.4pt;margin-top:780.474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肿瘤综合治疗电子杂志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7"/>
        <w:position w:val="2"/>
      </w:rPr>
      <w:t>2017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年第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7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卷第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7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期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7"/>
        <w:position w:val="2"/>
      </w:rPr>
      <w:t xml:space="preserve">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7"/>
        <w:position w:val="2"/>
      </w:rPr>
      <w:t>●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  <w:position w:val="2"/>
      </w:rPr>
      <w:t xml:space="preserve">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6"/>
        <w:position w:val="-3"/>
      </w:rPr>
      <w:t>中国循证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6"/>
        <w:position w:val="-3"/>
      </w:rPr>
      <w:t>指南共识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68"/>
        <w:position w:val="-3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  <w:position w:val="2"/>
      </w:rPr>
      <w:t>●         </w:t>
    </w:r>
    <w:r>
      <w:rPr>
        <w:rFonts w:ascii="Times New Roman" w:hAnsi="Times New Roman" w:eastAsia="Times New Roman" w:cs="Times New Roman"/>
        <w:sz w:val="30"/>
        <w:szCs w:val="30"/>
        <w:color w:val="231F20"/>
        <w:spacing w:val="6"/>
        <w:position w:val="-4"/>
      </w:rPr>
      <w:t>21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5"/>
      <w:spacing w:before="67" w:line="179" w:lineRule="auto"/>
      <w:jc w:val="right"/>
      <w:rPr>
        <w:rFonts w:ascii="Microsoft YaHei" w:hAnsi="Microsoft YaHei" w:eastAsia="Microsoft YaHei" w:cs="Microsoft YaHei"/>
        <w:sz w:val="21"/>
        <w:szCs w:val="21"/>
      </w:rPr>
    </w:pPr>
    <w:r>
      <w:pict>
        <v:shape id="WordPictureWatermark56" style="position:absolute;margin-left:20.4pt;margin-top:780.474pt;mso-position-vertical-relative:page;mso-position-horizontal-relative:page;width:475.5pt;height:9.7pt;z-index:-251649024;" o:allowincell="f" filled="false" stroked="false" type="#_x0000_t75">
          <v:imagedata o:title="" r:id="rId1"/>
        </v:shape>
      </w:pict>
    </w:r>
    <w:r>
      <w:rPr>
        <w:rFonts w:ascii="Times New Roman" w:hAnsi="Times New Roman" w:eastAsia="Times New Roman" w:cs="Times New Roman"/>
        <w:sz w:val="30"/>
        <w:szCs w:val="30"/>
        <w:color w:val="231F20"/>
        <w:spacing w:val="6"/>
        <w:position w:val="-4"/>
      </w:rPr>
      <w:t>22</w:t>
    </w:r>
    <w:r>
      <w:rPr>
        <w:rFonts w:ascii="Times New Roman" w:hAnsi="Times New Roman" w:eastAsia="Times New Roman" w:cs="Times New Roman"/>
        <w:sz w:val="30"/>
        <w:szCs w:val="30"/>
        <w:color w:val="231F20"/>
        <w:spacing w:val="4"/>
        <w:position w:val="-4"/>
      </w:rPr>
      <w:t xml:space="preserve">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  <w:position w:val="2"/>
      </w:rPr>
      <w:t>●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6"/>
        <w:position w:val="-3"/>
      </w:rPr>
      <w:t>中国循证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6"/>
        <w:position w:val="-3"/>
      </w:rPr>
      <w:t>指南共识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69"/>
        <w:position w:val="-3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  <w:position w:val="2"/>
      </w:rPr>
      <w:t>●        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5"/>
        <w:position w:val="2"/>
      </w:rPr>
      <w:t xml:space="preserve">                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-58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5"/>
        <w:position w:val="2"/>
      </w:rPr>
      <w:t>肿瘤综合治疗电子杂志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5"/>
        <w:position w:val="2"/>
      </w:rPr>
      <w:t>2017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5"/>
        <w:position w:val="2"/>
      </w:rPr>
      <w:t>年第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5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5"/>
        <w:position w:val="2"/>
      </w:rPr>
      <w:t>卷第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5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5"/>
        <w:position w:val="2"/>
      </w:rPr>
      <w:t>期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7" w:line="179" w:lineRule="auto"/>
      <w:jc w:val="right"/>
      <w:rPr>
        <w:rFonts w:ascii="Times New Roman" w:hAnsi="Times New Roman" w:eastAsia="Times New Roman" w:cs="Times New Roman"/>
        <w:sz w:val="30"/>
        <w:szCs w:val="30"/>
      </w:rPr>
    </w:pPr>
    <w:r>
      <w:pict>
        <v:shape id="WordPictureWatermark58" style="position:absolute;margin-left:20.4pt;margin-top:780.474pt;mso-position-vertical-relative:page;mso-position-horizontal-relative:page;width:475.5pt;height:9.7pt;z-index:-25164800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肿瘤综合治疗电子杂志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7"/>
        <w:position w:val="2"/>
      </w:rPr>
      <w:t>2017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年第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7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卷第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7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7"/>
        <w:position w:val="2"/>
      </w:rPr>
      <w:t>期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7"/>
        <w:position w:val="2"/>
      </w:rPr>
      <w:t xml:space="preserve">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7"/>
        <w:position w:val="2"/>
      </w:rPr>
      <w:t>●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  <w:position w:val="2"/>
      </w:rPr>
      <w:t xml:space="preserve">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6"/>
        <w:position w:val="-3"/>
      </w:rPr>
      <w:t>中国循证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6"/>
        <w:position w:val="-3"/>
      </w:rPr>
      <w:t>指南共识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68"/>
        <w:position w:val="-3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  <w:position w:val="2"/>
      </w:rPr>
      <w:t>●         </w:t>
    </w:r>
    <w:r>
      <w:rPr>
        <w:rFonts w:ascii="Times New Roman" w:hAnsi="Times New Roman" w:eastAsia="Times New Roman" w:cs="Times New Roman"/>
        <w:sz w:val="30"/>
        <w:szCs w:val="30"/>
        <w:color w:val="231F20"/>
        <w:spacing w:val="6"/>
        <w:position w:val="-4"/>
      </w:rPr>
      <w:t>23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before="67" w:line="179" w:lineRule="auto"/>
      <w:jc w:val="right"/>
      <w:rPr>
        <w:rFonts w:ascii="Microsoft YaHei" w:hAnsi="Microsoft YaHei" w:eastAsia="Microsoft YaHei" w:cs="Microsoft YaHei"/>
        <w:sz w:val="21"/>
        <w:szCs w:val="21"/>
      </w:rPr>
    </w:pPr>
    <w:r>
      <w:pict>
        <v:shape id="WordPictureWatermark60" style="position:absolute;margin-left:20.4pt;margin-top:780.474pt;mso-position-vertical-relative:page;mso-position-horizontal-relative:page;width:475.5pt;height:9.7pt;z-index:-251646976;" o:allowincell="f" filled="false" stroked="false" type="#_x0000_t75">
          <v:imagedata o:title="" r:id="rId1"/>
        </v:shape>
      </w:pict>
    </w:r>
    <w:r>
      <w:rPr>
        <w:rFonts w:ascii="Times New Roman" w:hAnsi="Times New Roman" w:eastAsia="Times New Roman" w:cs="Times New Roman"/>
        <w:sz w:val="30"/>
        <w:szCs w:val="30"/>
        <w:color w:val="231F20"/>
        <w:spacing w:val="6"/>
        <w:position w:val="-4"/>
      </w:rPr>
      <w:t>24</w:t>
    </w:r>
    <w:r>
      <w:rPr>
        <w:rFonts w:ascii="Times New Roman" w:hAnsi="Times New Roman" w:eastAsia="Times New Roman" w:cs="Times New Roman"/>
        <w:sz w:val="30"/>
        <w:szCs w:val="30"/>
        <w:color w:val="231F20"/>
        <w:spacing w:val="4"/>
        <w:position w:val="-4"/>
      </w:rPr>
      <w:t xml:space="preserve">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  <w:position w:val="2"/>
      </w:rPr>
      <w:t>●    </w:t>
    </w:r>
    <w:r>
      <w:rPr>
        <w:rFonts w:ascii="Microsoft YaHei" w:hAnsi="Microsoft YaHei" w:eastAsia="Microsoft YaHei" w:cs="Microsoft YaHei"/>
        <w:sz w:val="28"/>
        <w:szCs w:val="28"/>
        <w:color w:val="231F20"/>
        <w:spacing w:val="6"/>
        <w:position w:val="-3"/>
      </w:rPr>
      <w:t>中国循证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6"/>
        <w:position w:val="-3"/>
      </w:rPr>
      <w:t>指南共识</w:t>
    </w:r>
    <w:r>
      <w:rPr>
        <w:rFonts w:ascii="Microsoft YaHei" w:hAnsi="Microsoft YaHei" w:eastAsia="Microsoft YaHei" w:cs="Microsoft YaHei"/>
        <w:sz w:val="30"/>
        <w:szCs w:val="30"/>
        <w:color w:val="231F20"/>
        <w:spacing w:val="69"/>
        <w:position w:val="-3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6"/>
        <w:position w:val="2"/>
      </w:rPr>
      <w:t>●                                        </w:t>
    </w:r>
    <w:r>
      <w:rPr>
        <w:rFonts w:ascii="Microsoft YaHei" w:hAnsi="Microsoft YaHei" w:eastAsia="Microsoft YaHei" w:cs="Microsoft YaHei"/>
        <w:sz w:val="12"/>
        <w:szCs w:val="12"/>
        <w:color w:val="231F20"/>
        <w:spacing w:val="5"/>
        <w:position w:val="2"/>
      </w:rPr>
      <w:t xml:space="preserve">                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-58"/>
        <w:position w:val="2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5"/>
        <w:position w:val="2"/>
      </w:rPr>
      <w:t>肿瘤综合治疗电子杂志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5"/>
        <w:position w:val="2"/>
      </w:rPr>
      <w:t>2017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5"/>
        <w:position w:val="2"/>
      </w:rPr>
      <w:t>年第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5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5"/>
        <w:position w:val="2"/>
      </w:rPr>
      <w:t>卷第</w:t>
    </w:r>
    <w:r>
      <w:rPr>
        <w:rFonts w:ascii="Times New Roman" w:hAnsi="Times New Roman" w:eastAsia="Times New Roman" w:cs="Times New Roman"/>
        <w:sz w:val="21"/>
        <w:szCs w:val="21"/>
        <w:b/>
        <w:bCs/>
        <w:u w:val="single" w:color="auto"/>
        <w:color w:val="231F20"/>
        <w:spacing w:val="5"/>
        <w:position w:val="2"/>
      </w:rPr>
      <w:t>3</w:t>
    </w:r>
    <w:r>
      <w:rPr>
        <w:rFonts w:ascii="Microsoft YaHei" w:hAnsi="Microsoft YaHei" w:eastAsia="Microsoft YaHei" w:cs="Microsoft YaHei"/>
        <w:sz w:val="21"/>
        <w:szCs w:val="21"/>
        <w:u w:val="single" w:color="auto"/>
        <w:color w:val="231F20"/>
        <w:spacing w:val="5"/>
        <w:position w:val="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8.xml"/><Relationship Id="rId8" Type="http://schemas.openxmlformats.org/officeDocument/2006/relationships/header" Target="header7.xm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image" Target="media/image3.png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header" Target="header12.xml"/><Relationship Id="rId21" Type="http://schemas.openxmlformats.org/officeDocument/2006/relationships/header" Target="header11.xml"/><Relationship Id="rId20" Type="http://schemas.openxmlformats.org/officeDocument/2006/relationships/hyperlink" Target="https://www.nccn.org/professionals/physician_gls/f_guidelines.asp" TargetMode="External"/><Relationship Id="rId2" Type="http://schemas.openxmlformats.org/officeDocument/2006/relationships/header" Target="header2.xml"/><Relationship Id="rId19" Type="http://schemas.openxmlformats.org/officeDocument/2006/relationships/hyperlink" Target="https://" TargetMode="External"/><Relationship Id="rId18" Type="http://schemas.openxmlformats.org/officeDocument/2006/relationships/hyperlink" Target="http://globocan.iarc.fr/Default.aspx." TargetMode="External"/><Relationship Id="rId17" Type="http://schemas.openxmlformats.org/officeDocument/2006/relationships/header" Target="header10.xml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header" Target="header9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2022-10-28T21:25:05Z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2025-10-28T21:22:55</vt:filetime>
  </property>
</Properties>
</file>