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37"/>
        <w:spacing w:before="292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doi: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10.13241/j.cnki.pmb.2022.03.010</w:t>
      </w:r>
    </w:p>
    <w:p>
      <w:pPr>
        <w:ind w:left="700"/>
        <w:spacing w:before="161" w:line="185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9"/>
        </w:rPr>
        <w:t>·临床研究·</w:t>
      </w:r>
    </w:p>
    <w:p>
      <w:pPr>
        <w:pStyle w:val="BodyText"/>
        <w:ind w:left="2949"/>
        <w:spacing w:before="69" w:line="19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231F20"/>
        </w:rPr>
        <w:t>急性肠系膜缺血性疾病 </w:t>
      </w:r>
      <w:r>
        <w:rPr>
          <w:sz w:val="31"/>
          <w:szCs w:val="31"/>
          <w:color w:val="231F20"/>
        </w:rPr>
        <w:t>36 </w:t>
      </w:r>
      <w:r>
        <w:rPr>
          <w:rFonts w:ascii="Microsoft YaHei" w:hAnsi="Microsoft YaHei" w:eastAsia="Microsoft YaHei" w:cs="Microsoft YaHei"/>
          <w:sz w:val="31"/>
          <w:szCs w:val="31"/>
          <w:color w:val="231F20"/>
        </w:rPr>
        <w:t>例治疗体会</w:t>
      </w:r>
    </w:p>
    <w:p>
      <w:pPr>
        <w:pStyle w:val="BodyText"/>
        <w:ind w:left="2365" w:right="1762" w:hanging="12"/>
        <w:spacing w:before="69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position w:val="-1"/>
        </w:rPr>
        <w:t>赵宏伟 </w:t>
      </w:r>
      <w:r>
        <w:rPr>
          <w:sz w:val="13"/>
          <w:szCs w:val="13"/>
          <w:color w:val="231F20"/>
          <w:spacing w:val="-9"/>
          <w:position w:val="8"/>
        </w:rPr>
        <w:t>1</w:t>
      </w:r>
      <w:r>
        <w:rPr>
          <w:sz w:val="13"/>
          <w:szCs w:val="13"/>
          <w:color w:val="231F20"/>
          <w:spacing w:val="2"/>
          <w:position w:val="8"/>
        </w:rPr>
        <w:t xml:space="preserve"> 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position w:val="-1"/>
        </w:rPr>
        <w:t>张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4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position w:val="-1"/>
        </w:rPr>
        <w:t>鹏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5"/>
          <w:position w:val="-1"/>
        </w:rPr>
        <w:t xml:space="preserve"> </w:t>
      </w:r>
      <w:r>
        <w:rPr>
          <w:sz w:val="13"/>
          <w:szCs w:val="13"/>
          <w:color w:val="231F20"/>
          <w:spacing w:val="-9"/>
          <w:position w:val="8"/>
        </w:rPr>
        <w:t>1</w:t>
      </w:r>
      <w:r>
        <w:rPr>
          <w:sz w:val="13"/>
          <w:szCs w:val="13"/>
          <w:color w:val="231F20"/>
          <w:position w:val="8"/>
        </w:rPr>
        <w:t xml:space="preserve"> 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  <w:position w:val="-1"/>
        </w:rPr>
        <w:t>张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  <w:position w:val="-1"/>
        </w:rPr>
        <w:t>骞 </w:t>
      </w:r>
      <w:r>
        <w:rPr>
          <w:sz w:val="13"/>
          <w:szCs w:val="13"/>
          <w:color w:val="231F20"/>
          <w:spacing w:val="-5"/>
          <w:position w:val="8"/>
        </w:rPr>
        <w:t>1</w:t>
      </w:r>
      <w:r>
        <w:rPr>
          <w:sz w:val="13"/>
          <w:szCs w:val="13"/>
          <w:color w:val="231F20"/>
          <w:spacing w:val="5"/>
          <w:position w:val="8"/>
        </w:rPr>
        <w:t xml:space="preserve">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  <w:position w:val="-1"/>
        </w:rPr>
        <w:t>孟轶婷 </w:t>
      </w:r>
      <w:r>
        <w:rPr>
          <w:sz w:val="13"/>
          <w:szCs w:val="13"/>
          <w:color w:val="231F20"/>
          <w:spacing w:val="-5"/>
          <w:position w:val="8"/>
        </w:rPr>
        <w:t>2 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-1"/>
        </w:rPr>
        <w:t>王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9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-1"/>
        </w:rPr>
        <w:t>峰 </w:t>
      </w:r>
      <w:r>
        <w:rPr>
          <w:sz w:val="13"/>
          <w:szCs w:val="13"/>
          <w:color w:val="231F20"/>
          <w:spacing w:val="-2"/>
          <w:position w:val="8"/>
        </w:rPr>
        <w:t>1 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-1"/>
        </w:rPr>
        <w:t>李元新 </w:t>
      </w:r>
      <w:r>
        <w:rPr>
          <w:sz w:val="13"/>
          <w:szCs w:val="13"/>
          <w:color w:val="231F20"/>
          <w:spacing w:val="-2"/>
          <w:position w:val="8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2"/>
          <w:position w:val="8"/>
        </w:rPr>
        <w:t>△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2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（</w:t>
      </w:r>
      <w:r>
        <w:rPr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color w:val="231F20"/>
          <w:spacing w:val="5"/>
        </w:rPr>
        <w:t>清华大学附属北京清华长庚医院胃肠外科 清华大学临床医学院  北京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102218</w:t>
      </w:r>
      <w:r>
        <w:rPr>
          <w:rFonts w:ascii="Microsoft YaHei" w:hAnsi="Microsoft YaHei" w:eastAsia="Microsoft YaHei" w:cs="Microsoft YaHei"/>
          <w:color w:val="231F20"/>
          <w:spacing w:val="5"/>
        </w:rPr>
        <w:t>；</w:t>
      </w:r>
    </w:p>
    <w:p>
      <w:pPr>
        <w:pStyle w:val="BodyText"/>
        <w:ind w:left="2528"/>
        <w:spacing w:line="20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4"/>
        </w:rPr>
        <w:t>2 </w:t>
      </w:r>
      <w:r>
        <w:rPr>
          <w:rFonts w:ascii="Microsoft YaHei" w:hAnsi="Microsoft YaHei" w:eastAsia="Microsoft YaHei" w:cs="Microsoft YaHei"/>
          <w:color w:val="231F20"/>
          <w:spacing w:val="4"/>
        </w:rPr>
        <w:t>清华大学附属北京清华长庚医院病理科</w:t>
      </w:r>
      <w:r>
        <w:rPr>
          <w:rFonts w:ascii="Microsoft YaHei" w:hAnsi="Microsoft YaHei" w:eastAsia="Microsoft YaHei" w:cs="Microsoft YaHei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清华大学临床医学院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北京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102218</w:t>
      </w:r>
      <w:r>
        <w:rPr>
          <w:rFonts w:ascii="Microsoft YaHei" w:hAnsi="Microsoft YaHei" w:eastAsia="Microsoft YaHei" w:cs="Microsoft YaHei"/>
          <w:color w:val="231F20"/>
          <w:spacing w:val="4"/>
        </w:rPr>
        <w:t>）</w:t>
      </w:r>
    </w:p>
    <w:p>
      <w:pPr>
        <w:pStyle w:val="BodyText"/>
        <w:ind w:left="634" w:firstLine="2"/>
        <w:spacing w:before="292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摘要  目的：探讨急性肠系膜缺血</w:t>
      </w:r>
      <w:r>
        <w:rPr>
          <w:color w:val="231F20"/>
          <w:spacing w:val="-1"/>
        </w:rPr>
        <w:t>(acute mesenteric ischemia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AMI)</w:t>
      </w:r>
      <w:r>
        <w:rPr>
          <w:rFonts w:ascii="Microsoft YaHei" w:hAnsi="Microsoft YaHei" w:eastAsia="Microsoft YaHei" w:cs="Microsoft YaHei"/>
          <w:color w:val="231F20"/>
          <w:spacing w:val="-1"/>
        </w:rPr>
        <w:t>的诊断和治疗方法。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方法：回顾性收集并分析 </w:t>
      </w:r>
      <w:r>
        <w:rPr>
          <w:color w:val="231F20"/>
          <w:spacing w:val="-1"/>
        </w:rPr>
        <w:t>36 </w:t>
      </w:r>
      <w:r>
        <w:rPr>
          <w:rFonts w:ascii="Microsoft YaHei" w:hAnsi="Microsoft YaHei" w:eastAsia="Microsoft YaHei" w:cs="Microsoft YaHei"/>
          <w:color w:val="231F20"/>
          <w:spacing w:val="-1"/>
        </w:rPr>
        <w:t>例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MI</w:t>
      </w:r>
      <w:r>
        <w:rPr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患者的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临床资料，均术前行 </w:t>
      </w:r>
      <w:r>
        <w:rPr>
          <w:color w:val="231F20"/>
        </w:rPr>
        <w:t>MDT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讨论，血管外科及胃</w:t>
      </w:r>
      <w:r>
        <w:rPr>
          <w:rFonts w:ascii="Microsoft YaHei" w:hAnsi="Microsoft YaHei" w:eastAsia="Microsoft YaHei" w:cs="Microsoft YaHei"/>
          <w:color w:val="231F20"/>
          <w:spacing w:val="2"/>
        </w:rPr>
        <w:t>肠外科联合手术治疗。所有治疗病例均行手术探查。其中 </w:t>
      </w:r>
      <w:r>
        <w:rPr>
          <w:color w:val="231F20"/>
          <w:spacing w:val="2"/>
        </w:rPr>
        <w:t>3 </w:t>
      </w:r>
      <w:r>
        <w:rPr>
          <w:rFonts w:ascii="Microsoft YaHei" w:hAnsi="Microsoft YaHei" w:eastAsia="Microsoft YaHei" w:cs="Microsoft YaHei"/>
          <w:color w:val="231F20"/>
          <w:spacing w:val="2"/>
        </w:rPr>
        <w:t>例病人术中使用荧光内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镜判断肠道血供。统计诊治过程中腹部</w:t>
      </w:r>
      <w:r>
        <w:rPr>
          <w:color w:val="231F20"/>
        </w:rPr>
        <w:t>CT</w:t>
      </w:r>
      <w:r>
        <w:rPr>
          <w:rFonts w:ascii="Microsoft YaHei" w:hAnsi="Microsoft YaHei" w:eastAsia="Microsoft YaHei" w:cs="Microsoft YaHei"/>
          <w:color w:val="231F20"/>
        </w:rPr>
        <w:t>、白细胞计数、</w:t>
      </w:r>
      <w:r>
        <w:rPr>
          <w:color w:val="231F20"/>
        </w:rPr>
        <w:t>D- </w:t>
      </w:r>
      <w:r>
        <w:rPr>
          <w:rFonts w:ascii="Microsoft YaHei" w:hAnsi="Microsoft YaHei" w:eastAsia="Microsoft YaHei" w:cs="Microsoft YaHei"/>
          <w:color w:val="231F20"/>
        </w:rPr>
        <w:t>二聚体相关数据，应用 </w:t>
      </w:r>
      <w:r>
        <w:rPr>
          <w:color w:val="231F20"/>
        </w:rPr>
        <w:t>SPSS </w:t>
      </w:r>
      <w:r>
        <w:rPr>
          <w:rFonts w:ascii="Microsoft YaHei" w:hAnsi="Microsoft YaHei" w:eastAsia="Microsoft YaHei" w:cs="Microsoft YaHei"/>
          <w:color w:val="231F20"/>
        </w:rPr>
        <w:t>软件分析其与肠道坏死的相关性。结果：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腹部</w:t>
      </w:r>
      <w:r>
        <w:rPr>
          <w:color w:val="231F20"/>
        </w:rPr>
        <w:t>CT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特异表现、白细胞计数升高与肠道坏死有相关性关系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。治疗病例有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4"/>
        </w:rPr>
        <w:t>11 </w:t>
      </w:r>
      <w:r>
        <w:rPr>
          <w:rFonts w:ascii="Microsoft YaHei" w:hAnsi="Microsoft YaHei" w:eastAsia="Microsoft YaHei" w:cs="Microsoft YaHei"/>
          <w:color w:val="231F20"/>
          <w:spacing w:val="4"/>
        </w:rPr>
        <w:t>例行肠切除、</w:t>
      </w:r>
      <w:r>
        <w:rPr>
          <w:color w:val="231F20"/>
          <w:spacing w:val="4"/>
        </w:rPr>
        <w:t>8 </w:t>
      </w:r>
      <w:r>
        <w:rPr>
          <w:rFonts w:ascii="Microsoft YaHei" w:hAnsi="Microsoft YaHei" w:eastAsia="Microsoft YaHei" w:cs="Microsoft YaHei"/>
          <w:color w:val="231F20"/>
          <w:spacing w:val="4"/>
        </w:rPr>
        <w:t>例为外院行手术治疗后</w:t>
      </w:r>
      <w:r>
        <w:rPr>
          <w:rFonts w:ascii="Microsoft YaHei" w:hAnsi="Microsoft YaHei" w:eastAsia="Microsoft YaHei" w:cs="Microsoft YaHei"/>
          <w:color w:val="231F20"/>
          <w:spacing w:val="3"/>
        </w:rPr>
        <w:t>，在我院行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术后康复治疗。术后 </w:t>
      </w:r>
      <w:r>
        <w:rPr>
          <w:color w:val="231F20"/>
          <w:spacing w:val="2"/>
        </w:rPr>
        <w:t>8 </w:t>
      </w:r>
      <w:r>
        <w:rPr>
          <w:rFonts w:ascii="Microsoft YaHei" w:hAnsi="Microsoft YaHei" w:eastAsia="Microsoft YaHei" w:cs="Microsoft YaHei"/>
          <w:color w:val="231F20"/>
          <w:spacing w:val="2"/>
        </w:rPr>
        <w:t>例发生短肠综合证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color w:val="231F20"/>
          <w:spacing w:val="2"/>
        </w:rPr>
        <w:t>1 </w:t>
      </w:r>
      <w:r>
        <w:rPr>
          <w:rFonts w:ascii="Microsoft YaHei" w:hAnsi="Microsoft YaHei" w:eastAsia="Microsoft YaHei" w:cs="Microsoft YaHei"/>
          <w:color w:val="231F20"/>
          <w:spacing w:val="2"/>
        </w:rPr>
        <w:t>例病人自动出院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color w:val="231F20"/>
          <w:spacing w:val="2"/>
        </w:rPr>
        <w:t>1 </w:t>
      </w:r>
      <w:r>
        <w:rPr>
          <w:rFonts w:ascii="Microsoft YaHei" w:hAnsi="Microsoft YaHei" w:eastAsia="Microsoft YaHei" w:cs="Microsoft YaHei"/>
          <w:color w:val="231F20"/>
          <w:spacing w:val="2"/>
        </w:rPr>
        <w:t>例死亡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color w:val="231F20"/>
          <w:spacing w:val="2"/>
        </w:rPr>
        <w:t>1 </w:t>
      </w:r>
      <w:r>
        <w:rPr>
          <w:rFonts w:ascii="Microsoft YaHei" w:hAnsi="Microsoft YaHei" w:eastAsia="Microsoft YaHei" w:cs="Microsoft YaHei"/>
          <w:color w:val="231F20"/>
          <w:spacing w:val="2"/>
        </w:rPr>
        <w:t>例病人术后出现肠道坏死、肠瘘，</w:t>
      </w:r>
      <w:r>
        <w:rPr>
          <w:color w:val="231F20"/>
          <w:spacing w:val="2"/>
        </w:rPr>
        <w:t>3 </w:t>
      </w:r>
      <w:r>
        <w:rPr>
          <w:rFonts w:ascii="Microsoft YaHei" w:hAnsi="Microsoft YaHei" w:eastAsia="Microsoft YaHei" w:cs="Microsoft YaHei"/>
          <w:color w:val="231F20"/>
          <w:spacing w:val="2"/>
        </w:rPr>
        <w:t>个月后行肠瘘切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除术，术后恢复良好。</w:t>
      </w:r>
      <w:r>
        <w:rPr>
          <w:color w:val="231F20"/>
          <w:spacing w:val="2"/>
        </w:rPr>
        <w:t>5 </w:t>
      </w:r>
      <w:r>
        <w:rPr>
          <w:rFonts w:ascii="Microsoft YaHei" w:hAnsi="Microsoft YaHei" w:eastAsia="Microsoft YaHei" w:cs="Microsoft YaHei"/>
          <w:color w:val="231F20"/>
          <w:spacing w:val="2"/>
        </w:rPr>
        <w:t>例病人术后 </w:t>
      </w:r>
      <w:r>
        <w:rPr>
          <w:color w:val="231F20"/>
          <w:spacing w:val="2"/>
        </w:rPr>
        <w:t>6 </w:t>
      </w:r>
      <w:r>
        <w:rPr>
          <w:rFonts w:ascii="Microsoft YaHei" w:hAnsi="Microsoft YaHei" w:eastAsia="Microsoft YaHei" w:cs="Microsoft YaHei"/>
          <w:color w:val="231F20"/>
          <w:spacing w:val="2"/>
        </w:rPr>
        <w:t>个月行造口还纳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。荧光内镜</w:t>
      </w:r>
      <w:r>
        <w:rPr>
          <w:rFonts w:ascii="Microsoft YaHei" w:hAnsi="Microsoft YaHei" w:eastAsia="Microsoft YaHei" w:cs="Microsoft YaHei"/>
          <w:color w:val="231F20"/>
          <w:spacing w:val="1"/>
        </w:rPr>
        <w:t>判断肠道血供及生机效果良好。结论：</w:t>
      </w:r>
      <w:r>
        <w:rPr>
          <w:color w:val="231F20"/>
        </w:rPr>
        <w:t>AMI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病情凶险，提高对疾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病的认识，早期诊断，尽早重建小肠血运是提高疗效、改善预后的关键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。多学科讨论后精准治疗，可</w:t>
      </w:r>
      <w:r>
        <w:rPr>
          <w:rFonts w:ascii="Microsoft YaHei" w:hAnsi="Microsoft YaHei" w:eastAsia="Microsoft YaHei" w:cs="Microsoft YaHei"/>
          <w:color w:val="231F20"/>
        </w:rPr>
        <w:t>提高治疗效果。术前腹部 </w:t>
      </w:r>
      <w:r>
        <w:rPr>
          <w:color w:val="231F20"/>
        </w:rPr>
        <w:t>CTA  </w:t>
      </w:r>
      <w:r>
        <w:rPr>
          <w:rFonts w:ascii="Microsoft YaHei" w:hAnsi="Microsoft YaHei" w:eastAsia="Microsoft YaHei" w:cs="Microsoft YaHei"/>
          <w:color w:val="231F20"/>
          <w:spacing w:val="4"/>
        </w:rPr>
        <w:t>对 </w:t>
      </w:r>
      <w:r>
        <w:rPr>
          <w:color w:val="231F20"/>
        </w:rPr>
        <w:t>AMI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的诊断及判断肠道坏死有重要意义。术中使用吲哚箐绿荧光显影剂、配合荧光导航内镜，判断肠道缺血范围，值得进</w:t>
      </w:r>
      <w:r>
        <w:rPr>
          <w:rFonts w:ascii="Microsoft YaHei" w:hAnsi="Microsoft YaHei" w:eastAsia="Microsoft YaHei" w:cs="Microsoft YaHei"/>
          <w:color w:val="231F20"/>
          <w:spacing w:val="3"/>
        </w:rPr>
        <w:t>一步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探讨。 临时性肠道双造瘘有利于及时发现肠管血运恢复情况，远端造瘘可早期进行肠内营养，值得推广。</w:t>
      </w:r>
    </w:p>
    <w:p>
      <w:pPr>
        <w:ind w:left="641"/>
        <w:spacing w:before="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>关键词：肠系膜；缺血；诊断；治疗</w:t>
      </w:r>
    </w:p>
    <w:p>
      <w:pPr>
        <w:pStyle w:val="BodyText"/>
        <w:ind w:left="655"/>
        <w:spacing w:before="38" w:line="187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中图分类号：</w:t>
      </w:r>
      <w:r>
        <w:rPr>
          <w:color w:val="231F20"/>
          <w:spacing w:val="-8"/>
        </w:rPr>
        <w:t>R657.2    </w:t>
      </w:r>
      <w:r>
        <w:rPr>
          <w:rFonts w:ascii="Microsoft YaHei" w:hAnsi="Microsoft YaHei" w:eastAsia="Microsoft YaHei" w:cs="Microsoft YaHei"/>
          <w:color w:val="231F20"/>
          <w:spacing w:val="-8"/>
        </w:rPr>
        <w:t>文献标识码：</w:t>
      </w:r>
      <w:r>
        <w:rPr>
          <w:color w:val="231F20"/>
          <w:spacing w:val="-8"/>
        </w:rPr>
        <w:t>A    </w:t>
      </w:r>
      <w:r>
        <w:rPr>
          <w:rFonts w:ascii="Microsoft YaHei" w:hAnsi="Microsoft YaHei" w:eastAsia="Microsoft YaHei" w:cs="Microsoft YaHei"/>
          <w:color w:val="231F20"/>
          <w:spacing w:val="-8"/>
        </w:rPr>
        <w:t>文章编号：</w:t>
      </w:r>
      <w:r>
        <w:rPr>
          <w:color w:val="231F20"/>
          <w:spacing w:val="-8"/>
        </w:rPr>
        <w:t>1673-6273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2022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03-447-07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75"/>
        <w:spacing w:before="90" w:line="196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-11"/>
        </w:rPr>
        <w:t>Experience in the Treatment </w:t>
      </w:r>
      <w:r>
        <w:rPr>
          <w:sz w:val="31"/>
          <w:szCs w:val="31"/>
          <w:color w:val="231F20"/>
          <w:spacing w:val="-12"/>
        </w:rPr>
        <w:t>of</w:t>
      </w:r>
      <w:r>
        <w:rPr>
          <w:sz w:val="31"/>
          <w:szCs w:val="31"/>
          <w:color w:val="231F20"/>
          <w:spacing w:val="-31"/>
        </w:rPr>
        <w:t xml:space="preserve"> </w:t>
      </w:r>
      <w:r>
        <w:rPr>
          <w:sz w:val="31"/>
          <w:szCs w:val="31"/>
          <w:color w:val="231F20"/>
          <w:spacing w:val="-12"/>
        </w:rPr>
        <w:t>36 Cases of</w:t>
      </w:r>
      <w:r>
        <w:rPr>
          <w:sz w:val="31"/>
          <w:szCs w:val="31"/>
          <w:color w:val="231F20"/>
          <w:spacing w:val="-42"/>
        </w:rPr>
        <w:t xml:space="preserve"> </w:t>
      </w:r>
      <w:r>
        <w:rPr>
          <w:sz w:val="31"/>
          <w:szCs w:val="31"/>
          <w:color w:val="231F20"/>
          <w:spacing w:val="-12"/>
        </w:rPr>
        <w:t>Acute Mesenteric</w:t>
      </w:r>
    </w:p>
    <w:p>
      <w:pPr>
        <w:pStyle w:val="BodyText"/>
        <w:ind w:left="4455"/>
        <w:spacing w:before="114" w:line="191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-15"/>
        </w:rPr>
        <w:t>Ischemic Disease</w:t>
      </w:r>
    </w:p>
    <w:p>
      <w:pPr>
        <w:pStyle w:val="BodyText"/>
        <w:ind w:left="2074"/>
        <w:spacing w:before="93" w:line="198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sz w:val="18"/>
          <w:szCs w:val="18"/>
          <w:i/>
          <w:iCs/>
          <w:color w:val="231F20"/>
          <w:spacing w:val="-7"/>
        </w:rPr>
        <w:t>ZHAO Hong-wei</w:t>
      </w:r>
      <w:r>
        <w:rPr>
          <w:sz w:val="10"/>
          <w:szCs w:val="10"/>
          <w:i/>
          <w:iCs/>
          <w:color w:val="231F20"/>
          <w:spacing w:val="-7"/>
          <w:position w:val="5"/>
        </w:rPr>
        <w:t>1</w:t>
      </w:r>
      <w:r>
        <w:rPr>
          <w:sz w:val="18"/>
          <w:szCs w:val="18"/>
          <w:i/>
          <w:iCs/>
          <w:color w:val="231F20"/>
          <w:spacing w:val="-10"/>
        </w:rPr>
        <w:t>,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ZHANG Peng</w:t>
      </w:r>
      <w:r>
        <w:rPr>
          <w:sz w:val="10"/>
          <w:szCs w:val="10"/>
          <w:i/>
          <w:iCs/>
          <w:color w:val="231F20"/>
          <w:spacing w:val="-10"/>
          <w:position w:val="5"/>
        </w:rPr>
        <w:t>1</w:t>
      </w:r>
      <w:r>
        <w:rPr>
          <w:sz w:val="18"/>
          <w:szCs w:val="18"/>
          <w:i/>
          <w:iCs/>
          <w:color w:val="231F20"/>
          <w:spacing w:val="-8"/>
        </w:rPr>
        <w:t>,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8"/>
        </w:rPr>
        <w:t>ZHANG Qian</w:t>
      </w:r>
      <w:r>
        <w:rPr>
          <w:sz w:val="10"/>
          <w:szCs w:val="10"/>
          <w:i/>
          <w:iCs/>
          <w:color w:val="231F20"/>
          <w:spacing w:val="-8"/>
          <w:position w:val="5"/>
        </w:rPr>
        <w:t>1</w:t>
      </w:r>
      <w:r>
        <w:rPr>
          <w:sz w:val="18"/>
          <w:szCs w:val="18"/>
          <w:i/>
          <w:iCs/>
          <w:color w:val="231F20"/>
          <w:spacing w:val="-4"/>
        </w:rPr>
        <w:t>,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4"/>
        </w:rPr>
        <w:t>MENG Yi-ting</w:t>
      </w:r>
      <w:r>
        <w:rPr>
          <w:sz w:val="10"/>
          <w:szCs w:val="10"/>
          <w:i/>
          <w:iCs/>
          <w:color w:val="231F20"/>
          <w:spacing w:val="-4"/>
          <w:position w:val="5"/>
        </w:rPr>
        <w:t>2</w:t>
      </w:r>
      <w:r>
        <w:rPr>
          <w:sz w:val="18"/>
          <w:szCs w:val="18"/>
          <w:i/>
          <w:iCs/>
          <w:color w:val="231F20"/>
          <w:spacing w:val="-11"/>
        </w:rPr>
        <w:t>,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WANG Feng</w:t>
      </w:r>
      <w:r>
        <w:rPr>
          <w:sz w:val="10"/>
          <w:szCs w:val="10"/>
          <w:i/>
          <w:iCs/>
          <w:color w:val="231F20"/>
          <w:spacing w:val="-11"/>
          <w:position w:val="5"/>
        </w:rPr>
        <w:t>1</w:t>
      </w:r>
      <w:r>
        <w:rPr>
          <w:sz w:val="18"/>
          <w:szCs w:val="18"/>
          <w:i/>
          <w:iCs/>
          <w:color w:val="231F20"/>
          <w:spacing w:val="-3"/>
        </w:rPr>
        <w:t>,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LI Yuan-xin</w:t>
      </w:r>
      <w:r>
        <w:rPr>
          <w:sz w:val="10"/>
          <w:szCs w:val="10"/>
          <w:i/>
          <w:iCs/>
          <w:color w:val="231F20"/>
          <w:spacing w:val="-3"/>
          <w:position w:val="5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i/>
          <w:iCs/>
          <w:color w:val="231F20"/>
          <w:spacing w:val="-3"/>
          <w:position w:val="5"/>
        </w:rPr>
        <w:t>△</w:t>
      </w:r>
    </w:p>
    <w:p>
      <w:pPr>
        <w:pStyle w:val="BodyText"/>
        <w:ind w:left="886"/>
        <w:spacing w:before="106" w:line="18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  <w:w w:val="96"/>
        </w:rPr>
        <w:t>(1 Department of</w:t>
      </w:r>
      <w:r>
        <w:rPr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  <w:spacing w:val="-4"/>
          <w:w w:val="96"/>
        </w:rPr>
        <w:t>gastrointes</w:t>
      </w:r>
      <w:r>
        <w:rPr>
          <w:sz w:val="18"/>
          <w:szCs w:val="18"/>
          <w:i/>
          <w:iCs/>
          <w:color w:val="231F20"/>
          <w:spacing w:val="-5"/>
          <w:w w:val="96"/>
        </w:rPr>
        <w:t>tinal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Surgery,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Beijing Tsinghua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Changgung Hospital,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school of</w:t>
      </w:r>
      <w:r>
        <w:rPr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clinical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Midicine,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Tsinghua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University,</w:t>
      </w:r>
    </w:p>
    <w:p>
      <w:pPr>
        <w:pStyle w:val="BodyText"/>
        <w:ind w:left="728"/>
        <w:spacing w:before="107" w:line="18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5"/>
          <w:w w:val="96"/>
        </w:rPr>
        <w:t>Beijing,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102218,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China</w:t>
      </w:r>
      <w:r>
        <w:rPr>
          <w:sz w:val="18"/>
          <w:szCs w:val="18"/>
          <w:i/>
          <w:iCs/>
          <w:color w:val="231F20"/>
          <w:spacing w:val="-6"/>
          <w:w w:val="96"/>
        </w:rPr>
        <w:t>; 2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w w:val="96"/>
        </w:rPr>
        <w:t>Department of</w:t>
      </w:r>
      <w:r>
        <w:rPr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w w:val="96"/>
        </w:rPr>
        <w:t>Pathology,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w w:val="96"/>
        </w:rPr>
        <w:t>Beijing Tsinghua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w w:val="96"/>
        </w:rPr>
        <w:t>Changgeng Hospital A</w:t>
      </w:r>
      <w:r>
        <w:rPr>
          <w:sz w:val="18"/>
          <w:szCs w:val="18"/>
          <w:b/>
          <w:bCs/>
          <w:i/>
          <w:iCs/>
          <w:color w:val="231F20"/>
          <w:spacing w:val="-5"/>
        </w:rPr>
        <w:t>f</w:t>
      </w:r>
      <w:r>
        <w:rPr>
          <w:sz w:val="18"/>
          <w:szCs w:val="18"/>
          <w:i/>
          <w:iCs/>
          <w:color w:val="231F20"/>
          <w:spacing w:val="-5"/>
        </w:rPr>
        <w:t>iliated to Tsinghua Unive</w:t>
      </w:r>
      <w:r>
        <w:rPr>
          <w:sz w:val="18"/>
          <w:szCs w:val="18"/>
          <w:i/>
          <w:iCs/>
          <w:color w:val="231F20"/>
          <w:spacing w:val="-6"/>
        </w:rPr>
        <w:t>rsity,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6"/>
        </w:rPr>
        <w:t>School of</w:t>
      </w:r>
    </w:p>
    <w:p>
      <w:pPr>
        <w:pStyle w:val="BodyText"/>
        <w:ind w:left="3274"/>
        <w:spacing w:before="107" w:line="18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5"/>
          <w:w w:val="96"/>
        </w:rPr>
        <w:t>clinical medicine,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Tsinghua University,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5"/>
          <w:w w:val="96"/>
        </w:rPr>
        <w:t>Beij</w:t>
      </w:r>
      <w:r>
        <w:rPr>
          <w:sz w:val="18"/>
          <w:szCs w:val="18"/>
          <w:i/>
          <w:iCs/>
          <w:color w:val="231F20"/>
          <w:spacing w:val="-6"/>
          <w:w w:val="96"/>
        </w:rPr>
        <w:t>ing,  102218,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-6"/>
          <w:w w:val="96"/>
        </w:rPr>
        <w:t>China)</w:t>
      </w:r>
    </w:p>
    <w:p>
      <w:pPr>
        <w:pStyle w:val="BodyText"/>
        <w:ind w:left="633" w:right="32" w:firstLine="356"/>
        <w:spacing w:before="100" w:line="329" w:lineRule="auto"/>
        <w:jc w:val="both"/>
        <w:rPr/>
      </w:pPr>
      <w:r>
        <w:rPr>
          <w:color w:val="066792"/>
          <w:spacing w:val="-3"/>
        </w:rPr>
        <w:t>ABSTRACT Objective: </w:t>
      </w:r>
      <w:r>
        <w:rPr>
          <w:color w:val="231F20"/>
          <w:spacing w:val="-3"/>
        </w:rPr>
        <w:t>To investigate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diagnosis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and treatment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acute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mesenteric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ischemia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3"/>
        </w:rPr>
        <w:t>(AMI).</w:t>
      </w:r>
      <w:r>
        <w:rPr>
          <w:color w:val="231F20"/>
          <w:spacing w:val="14"/>
          <w:w w:val="101"/>
        </w:rPr>
        <w:t xml:space="preserve"> </w:t>
      </w:r>
      <w:r>
        <w:rPr>
          <w:color w:val="066792"/>
          <w:spacing w:val="-3"/>
        </w:rPr>
        <w:t>Methods:</w:t>
      </w:r>
      <w:r>
        <w:rPr>
          <w:color w:val="066792"/>
          <w:spacing w:val="9"/>
        </w:rPr>
        <w:t xml:space="preserve"> </w:t>
      </w:r>
      <w:r>
        <w:rPr>
          <w:color w:val="231F20"/>
          <w:spacing w:val="-3"/>
        </w:rPr>
        <w:t>Clinical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36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AMI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collected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analyze</w:t>
      </w:r>
      <w:r>
        <w:rPr>
          <w:color w:val="231F20"/>
          <w:spacing w:val="-4"/>
        </w:rPr>
        <w:t>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retrospectively.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treated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MDT,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vascular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surgery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gastroin-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testinal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surgery.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Surgical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exploration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performed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tr</w:t>
      </w:r>
      <w:r>
        <w:rPr>
          <w:color w:val="231F20"/>
          <w:spacing w:val="-6"/>
        </w:rPr>
        <w:t>eated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cases.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Intraoperative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fluorescence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endoscopy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used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determine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supply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patients.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relevant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data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of abdominal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CT,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white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cell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count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D-dimer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during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diagnosi</w:t>
      </w:r>
      <w:r>
        <w:rPr>
          <w:color w:val="231F20"/>
          <w:spacing w:val="-5"/>
        </w:rPr>
        <w:t>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treatment were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counted,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correlation betwe</w:t>
      </w:r>
      <w:r>
        <w:rPr>
          <w:color w:val="231F20"/>
          <w:spacing w:val="-6"/>
        </w:rPr>
        <w:t>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intestinal necrosis was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analyzed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SPSS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software.</w:t>
      </w:r>
      <w:r>
        <w:rPr>
          <w:color w:val="231F20"/>
          <w:spacing w:val="19"/>
          <w:w w:val="101"/>
        </w:rPr>
        <w:t xml:space="preserve"> </w:t>
      </w:r>
      <w:r>
        <w:rPr>
          <w:color w:val="066792"/>
          <w:spacing w:val="-6"/>
        </w:rPr>
        <w:t>Results:</w:t>
      </w:r>
      <w:r>
        <w:rPr>
          <w:color w:val="066792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specific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features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abdominal CT and the increase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white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cell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count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correlated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intestinal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necrosis.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Among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treated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patients,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11 underwent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intestinal resection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8 underwent postoperative rehabilitation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therapy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hospital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after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surgical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treatme</w:t>
      </w:r>
      <w:r>
        <w:rPr>
          <w:color w:val="231F20"/>
          <w:spacing w:val="-5"/>
        </w:rPr>
        <w:t>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another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hospital. Postoperative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short bowel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syndr</w:t>
      </w:r>
      <w:r>
        <w:rPr>
          <w:color w:val="231F20"/>
          <w:spacing w:val="-6"/>
        </w:rPr>
        <w:t>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occurred 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8 cases.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1 patient was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discharged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automatically.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death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occurred.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Postoper-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ative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intestinal necrosis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fistula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occurred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patient.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months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later,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pat</w:t>
      </w:r>
      <w:r>
        <w:rPr>
          <w:color w:val="231F20"/>
          <w:spacing w:val="-5"/>
        </w:rPr>
        <w:t>ient underwent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intestinal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fistula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resection,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postoperative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recovery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good.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underwent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ostomy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retraction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6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months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operation.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F</w:t>
      </w:r>
      <w:r>
        <w:rPr>
          <w:color w:val="231F20"/>
          <w:spacing w:val="-6"/>
        </w:rPr>
        <w:t>luorescent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endoscopy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showed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determining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intestinal blood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supply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vitality.</w:t>
      </w:r>
      <w:r>
        <w:rPr>
          <w:color w:val="231F20"/>
          <w:spacing w:val="19"/>
          <w:w w:val="102"/>
        </w:rPr>
        <w:t xml:space="preserve"> </w:t>
      </w:r>
      <w:r>
        <w:rPr>
          <w:color w:val="066792"/>
          <w:spacing w:val="-4"/>
        </w:rPr>
        <w:t>Conclusion:</w:t>
      </w:r>
      <w:r>
        <w:rPr>
          <w:color w:val="066792"/>
          <w:spacing w:val="10"/>
        </w:rPr>
        <w:t xml:space="preserve"> </w:t>
      </w:r>
      <w:r>
        <w:rPr>
          <w:color w:val="231F20"/>
          <w:spacing w:val="-4"/>
        </w:rPr>
        <w:t>AMI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dangerous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disease,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improving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under-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standing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disease,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early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diagn</w:t>
      </w:r>
      <w:r>
        <w:rPr>
          <w:color w:val="231F20"/>
          <w:spacing w:val="-4"/>
        </w:rPr>
        <w:t>osis,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early reconstruction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of small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intestinal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circulation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key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efficacy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prognosis.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Precision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therapy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after multidisciplinary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discussion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therapeutic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effect.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Preoperative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abd</w:t>
      </w:r>
      <w:r>
        <w:rPr>
          <w:color w:val="231F20"/>
          <w:spacing w:val="-5"/>
        </w:rPr>
        <w:t>ominal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CTA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im-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portant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significance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diagnosis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of AMI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the judgment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of intestinal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3"/>
        </w:rPr>
        <w:t>necrosis.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Intraoperative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use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of indoliclegreen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fluo</w:t>
      </w:r>
      <w:r>
        <w:rPr>
          <w:color w:val="231F20"/>
          <w:spacing w:val="-4"/>
        </w:rPr>
        <w:t>rescent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imaging agent, coupled </w:t>
      </w:r>
      <w:r>
        <w:rPr>
          <w:color w:val="231F20"/>
          <w:spacing w:val="-4"/>
        </w:rPr>
        <w:t>with fluorescence navigation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endoscopy,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determine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extent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ischemia,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is worth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further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discus-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sion. Double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abdominal wall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ostomy 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conducive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timely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detection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intestinal blood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supply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recovery,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distal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ostomy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used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for early enteral nutrition, which is worthy o</w:t>
      </w:r>
      <w:r>
        <w:rPr>
          <w:color w:val="231F20"/>
          <w:spacing w:val="-2"/>
        </w:rPr>
        <w:t>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promotion.</w:t>
      </w:r>
    </w:p>
    <w:p>
      <w:pPr>
        <w:pStyle w:val="BodyText"/>
        <w:ind w:left="992"/>
        <w:spacing w:before="27" w:line="200" w:lineRule="auto"/>
        <w:rPr/>
      </w:pPr>
      <w:r>
        <w:rPr>
          <w:color w:val="066792"/>
          <w:spacing w:val="-4"/>
        </w:rPr>
        <w:t>Key words: </w:t>
      </w:r>
      <w:r>
        <w:rPr>
          <w:color w:val="231F20"/>
          <w:spacing w:val="-4"/>
        </w:rPr>
        <w:t>Mesentery; Ischemia; Diagnosis; Treatment</w:t>
      </w:r>
    </w:p>
    <w:p>
      <w:pPr>
        <w:pStyle w:val="BodyText"/>
        <w:ind w:left="995"/>
        <w:spacing w:before="107" w:line="200" w:lineRule="auto"/>
        <w:rPr/>
      </w:pPr>
      <w:r>
        <w:rPr>
          <w:color w:val="066792"/>
          <w:spacing w:val="-3"/>
        </w:rPr>
        <w:t>Chinese Library Classification(CLC): R657.2</w:t>
      </w:r>
      <w:r>
        <w:rPr>
          <w:color w:val="066792"/>
          <w:spacing w:val="15"/>
          <w:w w:val="102"/>
        </w:rPr>
        <w:t xml:space="preserve">   </w:t>
      </w:r>
      <w:r>
        <w:rPr>
          <w:color w:val="066792"/>
          <w:spacing w:val="-3"/>
        </w:rPr>
        <w:t>Document code: A</w:t>
      </w:r>
    </w:p>
    <w:p>
      <w:pPr>
        <w:pStyle w:val="BodyText"/>
        <w:ind w:left="990"/>
        <w:spacing w:before="105" w:line="20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401294</wp:posOffset>
            </wp:positionH>
            <wp:positionV relativeFrom="paragraph">
              <wp:posOffset>220125</wp:posOffset>
            </wp:positionV>
            <wp:extent cx="3027679" cy="1016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7679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66792"/>
          <w:spacing w:val="-2"/>
        </w:rPr>
        <w:t>Article ID:</w:t>
      </w:r>
      <w:r>
        <w:rPr>
          <w:color w:val="066792"/>
          <w:spacing w:val="14"/>
          <w:w w:val="101"/>
        </w:rPr>
        <w:t xml:space="preserve"> </w:t>
      </w:r>
      <w:r>
        <w:rPr>
          <w:color w:val="066792"/>
          <w:spacing w:val="-2"/>
        </w:rPr>
        <w:t>1673-6273(2021)03-447-</w:t>
      </w:r>
      <w:r>
        <w:rPr>
          <w:color w:val="066792"/>
          <w:spacing w:val="-3"/>
        </w:rPr>
        <w:t>07</w:t>
      </w:r>
    </w:p>
    <w:p>
      <w:pPr>
        <w:pStyle w:val="BodyText"/>
        <w:ind w:left="951"/>
        <w:spacing w:before="173" w:line="20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作者简介：赵宏伟（</w:t>
      </w:r>
      <w:r>
        <w:rPr>
          <w:sz w:val="15"/>
          <w:szCs w:val="15"/>
          <w:color w:val="231F20"/>
          <w:spacing w:val="-2"/>
        </w:rPr>
        <w:t>1981-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  <w:w w:val="57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男，硕士，主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治医师，主要从事急腹症、肠梗阻、腹腔感染、腹部创伤、肠系膜缺血性疾病等相关疾病的治疗和研究，</w:t>
      </w:r>
    </w:p>
    <w:p>
      <w:pPr>
        <w:pStyle w:val="BodyText"/>
        <w:ind w:left="966"/>
        <w:spacing w:before="62" w:line="18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电话：</w:t>
      </w:r>
      <w:r>
        <w:rPr>
          <w:sz w:val="15"/>
          <w:szCs w:val="15"/>
          <w:color w:val="231F20"/>
          <w:spacing w:val="-8"/>
        </w:rPr>
        <w:t>13311314603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zhwa02044@btch.edu.cn</w:t>
      </w:r>
    </w:p>
    <w:p>
      <w:pPr>
        <w:pStyle w:val="BodyText"/>
        <w:ind w:left="951" w:right="36" w:firstLine="8"/>
        <w:spacing w:before="66" w:line="259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△通讯作者：李元新（</w:t>
      </w:r>
      <w:r>
        <w:rPr>
          <w:sz w:val="15"/>
          <w:szCs w:val="15"/>
          <w:color w:val="231F20"/>
          <w:spacing w:val="3"/>
        </w:rPr>
        <w:t>1966-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  <w:w w:val="56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男，博士，主任医师，硕士研究生导师，研究方向：复杂胃肠外科、小肠移植及腹腔多器官簇移植临床与基础研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究、肠功能障碍临床与基础研究、外科营养支持，电话：</w:t>
      </w:r>
      <w:r>
        <w:rPr>
          <w:sz w:val="15"/>
          <w:szCs w:val="15"/>
          <w:color w:val="231F20"/>
          <w:spacing w:val="-5"/>
        </w:rPr>
        <w:t>010-56119450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lyxa01633@btch.edu.</w:t>
      </w:r>
      <w:r>
        <w:rPr>
          <w:sz w:val="15"/>
          <w:szCs w:val="15"/>
          <w:color w:val="231F20"/>
          <w:spacing w:val="-6"/>
        </w:rPr>
        <w:t>cn</w:t>
      </w:r>
    </w:p>
    <w:p>
      <w:pPr>
        <w:pStyle w:val="BodyText"/>
        <w:ind w:left="955"/>
        <w:spacing w:before="1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收稿日期：</w:t>
      </w:r>
      <w:r>
        <w:rPr>
          <w:sz w:val="15"/>
          <w:szCs w:val="15"/>
          <w:color w:val="231F20"/>
          <w:spacing w:val="-4"/>
        </w:rPr>
        <w:t>2021-04-28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接受日期：</w:t>
      </w:r>
      <w:r>
        <w:rPr>
          <w:sz w:val="15"/>
          <w:szCs w:val="15"/>
          <w:color w:val="231F20"/>
          <w:spacing w:val="-4"/>
        </w:rPr>
        <w:t>2021-05-24)</w:t>
      </w:r>
    </w:p>
    <w:p>
      <w:pPr>
        <w:spacing w:line="183" w:lineRule="auto"/>
        <w:sectPr>
          <w:headerReference w:type="default" r:id="rId1"/>
          <w:pgSz w:w="11906" w:h="16838"/>
          <w:pgMar w:top="917" w:right="1004" w:bottom="0" w:left="407" w:header="562" w:footer="0" w:gutter="0"/>
        </w:sectPr>
        <w:rPr>
          <w:sz w:val="15"/>
          <w:szCs w:val="15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3"/>
          <w:pgSz w:w="11906" w:h="16838"/>
          <w:pgMar w:top="917" w:right="991" w:bottom="0" w:left="407" w:header="562" w:footer="0" w:gutter="0"/>
          <w:cols w:equalWidth="0" w:num="1">
            <w:col w:w="10506" w:space="0"/>
          </w:cols>
        </w:sectPr>
        <w:rPr/>
      </w:pPr>
    </w:p>
    <w:p>
      <w:pPr>
        <w:ind w:left="636"/>
        <w:spacing w:before="162" w:line="192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前言</w:t>
      </w:r>
    </w:p>
    <w:p>
      <w:pPr>
        <w:pStyle w:val="BodyText"/>
        <w:ind w:left="633" w:right="49" w:firstLine="361"/>
        <w:spacing w:before="176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急性肠系膜缺血  </w:t>
      </w:r>
      <w:r>
        <w:rPr>
          <w:color w:val="231F20"/>
          <w:spacing w:val="-1"/>
        </w:rPr>
        <w:t>(acute mesenteric ischemia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AMI)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定义为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急性肠系膜动脉或静脉阻塞或循环压力降低，导致肠系膜内血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流不足以满足肠道的代谢需求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。但应该除外慢性缺血，以及继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发于粘连、疝等外压因素造成的局灶性节段缺血</w:t>
      </w:r>
      <w:r>
        <w:rPr>
          <w:sz w:val="10"/>
          <w:szCs w:val="10"/>
          <w:color w:val="231F20"/>
          <w:spacing w:val="7"/>
          <w:position w:val="6"/>
        </w:rPr>
        <w:t>[1]</w:t>
      </w:r>
      <w:r>
        <w:rPr>
          <w:sz w:val="10"/>
          <w:szCs w:val="10"/>
          <w:color w:val="231F20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color w:val="231F20"/>
        </w:rPr>
        <w:t>AMI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包括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肠系膜上动脉栓塞、肠系膜上动脉血栓形成、肠系膜上静脉血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栓形成和非闭塞性肠系膜缺血四种类型。是一种临床少见急腹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症。在全部急诊患者中占比约</w:t>
      </w:r>
      <w:r>
        <w:rPr>
          <w:color w:val="231F20"/>
          <w:spacing w:val="-1"/>
        </w:rPr>
        <w:t>0.09%-0.2%</w:t>
      </w:r>
      <w:r>
        <w:rPr>
          <w:sz w:val="10"/>
          <w:szCs w:val="10"/>
          <w:color w:val="231F20"/>
          <w:spacing w:val="-1"/>
          <w:position w:val="6"/>
        </w:rPr>
        <w:t>[2]</w:t>
      </w:r>
      <w:r>
        <w:rPr>
          <w:rFonts w:ascii="Microsoft YaHei" w:hAnsi="Microsoft YaHei" w:eastAsia="Microsoft YaHei" w:cs="Microsoft YaHei"/>
          <w:color w:val="231F20"/>
          <w:spacing w:val="-1"/>
        </w:rPr>
        <w:t>。国外报其发病率为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color w:val="231F20"/>
          <w:spacing w:val="3"/>
        </w:rPr>
        <w:t>5.3-7.3/10 </w:t>
      </w:r>
      <w:r>
        <w:rPr>
          <w:rFonts w:ascii="Microsoft YaHei" w:hAnsi="Microsoft YaHei" w:eastAsia="Microsoft YaHei" w:cs="Microsoft YaHei"/>
          <w:color w:val="231F20"/>
          <w:spacing w:val="3"/>
        </w:rPr>
        <w:t>万</w:t>
      </w:r>
      <w:r>
        <w:rPr>
          <w:sz w:val="10"/>
          <w:szCs w:val="10"/>
          <w:color w:val="231F20"/>
          <w:spacing w:val="3"/>
          <w:position w:val="6"/>
        </w:rPr>
        <w:t>[3-5]</w:t>
      </w:r>
      <w:r>
        <w:rPr>
          <w:sz w:val="10"/>
          <w:szCs w:val="10"/>
          <w:color w:val="231F20"/>
          <w:spacing w:val="-12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。研究报道其中大约 </w:t>
      </w:r>
      <w:r>
        <w:rPr>
          <w:color w:val="231F20"/>
          <w:spacing w:val="3"/>
        </w:rPr>
        <w:t>50%</w:t>
      </w:r>
      <w:r>
        <w:rPr>
          <w:rFonts w:ascii="Microsoft YaHei" w:hAnsi="Microsoft YaHei" w:eastAsia="Microsoft YaHei" w:cs="Microsoft YaHei"/>
          <w:color w:val="231F20"/>
          <w:spacing w:val="3"/>
        </w:rPr>
        <w:t>的患</w:t>
      </w:r>
      <w:r>
        <w:rPr>
          <w:rFonts w:ascii="Microsoft YaHei" w:hAnsi="Microsoft YaHei" w:eastAsia="Microsoft YaHei" w:cs="Microsoft YaHei"/>
          <w:color w:val="231F20"/>
          <w:spacing w:val="2"/>
        </w:rPr>
        <w:t>者都是由肠系膜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动脉栓塞所引起</w:t>
      </w:r>
      <w:r>
        <w:rPr>
          <w:sz w:val="10"/>
          <w:szCs w:val="10"/>
          <w:color w:val="231F20"/>
          <w:spacing w:val="1"/>
          <w:position w:val="6"/>
        </w:rPr>
        <w:t>[6]</w:t>
      </w:r>
      <w:r>
        <w:rPr>
          <w:rFonts w:ascii="Microsoft YaHei" w:hAnsi="Microsoft YaHei" w:eastAsia="Microsoft YaHei" w:cs="Microsoft YaHei"/>
          <w:color w:val="231F20"/>
          <w:spacing w:val="1"/>
        </w:rPr>
        <w:t>。肠系膜静脉血栓形成在 </w:t>
      </w:r>
      <w:r>
        <w:rPr>
          <w:color w:val="231F20"/>
        </w:rPr>
        <w:t>AMI</w:t>
      </w:r>
      <w:r>
        <w:rPr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中占约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  <w:spacing w:val="1"/>
        </w:rPr>
        <w:t>10%</w:t>
      </w:r>
      <w:r>
        <w:rPr>
          <w:sz w:val="10"/>
          <w:szCs w:val="10"/>
          <w:color w:val="231F20"/>
          <w:spacing w:val="1"/>
          <w:position w:val="6"/>
        </w:rPr>
        <w:t>[7]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肠系膜动脉血栓形成约占 </w:t>
      </w:r>
      <w:r>
        <w:rPr>
          <w:color w:val="231F20"/>
          <w:spacing w:val="10"/>
        </w:rPr>
        <w:t>25%</w:t>
      </w:r>
      <w:r>
        <w:rPr>
          <w:sz w:val="10"/>
          <w:szCs w:val="10"/>
          <w:color w:val="231F20"/>
          <w:spacing w:val="10"/>
          <w:position w:val="6"/>
        </w:rPr>
        <w:t>[1] </w:t>
      </w:r>
      <w:r>
        <w:rPr>
          <w:rFonts w:ascii="Microsoft YaHei" w:hAnsi="Microsoft YaHei" w:eastAsia="Microsoft YaHei" w:cs="Microsoft YaHei"/>
          <w:color w:val="231F20"/>
          <w:spacing w:val="10"/>
        </w:rPr>
        <w:t>，非闭塞性肠系膜缺血约占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color w:val="231F20"/>
          <w:spacing w:val="-4"/>
        </w:rPr>
        <w:t>20%</w:t>
      </w:r>
      <w:r>
        <w:rPr>
          <w:sz w:val="10"/>
          <w:szCs w:val="10"/>
          <w:color w:val="231F20"/>
          <w:spacing w:val="-4"/>
          <w:position w:val="6"/>
        </w:rPr>
        <w:t>[8]</w:t>
      </w:r>
      <w:r>
        <w:rPr>
          <w:rFonts w:ascii="Microsoft YaHei" w:hAnsi="Microsoft YaHei" w:eastAsia="Microsoft YaHei" w:cs="Microsoft YaHei"/>
          <w:color w:val="231F20"/>
          <w:spacing w:val="-4"/>
        </w:rPr>
        <w:t>。其起病隐匿，发展迅速，临床容易误诊，治疗不及时或处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理不妥当可导致短肠综合征等严重并发症，严重时可因严重腹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腔感染导致死亡，尤其是肠系膜上动脉栓塞和血栓形成，发病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急骤，进展迅猛，病情凶险，致残率及病死率极高，据文献报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道其病死率达 </w:t>
      </w:r>
      <w:r>
        <w:rPr>
          <w:color w:val="231F20"/>
          <w:spacing w:val="3"/>
        </w:rPr>
        <w:t>70 %-90 %</w:t>
      </w:r>
      <w:r>
        <w:rPr>
          <w:sz w:val="10"/>
          <w:szCs w:val="10"/>
          <w:color w:val="231F20"/>
          <w:spacing w:val="3"/>
          <w:position w:val="6"/>
        </w:rPr>
        <w:t>[9] </w:t>
      </w:r>
      <w:r>
        <w:rPr>
          <w:rFonts w:ascii="Microsoft YaHei" w:hAnsi="Microsoft YaHei" w:eastAsia="Microsoft YaHei" w:cs="Microsoft YaHei"/>
          <w:color w:val="231F20"/>
          <w:spacing w:val="3"/>
        </w:rPr>
        <w:t>。近年来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由于人们饮食结构的改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变，肥胖及心血管疾病患者的增加，该病有增多趋势</w:t>
      </w:r>
      <w:r>
        <w:rPr>
          <w:sz w:val="10"/>
          <w:szCs w:val="10"/>
          <w:color w:val="231F20"/>
          <w:position w:val="6"/>
        </w:rPr>
        <w:t>[10]</w:t>
      </w:r>
      <w:r>
        <w:rPr>
          <w:rFonts w:ascii="Microsoft YaHei" w:hAnsi="Microsoft YaHei" w:eastAsia="Microsoft YaHei" w:cs="Microsoft YaHei"/>
          <w:color w:val="231F20"/>
        </w:rPr>
        <w:t>。为提高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临床医生对该病的认识和诊治水平，我们回顾性分析我院所治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疗的 </w:t>
      </w:r>
      <w:r>
        <w:rPr>
          <w:color w:val="231F20"/>
          <w:spacing w:val="5"/>
        </w:rPr>
        <w:t>36 </w:t>
      </w:r>
      <w:r>
        <w:rPr>
          <w:rFonts w:ascii="Microsoft YaHei" w:hAnsi="Microsoft YaHei" w:eastAsia="Microsoft YaHei" w:cs="Microsoft YaHei"/>
          <w:color w:val="231F20"/>
          <w:spacing w:val="5"/>
        </w:rPr>
        <w:t>例 </w:t>
      </w:r>
      <w:r>
        <w:rPr>
          <w:color w:val="231F20"/>
        </w:rPr>
        <w:t>AMI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患者的病史资料，并结合相关文献对该病的诊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断与治疗进行探讨如下。</w:t>
      </w:r>
    </w:p>
    <w:p>
      <w:pPr>
        <w:pStyle w:val="BodyText"/>
        <w:ind w:left="655"/>
        <w:spacing w:before="122" w:line="19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对象与方法</w:t>
      </w:r>
    </w:p>
    <w:p>
      <w:pPr>
        <w:pStyle w:val="BodyText"/>
        <w:ind w:left="652"/>
        <w:spacing w:before="170" w:line="19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1.1  </w:t>
      </w:r>
      <w:r>
        <w:rPr>
          <w:rFonts w:ascii="Microsoft YaHei" w:hAnsi="Microsoft YaHei" w:eastAsia="Microsoft YaHei" w:cs="Microsoft YaHei"/>
          <w:color w:val="231F20"/>
          <w:spacing w:val="-1"/>
        </w:rPr>
        <w:t>一般资料</w:t>
      </w:r>
    </w:p>
    <w:p>
      <w:pPr>
        <w:pStyle w:val="BodyText"/>
        <w:ind w:left="633" w:right="49" w:firstLine="361"/>
        <w:spacing w:before="61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我院 </w:t>
      </w:r>
      <w:r>
        <w:rPr>
          <w:color w:val="231F20"/>
          <w:spacing w:val="1"/>
        </w:rPr>
        <w:t>2016 </w:t>
      </w:r>
      <w:r>
        <w:rPr>
          <w:rFonts w:ascii="Microsoft YaHei" w:hAnsi="Microsoft YaHei" w:eastAsia="Microsoft YaHei" w:cs="Microsoft YaHei"/>
          <w:color w:val="231F20"/>
          <w:spacing w:val="1"/>
        </w:rPr>
        <w:t>年 </w:t>
      </w:r>
      <w:r>
        <w:rPr>
          <w:color w:val="231F20"/>
          <w:spacing w:val="1"/>
        </w:rPr>
        <w:t>5 </w:t>
      </w:r>
      <w:r>
        <w:rPr>
          <w:rFonts w:ascii="Microsoft YaHei" w:hAnsi="Microsoft YaHei" w:eastAsia="Microsoft YaHei" w:cs="Microsoft YaHei"/>
          <w:color w:val="231F20"/>
          <w:spacing w:val="1"/>
        </w:rPr>
        <w:t>月 </w:t>
      </w:r>
      <w:r>
        <w:rPr>
          <w:color w:val="231F20"/>
          <w:spacing w:val="1"/>
        </w:rPr>
        <w:t>-2019 </w:t>
      </w:r>
      <w:r>
        <w:rPr>
          <w:rFonts w:ascii="Microsoft YaHei" w:hAnsi="Microsoft YaHei" w:eastAsia="Microsoft YaHei" w:cs="Microsoft YaHei"/>
          <w:color w:val="231F20"/>
          <w:spacing w:val="1"/>
        </w:rPr>
        <w:t>年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color w:val="231F20"/>
          <w:spacing w:val="1"/>
        </w:rPr>
        <w:t>12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月收治的 </w:t>
      </w:r>
      <w:r>
        <w:rPr>
          <w:color w:val="231F20"/>
        </w:rPr>
        <w:t>AMI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病人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1"/>
        </w:rPr>
        <w:t>36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例。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男性 </w:t>
      </w:r>
      <w:r>
        <w:rPr>
          <w:color w:val="231F20"/>
          <w:spacing w:val="-7"/>
        </w:rPr>
        <w:t>20 </w:t>
      </w:r>
      <w:r>
        <w:rPr>
          <w:rFonts w:ascii="Microsoft YaHei" w:hAnsi="Microsoft YaHei" w:eastAsia="Microsoft YaHei" w:cs="Microsoft YaHei"/>
          <w:color w:val="231F20"/>
          <w:spacing w:val="-7"/>
        </w:rPr>
        <w:t>例，女性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16 </w:t>
      </w:r>
      <w:r>
        <w:rPr>
          <w:rFonts w:ascii="Microsoft YaHei" w:hAnsi="Microsoft YaHei" w:eastAsia="Microsoft YaHei" w:cs="Microsoft YaHei"/>
          <w:color w:val="231F20"/>
          <w:spacing w:val="-7"/>
        </w:rPr>
        <w:t>例，年龄 </w:t>
      </w:r>
      <w:r>
        <w:rPr>
          <w:color w:val="231F20"/>
          <w:spacing w:val="-7"/>
        </w:rPr>
        <w:t>29-82 </w:t>
      </w:r>
      <w:r>
        <w:rPr>
          <w:rFonts w:ascii="Microsoft YaHei" w:hAnsi="Microsoft YaHei" w:eastAsia="Microsoft YaHei" w:cs="Microsoft YaHei"/>
          <w:color w:val="231F20"/>
          <w:spacing w:val="-7"/>
        </w:rPr>
        <w:t>岁，中位年龄 </w:t>
      </w:r>
      <w:r>
        <w:rPr>
          <w:color w:val="231F20"/>
          <w:spacing w:val="-7"/>
        </w:rPr>
        <w:t>62 </w:t>
      </w:r>
      <w:r>
        <w:rPr>
          <w:rFonts w:ascii="Microsoft YaHei" w:hAnsi="Microsoft YaHei" w:eastAsia="Microsoft YaHei" w:cs="Microsoft YaHei"/>
          <w:color w:val="231F20"/>
          <w:spacing w:val="-7"/>
        </w:rPr>
        <w:t>岁。</w:t>
      </w:r>
      <w:r>
        <w:rPr>
          <w:color w:val="231F20"/>
          <w:spacing w:val="-7"/>
        </w:rPr>
        <w:t>55 </w:t>
      </w:r>
      <w:r>
        <w:rPr>
          <w:rFonts w:ascii="Microsoft YaHei" w:hAnsi="Microsoft YaHei" w:eastAsia="Microsoft YaHei" w:cs="Microsoft YaHei"/>
          <w:color w:val="231F20"/>
          <w:spacing w:val="-7"/>
        </w:rPr>
        <w:t>岁以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下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12 </w:t>
      </w:r>
      <w:r>
        <w:rPr>
          <w:rFonts w:ascii="Microsoft YaHei" w:hAnsi="Microsoft YaHei" w:eastAsia="Microsoft YaHei" w:cs="Microsoft YaHei"/>
          <w:color w:val="231F20"/>
          <w:spacing w:val="-4"/>
        </w:rPr>
        <w:t>人，</w:t>
      </w:r>
      <w:r>
        <w:rPr>
          <w:color w:val="231F20"/>
          <w:spacing w:val="-4"/>
        </w:rPr>
        <w:t>55 </w:t>
      </w:r>
      <w:r>
        <w:rPr>
          <w:rFonts w:ascii="Microsoft YaHei" w:hAnsi="Microsoft YaHei" w:eastAsia="Microsoft YaHei" w:cs="Microsoft YaHei"/>
          <w:color w:val="231F20"/>
          <w:spacing w:val="-4"/>
        </w:rPr>
        <w:t>岁以上 </w:t>
      </w:r>
      <w:r>
        <w:rPr>
          <w:color w:val="231F20"/>
          <w:spacing w:val="-4"/>
        </w:rPr>
        <w:t>24 </w:t>
      </w:r>
      <w:r>
        <w:rPr>
          <w:rFonts w:ascii="Microsoft YaHei" w:hAnsi="Microsoft YaHei" w:eastAsia="Microsoft YaHei" w:cs="Microsoft YaHei"/>
          <w:color w:val="231F20"/>
          <w:spacing w:val="-4"/>
        </w:rPr>
        <w:t>人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  <w:r>
        <w:rPr>
          <w:color w:val="231F20"/>
          <w:spacing w:val="-4"/>
        </w:rPr>
        <w:t>3 </w:t>
      </w:r>
      <w:r>
        <w:rPr>
          <w:rFonts w:ascii="Microsoft YaHei" w:hAnsi="Microsoft YaHei" w:eastAsia="Microsoft YaHei" w:cs="Microsoft YaHei"/>
          <w:color w:val="231F20"/>
          <w:spacing w:val="-4"/>
        </w:rPr>
        <w:t>例患者急诊就诊后，拒绝治疗，直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接离院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color w:val="231F20"/>
          <w:spacing w:val="3"/>
        </w:rPr>
        <w:t>1 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例患者住院后自动出院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。最终住院治疗病人 </w:t>
      </w:r>
      <w:r>
        <w:rPr>
          <w:color w:val="231F20"/>
          <w:spacing w:val="3"/>
        </w:rPr>
        <w:t>32 </w:t>
      </w:r>
      <w:r>
        <w:rPr>
          <w:rFonts w:ascii="Microsoft YaHei" w:hAnsi="Microsoft YaHei" w:eastAsia="Microsoft YaHei" w:cs="Microsoft YaHei"/>
          <w:color w:val="231F20"/>
          <w:spacing w:val="3"/>
        </w:rPr>
        <w:t>人，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其中 </w:t>
      </w:r>
      <w:r>
        <w:rPr>
          <w:color w:val="231F20"/>
          <w:spacing w:val="4"/>
        </w:rPr>
        <w:t>8 </w:t>
      </w:r>
      <w:r>
        <w:rPr>
          <w:rFonts w:ascii="Microsoft YaHei" w:hAnsi="Microsoft YaHei" w:eastAsia="Microsoft YaHei" w:cs="Microsoft YaHei"/>
          <w:color w:val="231F20"/>
          <w:spacing w:val="4"/>
        </w:rPr>
        <w:t>例为外院行手术治疗后，在我院行术后肠康复治疗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者均有腹痛症状，其他主要症状为恶心 </w:t>
      </w:r>
      <w:r>
        <w:rPr>
          <w:color w:val="231F20"/>
          <w:spacing w:val="-2"/>
        </w:rPr>
        <w:t>23 </w:t>
      </w:r>
      <w:r>
        <w:rPr>
          <w:rFonts w:ascii="Microsoft YaHei" w:hAnsi="Microsoft YaHei" w:eastAsia="Microsoft YaHei" w:cs="Microsoft YaHei"/>
          <w:color w:val="231F20"/>
          <w:spacing w:val="-2"/>
        </w:rPr>
        <w:t>例、呕吐 </w:t>
      </w:r>
      <w:r>
        <w:rPr>
          <w:color w:val="231F20"/>
          <w:spacing w:val="-2"/>
        </w:rPr>
        <w:t>20 </w:t>
      </w:r>
      <w:r>
        <w:rPr>
          <w:rFonts w:ascii="Microsoft YaHei" w:hAnsi="Microsoft YaHei" w:eastAsia="Microsoft YaHei" w:cs="Microsoft YaHei"/>
          <w:color w:val="231F20"/>
          <w:spacing w:val="-2"/>
        </w:rPr>
        <w:t>例、发热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color w:val="231F20"/>
        </w:rPr>
        <w:t>10 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。呕血或便血病人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</w:rPr>
        <w:t>13 </w:t>
      </w:r>
      <w:r>
        <w:rPr>
          <w:rFonts w:ascii="Microsoft YaHei" w:hAnsi="Microsoft YaHei" w:eastAsia="Microsoft YaHei" w:cs="Microsoft YaHei"/>
          <w:color w:val="231F20"/>
        </w:rPr>
        <w:t>例。合并房颤病例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</w:rPr>
        <w:t>10 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。高血压 </w:t>
      </w:r>
      <w:r>
        <w:rPr>
          <w:color w:val="231F20"/>
          <w:spacing w:val="-1"/>
        </w:rPr>
        <w:t>9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例，高血压及房颤病例共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16 </w:t>
      </w:r>
      <w:r>
        <w:rPr>
          <w:rFonts w:ascii="Microsoft YaHei" w:hAnsi="Microsoft YaHei" w:eastAsia="Microsoft YaHei" w:cs="Microsoft YaHei"/>
          <w:color w:val="231F20"/>
          <w:spacing w:val="-3"/>
        </w:rPr>
        <w:t>例。有腹膜炎表现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18 </w:t>
      </w:r>
      <w:r>
        <w:rPr>
          <w:rFonts w:ascii="Microsoft YaHei" w:hAnsi="Microsoft YaHei" w:eastAsia="Microsoft YaHei" w:cs="Microsoft YaHei"/>
          <w:color w:val="231F20"/>
          <w:spacing w:val="-3"/>
        </w:rPr>
        <w:t>例。实验</w:t>
      </w:r>
      <w:r>
        <w:rPr>
          <w:rFonts w:ascii="Microsoft YaHei" w:hAnsi="Microsoft YaHei" w:eastAsia="Microsoft YaHei" w:cs="Microsoft YaHei"/>
          <w:color w:val="231F20"/>
          <w:spacing w:val="-4"/>
        </w:rPr>
        <w:t>室检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查：</w:t>
      </w:r>
      <w:r>
        <w:rPr>
          <w:color w:val="231F20"/>
        </w:rPr>
        <w:t>D- </w:t>
      </w:r>
      <w:r>
        <w:rPr>
          <w:rFonts w:ascii="Microsoft YaHei" w:hAnsi="Microsoft YaHei" w:eastAsia="Microsoft YaHei" w:cs="Microsoft YaHei"/>
          <w:color w:val="231F20"/>
        </w:rPr>
        <w:t>二聚体升高 </w:t>
      </w:r>
      <w:r>
        <w:rPr>
          <w:color w:val="231F20"/>
        </w:rPr>
        <w:t>33 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白细胞升高病例 </w:t>
      </w:r>
      <w:r>
        <w:rPr>
          <w:color w:val="231F20"/>
        </w:rPr>
        <w:t>24 </w:t>
      </w:r>
      <w:r>
        <w:rPr>
          <w:rFonts w:ascii="Microsoft YaHei" w:hAnsi="Microsoft YaHei" w:eastAsia="Microsoft YaHei" w:cs="Microsoft YaHei"/>
          <w:color w:val="231F20"/>
        </w:rPr>
        <w:t>例，中性粒细胞  </w:t>
      </w:r>
      <w:r>
        <w:rPr>
          <w:rFonts w:ascii="Microsoft YaHei" w:hAnsi="Microsoft YaHei" w:eastAsia="Microsoft YaHei" w:cs="Microsoft YaHei"/>
          <w:color w:val="231F20"/>
          <w:spacing w:val="4"/>
        </w:rPr>
        <w:t>比例升高 </w:t>
      </w:r>
      <w:r>
        <w:rPr>
          <w:color w:val="231F20"/>
          <w:spacing w:val="4"/>
        </w:rPr>
        <w:t>31 </w:t>
      </w:r>
      <w:r>
        <w:rPr>
          <w:rFonts w:ascii="Microsoft YaHei" w:hAnsi="Microsoft YaHei" w:eastAsia="Microsoft YaHei" w:cs="Microsoft YaHei"/>
          <w:color w:val="231F20"/>
          <w:spacing w:val="4"/>
        </w:rPr>
        <w:t>例。所有患者均行腹部 </w:t>
      </w:r>
      <w:r>
        <w:rPr>
          <w:color w:val="231F20"/>
        </w:rPr>
        <w:t>CTA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检查证实肠系膜上血  </w:t>
      </w:r>
      <w:r>
        <w:rPr>
          <w:rFonts w:ascii="Microsoft YaHei" w:hAnsi="Microsoft YaHei" w:eastAsia="Microsoft YaHei" w:cs="Microsoft YaHei"/>
          <w:color w:val="231F20"/>
          <w:spacing w:val="1"/>
        </w:rPr>
        <w:t>管或门静脉血栓形成。肠系膜上动脉栓塞性疾病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17 </w:t>
      </w:r>
      <w:r>
        <w:rPr>
          <w:rFonts w:ascii="Microsoft YaHei" w:hAnsi="Microsoft YaHei" w:eastAsia="Microsoft YaHei" w:cs="Microsoft YaHei"/>
          <w:color w:val="231F20"/>
          <w:spacing w:val="1"/>
        </w:rPr>
        <w:t>例，肠系膜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上动脉血栓形成疾病 </w:t>
      </w:r>
      <w:r>
        <w:rPr>
          <w:color w:val="231F20"/>
          <w:spacing w:val="1"/>
        </w:rPr>
        <w:t>6 </w:t>
      </w:r>
      <w:r>
        <w:rPr>
          <w:rFonts w:ascii="Microsoft YaHei" w:hAnsi="Microsoft YaHei" w:eastAsia="Microsoft YaHei" w:cs="Microsoft YaHei"/>
          <w:color w:val="231F20"/>
          <w:spacing w:val="1"/>
        </w:rPr>
        <w:t>例，肠系膜上静脉性疾病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13 </w:t>
      </w:r>
      <w:r>
        <w:rPr>
          <w:rFonts w:ascii="Microsoft YaHei" w:hAnsi="Microsoft YaHei" w:eastAsia="Microsoft YaHei" w:cs="Microsoft YaHei"/>
          <w:color w:val="231F20"/>
          <w:spacing w:val="1"/>
        </w:rPr>
        <w:t>例。</w:t>
      </w:r>
    </w:p>
    <w:p>
      <w:pPr>
        <w:pStyle w:val="BodyText"/>
        <w:ind w:left="652"/>
        <w:spacing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1.2</w:t>
      </w:r>
      <w:r>
        <w:rPr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方法</w:t>
      </w:r>
    </w:p>
    <w:p>
      <w:pPr>
        <w:pStyle w:val="BodyText"/>
        <w:ind w:left="634" w:right="113" w:firstLine="359"/>
        <w:spacing w:before="5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确诊病例根据疾病类型决定治疗方式。术前确诊伴肠坏死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者急诊手术治疗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。肠系膜上静脉血栓无坏死者，暂不手术治疗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给予抗凝治疗。如无法判断是否坏死可进一步腹腔镜探查了解 </w:t>
      </w:r>
      <w:r>
        <w:rPr>
          <w:rFonts w:ascii="Microsoft YaHei" w:hAnsi="Microsoft YaHei" w:eastAsia="Microsoft YaHei" w:cs="Microsoft YaHei"/>
          <w:color w:val="231F20"/>
          <w:spacing w:val="7"/>
        </w:rPr>
        <w:t>有无肠道坏死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。术前均行 </w:t>
      </w:r>
      <w:r>
        <w:rPr>
          <w:color w:val="231F20"/>
        </w:rPr>
        <w:t>MDT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讨论，血管外科及胃肠外科联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合手术治疗。</w:t>
      </w:r>
    </w:p>
    <w:p>
      <w:pPr>
        <w:pStyle w:val="BodyText"/>
        <w:ind w:left="633" w:right="113" w:firstLine="18"/>
        <w:spacing w:before="6" w:line="23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1.2.1</w:t>
      </w:r>
      <w:r>
        <w:rPr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诊断     对于高度怀疑 </w:t>
      </w:r>
      <w:r>
        <w:rPr>
          <w:color w:val="231F20"/>
        </w:rPr>
        <w:t>AMI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的患</w:t>
      </w:r>
      <w:r>
        <w:rPr>
          <w:rFonts w:ascii="Microsoft YaHei" w:hAnsi="Microsoft YaHei" w:eastAsia="Microsoft YaHei" w:cs="Microsoft YaHei"/>
          <w:color w:val="231F20"/>
          <w:spacing w:val="6"/>
        </w:rPr>
        <w:t>者，诊断应该明确两个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情况：是否有肠系膜血管缺血；是否有肠坏死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。首先，是否有肠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系膜血管缺血：于急诊就诊急性腹痛患者，尤其腹痛症状重，体 </w:t>
      </w:r>
      <w:r>
        <w:rPr>
          <w:rFonts w:ascii="Microsoft YaHei" w:hAnsi="Microsoft YaHei" w:eastAsia="Microsoft YaHei" w:cs="Microsoft YaHei"/>
          <w:color w:val="231F20"/>
          <w:spacing w:val="4"/>
        </w:rPr>
        <w:t>征轻等怀疑 </w:t>
      </w:r>
      <w:r>
        <w:rPr>
          <w:color w:val="231F20"/>
        </w:rPr>
        <w:t>AMI</w:t>
      </w:r>
      <w:r>
        <w:rPr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的患者，且完善腹部 </w:t>
      </w:r>
      <w:r>
        <w:rPr>
          <w:color w:val="231F20"/>
        </w:rPr>
        <w:t>CT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检查及常规检查，不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能明确诊断，均应行 </w:t>
      </w:r>
      <w:r>
        <w:rPr>
          <w:color w:val="231F20"/>
          <w:spacing w:val="3"/>
        </w:rPr>
        <w:t>D </w:t>
      </w:r>
      <w:r>
        <w:rPr>
          <w:rFonts w:ascii="Microsoft YaHei" w:hAnsi="Microsoft YaHei" w:eastAsia="Microsoft YaHei" w:cs="Microsoft YaHei"/>
          <w:color w:val="231F20"/>
          <w:spacing w:val="3"/>
        </w:rPr>
        <w:t>二聚体检查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。如监测正常，则可基本考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虑除外该病。如升高，尤其明显升高的急性腹痛患者，均行腹部 </w:t>
      </w:r>
      <w:r>
        <w:rPr>
          <w:color w:val="231F20"/>
        </w:rPr>
        <w:t>CTA </w:t>
      </w:r>
      <w:r>
        <w:rPr>
          <w:rFonts w:ascii="Microsoft YaHei" w:hAnsi="Microsoft YaHei" w:eastAsia="Microsoft YaHei" w:cs="Microsoft YaHei"/>
          <w:color w:val="231F20"/>
        </w:rPr>
        <w:t>检查</w:t>
      </w:r>
      <w:r>
        <w:rPr>
          <w:color w:val="231F20"/>
        </w:rPr>
        <w:t>(</w:t>
      </w:r>
      <w:r>
        <w:rPr>
          <w:rFonts w:ascii="Microsoft YaHei" w:hAnsi="Microsoft YaHei" w:eastAsia="Microsoft YaHei" w:cs="Microsoft YaHei"/>
          <w:color w:val="231F20"/>
        </w:rPr>
        <w:t>图</w:t>
      </w:r>
      <w:r>
        <w:rPr>
          <w:rFonts w:ascii="Microsoft YaHei" w:hAnsi="Microsoft YaHei" w:eastAsia="Microsoft YaHei" w:cs="Microsoft YaHei"/>
          <w:color w:val="231F20"/>
          <w:spacing w:val="33"/>
          <w:w w:val="101"/>
        </w:rPr>
        <w:t xml:space="preserve"> </w:t>
      </w:r>
      <w:r>
        <w:rPr>
          <w:color w:val="231F20"/>
        </w:rPr>
        <w:t>1)</w:t>
      </w:r>
      <w:r>
        <w:rPr>
          <w:rFonts w:ascii="Microsoft YaHei" w:hAnsi="Microsoft YaHei" w:eastAsia="Microsoft YaHei" w:cs="Microsoft YaHei"/>
          <w:color w:val="231F20"/>
        </w:rPr>
        <w:t>来明确诊断；其次，是否肠坏死：患者有无合并 </w:t>
      </w:r>
      <w:r>
        <w:rPr>
          <w:rFonts w:ascii="Microsoft YaHei" w:hAnsi="Microsoft YaHei" w:eastAsia="Microsoft YaHei" w:cs="Microsoft YaHei"/>
          <w:color w:val="231F20"/>
          <w:spacing w:val="7"/>
        </w:rPr>
        <w:t>肠道坏死对后续治疗方式密切相关。术前腹部增强 </w:t>
      </w:r>
      <w:r>
        <w:rPr>
          <w:color w:val="231F20"/>
        </w:rPr>
        <w:t>CT</w:t>
      </w:r>
      <w:r>
        <w:rPr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检查可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1" w:right="64" w:firstLine="16"/>
        <w:spacing w:before="42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以提供线索，如 </w:t>
      </w:r>
      <w:r>
        <w:rPr>
          <w:color w:val="231F20"/>
        </w:rPr>
        <w:t>CT </w:t>
      </w:r>
      <w:r>
        <w:rPr>
          <w:rFonts w:ascii="Microsoft YaHei" w:hAnsi="Microsoft YaHei" w:eastAsia="Microsoft YaHei" w:cs="Microsoft YaHei"/>
          <w:color w:val="231F20"/>
        </w:rPr>
        <w:t>显示肠壁增厚、肠壁血液灌注降低、合并腹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水等情况，表示肠道坏死的可能极大</w:t>
      </w:r>
      <w:r>
        <w:rPr>
          <w:color w:val="231F20"/>
          <w:spacing w:val="8"/>
        </w:rPr>
        <w:t>(</w:t>
      </w:r>
      <w:r>
        <w:rPr>
          <w:rFonts w:ascii="Microsoft YaHei" w:hAnsi="Microsoft YaHei" w:eastAsia="Microsoft YaHei" w:cs="Microsoft YaHei"/>
          <w:color w:val="231F20"/>
          <w:spacing w:val="8"/>
        </w:rPr>
        <w:t>图 </w:t>
      </w:r>
      <w:r>
        <w:rPr>
          <w:color w:val="231F20"/>
          <w:spacing w:val="8"/>
        </w:rPr>
        <w:t>2)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。如果腹腔积液较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多，可行超声下行腹腔穿刺，如穿刺为血性腹水，则考虑为肠坏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死可能大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。参考血象、</w:t>
      </w:r>
      <w:r>
        <w:rPr>
          <w:color w:val="231F20"/>
          <w:spacing w:val="3"/>
        </w:rPr>
        <w:t>D- </w:t>
      </w:r>
      <w:r>
        <w:rPr>
          <w:rFonts w:ascii="Microsoft YaHei" w:hAnsi="Microsoft YaHei" w:eastAsia="Microsoft YaHei" w:cs="Microsoft YaHei"/>
          <w:color w:val="231F20"/>
          <w:spacing w:val="3"/>
        </w:rPr>
        <w:t>二聚体来协助判断是否有肠坏死，该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研究通过 </w:t>
      </w:r>
      <w:r>
        <w:rPr>
          <w:color w:val="231F20"/>
        </w:rPr>
        <w:t>spss</w:t>
      </w:r>
      <w:r>
        <w:rPr>
          <w:color w:val="231F20"/>
          <w:spacing w:val="3"/>
        </w:rPr>
        <w:t>23.0 </w:t>
      </w:r>
      <w:r>
        <w:rPr>
          <w:rFonts w:ascii="Microsoft YaHei" w:hAnsi="Microsoft YaHei" w:eastAsia="Microsoft YaHei" w:cs="Microsoft YaHei"/>
          <w:color w:val="231F20"/>
          <w:spacing w:val="3"/>
        </w:rPr>
        <w:t>软件，通过 </w:t>
      </w:r>
      <w:r>
        <w:rPr>
          <w:color w:val="231F20"/>
        </w:rPr>
        <w:t>ROC</w:t>
      </w:r>
      <w:r>
        <w:rPr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曲线及卡方检验的统计方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法了解这些因素与肠道坏死的关系。</w:t>
      </w:r>
    </w:p>
    <w:p>
      <w:pPr>
        <w:pStyle w:val="BodyText"/>
        <w:ind w:firstLine="90"/>
        <w:spacing w:before="19" w:line="239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1.2.2  </w:t>
      </w:r>
      <w:r>
        <w:rPr>
          <w:rFonts w:ascii="Microsoft YaHei" w:hAnsi="Microsoft YaHei" w:eastAsia="Microsoft YaHei" w:cs="Microsoft YaHei"/>
          <w:color w:val="231F20"/>
          <w:spacing w:val="1"/>
        </w:rPr>
        <w:t>治疗     所有的患者均行 </w:t>
      </w:r>
      <w:r>
        <w:rPr>
          <w:color w:val="231F20"/>
        </w:rPr>
        <w:t>MDT</w:t>
      </w:r>
      <w:r>
        <w:rPr>
          <w:rFonts w:ascii="Microsoft YaHei" w:hAnsi="Microsoft YaHei" w:eastAsia="Microsoft YaHei" w:cs="Microsoft YaHei"/>
          <w:color w:val="231F20"/>
          <w:spacing w:val="1"/>
        </w:rPr>
        <w:t>，参与科室有胃</w:t>
      </w:r>
      <w:r>
        <w:rPr>
          <w:rFonts w:ascii="Microsoft YaHei" w:hAnsi="Microsoft YaHei" w:eastAsia="Microsoft YaHei" w:cs="Microsoft YaHei"/>
          <w:color w:val="231F20"/>
        </w:rPr>
        <w:t>肠外科、血  </w:t>
      </w:r>
      <w:r>
        <w:rPr>
          <w:rFonts w:ascii="Microsoft YaHei" w:hAnsi="Microsoft YaHei" w:eastAsia="Microsoft YaHei" w:cs="Microsoft YaHei"/>
          <w:color w:val="231F20"/>
          <w:spacing w:val="4"/>
        </w:rPr>
        <w:t>管外科、医学影像科、麻醉科、</w:t>
      </w:r>
      <w:r>
        <w:rPr>
          <w:color w:val="231F20"/>
        </w:rPr>
        <w:t>ICU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。不同类型的肠系</w:t>
      </w:r>
      <w:r>
        <w:rPr>
          <w:rFonts w:ascii="Microsoft YaHei" w:hAnsi="Microsoft YaHei" w:eastAsia="Microsoft YaHei" w:cs="Microsoft YaHei"/>
          <w:color w:val="231F20"/>
          <w:spacing w:val="3"/>
        </w:rPr>
        <w:t>膜血管病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治疗策略不同，具体治疗方案如下：首先，肠系膜静脉血栓形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成：入院判断无肠坏死患者，收入血管外科，行抗凝治疗，密切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观察病情变化，如病情进展怀疑肠道坏死，胃肠外科进一步腹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腔镜探查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；如入院即高度怀疑肠道坏死可直接行腹腔镜探查。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具体步骤：腹腔镜探查、坏死肠道切除，远端及近端肠管分别行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腹壁双造口。肠系膜上动脉缺血：包括栓塞和血栓形成，因病情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危重，病情进展快，无论有无怀疑肠道坏死，均建议积极腹腔镜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探查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。我们所有的动脉缺血性疾病均行腹腔镜探查，判断有无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肠道坏死，如发现肠道坏死，行坏死肠道切除，肠道远近端双腔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造瘘，同时请血管外科上台行动脉切开取栓（</w:t>
      </w:r>
      <w:r>
        <w:rPr>
          <w:rFonts w:ascii="Microsoft YaHei" w:hAnsi="Microsoft YaHei" w:eastAsia="Microsoft YaHei" w:cs="Microsoft YaHei"/>
          <w:color w:val="231F20"/>
          <w:spacing w:val="10"/>
        </w:rPr>
        <w:t>图 </w:t>
      </w:r>
      <w:r>
        <w:rPr>
          <w:color w:val="231F20"/>
          <w:spacing w:val="10"/>
        </w:rPr>
        <w:t>3</w:t>
      </w:r>
      <w:r>
        <w:rPr>
          <w:rFonts w:ascii="Microsoft YaHei" w:hAnsi="Microsoft YaHei" w:eastAsia="Microsoft YaHei" w:cs="Microsoft YaHei"/>
          <w:color w:val="231F20"/>
          <w:spacing w:val="-23"/>
          <w:w w:val="57"/>
        </w:rPr>
        <w:t>），</w:t>
      </w:r>
      <w:r>
        <w:rPr>
          <w:rFonts w:ascii="Microsoft YaHei" w:hAnsi="Microsoft YaHei" w:eastAsia="Microsoft YaHei" w:cs="Microsoft YaHei"/>
          <w:color w:val="231F20"/>
          <w:spacing w:val="10"/>
        </w:rPr>
        <w:t>病情稳定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后择期手术还纳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。术中肠道生机的判断困难，我们尝试了吲哚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箐绿荧光显影剂、配合荧光导航内镜，判断肠道血液灌注情况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（图 </w:t>
      </w:r>
      <w:r>
        <w:rPr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color w:val="231F20"/>
          <w:spacing w:val="-3"/>
        </w:rPr>
        <w:t>）。如肠道无坏死，请血管外科行介入，进一步明确血栓情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况同时行血栓抽吸、溶栓，</w:t>
      </w:r>
      <w:r>
        <w:rPr>
          <w:color w:val="231F20"/>
          <w:spacing w:val="-1"/>
        </w:rPr>
        <w:t>(</w:t>
      </w:r>
      <w:r>
        <w:rPr>
          <w:rFonts w:ascii="Microsoft YaHei" w:hAnsi="Microsoft YaHei" w:eastAsia="Microsoft YaHei" w:cs="Microsoft YaHei"/>
          <w:color w:val="231F20"/>
          <w:spacing w:val="-1"/>
        </w:rPr>
        <w:t>图 </w:t>
      </w:r>
      <w:r>
        <w:rPr>
          <w:color w:val="231F20"/>
          <w:spacing w:val="-1"/>
        </w:rPr>
        <w:t>5)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73"/>
        <w:spacing w:before="126" w:line="195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结果</w:t>
      </w:r>
    </w:p>
    <w:p>
      <w:pPr>
        <w:pStyle w:val="BodyText"/>
        <w:ind w:left="72" w:firstLine="356"/>
        <w:spacing w:before="163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关于术前肠道缺血程度的判断，我们的研究显示，明显的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腹膜炎体征、腹部 </w:t>
      </w:r>
      <w:r>
        <w:rPr>
          <w:color w:val="231F20"/>
        </w:rPr>
        <w:t>CTA</w:t>
      </w:r>
      <w:r>
        <w:rPr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阳性及血象升高与肠道坏死有相关性。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有报道称 </w:t>
      </w:r>
      <w:r>
        <w:rPr>
          <w:color w:val="231F20"/>
          <w:spacing w:val="9"/>
        </w:rPr>
        <w:t>D </w:t>
      </w:r>
      <w:r>
        <w:rPr>
          <w:rFonts w:ascii="Microsoft YaHei" w:hAnsi="Microsoft YaHei" w:eastAsia="Microsoft YaHei" w:cs="Microsoft YaHei"/>
          <w:color w:val="231F20"/>
          <w:spacing w:val="9"/>
        </w:rPr>
        <w:t>二聚体与肠坏死有关，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我们的研究显示与肠道坏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死无相关性，对诊断肠道缺血密切相关</w:t>
      </w:r>
      <w:r>
        <w:rPr>
          <w:rFonts w:ascii="Microsoft YaHei" w:hAnsi="Microsoft YaHei" w:eastAsia="Microsoft YaHei" w:cs="Microsoft YaHei"/>
          <w:color w:val="231F20"/>
          <w:spacing w:val="-36"/>
          <w:w w:val="88"/>
        </w:rPr>
        <w:t>，（</w:t>
      </w:r>
      <w:r>
        <w:rPr>
          <w:rFonts w:ascii="Microsoft YaHei" w:hAnsi="Microsoft YaHei" w:eastAsia="Microsoft YaHei" w:cs="Microsoft YaHei"/>
          <w:color w:val="231F20"/>
          <w:spacing w:val="-6"/>
        </w:rPr>
        <w:t>表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1-3</w:t>
      </w:r>
      <w:r>
        <w:rPr>
          <w:rFonts w:ascii="Microsoft YaHei" w:hAnsi="Microsoft YaHei" w:eastAsia="Microsoft YaHei" w:cs="Microsoft YaHei"/>
          <w:color w:val="231F20"/>
          <w:spacing w:val="-6"/>
        </w:rPr>
        <w:t>，图 </w:t>
      </w:r>
      <w:r>
        <w:rPr>
          <w:color w:val="231F20"/>
          <w:spacing w:val="-6"/>
        </w:rPr>
        <w:t>6</w:t>
      </w:r>
      <w:r>
        <w:rPr>
          <w:rFonts w:ascii="Microsoft YaHei" w:hAnsi="Microsoft YaHei" w:eastAsia="Microsoft YaHei" w:cs="Microsoft YaHei"/>
          <w:color w:val="231F20"/>
          <w:spacing w:val="-6"/>
        </w:rPr>
        <w:t>）。</w:t>
      </w:r>
    </w:p>
    <w:p>
      <w:pPr>
        <w:pStyle w:val="BodyText"/>
        <w:ind w:left="71" w:right="10" w:firstLine="357"/>
        <w:spacing w:before="4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所有住院治疗患者中有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11 </w:t>
      </w:r>
      <w:r>
        <w:rPr>
          <w:rFonts w:ascii="Microsoft YaHei" w:hAnsi="Microsoft YaHei" w:eastAsia="Microsoft YaHei" w:cs="Microsoft YaHei"/>
          <w:color w:val="231F20"/>
          <w:spacing w:val="7"/>
        </w:rPr>
        <w:t>例行肠切除，术后均行肠康复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治疗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。术后 </w:t>
      </w:r>
      <w:r>
        <w:rPr>
          <w:color w:val="231F20"/>
          <w:spacing w:val="3"/>
        </w:rPr>
        <w:t>8 </w:t>
      </w:r>
      <w:r>
        <w:rPr>
          <w:rFonts w:ascii="Microsoft YaHei" w:hAnsi="Microsoft YaHei" w:eastAsia="Microsoft YaHei" w:cs="Microsoft YaHei"/>
          <w:color w:val="231F20"/>
          <w:spacing w:val="3"/>
        </w:rPr>
        <w:t>例发生短肠综合证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color w:val="231F20"/>
          <w:spacing w:val="3"/>
        </w:rPr>
        <w:t>1 </w:t>
      </w:r>
      <w:r>
        <w:rPr>
          <w:rFonts w:ascii="Microsoft YaHei" w:hAnsi="Microsoft YaHei" w:eastAsia="Microsoft YaHei" w:cs="Microsoft YaHei"/>
          <w:color w:val="231F20"/>
          <w:spacing w:val="3"/>
        </w:rPr>
        <w:t>例病人术后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1 </w:t>
      </w:r>
      <w:r>
        <w:rPr>
          <w:rFonts w:ascii="Microsoft YaHei" w:hAnsi="Microsoft YaHei" w:eastAsia="Microsoft YaHei" w:cs="Microsoft YaHei"/>
          <w:color w:val="231F20"/>
          <w:spacing w:val="3"/>
        </w:rPr>
        <w:t>周内发生大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面积脑梗塞，自动出院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  <w:r>
        <w:rPr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color w:val="231F20"/>
          <w:spacing w:val="6"/>
        </w:rPr>
        <w:t>例因术后肾功能衰竭伴发心功能衰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竭死亡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  <w:r>
        <w:rPr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color w:val="231F20"/>
          <w:spacing w:val="6"/>
        </w:rPr>
        <w:t>例病人肠系膜上动脉夹层，术前腹腔镜探查未见明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显肠道坏死，血管外科行介入治疗，术后出现肠道坏死，患者家  </w:t>
      </w:r>
      <w:r>
        <w:rPr>
          <w:rFonts w:ascii="Microsoft YaHei" w:hAnsi="Microsoft YaHei" w:eastAsia="Microsoft YaHei" w:cs="Microsoft YaHei"/>
          <w:color w:val="231F20"/>
          <w:spacing w:val="1"/>
        </w:rPr>
        <w:t>属拒绝二次手术，后出现肠瘘，给予放置双套管冲洗引流，</w:t>
      </w:r>
      <w:r>
        <w:rPr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color w:val="231F20"/>
          <w:spacing w:val="1"/>
        </w:rPr>
        <w:t>个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月后行肠瘘切除术，术后恢复良好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。所有肠道切除病人术后早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期均需 </w:t>
      </w:r>
      <w:r>
        <w:rPr>
          <w:color w:val="231F20"/>
        </w:rPr>
        <w:t>TPN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治疗。</w:t>
      </w:r>
      <w:r>
        <w:rPr>
          <w:color w:val="231F20"/>
          <w:spacing w:val="3"/>
        </w:rPr>
        <w:t>3 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例患者术中我们尝试了吲哚箐绿荧光显影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剂、配合荧光导航内镜，判断肠道血液灌注情况，疗效显著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前已 </w:t>
      </w:r>
      <w:r>
        <w:rPr>
          <w:color w:val="231F20"/>
          <w:spacing w:val="3"/>
        </w:rPr>
        <w:t>5 </w:t>
      </w:r>
      <w:r>
        <w:rPr>
          <w:rFonts w:ascii="Microsoft YaHei" w:hAnsi="Microsoft YaHei" w:eastAsia="Microsoft YaHei" w:cs="Microsoft YaHei"/>
          <w:color w:val="231F20"/>
          <w:spacing w:val="3"/>
        </w:rPr>
        <w:t>例病人术后 </w:t>
      </w:r>
      <w:r>
        <w:rPr>
          <w:color w:val="231F20"/>
          <w:spacing w:val="3"/>
        </w:rPr>
        <w:t>6 </w:t>
      </w:r>
      <w:r>
        <w:rPr>
          <w:rFonts w:ascii="Microsoft YaHei" w:hAnsi="Microsoft YaHei" w:eastAsia="Microsoft YaHei" w:cs="Microsoft YaHei"/>
          <w:color w:val="231F20"/>
          <w:spacing w:val="3"/>
        </w:rPr>
        <w:t>个月行造口还纳。其中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3"/>
        </w:rPr>
        <w:t>1 </w:t>
      </w:r>
      <w:r>
        <w:rPr>
          <w:rFonts w:ascii="Microsoft YaHei" w:hAnsi="Microsoft YaHei" w:eastAsia="Microsoft YaHei" w:cs="Microsoft YaHei"/>
          <w:color w:val="231F20"/>
          <w:spacing w:val="2"/>
        </w:rPr>
        <w:t>例患者因缺血时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间长，肠道缺血时间长，二次手术时发现肠道水肿严重，肠粘膜  </w:t>
      </w:r>
      <w:r>
        <w:rPr>
          <w:rFonts w:ascii="Microsoft YaHei" w:hAnsi="Microsoft YaHei" w:eastAsia="Microsoft YaHei" w:cs="Microsoft YaHei"/>
          <w:color w:val="231F20"/>
          <w:spacing w:val="3"/>
        </w:rPr>
        <w:t>萎缩，肠壁挛缩（图</w:t>
      </w:r>
      <w:r>
        <w:rPr>
          <w:color w:val="231F20"/>
          <w:spacing w:val="3"/>
        </w:rPr>
        <w:t>7</w:t>
      </w:r>
      <w:r>
        <w:rPr>
          <w:rFonts w:ascii="Microsoft YaHei" w:hAnsi="Microsoft YaHei" w:eastAsia="Microsoft YaHei" w:cs="Microsoft YaHei"/>
          <w:color w:val="231F20"/>
          <w:spacing w:val="-26"/>
          <w:w w:val="64"/>
        </w:rPr>
        <w:t>），</w:t>
      </w:r>
      <w:r>
        <w:rPr>
          <w:rFonts w:ascii="Microsoft YaHei" w:hAnsi="Microsoft YaHei" w:eastAsia="Microsoft YaHei" w:cs="Microsoft YaHei"/>
          <w:color w:val="231F20"/>
          <w:spacing w:val="3"/>
        </w:rPr>
        <w:t>再次切除部分肠管，导致术后短肠综合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征。而且术后发生吻合口漏，应用术中放置黎施双套管冲洗，保  </w:t>
      </w:r>
      <w:r>
        <w:rPr>
          <w:rFonts w:ascii="Microsoft YaHei" w:hAnsi="Microsoft YaHei" w:eastAsia="Microsoft YaHei" w:cs="Microsoft YaHei"/>
          <w:color w:val="231F20"/>
          <w:spacing w:val="4"/>
        </w:rPr>
        <w:t>守治疗后好转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。另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例为肠系膜上静脉及门静脉血栓形成，门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静脉海绵样变，术后 </w:t>
      </w:r>
      <w:r>
        <w:rPr>
          <w:color w:val="231F20"/>
          <w:spacing w:val="1"/>
        </w:rPr>
        <w:t>6 </w:t>
      </w:r>
      <w:r>
        <w:rPr>
          <w:rFonts w:ascii="Microsoft YaHei" w:hAnsi="Microsoft YaHei" w:eastAsia="Microsoft YaHei" w:cs="Microsoft YaHei"/>
          <w:color w:val="231F20"/>
          <w:spacing w:val="1"/>
        </w:rPr>
        <w:t>个月行造口还纳，术中发现肠道水肿重，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还纳后愈合良好。</w:t>
      </w:r>
    </w:p>
    <w:p>
      <w:pPr>
        <w:pStyle w:val="BodyText"/>
        <w:ind w:left="77"/>
        <w:spacing w:before="103" w:line="197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3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讨论</w:t>
      </w:r>
    </w:p>
    <w:p>
      <w:pPr>
        <w:pStyle w:val="BodyText"/>
        <w:ind w:left="76"/>
        <w:spacing w:before="166" w:line="191" w:lineRule="auto"/>
        <w:outlineLvl w:val="1"/>
        <w:rPr>
          <w:rFonts w:ascii="Microsoft YaHei" w:hAnsi="Microsoft YaHei" w:eastAsia="Microsoft YaHei" w:cs="Microsoft YaHei"/>
        </w:rPr>
      </w:pPr>
      <w:r>
        <w:rPr>
          <w:color w:val="231F20"/>
        </w:rPr>
        <w:t>3.1  </w:t>
      </w:r>
      <w:r>
        <w:rPr>
          <w:rFonts w:ascii="Microsoft YaHei" w:hAnsi="Microsoft YaHei" w:eastAsia="Microsoft YaHei" w:cs="Microsoft YaHei"/>
          <w:color w:val="231F20"/>
        </w:rPr>
        <w:t>临床诊断</w:t>
      </w:r>
    </w:p>
    <w:p>
      <w:pPr>
        <w:pStyle w:val="BodyText"/>
        <w:ind w:left="74" w:right="64" w:firstLine="362"/>
        <w:spacing w:before="55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主诉和查体不符合的剧烈腹痛是 </w:t>
      </w:r>
      <w:r>
        <w:rPr>
          <w:color w:val="231F20"/>
        </w:rPr>
        <w:t>AMI</w:t>
      </w:r>
      <w:r>
        <w:rPr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的典型表现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sz w:val="10"/>
          <w:szCs w:val="10"/>
          <w:color w:val="231F20"/>
          <w:spacing w:val="5"/>
          <w:position w:val="6"/>
        </w:rPr>
        <w:t>[11]</w:t>
      </w:r>
      <w:r>
        <w:rPr>
          <w:rFonts w:ascii="Microsoft YaHei" w:hAnsi="Microsoft YaHei" w:eastAsia="Microsoft YaHei" w:cs="Microsoft YaHei"/>
          <w:color w:val="231F20"/>
          <w:spacing w:val="5"/>
        </w:rPr>
        <w:t>，据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文献报道大多数病人有腹痛、恶心、呕吐、腹泻、血便等症状，其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中大概有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1/3</w:t>
      </w:r>
      <w:r>
        <w:rPr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的病人有典型的腹痛、血便、发热三联</w:t>
      </w:r>
      <w:r>
        <w:rPr>
          <w:rFonts w:ascii="Microsoft YaHei" w:hAnsi="Microsoft YaHei" w:eastAsia="Microsoft YaHei" w:cs="Microsoft YaHei"/>
          <w:color w:val="231F20"/>
          <w:spacing w:val="-2"/>
        </w:rPr>
        <w:t>征</w:t>
      </w:r>
      <w:r>
        <w:rPr>
          <w:sz w:val="10"/>
          <w:szCs w:val="10"/>
          <w:color w:val="231F20"/>
          <w:spacing w:val="-2"/>
          <w:position w:val="6"/>
        </w:rPr>
        <w:t>[12]</w:t>
      </w:r>
      <w:r>
        <w:rPr>
          <w:sz w:val="10"/>
          <w:szCs w:val="10"/>
          <w:color w:val="231F20"/>
          <w:spacing w:val="-1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。我们</w:t>
      </w:r>
    </w:p>
    <w:p>
      <w:pPr>
        <w:spacing w:line="213" w:lineRule="auto"/>
        <w:sectPr>
          <w:type w:val="continuous"/>
          <w:pgSz w:w="11906" w:h="16838"/>
          <w:pgMar w:top="917" w:right="991" w:bottom="0" w:left="407" w:header="562" w:footer="0" w:gutter="0"/>
          <w:cols w:equalWidth="0" w:num="2">
            <w:col w:w="5508" w:space="100"/>
            <w:col w:w="4898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4"/>
          <w:pgSz w:w="11906" w:h="16838"/>
          <w:pgMar w:top="917" w:right="1056" w:bottom="0" w:left="407" w:header="562" w:footer="0" w:gutter="0"/>
          <w:cols w:equalWidth="0" w:num="1">
            <w:col w:w="10442" w:space="0"/>
          </w:cols>
        </w:sectPr>
        <w:rPr/>
      </w:pPr>
    </w:p>
    <w:p>
      <w:pPr>
        <w:pStyle w:val="BodyText"/>
        <w:ind w:left="634" w:right="121" w:firstLine="15"/>
        <w:spacing w:before="42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的资料统计，所有患者均有腹痛症状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color w:val="231F20"/>
          <w:spacing w:val="3"/>
        </w:rPr>
        <w:t>36 </w:t>
      </w:r>
      <w:r>
        <w:rPr>
          <w:rFonts w:ascii="Microsoft YaHei" w:hAnsi="Microsoft YaHei" w:eastAsia="Microsoft YaHei" w:cs="Microsoft YaHei"/>
          <w:color w:val="231F20"/>
          <w:spacing w:val="3"/>
        </w:rPr>
        <w:t>患者中有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color w:val="231F20"/>
          <w:spacing w:val="3"/>
        </w:rPr>
        <w:t>14 </w:t>
      </w:r>
      <w:r>
        <w:rPr>
          <w:rFonts w:ascii="Microsoft YaHei" w:hAnsi="Microsoft YaHei" w:eastAsia="Microsoft YaHei" w:cs="Microsoft YaHei"/>
          <w:color w:val="231F20"/>
          <w:spacing w:val="3"/>
        </w:rPr>
        <w:t>患者出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现便血或呕血症状，与文献报道相似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。据报道其中大部分病人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合并由缺血性心脏病、房颤、高血压、糖尿病、慢性肾功能</w:t>
      </w:r>
      <w:r>
        <w:rPr>
          <w:rFonts w:ascii="Microsoft YaHei" w:hAnsi="Microsoft YaHei" w:eastAsia="Microsoft YaHei" w:cs="Microsoft YaHei"/>
          <w:color w:val="231F20"/>
          <w:spacing w:val="-1"/>
        </w:rPr>
        <w:t>不全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等合并症</w:t>
      </w:r>
      <w:r>
        <w:rPr>
          <w:sz w:val="10"/>
          <w:szCs w:val="10"/>
          <w:color w:val="231F20"/>
          <w:spacing w:val="2"/>
          <w:position w:val="6"/>
        </w:rPr>
        <w:t>[13]</w:t>
      </w:r>
      <w:r>
        <w:rPr>
          <w:rFonts w:ascii="Microsoft YaHei" w:hAnsi="Microsoft YaHei" w:eastAsia="Microsoft YaHei" w:cs="Microsoft YaHei"/>
          <w:color w:val="231F20"/>
          <w:spacing w:val="2"/>
        </w:rPr>
        <w:t>。肠系膜静脉血栓形成的病人中，深静脉血栓形成、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血液高凝状态、肺栓塞、门静脉高压、腹部手术史，口服避孕药、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怀孕及妊娠等均为考虑为发病的危险因素</w:t>
      </w:r>
      <w:r>
        <w:rPr>
          <w:sz w:val="10"/>
          <w:szCs w:val="10"/>
          <w:color w:val="231F20"/>
          <w:spacing w:val="4"/>
          <w:position w:val="6"/>
        </w:rPr>
        <w:t>[14,15]</w:t>
      </w:r>
      <w:r>
        <w:rPr>
          <w:sz w:val="10"/>
          <w:szCs w:val="10"/>
          <w:color w:val="231F20"/>
          <w:spacing w:val="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。我们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例肠系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膜上静脉血栓合并肠坏死的患者合并血小板增多征，考虑为发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病因素为该病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。故 </w:t>
      </w:r>
      <w:r>
        <w:rPr>
          <w:color w:val="231F20"/>
          <w:spacing w:val="5"/>
        </w:rPr>
        <w:t>2020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中国急性肠系膜缺血诊断与治疗专家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共识中推荐</w:t>
      </w:r>
      <w:r>
        <w:rPr>
          <w:sz w:val="10"/>
          <w:szCs w:val="10"/>
          <w:color w:val="231F20"/>
          <w:spacing w:val="6"/>
          <w:position w:val="6"/>
        </w:rPr>
        <w:t>[16]</w:t>
      </w:r>
      <w:r>
        <w:rPr>
          <w:rFonts w:ascii="Microsoft YaHei" w:hAnsi="Microsoft YaHei" w:eastAsia="Microsoft YaHei" w:cs="Microsoft YaHei"/>
          <w:color w:val="231F20"/>
          <w:spacing w:val="6"/>
        </w:rPr>
        <w:t>，无明确病因的急性腹痛患</w:t>
      </w:r>
      <w:r>
        <w:rPr>
          <w:rFonts w:ascii="Microsoft YaHei" w:hAnsi="Microsoft YaHei" w:eastAsia="Microsoft YaHei" w:cs="Microsoft YaHei"/>
          <w:color w:val="231F20"/>
          <w:spacing w:val="5"/>
        </w:rPr>
        <w:t>者，尤其合并有心脑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"/>
        <w:spacing w:before="40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血管疾病的老年患者，应被考虑 </w:t>
      </w:r>
      <w:r>
        <w:rPr>
          <w:color w:val="231F20"/>
        </w:rPr>
        <w:t>AMI</w:t>
      </w:r>
      <w:r>
        <w:rPr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的可能，应进一步完善检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查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。房颤患者、动脉粥样硬化患者、高凝状态、临床出现预期外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恶化的危重患者、涉及血管的介入性操作术后出现不明原因的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腹痛，均应考虑 </w:t>
      </w:r>
      <w:r>
        <w:rPr>
          <w:color w:val="231F20"/>
        </w:rPr>
        <w:t>AMI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的可能。我们统计病例中大部分患者均合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并上诉合并症。我们在诊治过程中，开展了肠卒中绿色通道！如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不能第一时间明确病因，尤其是腹痛剧烈、体征轻，同时合并高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血压、高脂血症、房颤等高危因素的病人，均进行 </w:t>
      </w:r>
      <w:r>
        <w:rPr>
          <w:color w:val="231F20"/>
          <w:spacing w:val="4"/>
        </w:rPr>
        <w:t>D </w:t>
      </w:r>
      <w:r>
        <w:rPr>
          <w:rFonts w:ascii="Microsoft YaHei" w:hAnsi="Microsoft YaHei" w:eastAsia="Microsoft YaHei" w:cs="Microsoft YaHei"/>
          <w:color w:val="231F20"/>
          <w:spacing w:val="4"/>
        </w:rPr>
        <w:t>二聚体及 </w:t>
      </w:r>
      <w:r>
        <w:rPr>
          <w:rFonts w:ascii="Microsoft YaHei" w:hAnsi="Microsoft YaHei" w:eastAsia="Microsoft YaHei" w:cs="Microsoft YaHei"/>
          <w:color w:val="231F20"/>
        </w:rPr>
        <w:t>腹部 </w:t>
      </w:r>
      <w:r>
        <w:rPr>
          <w:color w:val="231F20"/>
        </w:rPr>
        <w:t>CTA </w:t>
      </w:r>
      <w:r>
        <w:rPr>
          <w:rFonts w:ascii="Microsoft YaHei" w:hAnsi="Microsoft YaHei" w:eastAsia="Microsoft YaHei" w:cs="Microsoft YaHei"/>
          <w:color w:val="231F20"/>
        </w:rPr>
        <w:t>等检查，明确诊断。</w:t>
      </w:r>
    </w:p>
    <w:p>
      <w:pPr>
        <w:spacing w:line="241" w:lineRule="auto"/>
        <w:sectPr>
          <w:type w:val="continuous"/>
          <w:pgSz w:w="11906" w:h="16838"/>
          <w:pgMar w:top="917" w:right="1056" w:bottom="0" w:left="407" w:header="562" w:footer="0" w:gutter="0"/>
          <w:cols w:equalWidth="0" w:num="2">
            <w:col w:w="5580" w:space="100"/>
            <w:col w:w="476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693"/>
        <w:spacing w:before="190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表 </w:t>
      </w:r>
      <w:r>
        <w:rPr>
          <w:sz w:val="15"/>
          <w:szCs w:val="15"/>
          <w:color w:val="231F20"/>
          <w:spacing w:val="7"/>
        </w:rPr>
        <w:t>1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肠系膜缺血疾病的相关临床症状与肠坏死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的关系</w:t>
      </w:r>
    </w:p>
    <w:p>
      <w:pPr>
        <w:pStyle w:val="BodyText"/>
        <w:ind w:left="2266"/>
        <w:spacing w:before="80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Table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1  Relationship between clinical symptoms of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mesenteric </w:t>
      </w:r>
      <w:r>
        <w:rPr>
          <w:sz w:val="15"/>
          <w:szCs w:val="15"/>
          <w:color w:val="231F20"/>
          <w:spacing w:val="-4"/>
        </w:rPr>
        <w:t>ischemia disease and intestinal necrosis</w:t>
      </w:r>
    </w:p>
    <w:p>
      <w:pPr>
        <w:spacing w:line="46" w:lineRule="exact"/>
        <w:rPr/>
      </w:pPr>
      <w:r/>
    </w:p>
    <w:tbl>
      <w:tblPr>
        <w:tblStyle w:val="TableNormal"/>
        <w:tblW w:w="9637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90"/>
        <w:gridCol w:w="1767"/>
        <w:gridCol w:w="1922"/>
        <w:gridCol w:w="1353"/>
        <w:gridCol w:w="1605"/>
      </w:tblGrid>
      <w:tr>
        <w:trPr>
          <w:trHeight w:val="540" w:hRule="atLeast"/>
        </w:trPr>
        <w:tc>
          <w:tcPr>
            <w:tcW w:w="29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20"/>
              <w:spacing w:before="203" w:line="202" w:lineRule="auto"/>
              <w:rPr/>
            </w:pPr>
            <w:r>
              <w:rPr>
                <w:color w:val="231F20"/>
                <w:spacing w:val="-4"/>
              </w:rPr>
              <w:t>symptom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5"/>
              <w:spacing w:before="65" w:line="204" w:lineRule="auto"/>
              <w:rPr/>
            </w:pPr>
            <w:r>
              <w:rPr>
                <w:color w:val="231F20"/>
                <w:spacing w:val="-1"/>
              </w:rPr>
              <w:t>Complicated with</w:t>
            </w:r>
          </w:p>
          <w:p>
            <w:pPr>
              <w:pStyle w:val="TableText"/>
              <w:ind w:left="462"/>
              <w:spacing w:before="126" w:line="175" w:lineRule="exact"/>
              <w:rPr/>
            </w:pPr>
            <w:r>
              <w:rPr>
                <w:color w:val="231F20"/>
                <w:spacing w:val="-3"/>
              </w:rPr>
              <w:t>intestinal necrosis</w:t>
            </w:r>
          </w:p>
        </w:tc>
        <w:tc>
          <w:tcPr>
            <w:tcW w:w="19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7"/>
              <w:spacing w:before="203" w:line="198" w:lineRule="auto"/>
              <w:rPr/>
            </w:pPr>
            <w:r>
              <w:rPr>
                <w:color w:val="231F20"/>
                <w:spacing w:val="-2"/>
              </w:rPr>
              <w:t>No Intestinal necros</w:t>
            </w:r>
            <w:r>
              <w:rPr>
                <w:color w:val="231F20"/>
                <w:spacing w:val="-3"/>
              </w:rPr>
              <w:t>is</w:t>
            </w:r>
          </w:p>
        </w:tc>
        <w:tc>
          <w:tcPr>
            <w:tcW w:w="13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3"/>
              <w:spacing w:before="195" w:line="183" w:lineRule="auto"/>
              <w:rPr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2"/>
              </w:rPr>
              <w:t>x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</w:p>
        </w:tc>
        <w:tc>
          <w:tcPr>
            <w:tcW w:w="16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758"/>
              <w:spacing w:before="215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P</w:t>
            </w:r>
          </w:p>
        </w:tc>
      </w:tr>
      <w:tr>
        <w:trPr>
          <w:trHeight w:val="240" w:hRule="atLeast"/>
        </w:trPr>
        <w:tc>
          <w:tcPr>
            <w:tcW w:w="29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89"/>
              <w:spacing w:before="106" w:line="172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5"/>
              <w:spacing w:before="101" w:line="179" w:lineRule="auto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19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5"/>
              <w:spacing w:before="101" w:line="179" w:lineRule="auto"/>
              <w:rPr/>
            </w:pPr>
            <w:r>
              <w:rPr>
                <w:color w:val="231F20"/>
                <w:spacing w:val="-7"/>
              </w:rPr>
              <w:t>17</w:t>
            </w:r>
          </w:p>
        </w:tc>
        <w:tc>
          <w:tcPr>
            <w:tcW w:w="13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line="230" w:lineRule="exact"/>
              <w:rPr>
                <w:sz w:val="20"/>
              </w:rPr>
            </w:pPr>
            <w:r/>
          </w:p>
        </w:tc>
        <w:tc>
          <w:tcPr>
            <w:tcW w:w="1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line="230" w:lineRule="exact"/>
              <w:rPr>
                <w:sz w:val="20"/>
              </w:rPr>
            </w:pPr>
            <w:r/>
          </w:p>
        </w:tc>
      </w:tr>
      <w:tr>
        <w:trPr>
          <w:trHeight w:val="171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114"/>
              <w:spacing w:before="32" w:line="179" w:lineRule="auto"/>
              <w:rPr/>
            </w:pPr>
            <w:r>
              <w:rPr>
                <w:color w:val="231F20"/>
                <w:spacing w:val="-1"/>
              </w:rPr>
              <w:t>Abdominal distention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75"/>
              <w:spacing w:before="32" w:line="179" w:lineRule="auto"/>
              <w:rPr/>
            </w:pPr>
            <w:r>
              <w:rPr>
                <w:color w:val="231F20"/>
                <w:spacing w:val="-4"/>
              </w:rPr>
              <w:t>2.036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30"/>
              <w:spacing w:before="32" w:line="179" w:lineRule="auto"/>
              <w:rPr/>
            </w:pPr>
            <w:r>
              <w:rPr>
                <w:color w:val="231F20"/>
                <w:spacing w:val="-4"/>
              </w:rPr>
              <w:t>0.217</w:t>
            </w:r>
          </w:p>
        </w:tc>
      </w:tr>
      <w:tr>
        <w:trPr>
          <w:trHeight w:val="254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311"/>
              <w:spacing w:before="36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1004"/>
              <w:spacing w:before="30" w:line="177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32"/>
              <w:spacing w:before="30" w:line="175" w:lineRule="exact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289"/>
              <w:spacing w:before="122" w:line="171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65"/>
              <w:spacing w:before="117" w:line="178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05"/>
              <w:spacing w:before="117" w:line="178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571"/>
              <w:spacing w:before="37" w:line="170" w:lineRule="auto"/>
              <w:rPr/>
            </w:pPr>
            <w:r>
              <w:rPr>
                <w:color w:val="231F20"/>
                <w:spacing w:val="-7"/>
              </w:rPr>
              <w:t>Nausea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60" w:lineRule="exact"/>
              <w:rPr>
                <w:sz w:val="13"/>
              </w:rPr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60" w:lineRule="exact"/>
              <w:rPr>
                <w:sz w:val="13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74"/>
              <w:spacing w:before="32" w:line="177" w:lineRule="auto"/>
              <w:rPr/>
            </w:pPr>
            <w:r>
              <w:rPr>
                <w:color w:val="231F20"/>
                <w:spacing w:val="-4"/>
              </w:rPr>
              <w:t>4.413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30"/>
              <w:spacing w:before="32" w:line="177" w:lineRule="auto"/>
              <w:rPr/>
            </w:pPr>
            <w:r>
              <w:rPr>
                <w:color w:val="231F20"/>
                <w:spacing w:val="-4"/>
              </w:rPr>
              <w:t>0.090</w:t>
            </w:r>
          </w:p>
        </w:tc>
      </w:tr>
      <w:tr>
        <w:trPr>
          <w:trHeight w:val="254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311"/>
              <w:spacing w:before="37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92"/>
              <w:spacing w:before="31" w:line="175" w:lineRule="exact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05"/>
              <w:spacing w:before="31" w:line="177" w:lineRule="exact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289"/>
              <w:spacing w:before="123" w:line="166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92"/>
              <w:spacing w:before="117" w:line="174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05"/>
              <w:spacing w:before="117" w:line="174" w:lineRule="auto"/>
              <w:rPr/>
            </w:pPr>
            <w:r>
              <w:rPr>
                <w:color w:val="231F20"/>
                <w:spacing w:val="-7"/>
              </w:rPr>
              <w:t>10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7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500"/>
              <w:spacing w:before="36" w:line="196" w:lineRule="auto"/>
              <w:rPr/>
            </w:pPr>
            <w:r>
              <w:rPr>
                <w:color w:val="231F20"/>
                <w:spacing w:val="3"/>
              </w:rPr>
              <w:t>Vomiting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77" w:lineRule="exact"/>
              <w:rPr/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77" w:lineRule="exact"/>
              <w:rPr/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90"/>
              <w:spacing w:before="36" w:line="196" w:lineRule="auto"/>
              <w:rPr/>
            </w:pPr>
            <w:r>
              <w:rPr>
                <w:color w:val="231F20"/>
                <w:spacing w:val="-7"/>
              </w:rPr>
              <w:t>1.508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30"/>
              <w:spacing w:before="36" w:line="196" w:lineRule="auto"/>
              <w:rPr/>
            </w:pPr>
            <w:r>
              <w:rPr>
                <w:color w:val="231F20"/>
                <w:spacing w:val="-4"/>
              </w:rPr>
              <w:t>0.313</w:t>
            </w:r>
          </w:p>
        </w:tc>
      </w:tr>
      <w:tr>
        <w:trPr>
          <w:trHeight w:val="238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311"/>
              <w:spacing w:before="23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93"/>
              <w:spacing w:before="18" w:line="175" w:lineRule="exact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05"/>
              <w:spacing w:before="18" w:line="175" w:lineRule="exact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227" w:lineRule="exact"/>
              <w:rPr>
                <w:sz w:val="19"/>
              </w:rPr>
            </w:pPr>
            <w:r/>
          </w:p>
        </w:tc>
      </w:tr>
      <w:tr>
        <w:trPr>
          <w:trHeight w:val="253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289"/>
              <w:spacing w:before="125" w:line="163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89"/>
              <w:spacing w:before="120" w:line="171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43"/>
              <w:spacing w:before="120" w:line="171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1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347"/>
              <w:spacing w:before="38" w:line="171" w:lineRule="auto"/>
              <w:rPr/>
            </w:pPr>
            <w:r>
              <w:rPr>
                <w:color w:val="231F20"/>
                <w:spacing w:val="-6"/>
              </w:rPr>
              <w:t>Haematemesis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77"/>
              <w:spacing w:before="38" w:line="171" w:lineRule="auto"/>
              <w:rPr/>
            </w:pPr>
            <w:r>
              <w:rPr>
                <w:color w:val="231F20"/>
                <w:spacing w:val="-4"/>
              </w:rPr>
              <w:t>0.028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43"/>
              <w:spacing w:before="38" w:line="171" w:lineRule="auto"/>
              <w:rPr/>
            </w:pPr>
            <w:r>
              <w:rPr>
                <w:color w:val="231F20"/>
                <w:spacing w:val="-7"/>
              </w:rPr>
              <w:t>1.000</w:t>
            </w:r>
          </w:p>
        </w:tc>
      </w:tr>
      <w:tr>
        <w:trPr>
          <w:trHeight w:val="254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311"/>
              <w:spacing w:before="41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65"/>
              <w:spacing w:before="36" w:line="175" w:lineRule="exact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789"/>
              <w:spacing w:before="36" w:line="177" w:lineRule="exact"/>
              <w:rPr/>
            </w:pPr>
            <w:r>
              <w:rPr>
                <w:color w:val="231F20"/>
                <w:spacing w:val="-3"/>
              </w:rPr>
              <w:t>21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289"/>
              <w:spacing w:before="128" w:line="160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92"/>
              <w:spacing w:before="122" w:line="167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34"/>
              <w:spacing w:before="122" w:line="167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1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319"/>
              <w:spacing w:before="40" w:line="167" w:lineRule="auto"/>
              <w:rPr/>
            </w:pPr>
            <w:r>
              <w:rPr>
                <w:color w:val="231F20"/>
                <w:spacing w:val="-5"/>
              </w:rPr>
              <w:t>Haematochezia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77"/>
              <w:spacing w:before="40" w:line="168" w:lineRule="auto"/>
              <w:rPr/>
            </w:pPr>
            <w:r>
              <w:rPr>
                <w:color w:val="231F20"/>
                <w:spacing w:val="-4"/>
              </w:rPr>
              <w:t>0.965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30"/>
              <w:spacing w:before="40" w:line="168" w:lineRule="auto"/>
              <w:rPr/>
            </w:pPr>
            <w:r>
              <w:rPr>
                <w:color w:val="231F20"/>
                <w:spacing w:val="-4"/>
              </w:rPr>
              <w:t>0.470</w:t>
            </w:r>
          </w:p>
        </w:tc>
      </w:tr>
      <w:tr>
        <w:trPr>
          <w:trHeight w:val="254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311"/>
              <w:spacing w:before="44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65"/>
              <w:spacing w:before="38" w:line="177" w:lineRule="exact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05"/>
              <w:spacing w:before="38" w:line="175" w:lineRule="exact"/>
              <w:rPr/>
            </w:pPr>
            <w:r>
              <w:rPr>
                <w:color w:val="231F20"/>
                <w:spacing w:val="-7"/>
              </w:rPr>
              <w:t>15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2289"/>
              <w:spacing w:before="130" w:line="157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965"/>
              <w:spacing w:before="125" w:line="164" w:lineRule="auto"/>
              <w:rPr/>
            </w:pPr>
            <w:r>
              <w:rPr>
                <w:color w:val="231F20"/>
                <w:spacing w:val="-7"/>
              </w:rPr>
              <w:t>11</w:t>
            </w:r>
          </w:p>
        </w:tc>
        <w:tc>
          <w:tcPr>
            <w:tcW w:w="1922" w:type="dxa"/>
            <w:vAlign w:val="top"/>
          </w:tcPr>
          <w:p>
            <w:pPr>
              <w:pStyle w:val="TableText"/>
              <w:ind w:left="834"/>
              <w:spacing w:before="125" w:line="164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1" w:hRule="atLeast"/>
        </w:trPr>
        <w:tc>
          <w:tcPr>
            <w:tcW w:w="2990" w:type="dxa"/>
            <w:vAlign w:val="top"/>
          </w:tcPr>
          <w:p>
            <w:pPr>
              <w:pStyle w:val="TableText"/>
              <w:ind w:left="480"/>
              <w:spacing w:before="43" w:line="164" w:lineRule="auto"/>
              <w:rPr/>
            </w:pPr>
            <w:r>
              <w:rPr>
                <w:color w:val="231F20"/>
              </w:rPr>
              <w:t>Peritonitis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922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pStyle w:val="TableText"/>
              <w:ind w:left="381"/>
              <w:spacing w:before="43" w:line="164" w:lineRule="auto"/>
              <w:rPr/>
            </w:pPr>
            <w:r>
              <w:rPr>
                <w:color w:val="231F20"/>
                <w:spacing w:val="-5"/>
              </w:rPr>
              <w:t>8.276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630"/>
              <w:spacing w:before="43" w:line="164" w:lineRule="auto"/>
              <w:rPr/>
            </w:pPr>
            <w:r>
              <w:rPr>
                <w:color w:val="231F20"/>
                <w:spacing w:val="-4"/>
              </w:rPr>
              <w:t>0.006</w:t>
            </w:r>
          </w:p>
        </w:tc>
      </w:tr>
      <w:tr>
        <w:trPr>
          <w:trHeight w:val="269" w:hRule="atLeast"/>
        </w:trPr>
        <w:tc>
          <w:tcPr>
            <w:tcW w:w="29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11"/>
              <w:spacing w:before="46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89"/>
              <w:spacing w:before="41" w:line="176" w:lineRule="exact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9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5"/>
              <w:spacing w:before="41" w:line="175" w:lineRule="exact"/>
              <w:rPr/>
            </w:pPr>
            <w:r>
              <w:rPr>
                <w:color w:val="231F20"/>
                <w:spacing w:val="-7"/>
              </w:rPr>
              <w:t>15</w:t>
            </w:r>
          </w:p>
        </w:tc>
        <w:tc>
          <w:tcPr>
            <w:tcW w:w="13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3835"/>
        <w:spacing w:before="263" w:line="188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表 </w:t>
      </w:r>
      <w:r>
        <w:rPr>
          <w:sz w:val="15"/>
          <w:szCs w:val="15"/>
          <w:color w:val="231F20"/>
          <w:spacing w:val="7"/>
        </w:rPr>
        <w:t>2</w:t>
      </w:r>
      <w:r>
        <w:rPr>
          <w:sz w:val="15"/>
          <w:szCs w:val="15"/>
          <w:color w:val="231F20"/>
          <w:spacing w:val="48"/>
          <w:w w:val="102"/>
        </w:rPr>
        <w:t xml:space="preserve"> 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征象与对肠系膜缺血患者肠坏死的关系</w:t>
      </w:r>
    </w:p>
    <w:p>
      <w:pPr>
        <w:pStyle w:val="BodyText"/>
        <w:ind w:left="2330"/>
        <w:spacing w:before="84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Table 2  Relationship between CTA signs and intestinal necrosis in patients with mesenteric ischemia</w:t>
      </w:r>
    </w:p>
    <w:p>
      <w:pPr>
        <w:spacing w:line="62" w:lineRule="exact"/>
        <w:rPr/>
      </w:pPr>
      <w:r/>
    </w:p>
    <w:tbl>
      <w:tblPr>
        <w:tblStyle w:val="TableNormal"/>
        <w:tblW w:w="9637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7"/>
        <w:gridCol w:w="1044"/>
        <w:gridCol w:w="1746"/>
        <w:gridCol w:w="1890"/>
        <w:gridCol w:w="1369"/>
        <w:gridCol w:w="1611"/>
      </w:tblGrid>
      <w:tr>
        <w:trPr>
          <w:trHeight w:val="539" w:hRule="atLeast"/>
        </w:trPr>
        <w:tc>
          <w:tcPr>
            <w:tcW w:w="302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78"/>
              <w:spacing w:before="202" w:line="198" w:lineRule="auto"/>
              <w:rPr/>
            </w:pPr>
            <w:r>
              <w:rPr>
                <w:color w:val="231F20"/>
                <w:spacing w:val="1"/>
              </w:rPr>
              <w:t>Manifestations ofCTA</w:t>
            </w:r>
          </w:p>
        </w:tc>
        <w:tc>
          <w:tcPr>
            <w:tcW w:w="17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4"/>
              <w:spacing w:before="66" w:line="204" w:lineRule="auto"/>
              <w:rPr/>
            </w:pPr>
            <w:r>
              <w:rPr>
                <w:color w:val="231F20"/>
                <w:spacing w:val="-1"/>
              </w:rPr>
              <w:t>Complicated with</w:t>
            </w:r>
          </w:p>
          <w:p>
            <w:pPr>
              <w:pStyle w:val="TableText"/>
              <w:ind w:left="431"/>
              <w:spacing w:before="126" w:line="175" w:lineRule="exact"/>
              <w:rPr/>
            </w:pPr>
            <w:r>
              <w:rPr>
                <w:color w:val="231F20"/>
                <w:spacing w:val="-3"/>
              </w:rPr>
              <w:t>intestinal necrosis</w:t>
            </w:r>
          </w:p>
        </w:tc>
        <w:tc>
          <w:tcPr>
            <w:tcW w:w="18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6"/>
              <w:spacing w:before="204" w:line="198" w:lineRule="auto"/>
              <w:rPr/>
            </w:pPr>
            <w:r>
              <w:rPr>
                <w:color w:val="231F20"/>
                <w:spacing w:val="-2"/>
              </w:rPr>
              <w:t>NoIntestinal necrosis</w:t>
            </w:r>
          </w:p>
        </w:tc>
        <w:tc>
          <w:tcPr>
            <w:tcW w:w="13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5"/>
              <w:spacing w:before="194" w:line="183" w:lineRule="auto"/>
              <w:rPr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2"/>
              </w:rPr>
              <w:t>x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</w:p>
        </w:tc>
        <w:tc>
          <w:tcPr>
            <w:tcW w:w="16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764"/>
              <w:spacing w:before="214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P</w:t>
            </w:r>
          </w:p>
        </w:tc>
      </w:tr>
      <w:tr>
        <w:trPr>
          <w:trHeight w:val="327" w:hRule="atLeast"/>
        </w:trPr>
        <w:tc>
          <w:tcPr>
            <w:tcW w:w="1977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160"/>
              <w:spacing w:before="274" w:line="204" w:lineRule="auto"/>
              <w:rPr/>
            </w:pPr>
            <w:r>
              <w:rPr>
                <w:color w:val="231F20"/>
                <w:spacing w:val="-3"/>
              </w:rPr>
              <w:t>Intestinal pneumatosis</w:t>
            </w:r>
          </w:p>
        </w:tc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4"/>
              <w:spacing w:before="108" w:line="191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1"/>
              <w:spacing w:before="103" w:line="175" w:lineRule="exact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8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5"/>
              <w:spacing w:before="103" w:line="177" w:lineRule="exact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13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1"/>
              <w:spacing w:before="103" w:line="175" w:lineRule="exact"/>
              <w:rPr/>
            </w:pPr>
            <w:r>
              <w:rPr>
                <w:color w:val="231F20"/>
                <w:spacing w:val="-5"/>
              </w:rPr>
              <w:t>5.775</w:t>
            </w:r>
          </w:p>
        </w:tc>
        <w:tc>
          <w:tcPr>
            <w:tcW w:w="16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6"/>
              <w:spacing w:before="103" w:line="175" w:lineRule="exact"/>
              <w:rPr/>
            </w:pPr>
            <w:r>
              <w:rPr>
                <w:color w:val="231F20"/>
                <w:spacing w:val="-4"/>
              </w:rPr>
              <w:t>0.016</w:t>
            </w:r>
          </w:p>
        </w:tc>
      </w:tr>
      <w:tr>
        <w:trPr>
          <w:trHeight w:val="338" w:hRule="atLeast"/>
        </w:trPr>
        <w:tc>
          <w:tcPr>
            <w:tcW w:w="197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96"/>
              <w:spacing w:before="121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60"/>
              <w:spacing w:before="116" w:line="175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821"/>
              <w:spacing w:before="116" w:line="175" w:lineRule="exact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19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90"/>
              <w:spacing w:before="43" w:line="202" w:lineRule="auto"/>
              <w:rPr/>
            </w:pPr>
            <w:r>
              <w:rPr>
                <w:color w:val="231F20"/>
                <w:spacing w:val="-1"/>
              </w:rPr>
              <w:t>Intestinal swelling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74"/>
              <w:spacing w:before="124" w:line="191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34"/>
              <w:spacing w:before="118" w:line="175" w:lineRule="exact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95"/>
              <w:spacing w:before="118" w:line="177" w:lineRule="exact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399"/>
              <w:spacing w:before="118" w:line="175" w:lineRule="exact"/>
              <w:rPr/>
            </w:pPr>
            <w:r>
              <w:rPr>
                <w:color w:val="231F20"/>
                <w:spacing w:val="-4"/>
              </w:rPr>
              <w:t>7.577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636"/>
              <w:spacing w:before="118" w:line="175" w:lineRule="exact"/>
              <w:rPr/>
            </w:pPr>
            <w:r>
              <w:rPr>
                <w:color w:val="231F20"/>
                <w:spacing w:val="-4"/>
              </w:rPr>
              <w:t>0.006</w:t>
            </w:r>
          </w:p>
        </w:tc>
      </w:tr>
      <w:tr>
        <w:trPr>
          <w:trHeight w:val="338" w:hRule="atLeast"/>
        </w:trPr>
        <w:tc>
          <w:tcPr>
            <w:tcW w:w="197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96"/>
              <w:spacing w:before="125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60"/>
              <w:spacing w:before="119" w:line="175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821"/>
              <w:spacing w:before="119" w:line="175" w:lineRule="exact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19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636"/>
              <w:spacing w:before="43" w:line="198" w:lineRule="auto"/>
              <w:rPr/>
            </w:pPr>
            <w:r>
              <w:rPr>
                <w:color w:val="231F20"/>
                <w:spacing w:val="-2"/>
              </w:rPr>
              <w:t>Ascites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74"/>
              <w:spacing w:before="127" w:line="191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34"/>
              <w:spacing w:before="122" w:line="176" w:lineRule="exact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817"/>
              <w:spacing w:before="122" w:line="176" w:lineRule="exact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371"/>
              <w:spacing w:before="122" w:line="174" w:lineRule="exact"/>
              <w:rPr/>
            </w:pPr>
            <w:r>
              <w:rPr>
                <w:color w:val="231F20"/>
                <w:spacing w:val="-7"/>
              </w:rPr>
              <w:t>17.298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589"/>
              <w:spacing w:before="122" w:line="174" w:lineRule="exact"/>
              <w:rPr/>
            </w:pPr>
            <w:r>
              <w:rPr>
                <w:color w:val="231F20"/>
                <w:spacing w:val="-3"/>
              </w:rPr>
              <w:t>&lt;0.001</w:t>
            </w:r>
          </w:p>
        </w:tc>
      </w:tr>
      <w:tr>
        <w:trPr>
          <w:trHeight w:val="338" w:hRule="atLeast"/>
        </w:trPr>
        <w:tc>
          <w:tcPr>
            <w:tcW w:w="197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96"/>
              <w:spacing w:before="128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73"/>
              <w:spacing w:before="123" w:line="176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795"/>
              <w:spacing w:before="123" w:line="176" w:lineRule="exact"/>
              <w:rPr/>
            </w:pPr>
            <w:r>
              <w:rPr>
                <w:color w:val="231F20"/>
                <w:spacing w:val="-7"/>
              </w:rPr>
              <w:t>17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19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7" w:right="344" w:hanging="170"/>
              <w:spacing w:before="158" w:line="364" w:lineRule="auto"/>
              <w:rPr/>
            </w:pPr>
            <w:r>
              <w:rPr>
                <w:color w:val="231F20"/>
                <w:spacing w:val="-1"/>
              </w:rPr>
              <w:t>Attenuation 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1"/>
              </w:rPr>
              <w:t>intestinal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wall reinforcement</w:t>
            </w:r>
          </w:p>
        </w:tc>
        <w:tc>
          <w:tcPr>
            <w:tcW w:w="10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4"/>
              <w:spacing w:before="130" w:line="191" w:lineRule="auto"/>
              <w:rPr/>
            </w:pPr>
            <w:r>
              <w:rPr>
                <w:color w:val="231F20"/>
                <w:spacing w:val="-1"/>
              </w:rPr>
              <w:t>Yes</w:t>
            </w:r>
          </w:p>
          <w:p>
            <w:pPr>
              <w:pStyle w:val="TableText"/>
              <w:ind w:left="396"/>
              <w:spacing w:before="202" w:line="191" w:lineRule="auto"/>
              <w:rPr/>
            </w:pPr>
            <w:r>
              <w:rPr>
                <w:color w:val="231F20"/>
                <w:spacing w:val="4"/>
              </w:rPr>
              <w:t>No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964"/>
              <w:spacing w:before="125" w:line="175" w:lineRule="exact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821"/>
              <w:spacing w:before="125" w:line="175" w:lineRule="exact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403"/>
              <w:spacing w:before="125" w:line="175" w:lineRule="exact"/>
              <w:rPr/>
            </w:pPr>
            <w:r>
              <w:rPr>
                <w:color w:val="231F20"/>
                <w:spacing w:val="-5"/>
              </w:rPr>
              <w:t>8.192</w:t>
            </w:r>
          </w:p>
        </w:tc>
        <w:tc>
          <w:tcPr>
            <w:tcW w:w="1611" w:type="dxa"/>
            <w:vAlign w:val="top"/>
          </w:tcPr>
          <w:p>
            <w:pPr>
              <w:pStyle w:val="TableText"/>
              <w:ind w:left="636"/>
              <w:spacing w:before="125" w:line="175" w:lineRule="exact"/>
              <w:rPr/>
            </w:pPr>
            <w:r>
              <w:rPr>
                <w:color w:val="231F20"/>
                <w:spacing w:val="-4"/>
              </w:rPr>
              <w:t>0.004</w:t>
            </w:r>
          </w:p>
        </w:tc>
      </w:tr>
      <w:tr>
        <w:trPr>
          <w:trHeight w:val="353" w:hRule="atLeast"/>
        </w:trPr>
        <w:tc>
          <w:tcPr>
            <w:tcW w:w="1977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62"/>
              <w:spacing w:before="126" w:line="175" w:lineRule="exact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8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95"/>
              <w:spacing w:before="126" w:line="175" w:lineRule="exact"/>
              <w:rPr/>
            </w:pPr>
            <w:r>
              <w:rPr>
                <w:color w:val="231F20"/>
                <w:spacing w:val="-7"/>
              </w:rPr>
              <w:t>18</w:t>
            </w:r>
          </w:p>
        </w:tc>
        <w:tc>
          <w:tcPr>
            <w:tcW w:w="13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14" w:lineRule="exact"/>
        <w:rPr>
          <w:sz w:val="18"/>
        </w:rPr>
      </w:pPr>
      <w:r/>
    </w:p>
    <w:p>
      <w:pPr>
        <w:spacing w:line="214" w:lineRule="exact"/>
        <w:sectPr>
          <w:type w:val="continuous"/>
          <w:pgSz w:w="11906" w:h="16838"/>
          <w:pgMar w:top="917" w:right="1056" w:bottom="0" w:left="407" w:header="562" w:footer="0" w:gutter="0"/>
          <w:cols w:equalWidth="0" w:num="1">
            <w:col w:w="10442" w:space="0"/>
          </w:cols>
        </w:sectPr>
        <w:rPr>
          <w:sz w:val="18"/>
          <w:szCs w:val="18"/>
        </w:rPr>
      </w:pPr>
    </w:p>
    <w:p>
      <w:pPr>
        <w:pStyle w:val="BodyText"/>
        <w:ind w:left="632" w:right="133" w:firstLine="361"/>
        <w:spacing w:before="35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文献报道 </w:t>
      </w:r>
      <w:r>
        <w:rPr>
          <w:color w:val="231F20"/>
          <w:spacing w:val="5"/>
        </w:rPr>
        <w:t>D- </w:t>
      </w:r>
      <w:r>
        <w:rPr>
          <w:rFonts w:ascii="Microsoft YaHei" w:hAnsi="Microsoft YaHei" w:eastAsia="Microsoft YaHei" w:cs="Microsoft YaHei"/>
          <w:color w:val="231F20"/>
          <w:spacing w:val="5"/>
        </w:rPr>
        <w:t>二聚体为 </w:t>
      </w:r>
      <w:r>
        <w:rPr>
          <w:color w:val="231F20"/>
        </w:rPr>
        <w:t>AMI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的独立危险因素</w:t>
      </w:r>
      <w:r>
        <w:rPr>
          <w:sz w:val="10"/>
          <w:szCs w:val="10"/>
          <w:color w:val="231F20"/>
          <w:spacing w:val="5"/>
          <w:position w:val="6"/>
        </w:rPr>
        <w:t>[13]</w:t>
      </w:r>
      <w:r>
        <w:rPr>
          <w:rFonts w:ascii="Microsoft YaHei" w:hAnsi="Microsoft YaHei" w:eastAsia="Microsoft YaHei" w:cs="Microsoft YaHei"/>
          <w:color w:val="231F20"/>
          <w:spacing w:val="5"/>
        </w:rPr>
        <w:t>。有研究表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明，所有的 </w:t>
      </w:r>
      <w:r>
        <w:rPr>
          <w:color w:val="231F20"/>
        </w:rPr>
        <w:t>AMI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患者均可出现 </w:t>
      </w:r>
      <w:r>
        <w:rPr>
          <w:color w:val="231F20"/>
          <w:spacing w:val="1"/>
        </w:rPr>
        <w:t>D- </w:t>
      </w:r>
      <w:r>
        <w:rPr>
          <w:rFonts w:ascii="Microsoft YaHei" w:hAnsi="Microsoft YaHei" w:eastAsia="Microsoft YaHei" w:cs="Microsoft YaHei"/>
          <w:color w:val="231F20"/>
          <w:spacing w:val="1"/>
        </w:rPr>
        <w:t>二聚体异常，其值 </w:t>
      </w:r>
      <w:r>
        <w:rPr>
          <w:color w:val="231F20"/>
          <w:spacing w:val="1"/>
        </w:rPr>
        <w:t>&gt;0.9 </w:t>
      </w:r>
      <w:r>
        <w:rPr>
          <w:color w:val="231F20"/>
        </w:rPr>
        <w:t>mg</w:t>
      </w:r>
      <w:r>
        <w:rPr>
          <w:color w:val="231F20"/>
          <w:spacing w:val="1"/>
        </w:rPr>
        <w:t>/L</w:t>
      </w:r>
      <w:r>
        <w:rPr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是即有诊断意义</w:t>
      </w:r>
      <w:r>
        <w:rPr>
          <w:sz w:val="10"/>
          <w:szCs w:val="10"/>
          <w:color w:val="231F20"/>
          <w:spacing w:val="4"/>
          <w:position w:val="6"/>
        </w:rPr>
        <w:t>[8]</w:t>
      </w:r>
      <w:r>
        <w:rPr>
          <w:rFonts w:ascii="Microsoft YaHei" w:hAnsi="Microsoft YaHei" w:eastAsia="Microsoft YaHei" w:cs="Microsoft YaHei"/>
          <w:color w:val="231F20"/>
          <w:spacing w:val="4"/>
        </w:rPr>
        <w:t>。故 </w:t>
      </w:r>
      <w:r>
        <w:rPr>
          <w:color w:val="231F20"/>
          <w:spacing w:val="4"/>
        </w:rPr>
        <w:t>D- </w:t>
      </w:r>
      <w:r>
        <w:rPr>
          <w:rFonts w:ascii="Microsoft YaHei" w:hAnsi="Microsoft YaHei" w:eastAsia="Microsoft YaHei" w:cs="Microsoft YaHei"/>
          <w:color w:val="231F20"/>
          <w:spacing w:val="4"/>
        </w:rPr>
        <w:t>二聚体在诊断血栓性疾</w:t>
      </w:r>
      <w:r>
        <w:rPr>
          <w:rFonts w:ascii="Microsoft YaHei" w:hAnsi="Microsoft YaHei" w:eastAsia="Microsoft YaHei" w:cs="Microsoft YaHei"/>
          <w:color w:val="231F20"/>
          <w:spacing w:val="3"/>
        </w:rPr>
        <w:t>病筛查中意义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重大。而且方便、快捷，损伤小，在 </w:t>
      </w:r>
      <w:r>
        <w:rPr>
          <w:color w:val="231F20"/>
          <w:spacing w:val="-3"/>
        </w:rPr>
        <w:t>AMI</w:t>
      </w:r>
      <w:r>
        <w:rPr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的筛查性诊断可作为常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规的检查。虞松平等</w:t>
      </w:r>
      <w:r>
        <w:rPr>
          <w:sz w:val="10"/>
          <w:szCs w:val="10"/>
          <w:color w:val="231F20"/>
          <w:spacing w:val="3"/>
          <w:position w:val="6"/>
        </w:rPr>
        <w:t>[17]</w:t>
      </w:r>
      <w:r>
        <w:rPr>
          <w:rFonts w:ascii="Microsoft YaHei" w:hAnsi="Microsoft YaHei" w:eastAsia="Microsoft YaHei" w:cs="Microsoft YaHei"/>
          <w:color w:val="231F20"/>
          <w:spacing w:val="3"/>
        </w:rPr>
        <w:t>通过 </w:t>
      </w:r>
      <w:r>
        <w:rPr>
          <w:color w:val="231F20"/>
        </w:rPr>
        <w:t>ROC</w:t>
      </w:r>
      <w:r>
        <w:rPr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曲线确定 </w:t>
      </w:r>
      <w:r>
        <w:rPr>
          <w:color w:val="231F20"/>
          <w:spacing w:val="3"/>
        </w:rPr>
        <w:t>D</w:t>
      </w:r>
      <w:r>
        <w:rPr>
          <w:color w:val="231F20"/>
          <w:spacing w:val="2"/>
        </w:rPr>
        <w:t>- </w:t>
      </w:r>
      <w:r>
        <w:rPr>
          <w:rFonts w:ascii="Microsoft YaHei" w:hAnsi="Microsoft YaHei" w:eastAsia="Microsoft YaHei" w:cs="Microsoft YaHei"/>
          <w:color w:val="231F20"/>
          <w:spacing w:val="2"/>
        </w:rPr>
        <w:t>二聚体诊断的分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界点为 </w:t>
      </w:r>
      <w:r>
        <w:rPr>
          <w:color w:val="231F20"/>
          <w:spacing w:val="-3"/>
        </w:rPr>
        <w:t>0.5365 mg/L </w:t>
      </w:r>
      <w:r>
        <w:rPr>
          <w:rFonts w:ascii="Microsoft YaHei" w:hAnsi="Microsoft YaHei" w:eastAsia="Microsoft YaHei" w:cs="Microsoft YaHei"/>
          <w:color w:val="231F20"/>
          <w:spacing w:val="-3"/>
        </w:rPr>
        <w:t>时，灵敏性高，特异度，阴性似然比 </w:t>
      </w:r>
      <w:r>
        <w:rPr>
          <w:color w:val="231F20"/>
          <w:spacing w:val="-3"/>
        </w:rPr>
        <w:t>0.104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认为 </w:t>
      </w:r>
      <w:r>
        <w:rPr>
          <w:color w:val="231F20"/>
          <w:spacing w:val="6"/>
        </w:rPr>
        <w:t>D- </w:t>
      </w:r>
      <w:r>
        <w:rPr>
          <w:rFonts w:ascii="Microsoft YaHei" w:hAnsi="Microsoft YaHei" w:eastAsia="Microsoft YaHei" w:cs="Microsoft YaHei"/>
          <w:color w:val="231F20"/>
          <w:spacing w:val="6"/>
        </w:rPr>
        <w:t>二聚体可用于 </w:t>
      </w:r>
      <w:r>
        <w:rPr>
          <w:color w:val="231F20"/>
        </w:rPr>
        <w:t>AMI</w:t>
      </w:r>
      <w:r>
        <w:rPr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的临床排除诊断。因此建议所有不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明原因的腹痛的病人均行 </w:t>
      </w:r>
      <w:r>
        <w:rPr>
          <w:color w:val="231F20"/>
          <w:spacing w:val="9"/>
        </w:rPr>
        <w:t>D </w:t>
      </w:r>
      <w:r>
        <w:rPr>
          <w:rFonts w:ascii="Microsoft YaHei" w:hAnsi="Microsoft YaHei" w:eastAsia="Microsoft YaHei" w:cs="Microsoft YaHei"/>
          <w:color w:val="231F20"/>
          <w:spacing w:val="9"/>
        </w:rPr>
        <w:t>二聚体检查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。而术前判断病人是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"/>
        <w:spacing w:before="34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否存在肠道坏死，决定了治疗策略的不同。有报道提示，</w:t>
      </w:r>
      <w:r>
        <w:rPr>
          <w:color w:val="231F20"/>
        </w:rPr>
        <w:t>D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二聚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体升高的值与肠道缺血程度呈正相关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。腹部 </w:t>
      </w:r>
      <w:r>
        <w:rPr>
          <w:color w:val="231F20"/>
        </w:rPr>
        <w:t>CTA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可以发现肠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系膜动脉及静脉内的血栓或栓子。可以提示肠道缺血及坏死的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客观表现，如肠道扩张、肠壁增厚、肠壁增强减弱或消失，肠壁 </w:t>
      </w:r>
      <w:r>
        <w:rPr>
          <w:rFonts w:ascii="Microsoft YaHei" w:hAnsi="Microsoft YaHei" w:eastAsia="Microsoft YaHei" w:cs="Microsoft YaHei"/>
          <w:color w:val="231F20"/>
        </w:rPr>
        <w:t>积气、门静脉积气、腹腔积液、腹腔游离气体等征象，对肠系膜 </w:t>
      </w:r>
      <w:r>
        <w:rPr>
          <w:rFonts w:ascii="Microsoft YaHei" w:hAnsi="Microsoft YaHei" w:eastAsia="Microsoft YaHei" w:cs="Microsoft YaHei"/>
          <w:color w:val="231F20"/>
          <w:spacing w:val="6"/>
        </w:rPr>
        <w:t>静脉血栓形成的患者还可观察到脾大、腹水、食管胃底静脉曲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张等门脉高压表现</w:t>
      </w:r>
      <w:r>
        <w:rPr>
          <w:sz w:val="10"/>
          <w:szCs w:val="10"/>
          <w:color w:val="231F20"/>
          <w:spacing w:val="8"/>
          <w:position w:val="6"/>
        </w:rPr>
        <w:t>[1,18]</w:t>
      </w:r>
      <w:r>
        <w:rPr>
          <w:sz w:val="10"/>
          <w:szCs w:val="10"/>
          <w:color w:val="231F20"/>
          <w:spacing w:val="-1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。有研究表明对于合并慢性肾</w:t>
      </w:r>
      <w:r>
        <w:rPr>
          <w:rFonts w:ascii="Microsoft YaHei" w:hAnsi="Microsoft YaHei" w:eastAsia="Microsoft YaHei" w:cs="Microsoft YaHei"/>
          <w:color w:val="231F20"/>
          <w:spacing w:val="7"/>
        </w:rPr>
        <w:t>功能不全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的高度疑似 </w:t>
      </w:r>
      <w:r>
        <w:rPr>
          <w:color w:val="231F20"/>
        </w:rPr>
        <w:t>AMI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患者，在权衡风险和获益后，亦应该积极行腹</w:t>
      </w:r>
    </w:p>
    <w:p>
      <w:pPr>
        <w:spacing w:line="230" w:lineRule="auto"/>
        <w:sectPr>
          <w:type w:val="continuous"/>
          <w:pgSz w:w="11906" w:h="16838"/>
          <w:pgMar w:top="917" w:right="1056" w:bottom="0" w:left="407" w:header="562" w:footer="0" w:gutter="0"/>
          <w:cols w:equalWidth="0" w:num="2">
            <w:col w:w="5581" w:space="100"/>
            <w:col w:w="4761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254"/>
        <w:spacing w:before="275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表 </w:t>
      </w:r>
      <w:r>
        <w:rPr>
          <w:sz w:val="15"/>
          <w:szCs w:val="15"/>
          <w:color w:val="231F20"/>
          <w:spacing w:val="6"/>
        </w:rPr>
        <w:t>3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相关实验室检查预测肠系膜缺血性伴肠坏死的 </w:t>
      </w:r>
      <w:r>
        <w:rPr>
          <w:sz w:val="15"/>
          <w:szCs w:val="15"/>
          <w:color w:val="231F20"/>
        </w:rPr>
        <w:t>ROC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曲线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结果</w:t>
      </w:r>
    </w:p>
    <w:p>
      <w:pPr>
        <w:pStyle w:val="BodyText"/>
        <w:ind w:left="1862"/>
        <w:spacing w:before="80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Table 3  ROC curve results of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related laboratory tests predicting mesenteric ischemic disease with intestinal ne</w:t>
      </w:r>
      <w:r>
        <w:rPr>
          <w:sz w:val="15"/>
          <w:szCs w:val="15"/>
          <w:color w:val="231F20"/>
          <w:spacing w:val="-4"/>
        </w:rPr>
        <w:t>crosis</w:t>
      </w:r>
    </w:p>
    <w:p>
      <w:pPr>
        <w:spacing w:line="82" w:lineRule="exact"/>
        <w:rPr/>
      </w:pPr>
      <w:r/>
    </w:p>
    <w:tbl>
      <w:tblPr>
        <w:tblStyle w:val="TableNormal"/>
        <w:tblW w:w="9637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0"/>
        <w:gridCol w:w="2306"/>
        <w:gridCol w:w="2583"/>
        <w:gridCol w:w="2338"/>
      </w:tblGrid>
      <w:tr>
        <w:trPr>
          <w:trHeight w:val="332" w:hRule="atLeast"/>
        </w:trPr>
        <w:tc>
          <w:tcPr>
            <w:tcW w:w="241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888"/>
              <w:spacing w:before="270" w:line="198" w:lineRule="auto"/>
              <w:rPr/>
            </w:pPr>
            <w:r>
              <w:rPr>
                <w:color w:val="231F20"/>
                <w:spacing w:val="-3"/>
              </w:rPr>
              <w:t>Predictors</w:t>
            </w:r>
          </w:p>
        </w:tc>
        <w:tc>
          <w:tcPr>
            <w:tcW w:w="7227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232"/>
              <w:spacing w:before="101" w:line="195" w:lineRule="auto"/>
              <w:rPr/>
            </w:pPr>
            <w:r>
              <w:rPr>
                <w:color w:val="231F20"/>
                <w:spacing w:val="-4"/>
              </w:rPr>
              <w:t>ROC curves</w:t>
            </w:r>
          </w:p>
        </w:tc>
      </w:tr>
      <w:tr>
        <w:trPr>
          <w:trHeight w:val="333" w:hRule="atLeast"/>
        </w:trPr>
        <w:tc>
          <w:tcPr>
            <w:tcW w:w="241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0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41"/>
              <w:spacing w:before="105" w:line="195" w:lineRule="auto"/>
              <w:rPr/>
            </w:pPr>
            <w:r>
              <w:rPr>
                <w:color w:val="231F20"/>
                <w:spacing w:val="5"/>
              </w:rPr>
              <w:t>AUC</w:t>
            </w:r>
          </w:p>
        </w:tc>
        <w:tc>
          <w:tcPr>
            <w:tcW w:w="25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92"/>
              <w:spacing w:before="105" w:line="194" w:lineRule="auto"/>
              <w:rPr/>
            </w:pPr>
            <w:r>
              <w:rPr>
                <w:color w:val="231F20"/>
                <w:spacing w:val="-2"/>
              </w:rPr>
              <w:t>95%CI</w:t>
            </w:r>
          </w:p>
        </w:tc>
        <w:tc>
          <w:tcPr>
            <w:tcW w:w="233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99"/>
              <w:spacing w:before="102" w:line="19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value</w:t>
            </w:r>
          </w:p>
        </w:tc>
      </w:tr>
      <w:tr>
        <w:trPr>
          <w:trHeight w:val="341" w:hRule="atLeast"/>
        </w:trPr>
        <w:tc>
          <w:tcPr>
            <w:tcW w:w="24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9"/>
              <w:spacing w:before="104" w:line="202" w:lineRule="auto"/>
              <w:rPr/>
            </w:pPr>
            <w:r>
              <w:rPr>
                <w:color w:val="231F20"/>
                <w:spacing w:val="-2"/>
              </w:rPr>
              <w:t>Total leukocyte cou</w:t>
            </w:r>
            <w:r>
              <w:rPr>
                <w:color w:val="231F20"/>
                <w:spacing w:val="-3"/>
              </w:rPr>
              <w:t>nt</w:t>
            </w:r>
          </w:p>
        </w:tc>
        <w:tc>
          <w:tcPr>
            <w:tcW w:w="23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0"/>
              <w:spacing w:before="104" w:line="175" w:lineRule="exact"/>
              <w:rPr/>
            </w:pPr>
            <w:r>
              <w:rPr>
                <w:color w:val="231F20"/>
                <w:spacing w:val="-4"/>
              </w:rPr>
              <w:t>0.772</w:t>
            </w:r>
          </w:p>
        </w:tc>
        <w:tc>
          <w:tcPr>
            <w:tcW w:w="25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28"/>
              <w:spacing w:before="104" w:line="175" w:lineRule="exact"/>
              <w:rPr/>
            </w:pPr>
            <w:r>
              <w:rPr>
                <w:color w:val="231F20"/>
                <w:spacing w:val="-4"/>
              </w:rPr>
              <w:t>0.611-0.932</w:t>
            </w:r>
          </w:p>
        </w:tc>
        <w:tc>
          <w:tcPr>
            <w:tcW w:w="23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0"/>
              <w:spacing w:before="104" w:line="175" w:lineRule="exact"/>
              <w:rPr/>
            </w:pPr>
            <w:r>
              <w:rPr>
                <w:color w:val="231F20"/>
                <w:spacing w:val="-4"/>
              </w:rPr>
              <w:t>0.009</w:t>
            </w:r>
          </w:p>
        </w:tc>
      </w:tr>
      <w:tr>
        <w:trPr>
          <w:trHeight w:val="338" w:hRule="atLeast"/>
        </w:trPr>
        <w:tc>
          <w:tcPr>
            <w:tcW w:w="2410" w:type="dxa"/>
            <w:vAlign w:val="top"/>
          </w:tcPr>
          <w:p>
            <w:pPr>
              <w:pStyle w:val="TableText"/>
              <w:ind w:left="514"/>
              <w:spacing w:before="103" w:line="204" w:lineRule="auto"/>
              <w:rPr/>
            </w:pPr>
            <w:r>
              <w:rPr>
                <w:color w:val="231F20"/>
                <w:spacing w:val="-3"/>
              </w:rPr>
              <w:t>The neutrophils count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1031"/>
              <w:spacing w:before="103" w:line="175" w:lineRule="exact"/>
              <w:rPr/>
            </w:pPr>
            <w:r>
              <w:rPr>
                <w:color w:val="231F20"/>
                <w:spacing w:val="-4"/>
              </w:rPr>
              <w:t>0.627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28"/>
              <w:spacing w:before="103" w:line="175" w:lineRule="exact"/>
              <w:rPr/>
            </w:pPr>
            <w:r>
              <w:rPr>
                <w:color w:val="231F20"/>
                <w:spacing w:val="-4"/>
              </w:rPr>
              <w:t>0.441-0.813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961"/>
              <w:spacing w:before="103" w:line="175" w:lineRule="exact"/>
              <w:rPr/>
            </w:pPr>
            <w:r>
              <w:rPr>
                <w:color w:val="231F20"/>
                <w:spacing w:val="-4"/>
              </w:rPr>
              <w:t>0.224</w:t>
            </w:r>
          </w:p>
        </w:tc>
      </w:tr>
      <w:tr>
        <w:trPr>
          <w:trHeight w:val="323" w:hRule="atLeast"/>
        </w:trPr>
        <w:tc>
          <w:tcPr>
            <w:tcW w:w="2410" w:type="dxa"/>
            <w:vAlign w:val="top"/>
          </w:tcPr>
          <w:p>
            <w:pPr>
              <w:pStyle w:val="TableText"/>
              <w:ind w:left="940"/>
              <w:spacing w:before="105" w:line="175" w:lineRule="exact"/>
              <w:rPr/>
            </w:pPr>
            <w:r>
              <w:rPr>
                <w:color w:val="231F20"/>
              </w:rPr>
              <w:t>D-dimer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1032"/>
              <w:spacing w:before="105" w:line="175" w:lineRule="exact"/>
              <w:rPr/>
            </w:pPr>
            <w:r>
              <w:rPr>
                <w:color w:val="231F20"/>
                <w:spacing w:val="-4"/>
              </w:rPr>
              <w:t>0.564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30"/>
              <w:spacing w:before="105" w:line="175" w:lineRule="exact"/>
              <w:rPr/>
            </w:pPr>
            <w:r>
              <w:rPr>
                <w:color w:val="231F20"/>
                <w:spacing w:val="-4"/>
              </w:rPr>
              <w:t>0.340-0.789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962"/>
              <w:spacing w:before="105" w:line="175" w:lineRule="exact"/>
              <w:rPr/>
            </w:pPr>
            <w:r>
              <w:rPr>
                <w:color w:val="231F20"/>
                <w:spacing w:val="-4"/>
              </w:rPr>
              <w:t>0.540</w:t>
            </w:r>
          </w:p>
        </w:tc>
      </w:tr>
      <w:tr>
        <w:trPr>
          <w:trHeight w:val="339" w:hRule="atLeast"/>
        </w:trPr>
        <w:tc>
          <w:tcPr>
            <w:tcW w:w="2410" w:type="dxa"/>
            <w:vAlign w:val="top"/>
          </w:tcPr>
          <w:p>
            <w:pPr>
              <w:pStyle w:val="TableText"/>
              <w:ind w:left="861"/>
              <w:spacing w:before="123" w:line="198" w:lineRule="auto"/>
              <w:rPr/>
            </w:pPr>
            <w:r>
              <w:rPr>
                <w:color w:val="231F20"/>
                <w:spacing w:val="-2"/>
              </w:rPr>
              <w:t>Lactic acid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1031"/>
              <w:spacing w:before="122" w:line="175" w:lineRule="exact"/>
              <w:rPr/>
            </w:pPr>
            <w:r>
              <w:rPr>
                <w:color w:val="231F20"/>
                <w:spacing w:val="-4"/>
              </w:rPr>
              <w:t>0.415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29"/>
              <w:spacing w:before="122" w:line="175" w:lineRule="exact"/>
              <w:rPr/>
            </w:pPr>
            <w:r>
              <w:rPr>
                <w:color w:val="231F20"/>
                <w:spacing w:val="-4"/>
              </w:rPr>
              <w:t>0.190-0.460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961"/>
              <w:spacing w:before="122" w:line="175" w:lineRule="exact"/>
              <w:rPr/>
            </w:pPr>
            <w:r>
              <w:rPr>
                <w:color w:val="231F20"/>
                <w:spacing w:val="-4"/>
              </w:rPr>
              <w:t>0.467</w:t>
            </w:r>
          </w:p>
        </w:tc>
      </w:tr>
      <w:tr>
        <w:trPr>
          <w:trHeight w:val="338" w:hRule="atLeast"/>
        </w:trPr>
        <w:tc>
          <w:tcPr>
            <w:tcW w:w="2410" w:type="dxa"/>
            <w:vAlign w:val="top"/>
          </w:tcPr>
          <w:p>
            <w:pPr>
              <w:pStyle w:val="TableText"/>
              <w:ind w:left="579"/>
              <w:spacing w:before="124" w:line="198" w:lineRule="auto"/>
              <w:rPr/>
            </w:pPr>
            <w:r>
              <w:rPr>
                <w:color w:val="231F20"/>
                <w:spacing w:val="-1"/>
              </w:rPr>
              <w:t>PH 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arterial blood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1031"/>
              <w:spacing w:before="124" w:line="174" w:lineRule="exact"/>
              <w:rPr/>
            </w:pPr>
            <w:r>
              <w:rPr>
                <w:color w:val="231F20"/>
                <w:spacing w:val="-4"/>
              </w:rPr>
              <w:t>0.565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29"/>
              <w:spacing w:before="124" w:line="174" w:lineRule="exact"/>
              <w:rPr/>
            </w:pPr>
            <w:r>
              <w:rPr>
                <w:color w:val="231F20"/>
                <w:spacing w:val="-4"/>
              </w:rPr>
              <w:t>0.340-0.791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961"/>
              <w:spacing w:before="124" w:line="174" w:lineRule="exact"/>
              <w:rPr/>
            </w:pPr>
            <w:r>
              <w:rPr>
                <w:color w:val="231F20"/>
                <w:spacing w:val="-4"/>
              </w:rPr>
              <w:t>0.572</w:t>
            </w:r>
          </w:p>
        </w:tc>
      </w:tr>
      <w:tr>
        <w:trPr>
          <w:trHeight w:val="339" w:hRule="atLeast"/>
        </w:trPr>
        <w:tc>
          <w:tcPr>
            <w:tcW w:w="2410" w:type="dxa"/>
            <w:vAlign w:val="top"/>
          </w:tcPr>
          <w:p>
            <w:pPr>
              <w:pStyle w:val="TableText"/>
              <w:ind w:left="722"/>
              <w:spacing w:before="126" w:line="198" w:lineRule="auto"/>
              <w:rPr/>
            </w:pPr>
            <w:r>
              <w:rPr>
                <w:color w:val="231F20"/>
                <w:spacing w:val="-4"/>
              </w:rPr>
              <w:t>Creatine kinase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1031"/>
              <w:spacing w:before="126" w:line="175" w:lineRule="exact"/>
              <w:rPr/>
            </w:pPr>
            <w:r>
              <w:rPr>
                <w:color w:val="231F20"/>
                <w:spacing w:val="-4"/>
              </w:rPr>
              <w:t>0.607</w:t>
            </w:r>
          </w:p>
        </w:tc>
        <w:tc>
          <w:tcPr>
            <w:tcW w:w="2583" w:type="dxa"/>
            <w:vAlign w:val="top"/>
          </w:tcPr>
          <w:p>
            <w:pPr>
              <w:pStyle w:val="TableText"/>
              <w:ind w:left="929"/>
              <w:spacing w:before="126" w:line="175" w:lineRule="exact"/>
              <w:rPr/>
            </w:pPr>
            <w:r>
              <w:rPr>
                <w:color w:val="231F20"/>
                <w:spacing w:val="-4"/>
              </w:rPr>
              <w:t>0.372-0.841</w:t>
            </w:r>
          </w:p>
        </w:tc>
        <w:tc>
          <w:tcPr>
            <w:tcW w:w="2338" w:type="dxa"/>
            <w:vAlign w:val="top"/>
          </w:tcPr>
          <w:p>
            <w:pPr>
              <w:pStyle w:val="TableText"/>
              <w:ind w:left="961"/>
              <w:spacing w:before="126" w:line="175" w:lineRule="exact"/>
              <w:rPr/>
            </w:pPr>
            <w:r>
              <w:rPr>
                <w:color w:val="231F20"/>
                <w:spacing w:val="-4"/>
              </w:rPr>
              <w:t>0.375</w:t>
            </w:r>
          </w:p>
        </w:tc>
      </w:tr>
      <w:tr>
        <w:trPr>
          <w:trHeight w:val="355" w:hRule="atLeast"/>
        </w:trPr>
        <w:tc>
          <w:tcPr>
            <w:tcW w:w="241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57"/>
              <w:spacing w:before="127" w:line="202" w:lineRule="auto"/>
              <w:rPr/>
            </w:pPr>
            <w:r>
              <w:rPr>
                <w:color w:val="231F20"/>
                <w:spacing w:val="1"/>
              </w:rPr>
              <w:t>Myoglobin</w:t>
            </w:r>
          </w:p>
        </w:tc>
        <w:tc>
          <w:tcPr>
            <w:tcW w:w="23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32"/>
              <w:spacing w:before="127" w:line="175" w:lineRule="exact"/>
              <w:rPr/>
            </w:pPr>
            <w:r>
              <w:rPr>
                <w:color w:val="231F20"/>
                <w:spacing w:val="-4"/>
              </w:rPr>
              <w:t>0.617</w:t>
            </w:r>
          </w:p>
        </w:tc>
        <w:tc>
          <w:tcPr>
            <w:tcW w:w="25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0"/>
              <w:spacing w:before="127" w:line="175" w:lineRule="exact"/>
              <w:rPr/>
            </w:pPr>
            <w:r>
              <w:rPr>
                <w:color w:val="231F20"/>
                <w:spacing w:val="-4"/>
              </w:rPr>
              <w:t>0.392-0.841</w:t>
            </w:r>
          </w:p>
        </w:tc>
        <w:tc>
          <w:tcPr>
            <w:tcW w:w="23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62"/>
              <w:spacing w:before="127" w:line="175" w:lineRule="exact"/>
              <w:rPr/>
            </w:pPr>
            <w:r>
              <w:rPr>
                <w:color w:val="231F20"/>
                <w:spacing w:val="-4"/>
              </w:rPr>
              <w:t>0.332</w:t>
            </w:r>
          </w:p>
        </w:tc>
      </w:tr>
    </w:tbl>
    <w:p>
      <w:pPr>
        <w:pStyle w:val="BodyText"/>
        <w:spacing w:line="276" w:lineRule="auto"/>
        <w:rPr>
          <w:sz w:val="21"/>
        </w:rPr>
      </w:pPr>
      <w:r/>
    </w:p>
    <w:p>
      <w:pPr>
        <w:ind w:firstLine="1204"/>
        <w:spacing w:line="2487" w:lineRule="exact"/>
        <w:rPr/>
      </w:pPr>
      <w:r>
        <w:rPr>
          <w:position w:val="-49"/>
        </w:rPr>
        <w:drawing>
          <wp:inline distT="0" distB="0" distL="0" distR="0">
            <wp:extent cx="5508346" cy="157961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8346" cy="157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90"/>
        <w:spacing w:before="45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图 </w:t>
      </w:r>
      <w:r>
        <w:rPr>
          <w:sz w:val="15"/>
          <w:szCs w:val="15"/>
          <w:color w:val="231F20"/>
          <w:spacing w:val="4"/>
        </w:rPr>
        <w:t>1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肠系膜上动脉栓塞腹部 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表现：</w:t>
      </w:r>
    </w:p>
    <w:p>
      <w:pPr>
        <w:pStyle w:val="BodyText"/>
        <w:ind w:left="2900"/>
        <w:spacing w:before="69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Fig.1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2"/>
        </w:rPr>
        <w:t>Manifestations 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abdominal CTA in superior mesenteric artery embolization</w:t>
      </w:r>
    </w:p>
    <w:p>
      <w:pPr>
        <w:pStyle w:val="BodyText"/>
        <w:ind w:left="1624"/>
        <w:spacing w:before="104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注：</w:t>
      </w:r>
      <w:r>
        <w:rPr>
          <w:sz w:val="15"/>
          <w:szCs w:val="15"/>
          <w:color w:val="231F20"/>
          <w:spacing w:val="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：可见肠系膜上动脉无强化（箭头所指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71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提示肠系膜上动脉血栓形成；</w:t>
      </w:r>
      <w:r>
        <w:rPr>
          <w:sz w:val="15"/>
          <w:szCs w:val="15"/>
          <w:color w:val="231F20"/>
          <w:spacing w:val="1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：冠状位可见肠系膜上动脉远端无强化；</w:t>
      </w:r>
    </w:p>
    <w:p>
      <w:pPr>
        <w:pStyle w:val="BodyText"/>
        <w:ind w:left="4143"/>
        <w:spacing w:before="66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：腹部血管重建可见肠系膜上动脉中断。</w:t>
      </w:r>
    </w:p>
    <w:p>
      <w:pPr>
        <w:pStyle w:val="BodyText"/>
        <w:ind w:left="852"/>
        <w:spacing w:before="71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Note: A: It can be seen that the superi</w:t>
      </w:r>
      <w:r>
        <w:rPr>
          <w:sz w:val="15"/>
          <w:szCs w:val="15"/>
          <w:color w:val="231F20"/>
          <w:spacing w:val="-4"/>
        </w:rPr>
        <w:t>or mesenteric artery is not strengthened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4"/>
        </w:rPr>
        <w:t>(indicated by the arrow),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suggesting that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superior mesenteric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4"/>
        </w:rPr>
        <w:t>artery</w:t>
      </w:r>
    </w:p>
    <w:p>
      <w:pPr>
        <w:pStyle w:val="BodyText"/>
        <w:ind w:left="665"/>
        <w:spacing w:before="11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thrombosis; B: The distal end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superior mesenteric artery was not enhanced in coronal position. C: Interruption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superior </w:t>
      </w:r>
      <w:r>
        <w:rPr>
          <w:sz w:val="15"/>
          <w:szCs w:val="15"/>
          <w:color w:val="231F20"/>
          <w:spacing w:val="-4"/>
        </w:rPr>
        <w:t>mesenteric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artery can be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seen</w:t>
      </w:r>
    </w:p>
    <w:p>
      <w:pPr>
        <w:pStyle w:val="BodyText"/>
        <w:ind w:left="4355"/>
        <w:spacing w:before="117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in abdominal vascular reconstruction.</w:t>
      </w:r>
    </w:p>
    <w:p>
      <w:pPr>
        <w:ind w:firstLine="1679"/>
        <w:spacing w:before="234" w:line="4273" w:lineRule="exact"/>
        <w:rPr/>
      </w:pPr>
      <w:r>
        <w:rPr>
          <w:position w:val="-85"/>
        </w:rPr>
        <w:drawing>
          <wp:inline distT="0" distB="0" distL="0" distR="0">
            <wp:extent cx="4895850" cy="27135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7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17"/>
        <w:spacing w:before="62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图 </w:t>
      </w:r>
      <w:r>
        <w:rPr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合并肠坏死腹部表现：</w:t>
      </w:r>
    </w:p>
    <w:p>
      <w:pPr>
        <w:pStyle w:val="BodyText"/>
        <w:ind w:left="2614"/>
        <w:spacing w:before="69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Fig.2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Abdominal CT manifestations of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2"/>
        </w:rPr>
        <w:t>mesen</w:t>
      </w:r>
      <w:r>
        <w:rPr>
          <w:sz w:val="15"/>
          <w:szCs w:val="15"/>
          <w:color w:val="231F20"/>
          <w:spacing w:val="-3"/>
        </w:rPr>
        <w:t>teric ischemic disease with intestinal necrosis:</w:t>
      </w:r>
    </w:p>
    <w:p>
      <w:pPr>
        <w:pStyle w:val="BodyText"/>
        <w:ind w:left="1758"/>
        <w:spacing w:before="104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：水平位 肠壁增厚，周围脂肪组织密度增高（箭头所指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  <w:w w:val="57"/>
        </w:rPr>
        <w:t>）；</w:t>
      </w:r>
      <w:r>
        <w:rPr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：冠状位 可见肠壁增厚，周围脂肪组织密度增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高，</w:t>
      </w:r>
    </w:p>
    <w:p>
      <w:pPr>
        <w:ind w:left="3391"/>
        <w:spacing w:before="66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局部肠壁结构不清出（红色肩头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8"/>
          <w:w w:val="78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并可见腹腔积液（蓝色箭头）。</w:t>
      </w:r>
    </w:p>
    <w:p>
      <w:pPr>
        <w:pStyle w:val="BodyText"/>
        <w:ind w:left="894"/>
        <w:spacing w:before="7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Note: A: In the horizontal position, the intestinal wall is thickened and the density o</w:t>
      </w:r>
      <w:r>
        <w:rPr>
          <w:sz w:val="15"/>
          <w:szCs w:val="15"/>
          <w:color w:val="231F20"/>
          <w:spacing w:val="-3"/>
        </w:rPr>
        <w:t>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surrounding adipose tissue is increased (indicated by arrows);</w:t>
      </w:r>
    </w:p>
    <w:p>
      <w:pPr>
        <w:pStyle w:val="BodyText"/>
        <w:ind w:left="701"/>
        <w:spacing w:before="11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B: Thickening 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intestinal wall, increased density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surrounding adipose tissue, unclear structure 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local in</w:t>
      </w:r>
      <w:r>
        <w:rPr>
          <w:sz w:val="15"/>
          <w:szCs w:val="15"/>
          <w:color w:val="231F20"/>
          <w:spacing w:val="-3"/>
        </w:rPr>
        <w:t>testinal wall (red shoulder) 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3"/>
        </w:rPr>
        <w:t>ascites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3"/>
        </w:rPr>
        <w:t>(blue</w:t>
      </w:r>
    </w:p>
    <w:p>
      <w:pPr>
        <w:pStyle w:val="BodyText"/>
        <w:ind w:left="4316"/>
        <w:spacing w:before="1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arrow) can be seen in cor</w:t>
      </w:r>
      <w:r>
        <w:rPr>
          <w:sz w:val="15"/>
          <w:szCs w:val="15"/>
          <w:color w:val="231F20"/>
          <w:spacing w:val="-4"/>
        </w:rPr>
        <w:t>onal position.</w:t>
      </w:r>
    </w:p>
    <w:p>
      <w:pPr>
        <w:spacing w:line="202" w:lineRule="auto"/>
        <w:sectPr>
          <w:headerReference w:type="default" r:id="rId5"/>
          <w:pgSz w:w="11906" w:h="16838"/>
          <w:pgMar w:top="917" w:right="1057" w:bottom="0" w:left="407" w:header="562" w:footer="0" w:gutter="0"/>
        </w:sectPr>
        <w:rPr>
          <w:sz w:val="15"/>
          <w:szCs w:val="15"/>
        </w:rPr>
      </w:pPr>
    </w:p>
    <w:p>
      <w:pPr>
        <w:pStyle w:val="BodyText"/>
        <w:spacing w:line="271" w:lineRule="auto"/>
        <w:rPr>
          <w:sz w:val="21"/>
        </w:rPr>
      </w:pPr>
      <w:r/>
    </w:p>
    <w:p>
      <w:pPr>
        <w:ind w:firstLine="1198"/>
        <w:spacing w:line="1952" w:lineRule="exact"/>
        <w:rPr/>
      </w:pPr>
      <w:r>
        <w:rPr>
          <w:position w:val="-39"/>
        </w:rPr>
        <w:drawing>
          <wp:inline distT="0" distB="0" distL="0" distR="0">
            <wp:extent cx="5507852" cy="123992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7852" cy="12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6"/>
        <w:spacing w:before="30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图 </w:t>
      </w:r>
      <w:r>
        <w:rPr>
          <w:sz w:val="15"/>
          <w:szCs w:val="15"/>
          <w:color w:val="231F20"/>
          <w:spacing w:val="3"/>
        </w:rPr>
        <w:t>3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术中切开取栓</w:t>
      </w:r>
    </w:p>
    <w:p>
      <w:pPr>
        <w:pStyle w:val="BodyText"/>
        <w:ind w:left="2264"/>
        <w:spacing w:before="68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Fig.3  The superior mesenteric artery wa</w:t>
      </w:r>
      <w:r>
        <w:rPr>
          <w:sz w:val="15"/>
          <w:szCs w:val="15"/>
          <w:color w:val="231F20"/>
          <w:spacing w:val="-4"/>
        </w:rPr>
        <w:t>s incised and the thrombosis was removed during the operation</w:t>
      </w:r>
    </w:p>
    <w:p>
      <w:pPr>
        <w:pStyle w:val="BodyText"/>
        <w:ind w:left="2683"/>
        <w:spacing w:before="104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开腹探查可见肠道缺血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。可见无病变肠管（红色箭头）和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坏死肠管（蓝色箭头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2"/>
          <w:w w:val="90"/>
        </w:rPr>
        <w:t>）；</w:t>
      </w:r>
    </w:p>
    <w:p>
      <w:pPr>
        <w:pStyle w:val="BodyText"/>
        <w:ind w:left="2453"/>
        <w:spacing w:before="65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B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切除坏死肠管后，行肠系膜上动脉切开取栓（箭头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  <w:w w:val="56"/>
        </w:rPr>
        <w:t>）；</w:t>
      </w:r>
      <w:r>
        <w:rPr>
          <w:sz w:val="15"/>
          <w:szCs w:val="15"/>
          <w:color w:val="231F20"/>
          <w:spacing w:val="3"/>
        </w:rPr>
        <w:t>C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取栓后肠道血供恢复；</w:t>
      </w:r>
      <w:r>
        <w:rPr>
          <w:sz w:val="15"/>
          <w:szCs w:val="15"/>
          <w:color w:val="231F20"/>
          <w:spacing w:val="2"/>
        </w:rPr>
        <w:t>D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血栓标本。</w:t>
      </w:r>
    </w:p>
    <w:p>
      <w:pPr>
        <w:pStyle w:val="BodyText"/>
        <w:ind w:left="777"/>
        <w:spacing w:before="78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Note: A: Intestinal ischemia can be seen by exploratory laparo</w:t>
      </w:r>
      <w:r>
        <w:rPr>
          <w:sz w:val="15"/>
          <w:szCs w:val="15"/>
          <w:color w:val="231F20"/>
          <w:spacing w:val="-4"/>
        </w:rPr>
        <w:t>tomy. The diseased intestine (red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4"/>
        </w:rPr>
        <w:t>arrow)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and necrotic intestine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4"/>
        </w:rPr>
        <w:t>(blue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arrow)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can be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seen;</w:t>
      </w:r>
    </w:p>
    <w:p>
      <w:pPr>
        <w:pStyle w:val="BodyText"/>
        <w:ind w:left="1847"/>
        <w:spacing w:before="11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Note: B: After cutting into necrotic intestine, the superior mesenteric art</w:t>
      </w:r>
      <w:r>
        <w:rPr>
          <w:sz w:val="15"/>
          <w:szCs w:val="15"/>
          <w:color w:val="231F20"/>
          <w:spacing w:val="-3"/>
        </w:rPr>
        <w:t>ery was cut to remove the thrombus (arrow);</w:t>
      </w:r>
    </w:p>
    <w:p>
      <w:pPr>
        <w:pStyle w:val="BodyText"/>
        <w:ind w:left="2301"/>
        <w:spacing w:before="1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Note: C: The intestinal blo</w:t>
      </w:r>
      <w:r>
        <w:rPr>
          <w:sz w:val="15"/>
          <w:szCs w:val="15"/>
          <w:color w:val="231F20"/>
          <w:spacing w:val="-3"/>
        </w:rPr>
        <w:t>od supply was restored after embolectomy; Note: D: Thrombosis specimen.</w:t>
      </w:r>
    </w:p>
    <w:p>
      <w:pPr>
        <w:ind w:firstLine="1679"/>
        <w:spacing w:before="189" w:line="3589" w:lineRule="exact"/>
        <w:rPr/>
      </w:pPr>
      <w:r>
        <w:rPr>
          <w:position w:val="-71"/>
        </w:rPr>
        <w:drawing>
          <wp:inline distT="0" distB="0" distL="0" distR="0">
            <wp:extent cx="4895850" cy="227929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2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08"/>
        <w:spacing w:before="75" w:line="192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图 </w:t>
      </w:r>
      <w:r>
        <w:rPr>
          <w:sz w:val="15"/>
          <w:szCs w:val="15"/>
          <w:color w:val="231F20"/>
          <w:spacing w:val="3"/>
        </w:rPr>
        <w:t>4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静脉应用吲哚箐绿荧光显影剂、配合荧光导航内镜，可见坏死肠管未显影</w:t>
      </w:r>
    </w:p>
    <w:p>
      <w:pPr>
        <w:pStyle w:val="BodyText"/>
        <w:ind w:left="1200"/>
        <w:spacing w:before="81" w:line="202" w:lineRule="auto"/>
        <w:outlineLvl w:val="2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Fig.4  Peripheral intravenous injection 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indolicledegreen fluorescent imaging agent, co</w:t>
      </w:r>
      <w:r>
        <w:rPr>
          <w:sz w:val="15"/>
          <w:szCs w:val="15"/>
          <w:color w:val="231F20"/>
          <w:spacing w:val="-3"/>
        </w:rPr>
        <w:t>mbined with fluorescent navigation laparoscopy,</w:t>
      </w:r>
    </w:p>
    <w:p>
      <w:pPr>
        <w:pStyle w:val="BodyText"/>
        <w:ind w:left="4156"/>
        <w:spacing w:before="129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found that the necr</w:t>
      </w:r>
      <w:r>
        <w:rPr>
          <w:sz w:val="15"/>
          <w:szCs w:val="15"/>
          <w:color w:val="231F20"/>
          <w:spacing w:val="-3"/>
        </w:rPr>
        <w:t>otic bowel is not shown;</w:t>
      </w:r>
    </w:p>
    <w:p>
      <w:pPr>
        <w:pStyle w:val="BodyText"/>
        <w:ind w:left="1498"/>
        <w:spacing w:before="104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：开腹探查见肠道坏死分界；</w:t>
      </w:r>
      <w:r>
        <w:rPr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：荧光内镜下观察可见坏死肠道无显影（红色箭头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  <w:w w:val="73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未坏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死肠管显影良好（蓝色箭头）</w:t>
      </w:r>
    </w:p>
    <w:p>
      <w:pPr>
        <w:pStyle w:val="BodyText"/>
        <w:ind w:left="2973"/>
        <w:spacing w:before="90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Note: A: The demarcation 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3"/>
        </w:rPr>
        <w:t>intestinal necrosis can be seen in open exploration;</w:t>
      </w:r>
    </w:p>
    <w:p>
      <w:pPr>
        <w:pStyle w:val="BodyText"/>
        <w:ind w:left="890"/>
        <w:spacing w:before="12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B: Under fluorescence endoscopy, the necrotic intestine was not developed (red arrow), and the necrotic intestine was well de</w:t>
      </w:r>
      <w:r>
        <w:rPr>
          <w:sz w:val="15"/>
          <w:szCs w:val="15"/>
          <w:color w:val="231F20"/>
          <w:spacing w:val="-4"/>
        </w:rPr>
        <w:t>veloped (blue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arrow).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firstLine="1197"/>
        <w:spacing w:line="1961" w:lineRule="exact"/>
        <w:rPr/>
      </w:pPr>
      <w:r>
        <w:rPr>
          <w:position w:val="-39"/>
        </w:rPr>
        <w:drawing>
          <wp:inline distT="0" distB="0" distL="0" distR="0">
            <wp:extent cx="5507988" cy="124541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7988" cy="124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58"/>
        <w:spacing w:before="44" w:line="191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图 </w:t>
      </w:r>
      <w:r>
        <w:rPr>
          <w:sz w:val="15"/>
          <w:szCs w:val="15"/>
          <w:color w:val="231F20"/>
        </w:rPr>
        <w:t>5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介入取栓后，肠道血运恢复</w:t>
      </w:r>
    </w:p>
    <w:p>
      <w:pPr>
        <w:pStyle w:val="BodyText"/>
        <w:ind w:left="3041"/>
        <w:spacing w:before="82" w:line="20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Fig.5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After interventional embolectomy</w:t>
      </w:r>
      <w:r>
        <w:rPr>
          <w:sz w:val="15"/>
          <w:szCs w:val="15"/>
          <w:color w:val="231F20"/>
          <w:spacing w:val="-2"/>
        </w:rPr>
        <w:t>, intestinal blood circulation recovered</w:t>
      </w:r>
    </w:p>
    <w:p>
      <w:pPr>
        <w:pStyle w:val="BodyText"/>
        <w:ind w:left="3092"/>
        <w:spacing w:before="116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注：</w:t>
      </w:r>
      <w:r>
        <w:rPr>
          <w:sz w:val="15"/>
          <w:szCs w:val="15"/>
          <w:color w:val="231F20"/>
          <w:spacing w:val="3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术前 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重建可见肠系膜上动脉中断；</w:t>
      </w:r>
      <w:r>
        <w:rPr>
          <w:sz w:val="15"/>
          <w:szCs w:val="15"/>
          <w:color w:val="231F20"/>
          <w:spacing w:val="3"/>
        </w:rPr>
        <w:t>B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腹腔镜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探查见肠道缺血；</w:t>
      </w:r>
    </w:p>
    <w:p>
      <w:pPr>
        <w:pStyle w:val="BodyText"/>
        <w:ind w:left="3019"/>
        <w:spacing w:before="72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介入取栓后造影发现肠系膜恢复血流；</w:t>
      </w:r>
      <w:r>
        <w:rPr>
          <w:sz w:val="15"/>
          <w:szCs w:val="15"/>
          <w:color w:val="231F20"/>
          <w:spacing w:val="6"/>
        </w:rPr>
        <w:t>D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再次探查可见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缺血肠管血运恢复。</w:t>
      </w:r>
    </w:p>
    <w:p>
      <w:pPr>
        <w:pStyle w:val="BodyText"/>
        <w:ind w:left="2120"/>
        <w:spacing w:before="84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Note: A: The interruption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superior mesenteric ar</w:t>
      </w:r>
      <w:r>
        <w:rPr>
          <w:sz w:val="15"/>
          <w:szCs w:val="15"/>
          <w:color w:val="231F20"/>
          <w:spacing w:val="-3"/>
        </w:rPr>
        <w:t>tery can be seen in CTA reconstruction before operation;</w:t>
      </w:r>
    </w:p>
    <w:p>
      <w:pPr>
        <w:pStyle w:val="BodyText"/>
        <w:ind w:left="3580"/>
        <w:spacing w:before="128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B: Intestinal ischemia was found in laparoscopic </w:t>
      </w:r>
      <w:r>
        <w:rPr>
          <w:sz w:val="15"/>
          <w:szCs w:val="15"/>
          <w:color w:val="231F20"/>
          <w:spacing w:val="-3"/>
        </w:rPr>
        <w:t>exploration;</w:t>
      </w:r>
    </w:p>
    <w:p>
      <w:pPr>
        <w:pStyle w:val="BodyText"/>
        <w:ind w:left="1866"/>
        <w:spacing w:before="12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C: After interventional embolectomy, an</w:t>
      </w:r>
      <w:r>
        <w:rPr>
          <w:sz w:val="15"/>
          <w:szCs w:val="15"/>
          <w:color w:val="231F20"/>
          <w:spacing w:val="-3"/>
        </w:rPr>
        <w:t>giography showed that the superior mesenteric artery recovered blood flow;</w:t>
      </w:r>
    </w:p>
    <w:p>
      <w:pPr>
        <w:pStyle w:val="BodyText"/>
        <w:ind w:left="2814"/>
        <w:spacing w:before="12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D: Re-exploration showed that the blood supply 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isch</w:t>
      </w:r>
      <w:r>
        <w:rPr>
          <w:sz w:val="15"/>
          <w:szCs w:val="15"/>
          <w:color w:val="231F20"/>
          <w:spacing w:val="-3"/>
        </w:rPr>
        <w:t>emic intestinal tract recovered.</w:t>
      </w:r>
    </w:p>
    <w:p>
      <w:pPr>
        <w:spacing w:line="241" w:lineRule="exact"/>
        <w:rPr/>
      </w:pPr>
      <w:r/>
    </w:p>
    <w:p>
      <w:pPr>
        <w:spacing w:line="241" w:lineRule="exact"/>
        <w:sectPr>
          <w:headerReference w:type="default" r:id="rId8"/>
          <w:pgSz w:w="11906" w:h="16838"/>
          <w:pgMar w:top="917" w:right="1055" w:bottom="0" w:left="407" w:header="562" w:footer="0" w:gutter="0"/>
          <w:cols w:equalWidth="0" w:num="1">
            <w:col w:w="10443" w:space="0"/>
          </w:cols>
        </w:sectPr>
        <w:rPr/>
      </w:pPr>
    </w:p>
    <w:p>
      <w:pPr>
        <w:pStyle w:val="BodyText"/>
        <w:ind w:left="637" w:right="186" w:hanging="3"/>
        <w:spacing w:before="38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部 </w:t>
      </w:r>
      <w:r>
        <w:rPr>
          <w:color w:val="231F20"/>
        </w:rPr>
        <w:t>CTA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检查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因为延误诊断带来的严重不良后果相对于肾损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害更加不可接受</w:t>
      </w:r>
      <w:r>
        <w:rPr>
          <w:sz w:val="10"/>
          <w:szCs w:val="10"/>
          <w:color w:val="231F20"/>
          <w:spacing w:val="1"/>
          <w:position w:val="6"/>
        </w:rPr>
        <w:t>[8]</w:t>
      </w:r>
      <w:r>
        <w:rPr>
          <w:rFonts w:ascii="Microsoft YaHei" w:hAnsi="Microsoft YaHei" w:eastAsia="Microsoft YaHei" w:cs="Microsoft YaHei"/>
          <w:color w:val="231F20"/>
          <w:spacing w:val="1"/>
        </w:rPr>
        <w:t>。在我们的研究中，</w:t>
      </w:r>
      <w:r>
        <w:rPr>
          <w:color w:val="231F20"/>
          <w:spacing w:val="1"/>
        </w:rPr>
        <w:t>36 </w:t>
      </w:r>
      <w:r>
        <w:rPr>
          <w:rFonts w:ascii="Microsoft YaHei" w:hAnsi="Microsoft YaHei" w:eastAsia="Microsoft YaHei" w:cs="Microsoft YaHei"/>
          <w:color w:val="231F20"/>
          <w:spacing w:val="1"/>
        </w:rPr>
        <w:t>例患者中 </w:t>
      </w:r>
      <w:r>
        <w:rPr>
          <w:color w:val="231F20"/>
          <w:spacing w:val="1"/>
        </w:rPr>
        <w:t>D- </w:t>
      </w:r>
      <w:r>
        <w:rPr>
          <w:rFonts w:ascii="Microsoft YaHei" w:hAnsi="Microsoft YaHei" w:eastAsia="Microsoft YaHei" w:cs="Microsoft YaHei"/>
          <w:color w:val="231F20"/>
          <w:spacing w:val="1"/>
        </w:rPr>
        <w:t>二聚体升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高 </w:t>
      </w:r>
      <w:r>
        <w:rPr>
          <w:color w:val="231F20"/>
          <w:spacing w:val="5"/>
        </w:rPr>
        <w:t>33 </w:t>
      </w:r>
      <w:r>
        <w:rPr>
          <w:rFonts w:ascii="Microsoft YaHei" w:hAnsi="Microsoft YaHei" w:eastAsia="Microsoft YaHei" w:cs="Microsoft YaHei"/>
          <w:color w:val="231F20"/>
          <w:spacing w:val="5"/>
        </w:rPr>
        <w:t>例，绝大数的确诊患者均有 </w:t>
      </w:r>
      <w:r>
        <w:rPr>
          <w:color w:val="231F20"/>
          <w:spacing w:val="5"/>
        </w:rPr>
        <w:t>D </w:t>
      </w:r>
      <w:r>
        <w:rPr>
          <w:rFonts w:ascii="Microsoft YaHei" w:hAnsi="Microsoft YaHei" w:eastAsia="Microsoft YaHei" w:cs="Microsoft YaHei"/>
          <w:color w:val="231F20"/>
          <w:spacing w:val="5"/>
        </w:rPr>
        <w:t>二聚体升高，与文献报道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"/>
        <w:spacing w:before="47" w:line="212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相似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。其中</w:t>
      </w:r>
      <w:r>
        <w:rPr>
          <w:color w:val="231F20"/>
          <w:spacing w:val="4"/>
        </w:rPr>
        <w:t>3 </w:t>
      </w:r>
      <w:r>
        <w:rPr>
          <w:rFonts w:ascii="Microsoft YaHei" w:hAnsi="Microsoft YaHei" w:eastAsia="Microsoft YaHei" w:cs="Microsoft YaHei"/>
          <w:color w:val="231F20"/>
          <w:spacing w:val="4"/>
        </w:rPr>
        <w:t>例患者 </w:t>
      </w:r>
      <w:r>
        <w:rPr>
          <w:color w:val="231F20"/>
          <w:spacing w:val="4"/>
        </w:rPr>
        <w:t>D </w:t>
      </w:r>
      <w:r>
        <w:rPr>
          <w:rFonts w:ascii="Microsoft YaHei" w:hAnsi="Microsoft YaHei" w:eastAsia="Microsoft YaHei" w:cs="Microsoft YaHei"/>
          <w:color w:val="231F20"/>
          <w:spacing w:val="4"/>
        </w:rPr>
        <w:t>二聚体正常，均为无合并肠坏死早期患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者，考虑为患者发病时间较短，或肠系膜血管长期慢性狭窄急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性发作所致，其原因值得进一步探讨。另外我们</w:t>
      </w:r>
      <w:r>
        <w:rPr>
          <w:rFonts w:ascii="Microsoft YaHei" w:hAnsi="Microsoft YaHei" w:eastAsia="Microsoft YaHei" w:cs="Microsoft YaHei"/>
          <w:color w:val="231F20"/>
          <w:spacing w:val="-2"/>
        </w:rPr>
        <w:t>的研究表，</w:t>
      </w:r>
      <w:r>
        <w:rPr>
          <w:color w:val="231F20"/>
          <w:spacing w:val="-2"/>
        </w:rPr>
        <w:t>ROC</w:t>
      </w:r>
    </w:p>
    <w:p>
      <w:pPr>
        <w:spacing w:line="212" w:lineRule="auto"/>
        <w:sectPr>
          <w:type w:val="continuous"/>
          <w:pgSz w:w="11906" w:h="16838"/>
          <w:pgMar w:top="917" w:right="1055" w:bottom="0" w:left="407" w:header="562" w:footer="0" w:gutter="0"/>
          <w:cols w:equalWidth="0" w:num="2">
            <w:col w:w="5580" w:space="100"/>
            <w:col w:w="4763" w:space="0"/>
          </w:cols>
        </w:sectPr>
        <w:rPr/>
      </w:pPr>
    </w:p>
    <w:p>
      <w:pPr>
        <w:spacing w:before="31"/>
        <w:rPr/>
      </w:pPr>
      <w:r/>
    </w:p>
    <w:p>
      <w:pPr>
        <w:sectPr>
          <w:headerReference w:type="default" r:id="rId12"/>
          <w:pgSz w:w="11906" w:h="16838"/>
          <w:pgMar w:top="917" w:right="991" w:bottom="0" w:left="407" w:header="562" w:footer="0" w:gutter="0"/>
          <w:cols w:equalWidth="0" w:num="1">
            <w:col w:w="10506" w:space="0"/>
          </w:cols>
        </w:sectPr>
        <w:rPr/>
      </w:pPr>
    </w:p>
    <w:p>
      <w:pPr>
        <w:ind w:firstLine="741"/>
        <w:spacing w:line="3604" w:lineRule="exact"/>
        <w:rPr/>
      </w:pPr>
      <w:r>
        <w:rPr>
          <w:position w:val="-72"/>
        </w:rPr>
        <w:drawing>
          <wp:inline distT="0" distB="0" distL="0" distR="0">
            <wp:extent cx="2880152" cy="22890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152" cy="22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6"/>
        <w:spacing w:before="56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图 </w:t>
      </w:r>
      <w:r>
        <w:rPr>
          <w:sz w:val="15"/>
          <w:szCs w:val="15"/>
          <w:color w:val="231F20"/>
          <w:spacing w:val="4"/>
        </w:rPr>
        <w:t>6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</w:rPr>
        <w:t>WBC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预测肠系膜缺血疾病血栓伴肠坏死 </w:t>
      </w:r>
      <w:r>
        <w:rPr>
          <w:sz w:val="15"/>
          <w:szCs w:val="15"/>
          <w:color w:val="231F20"/>
        </w:rPr>
        <w:t>ROC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曲线</w:t>
      </w:r>
    </w:p>
    <w:p>
      <w:pPr>
        <w:pStyle w:val="BodyText"/>
        <w:ind w:left="799"/>
        <w:spacing w:before="84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Fig.6 The ROC curve of WBC predicting mesenteric ischemic disease</w:t>
      </w:r>
    </w:p>
    <w:p>
      <w:pPr>
        <w:pStyle w:val="BodyText"/>
        <w:ind w:left="1910"/>
        <w:spacing w:before="126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thrombosis with intestinal necrosis</w:t>
      </w:r>
    </w:p>
    <w:p>
      <w:pPr>
        <w:pStyle w:val="BodyText"/>
        <w:ind w:left="812"/>
        <w:spacing w:before="86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注：</w:t>
      </w:r>
      <w:r>
        <w:rPr>
          <w:sz w:val="15"/>
          <w:szCs w:val="15"/>
          <w:color w:val="231F20"/>
          <w:spacing w:val="-7"/>
        </w:rPr>
        <w:t>ROC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曲线下面积为 </w:t>
      </w:r>
      <w:r>
        <w:rPr>
          <w:sz w:val="15"/>
          <w:szCs w:val="15"/>
          <w:color w:val="231F20"/>
          <w:spacing w:val="-7"/>
        </w:rPr>
        <w:t>0.772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95%CI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0.611-0.93</w:t>
      </w:r>
      <w:r>
        <w:rPr>
          <w:sz w:val="15"/>
          <w:szCs w:val="15"/>
          <w:color w:val="231F20"/>
          <w:spacing w:val="-8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69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=0.009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，提示</w:t>
      </w:r>
    </w:p>
    <w:p>
      <w:pPr>
        <w:pStyle w:val="BodyText"/>
        <w:ind w:left="647"/>
        <w:spacing w:before="70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</w:rPr>
        <w:t>WBC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具有预测血栓伴肠坏死发生价值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当 </w:t>
      </w:r>
      <w:r>
        <w:rPr>
          <w:sz w:val="15"/>
          <w:szCs w:val="15"/>
          <w:color w:val="231F20"/>
        </w:rPr>
        <w:t>WBC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9.70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时，提示肠坏死</w:t>
      </w:r>
    </w:p>
    <w:p>
      <w:pPr>
        <w:ind w:left="2655"/>
        <w:spacing w:before="66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发生可能。</w:t>
      </w:r>
    </w:p>
    <w:p>
      <w:pPr>
        <w:pStyle w:val="BodyText"/>
        <w:ind w:left="682"/>
        <w:spacing w:before="85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Note: WBC predicted the occurrence of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mesenteric ischemia di</w:t>
      </w:r>
      <w:r>
        <w:rPr>
          <w:sz w:val="15"/>
          <w:szCs w:val="15"/>
          <w:color w:val="231F20"/>
          <w:spacing w:val="-4"/>
        </w:rPr>
        <w:t>sease with</w:t>
      </w:r>
    </w:p>
    <w:p>
      <w:pPr>
        <w:pStyle w:val="BodyText"/>
        <w:ind w:left="704"/>
        <w:spacing w:before="125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intestinal necrosis, and the area under the ROC curve was 0.772 (95%CI:</w:t>
      </w:r>
    </w:p>
    <w:p>
      <w:pPr>
        <w:pStyle w:val="BodyText"/>
        <w:ind w:left="723"/>
        <w:spacing w:before="129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0.611-0.932),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=0.009, sug</w:t>
      </w:r>
      <w:r>
        <w:rPr>
          <w:sz w:val="15"/>
          <w:szCs w:val="15"/>
          <w:color w:val="231F20"/>
          <w:spacing w:val="-3"/>
        </w:rPr>
        <w:t>gesting that WBC had the value of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3"/>
        </w:rPr>
        <w:t>predicting</w:t>
      </w:r>
    </w:p>
    <w:p>
      <w:pPr>
        <w:pStyle w:val="BodyText"/>
        <w:ind w:left="751"/>
        <w:spacing w:before="89" w:line="1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the occurrence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3"/>
        </w:rPr>
        <w:t>thrombus with intestinal necrosis.When WBC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≥  </w:t>
      </w:r>
      <w:r>
        <w:rPr>
          <w:sz w:val="15"/>
          <w:szCs w:val="15"/>
          <w:color w:val="231F20"/>
          <w:spacing w:val="-3"/>
        </w:rPr>
        <w:t>9.70,</w:t>
      </w:r>
    </w:p>
    <w:p>
      <w:pPr>
        <w:pStyle w:val="BodyText"/>
        <w:ind w:left="1594"/>
        <w:spacing w:before="8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thrombosis with intest</w:t>
      </w:r>
      <w:r>
        <w:rPr>
          <w:sz w:val="15"/>
          <w:szCs w:val="15"/>
          <w:color w:val="231F20"/>
          <w:spacing w:val="-3"/>
        </w:rPr>
        <w:t>inal necrosis occurred.</w:t>
      </w:r>
    </w:p>
    <w:p>
      <w:pPr>
        <w:pStyle w:val="BodyText"/>
        <w:ind w:left="633" w:right="186" w:firstLine="18"/>
        <w:spacing w:before="233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曲线下面积为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0.564</w:t>
      </w:r>
      <w:r>
        <w:rPr>
          <w:rFonts w:ascii="Microsoft YaHei" w:hAnsi="Microsoft YaHei" w:eastAsia="Microsoft YaHei" w:cs="Microsoft YaHei"/>
          <w:color w:val="231F20"/>
          <w:spacing w:val="-4"/>
        </w:rPr>
        <w:t>（</w:t>
      </w:r>
      <w:r>
        <w:rPr>
          <w:color w:val="231F20"/>
          <w:spacing w:val="-4"/>
        </w:rPr>
        <w:t>95%CI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0.340-0.789</w:t>
      </w:r>
      <w:r>
        <w:rPr>
          <w:rFonts w:ascii="Microsoft YaHei" w:hAnsi="Microsoft YaHei" w:eastAsia="Microsoft YaHei" w:cs="Microsoft YaHei"/>
          <w:color w:val="231F20"/>
          <w:spacing w:val="-28"/>
          <w:w w:val="68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P</w:t>
      </w:r>
      <w:r>
        <w:rPr>
          <w:color w:val="231F20"/>
          <w:spacing w:val="-4"/>
        </w:rPr>
        <w:t>=0.540</w:t>
      </w:r>
      <w:r>
        <w:rPr>
          <w:rFonts w:ascii="Microsoft YaHei" w:hAnsi="Microsoft YaHei" w:eastAsia="Microsoft YaHei" w:cs="Microsoft YaHei"/>
          <w:color w:val="231F20"/>
          <w:spacing w:val="-4"/>
        </w:rPr>
        <w:t>，提示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  <w:spacing w:val="-4"/>
        </w:rPr>
        <w:t>DD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无预测肠道坏死的价值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。但腹部 </w:t>
      </w:r>
      <w:r>
        <w:rPr>
          <w:color w:val="231F20"/>
        </w:rPr>
        <w:t>CTA</w:t>
      </w:r>
      <w:r>
        <w:rPr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中的肠道积气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、肠</w:t>
      </w:r>
      <w:r>
        <w:rPr>
          <w:rFonts w:ascii="Microsoft YaHei" w:hAnsi="Microsoft YaHei" w:eastAsia="Microsoft YaHei" w:cs="Microsoft YaHei"/>
          <w:color w:val="231F20"/>
          <w:spacing w:val="6"/>
        </w:rPr>
        <w:t>道肿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胀、腹水、肠壁强化减弱及白细胞升高均与肠坏死有相关性，与 </w:t>
      </w:r>
      <w:r>
        <w:rPr>
          <w:rFonts w:ascii="Microsoft YaHei" w:hAnsi="Microsoft YaHei" w:eastAsia="Microsoft YaHei" w:cs="Microsoft YaHei"/>
          <w:color w:val="231F20"/>
          <w:spacing w:val="6"/>
        </w:rPr>
        <w:t>文献报道相符，但我们的入组病例数偏少，需要进一步的多中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心、随机对照研究来证实其相关性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。腹部 </w:t>
      </w:r>
      <w:r>
        <w:rPr>
          <w:color w:val="231F20"/>
        </w:rPr>
        <w:t>CTA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和腹部 </w:t>
      </w:r>
      <w:r>
        <w:rPr>
          <w:color w:val="231F20"/>
        </w:rPr>
        <w:t>DSA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诊断 </w:t>
      </w:r>
      <w:r>
        <w:rPr>
          <w:color w:val="231F20"/>
        </w:rPr>
        <w:t>AMI</w:t>
      </w:r>
      <w:r>
        <w:rPr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的金标准，可直观的观察到肠系膜上动脉栓塞、门静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脉系统血栓、肠道缺血、水肿，肠壁分离、肠管扩张、腹腔积液 </w:t>
      </w:r>
      <w:r>
        <w:rPr>
          <w:rFonts w:ascii="Microsoft YaHei" w:hAnsi="Microsoft YaHei" w:eastAsia="Microsoft YaHei" w:cs="Microsoft YaHei"/>
          <w:color w:val="231F20"/>
          <w:spacing w:val="3"/>
        </w:rPr>
        <w:t>等，明确 </w:t>
      </w:r>
      <w:r>
        <w:rPr>
          <w:color w:val="231F20"/>
        </w:rPr>
        <w:t>AMI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诊断</w:t>
      </w:r>
      <w:r>
        <w:rPr>
          <w:sz w:val="10"/>
          <w:szCs w:val="10"/>
          <w:color w:val="231F20"/>
          <w:spacing w:val="3"/>
          <w:position w:val="6"/>
        </w:rPr>
        <w:t>[19]</w:t>
      </w:r>
      <w:r>
        <w:rPr>
          <w:sz w:val="10"/>
          <w:szCs w:val="10"/>
          <w:color w:val="231F20"/>
          <w:spacing w:val="5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。国内李树昌</w:t>
      </w:r>
      <w:r>
        <w:rPr>
          <w:sz w:val="10"/>
          <w:szCs w:val="10"/>
          <w:color w:val="231F20"/>
          <w:spacing w:val="3"/>
          <w:position w:val="6"/>
        </w:rPr>
        <w:t>[20]</w:t>
      </w:r>
      <w:r>
        <w:rPr>
          <w:rFonts w:ascii="Microsoft YaHei" w:hAnsi="Microsoft YaHei" w:eastAsia="Microsoft YaHei" w:cs="Microsoft YaHei"/>
          <w:color w:val="231F20"/>
          <w:spacing w:val="3"/>
        </w:rPr>
        <w:t>等报道腹部增强 </w:t>
      </w:r>
      <w:r>
        <w:rPr>
          <w:color w:val="231F20"/>
        </w:rPr>
        <w:t>CT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诊断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肠系膜上动脉缺血的准确率为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  <w:spacing w:val="6"/>
        </w:rPr>
        <w:t>100%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。我们</w:t>
      </w:r>
      <w:r>
        <w:rPr>
          <w:rFonts w:ascii="Microsoft YaHei" w:hAnsi="Microsoft YaHei" w:eastAsia="Microsoft YaHei" w:cs="Microsoft YaHei"/>
          <w:color w:val="231F20"/>
          <w:spacing w:val="5"/>
        </w:rPr>
        <w:t>所诊治的所有病人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术前均行腹部 </w:t>
      </w:r>
      <w:r>
        <w:rPr>
          <w:color w:val="231F20"/>
        </w:rPr>
        <w:t>CTA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检查，故 </w:t>
      </w:r>
      <w:r>
        <w:rPr>
          <w:color w:val="231F20"/>
          <w:spacing w:val="3"/>
        </w:rPr>
        <w:t>2020</w:t>
      </w:r>
      <w:r>
        <w:rPr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中国急性肠系膜缺血诊</w:t>
      </w:r>
      <w:r>
        <w:rPr>
          <w:rFonts w:ascii="Microsoft YaHei" w:hAnsi="Microsoft YaHei" w:eastAsia="Microsoft YaHei" w:cs="Microsoft YaHei"/>
          <w:color w:val="231F20"/>
          <w:spacing w:val="2"/>
        </w:rPr>
        <w:t>断与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治疗专家共识</w:t>
      </w:r>
      <w:r>
        <w:rPr>
          <w:sz w:val="10"/>
          <w:szCs w:val="10"/>
          <w:color w:val="231F20"/>
          <w:spacing w:val="8"/>
          <w:position w:val="6"/>
        </w:rPr>
        <w:t>[16]</w:t>
      </w:r>
      <w:r>
        <w:rPr>
          <w:sz w:val="10"/>
          <w:szCs w:val="10"/>
          <w:color w:val="231F20"/>
          <w:spacing w:val="10"/>
          <w:w w:val="10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中推荐对于疑似 </w:t>
      </w:r>
      <w:r>
        <w:rPr>
          <w:color w:val="231F20"/>
        </w:rPr>
        <w:t>AMI</w:t>
      </w:r>
      <w:r>
        <w:rPr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的病人，应尽快行腹部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检查（推荐等级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1A</w:t>
      </w:r>
      <w:r>
        <w:rPr>
          <w:rFonts w:ascii="Microsoft YaHei" w:hAnsi="Microsoft YaHei" w:eastAsia="Microsoft YaHei" w:cs="Microsoft YaHei"/>
          <w:color w:val="231F20"/>
          <w:spacing w:val="-25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2"/>
        </w:rPr>
        <w:t>以明确诊断。</w:t>
      </w:r>
    </w:p>
    <w:p>
      <w:pPr>
        <w:pStyle w:val="BodyText"/>
        <w:ind w:left="632" w:right="132" w:firstLine="358"/>
        <w:spacing w:before="1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选择性肠系膜上动脉造影（</w:t>
      </w:r>
      <w:r>
        <w:rPr>
          <w:color w:val="231F20"/>
        </w:rPr>
        <w:t>DSA</w:t>
      </w:r>
      <w:r>
        <w:rPr>
          <w:rFonts w:ascii="Microsoft YaHei" w:hAnsi="Microsoft YaHei" w:eastAsia="Microsoft YaHei" w:cs="Microsoft YaHei"/>
          <w:color w:val="231F20"/>
          <w:spacing w:val="6"/>
        </w:rPr>
        <w:t>）是诊断急性肠系膜上动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脉缺血性疾病的金标准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。国外有报道诊断特异性和敏感性达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2"/>
        </w:rPr>
        <w:t>73</w:t>
      </w:r>
      <w:r>
        <w:rPr>
          <w:rFonts w:ascii="Microsoft YaHei" w:hAnsi="Microsoft YaHei" w:eastAsia="Microsoft YaHei" w:cs="Microsoft YaHei"/>
          <w:color w:val="231F20"/>
          <w:spacing w:val="1"/>
        </w:rPr>
        <w:t>％～</w:t>
      </w:r>
      <w:r>
        <w:rPr>
          <w:color w:val="231F20"/>
          <w:spacing w:val="-2"/>
        </w:rPr>
        <w:t>100</w:t>
      </w:r>
      <w:r>
        <w:rPr>
          <w:rFonts w:ascii="Microsoft YaHei" w:hAnsi="Microsoft YaHei" w:eastAsia="Microsoft YaHei" w:cs="Microsoft YaHei"/>
          <w:color w:val="231F20"/>
          <w:spacing w:val="-2"/>
        </w:rPr>
        <w:t>％</w:t>
      </w:r>
      <w:r>
        <w:rPr>
          <w:sz w:val="10"/>
          <w:szCs w:val="10"/>
          <w:color w:val="231F20"/>
          <w:spacing w:val="-2"/>
          <w:position w:val="6"/>
        </w:rPr>
        <w:t>[21]</w:t>
      </w:r>
      <w:r>
        <w:rPr>
          <w:rFonts w:ascii="Microsoft YaHei" w:hAnsi="Microsoft YaHei" w:eastAsia="Microsoft YaHei" w:cs="Microsoft YaHei"/>
          <w:color w:val="231F20"/>
          <w:spacing w:val="-2"/>
        </w:rPr>
        <w:t>。但 </w:t>
      </w:r>
      <w:r>
        <w:rPr>
          <w:color w:val="231F20"/>
          <w:spacing w:val="-2"/>
        </w:rPr>
        <w:t>DSA </w:t>
      </w:r>
      <w:r>
        <w:rPr>
          <w:rFonts w:ascii="Microsoft YaHei" w:hAnsi="Microsoft YaHei" w:eastAsia="Microsoft YaHei" w:cs="Microsoft YaHei"/>
          <w:color w:val="231F20"/>
          <w:spacing w:val="-2"/>
        </w:rPr>
        <w:t>为侵入性检查，耗时较长，对已怀疑出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现肠坏死的患者而言，可能会延误治疗，故指南</w:t>
      </w:r>
      <w:r>
        <w:rPr>
          <w:sz w:val="10"/>
          <w:szCs w:val="10"/>
          <w:color w:val="231F20"/>
          <w:spacing w:val="6"/>
          <w:position w:val="6"/>
        </w:rPr>
        <w:t>[1</w:t>
      </w:r>
      <w:r>
        <w:rPr>
          <w:sz w:val="10"/>
          <w:szCs w:val="10"/>
          <w:color w:val="231F20"/>
          <w:spacing w:val="5"/>
          <w:position w:val="6"/>
        </w:rPr>
        <w:t>6]</w:t>
      </w:r>
      <w:r>
        <w:rPr>
          <w:rFonts w:ascii="Microsoft YaHei" w:hAnsi="Microsoft YaHei" w:eastAsia="Microsoft YaHei" w:cs="Microsoft YaHei"/>
          <w:color w:val="231F20"/>
          <w:spacing w:val="5"/>
        </w:rPr>
        <w:t>不推荐作为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常规检查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。我们的患者中有 </w:t>
      </w:r>
      <w:r>
        <w:rPr>
          <w:color w:val="231F20"/>
          <w:spacing w:val="3"/>
        </w:rPr>
        <w:t>35 </w:t>
      </w:r>
      <w:r>
        <w:rPr>
          <w:rFonts w:ascii="Microsoft YaHei" w:hAnsi="Microsoft YaHei" w:eastAsia="Microsoft YaHei" w:cs="Microsoft YaHei"/>
          <w:color w:val="231F20"/>
          <w:spacing w:val="3"/>
        </w:rPr>
        <w:t>例通过行腹部 </w:t>
      </w:r>
      <w:r>
        <w:rPr>
          <w:color w:val="231F20"/>
        </w:rPr>
        <w:t>CTA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检查，明确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有 </w:t>
      </w:r>
      <w:r>
        <w:rPr>
          <w:color w:val="231F20"/>
        </w:rPr>
        <w:t>AMI</w:t>
      </w:r>
      <w:r>
        <w:rPr>
          <w:rFonts w:ascii="Microsoft YaHei" w:hAnsi="Microsoft YaHei" w:eastAsia="Microsoft YaHei" w:cs="Microsoft YaHei"/>
          <w:color w:val="231F20"/>
          <w:spacing w:val="3"/>
        </w:rPr>
        <w:t>，同时判断有无肠道坏死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。有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3"/>
        </w:rPr>
        <w:t>1 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例患者因严重的肠系膜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上动脉钙化，应用观察，而通过 </w:t>
      </w:r>
      <w:r>
        <w:rPr>
          <w:color w:val="231F20"/>
        </w:rPr>
        <w:t>DSA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确诊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。临床上如出现典型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的腹膜炎体征，则预示着肠坏死的可能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。我们的研究结果与临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床常识符合，提示我应该注重术前常规腹部查体。另外，有研究  </w:t>
      </w:r>
      <w:r>
        <w:rPr>
          <w:rFonts w:ascii="Microsoft YaHei" w:hAnsi="Microsoft YaHei" w:eastAsia="Microsoft YaHei" w:cs="Microsoft YaHei"/>
          <w:color w:val="231F20"/>
          <w:spacing w:val="9"/>
        </w:rPr>
        <w:t>表明其他实验室检查在 </w:t>
      </w:r>
      <w:r>
        <w:rPr>
          <w:color w:val="231F20"/>
        </w:rPr>
        <w:t>AMI</w:t>
      </w:r>
      <w:r>
        <w:rPr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的诊断中有一定帮助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，例如肠型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脂肪酸结合蛋白（</w:t>
      </w:r>
      <w:r>
        <w:rPr>
          <w:color w:val="231F20"/>
        </w:rPr>
        <w:t>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fatty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binding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"/>
        </w:rPr>
        <w:t>, </w:t>
      </w:r>
      <w:r>
        <w:rPr>
          <w:color w:val="231F20"/>
        </w:rPr>
        <w:t>IFABP</w:t>
      </w:r>
      <w:r>
        <w:rPr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color w:val="231F20"/>
          <w:spacing w:val="1"/>
        </w:rPr>
        <w:t>诊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断 </w:t>
      </w:r>
      <w:r>
        <w:rPr>
          <w:color w:val="231F20"/>
        </w:rPr>
        <w:t>AMI</w:t>
      </w:r>
      <w:r>
        <w:rPr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的敏感性及特异性分别为 </w:t>
      </w:r>
      <w:r>
        <w:rPr>
          <w:color w:val="231F20"/>
          <w:spacing w:val="5"/>
        </w:rPr>
        <w:t>72%</w:t>
      </w:r>
      <w:r>
        <w:rPr>
          <w:rFonts w:ascii="Microsoft YaHei" w:hAnsi="Microsoft YaHei" w:eastAsia="Microsoft YaHei" w:cs="Microsoft YaHei"/>
          <w:color w:val="231F20"/>
          <w:spacing w:val="5"/>
        </w:rPr>
        <w:t>和 </w:t>
      </w:r>
      <w:r>
        <w:rPr>
          <w:color w:val="231F20"/>
          <w:spacing w:val="5"/>
        </w:rPr>
        <w:t>7</w:t>
      </w:r>
      <w:r>
        <w:rPr>
          <w:color w:val="231F20"/>
          <w:spacing w:val="4"/>
        </w:rPr>
        <w:t>3%</w:t>
      </w:r>
      <w:r>
        <w:rPr>
          <w:sz w:val="10"/>
          <w:szCs w:val="10"/>
          <w:color w:val="231F20"/>
          <w:spacing w:val="4"/>
          <w:position w:val="6"/>
        </w:rPr>
        <w:t>[22]</w:t>
      </w:r>
      <w:r>
        <w:rPr>
          <w:sz w:val="10"/>
          <w:szCs w:val="10"/>
          <w:color w:val="231F20"/>
          <w:spacing w:val="-12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  <w:r>
        <w:rPr>
          <w:color w:val="231F20"/>
          <w:spacing w:val="4"/>
        </w:rPr>
        <w:t>D </w:t>
      </w:r>
      <w:r>
        <w:rPr>
          <w:rFonts w:ascii="Microsoft YaHei" w:hAnsi="Microsoft YaHei" w:eastAsia="Microsoft YaHei" w:cs="Microsoft YaHei"/>
          <w:color w:val="231F20"/>
          <w:spacing w:val="4"/>
        </w:rPr>
        <w:t>乳酸诊断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</w:rPr>
        <w:t>AMI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的敏感性和特异性分别是 </w:t>
      </w:r>
      <w:r>
        <w:rPr>
          <w:color w:val="231F20"/>
          <w:spacing w:val="5"/>
        </w:rPr>
        <w:t>90%</w:t>
      </w:r>
      <w:r>
        <w:rPr>
          <w:rFonts w:ascii="Microsoft YaHei" w:hAnsi="Microsoft YaHei" w:eastAsia="Microsoft YaHei" w:cs="Microsoft YaHei"/>
          <w:color w:val="231F20"/>
          <w:spacing w:val="5"/>
        </w:rPr>
        <w:t>和</w:t>
      </w:r>
      <w:r>
        <w:rPr>
          <w:color w:val="231F20"/>
          <w:spacing w:val="5"/>
        </w:rPr>
        <w:t>40%</w:t>
      </w:r>
      <w:r>
        <w:rPr>
          <w:sz w:val="10"/>
          <w:szCs w:val="10"/>
          <w:color w:val="231F20"/>
          <w:spacing w:val="5"/>
          <w:position w:val="6"/>
        </w:rPr>
        <w:t>[23</w:t>
      </w:r>
      <w:r>
        <w:rPr>
          <w:sz w:val="10"/>
          <w:szCs w:val="10"/>
          <w:color w:val="231F20"/>
          <w:spacing w:val="4"/>
          <w:position w:val="6"/>
        </w:rPr>
        <w:t>]</w:t>
      </w:r>
      <w:r>
        <w:rPr>
          <w:sz w:val="10"/>
          <w:szCs w:val="10"/>
          <w:color w:val="231F20"/>
          <w:spacing w:val="-1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。国外文献指出，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当谷胱甘肽 </w:t>
      </w:r>
      <w:r>
        <w:rPr>
          <w:color w:val="231F20"/>
          <w:spacing w:val="-4"/>
        </w:rPr>
        <w:t>s </w:t>
      </w:r>
      <w:r>
        <w:rPr>
          <w:rFonts w:ascii="Microsoft YaHei" w:hAnsi="Microsoft YaHei" w:eastAsia="Microsoft YaHei" w:cs="Microsoft YaHei"/>
          <w:color w:val="231F20"/>
          <w:spacing w:val="-4"/>
        </w:rPr>
        <w:t>转移酶（</w:t>
      </w:r>
      <w:r>
        <w:rPr>
          <w:color w:val="231F20"/>
          <w:spacing w:val="-4"/>
        </w:rPr>
        <w:t>glutath</w:t>
      </w:r>
      <w:r>
        <w:rPr>
          <w:color w:val="231F20"/>
          <w:spacing w:val="-5"/>
        </w:rPr>
        <w:t>iones-transferase,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GST</w:t>
      </w:r>
      <w:r>
        <w:rPr>
          <w:rFonts w:ascii="Microsoft YaHei" w:hAnsi="Microsoft YaHei" w:eastAsia="Microsoft YaHei" w:cs="Microsoft YaHei"/>
          <w:color w:val="231F20"/>
          <w:spacing w:val="-5"/>
        </w:rPr>
        <w:t>）以 </w:t>
      </w:r>
      <w:r>
        <w:rPr>
          <w:color w:val="231F20"/>
          <w:spacing w:val="-5"/>
        </w:rPr>
        <w:t>4 ng/mL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为阈值时，</w:t>
      </w:r>
      <w:r>
        <w:rPr>
          <w:color w:val="231F20"/>
        </w:rPr>
        <w:t>GST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对于急性肠系膜缺血敏感性是</w:t>
      </w:r>
      <w:r>
        <w:rPr>
          <w:rFonts w:ascii="Microsoft YaHei" w:hAnsi="Microsoft YaHei" w:eastAsia="Microsoft YaHei" w:cs="Microsoft YaHei"/>
          <w:color w:val="231F20"/>
          <w:spacing w:val="35"/>
        </w:rPr>
        <w:t xml:space="preserve"> </w:t>
      </w:r>
      <w:r>
        <w:rPr>
          <w:color w:val="231F20"/>
          <w:spacing w:val="2"/>
        </w:rPr>
        <w:t>100%,</w:t>
      </w:r>
      <w:r>
        <w:rPr>
          <w:rFonts w:ascii="Microsoft YaHei" w:hAnsi="Microsoft YaHei" w:eastAsia="Microsoft YaHei" w:cs="Microsoft YaHei"/>
          <w:color w:val="231F20"/>
          <w:spacing w:val="2"/>
        </w:rPr>
        <w:t>而特异性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06"/>
        <w:spacing w:line="5465" w:lineRule="exact"/>
        <w:rPr/>
      </w:pPr>
      <w:r>
        <w:rPr>
          <w:position w:val="-109"/>
        </w:rPr>
        <w:drawing>
          <wp:inline distT="0" distB="0" distL="0" distR="0">
            <wp:extent cx="2879957" cy="347072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57" cy="34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8"/>
        <w:spacing w:before="51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图 </w:t>
      </w:r>
      <w:r>
        <w:rPr>
          <w:sz w:val="15"/>
          <w:szCs w:val="15"/>
          <w:color w:val="231F20"/>
          <w:spacing w:val="6"/>
        </w:rPr>
        <w:t>7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供血恢复后远期部分肠壁纤维化</w:t>
      </w:r>
    </w:p>
    <w:p>
      <w:pPr>
        <w:pStyle w:val="BodyText"/>
        <w:ind w:left="219"/>
        <w:spacing w:before="80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Fig.7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"/>
        </w:rPr>
        <w:t>After the blood circulation recovers, part of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the intestinal wall</w:t>
      </w:r>
    </w:p>
    <w:p>
      <w:pPr>
        <w:pStyle w:val="BodyText"/>
        <w:ind w:left="1323"/>
        <w:spacing w:before="12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undergoes fibrosis at</w:t>
      </w:r>
      <w:r>
        <w:rPr>
          <w:sz w:val="15"/>
          <w:szCs w:val="15"/>
          <w:color w:val="231F20"/>
          <w:spacing w:val="-5"/>
        </w:rPr>
        <w:t xml:space="preserve"> a later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5"/>
        </w:rPr>
        <w:t>stage</w:t>
      </w:r>
    </w:p>
    <w:p>
      <w:pPr>
        <w:ind w:left="315"/>
        <w:spacing w:before="116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注：肠管水肿，肠壁僵硬（红色箭头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  <w:w w:val="71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肠粘膜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萎缩（蓝色箭头）。</w:t>
      </w:r>
    </w:p>
    <w:p>
      <w:pPr>
        <w:pStyle w:val="BodyText"/>
        <w:ind w:left="127"/>
        <w:spacing w:before="88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Intestinal edema, intestinal wall stiffness (r</w:t>
      </w:r>
      <w:r>
        <w:rPr>
          <w:sz w:val="15"/>
          <w:szCs w:val="15"/>
          <w:color w:val="231F20"/>
          <w:spacing w:val="-3"/>
        </w:rPr>
        <w:t>ed arrow), intestinal mucosa</w:t>
      </w:r>
    </w:p>
    <w:p>
      <w:pPr>
        <w:pStyle w:val="BodyText"/>
        <w:ind w:left="1709"/>
        <w:spacing w:before="128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atrophy (blue arrow).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73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是 </w:t>
      </w:r>
      <w:r>
        <w:rPr>
          <w:color w:val="231F20"/>
          <w:spacing w:val="2"/>
        </w:rPr>
        <w:t>86%</w:t>
      </w:r>
      <w:r>
        <w:rPr>
          <w:sz w:val="10"/>
          <w:szCs w:val="10"/>
          <w:color w:val="231F20"/>
          <w:spacing w:val="2"/>
          <w:position w:val="6"/>
        </w:rPr>
        <w:t>[24]</w:t>
      </w:r>
      <w:r>
        <w:rPr>
          <w:rFonts w:ascii="Microsoft YaHei" w:hAnsi="Microsoft YaHei" w:eastAsia="Microsoft YaHei" w:cs="Microsoft YaHei"/>
          <w:color w:val="231F20"/>
          <w:spacing w:val="2"/>
        </w:rPr>
        <w:t>。但目前在 </w:t>
      </w:r>
      <w:r>
        <w:rPr>
          <w:color w:val="231F20"/>
        </w:rPr>
        <w:t>AMI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的实验室检查方面，还没有一种</w:t>
      </w:r>
      <w:r>
        <w:rPr>
          <w:rFonts w:ascii="Microsoft YaHei" w:hAnsi="Microsoft YaHei" w:eastAsia="Microsoft YaHei" w:cs="Microsoft YaHei"/>
          <w:color w:val="231F20"/>
          <w:spacing w:val="1"/>
        </w:rPr>
        <w:t>实验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室检查项目，能够准确的确认是否存在肠道缺血及肠道坏死</w:t>
      </w:r>
      <w:r>
        <w:rPr>
          <w:sz w:val="10"/>
          <w:szCs w:val="10"/>
          <w:color w:val="231F20"/>
          <w:spacing w:val="2"/>
          <w:position w:val="6"/>
        </w:rPr>
        <w:t>[25]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所有目前诊断 </w:t>
      </w:r>
      <w:r>
        <w:rPr>
          <w:color w:val="231F20"/>
        </w:rPr>
        <w:t>AMI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还需要结合临床表现、体征、腹部 </w:t>
      </w:r>
      <w:r>
        <w:rPr>
          <w:color w:val="231F20"/>
        </w:rPr>
        <w:t>CTA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及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3"/>
        </w:rPr>
        <w:t>D- </w:t>
      </w:r>
      <w:r>
        <w:rPr>
          <w:rFonts w:ascii="Microsoft YaHei" w:hAnsi="Microsoft YaHei" w:eastAsia="Microsoft YaHei" w:cs="Microsoft YaHei"/>
          <w:color w:val="231F20"/>
          <w:spacing w:val="3"/>
        </w:rPr>
        <w:t>二聚体等实验室检查，综合判断，来明确诊断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。当判断困难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时，及时的腹腔镜探查显得尤为必要。</w:t>
      </w:r>
    </w:p>
    <w:p>
      <w:pPr>
        <w:pStyle w:val="BodyText"/>
        <w:ind w:left="4"/>
        <w:spacing w:before="1" w:line="190" w:lineRule="auto"/>
        <w:outlineLvl w:val="1"/>
        <w:rPr>
          <w:rFonts w:ascii="Microsoft YaHei" w:hAnsi="Microsoft YaHei" w:eastAsia="Microsoft YaHei" w:cs="Microsoft YaHei"/>
        </w:rPr>
      </w:pPr>
      <w:r>
        <w:rPr>
          <w:color w:val="231F20"/>
        </w:rPr>
        <w:t>3.2  </w:t>
      </w:r>
      <w:r>
        <w:rPr>
          <w:rFonts w:ascii="Microsoft YaHei" w:hAnsi="Microsoft YaHei" w:eastAsia="Microsoft YaHei" w:cs="Microsoft YaHei"/>
          <w:color w:val="231F20"/>
        </w:rPr>
        <w:t>临床治疗</w:t>
      </w:r>
    </w:p>
    <w:p>
      <w:pPr>
        <w:pStyle w:val="BodyText"/>
        <w:ind w:right="10" w:firstLine="359"/>
        <w:spacing w:before="49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文献报道肠缺血耐受的时间约为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  <w:spacing w:val="6"/>
        </w:rPr>
        <w:t>12 </w:t>
      </w:r>
      <w:r>
        <w:rPr>
          <w:rFonts w:ascii="Microsoft YaHei" w:hAnsi="Microsoft YaHei" w:eastAsia="Microsoft YaHei" w:cs="Microsoft YaHei"/>
          <w:color w:val="231F20"/>
          <w:spacing w:val="6"/>
        </w:rPr>
        <w:t>小时</w:t>
      </w:r>
      <w:r>
        <w:rPr>
          <w:sz w:val="10"/>
          <w:szCs w:val="10"/>
          <w:color w:val="231F20"/>
          <w:spacing w:val="6"/>
          <w:position w:val="6"/>
        </w:rPr>
        <w:t>[26]</w:t>
      </w:r>
      <w:r>
        <w:rPr>
          <w:rFonts w:ascii="Microsoft YaHei" w:hAnsi="Microsoft YaHei" w:eastAsia="Microsoft YaHei" w:cs="Microsoft YaHei"/>
          <w:color w:val="231F20"/>
          <w:spacing w:val="6"/>
        </w:rPr>
        <w:t>，肠系膜血管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完全栓塞时，</w:t>
      </w:r>
      <w:r>
        <w:rPr>
          <w:color w:val="231F20"/>
          <w:spacing w:val="2"/>
        </w:rPr>
        <w:t>6 </w:t>
      </w:r>
      <w:r>
        <w:rPr>
          <w:rFonts w:ascii="Microsoft YaHei" w:hAnsi="Microsoft YaHei" w:eastAsia="Microsoft YaHei" w:cs="Microsoft YaHei"/>
          <w:color w:val="231F20"/>
          <w:spacing w:val="2"/>
        </w:rPr>
        <w:t>小时即可出现不可逆的肠道损伤</w:t>
      </w:r>
      <w:r>
        <w:rPr>
          <w:sz w:val="10"/>
          <w:szCs w:val="10"/>
          <w:color w:val="231F20"/>
          <w:spacing w:val="2"/>
          <w:position w:val="6"/>
        </w:rPr>
        <w:t>[1]</w:t>
      </w:r>
      <w:r>
        <w:rPr>
          <w:sz w:val="10"/>
          <w:szCs w:val="10"/>
          <w:color w:val="231F20"/>
          <w:spacing w:val="-3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。因此，提高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对本病的认识，实现急性 </w:t>
      </w:r>
      <w:r>
        <w:rPr>
          <w:color w:val="231F20"/>
        </w:rPr>
        <w:t>SMAE</w:t>
      </w:r>
      <w:r>
        <w:rPr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的早期诊断治疗，对降低患者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的死亡率至关重要</w:t>
      </w:r>
      <w:r>
        <w:rPr>
          <w:sz w:val="10"/>
          <w:szCs w:val="10"/>
          <w:color w:val="231F20"/>
          <w:spacing w:val="7"/>
          <w:position w:val="6"/>
        </w:rPr>
        <w:t>[27]</w:t>
      </w:r>
      <w:r>
        <w:rPr>
          <w:sz w:val="10"/>
          <w:szCs w:val="10"/>
          <w:color w:val="231F20"/>
          <w:spacing w:val="-11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。建立手术科室主导的一体化急诊外科，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制定肠卒中绿色通道流程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，合作成立肠系膜缺血 </w:t>
      </w:r>
      <w:r>
        <w:rPr>
          <w:color w:val="231F20"/>
        </w:rPr>
        <w:t>MDT</w:t>
      </w:r>
      <w:r>
        <w:rPr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团队，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同时开展绝急手术绿色通道，缩短病人自入院到手术的间隔时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间，可以提高患者的救治成功率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。对于术前不能明确是否存在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肠道坏死的病人，是先行腹腔探查还是先通过介入取栓，是我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们治疗中的困惑，值得探讨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。开通闭塞的血管是治疗肠系膜上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动脉栓塞疾病的关键一步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。一般有两种方式，一种是开腹手术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前通过介入手术取栓，另一种是开腹切除肠管后行肠系膜血管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切开取栓。前者的优点是：可全面评估血管状况，分支血管的处  </w:t>
      </w:r>
      <w:r>
        <w:rPr>
          <w:rFonts w:ascii="Microsoft YaHei" w:hAnsi="Microsoft YaHei" w:eastAsia="Microsoft YaHei" w:cs="Microsoft YaHei"/>
          <w:color w:val="231F20"/>
        </w:rPr>
        <w:t>理，可同时处理血管狭窄、夹层等其他情况。开通血管后使濒临  </w:t>
      </w:r>
      <w:r>
        <w:rPr>
          <w:rFonts w:ascii="Microsoft YaHei" w:hAnsi="Microsoft YaHei" w:eastAsia="Microsoft YaHei" w:cs="Microsoft YaHei"/>
          <w:color w:val="231F20"/>
          <w:spacing w:val="11"/>
        </w:rPr>
        <w:t>坏死等肠道尽快恢复血供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同时能更好的明</w:t>
      </w:r>
      <w:r>
        <w:rPr>
          <w:rFonts w:ascii="Microsoft YaHei" w:hAnsi="Microsoft YaHei" w:eastAsia="Microsoft YaHei" w:cs="Microsoft YaHei"/>
          <w:color w:val="231F20"/>
          <w:spacing w:val="10"/>
        </w:rPr>
        <w:t>确肠道的坏死界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限，挽救更多的肠道，减少短肠综合征的发生。缺点是需要特殊  </w:t>
      </w:r>
      <w:r>
        <w:rPr>
          <w:rFonts w:ascii="Microsoft YaHei" w:hAnsi="Microsoft YaHei" w:eastAsia="Microsoft YaHei" w:cs="Microsoft YaHei"/>
          <w:color w:val="231F20"/>
        </w:rPr>
        <w:t>手术设备及专业人员，术前时间延长，增加肠道坏死的风险。同  </w:t>
      </w:r>
      <w:r>
        <w:rPr>
          <w:rFonts w:ascii="Microsoft YaHei" w:hAnsi="Microsoft YaHei" w:eastAsia="Microsoft YaHei" w:cs="Microsoft YaHei"/>
          <w:color w:val="231F20"/>
          <w:spacing w:val="5"/>
        </w:rPr>
        <w:t>时麻醉状态下反复搬动病人，麻醉风险增加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。另外如果存在隐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匿的肠道坏死，切除坏死肠管前开放血管，发生缺血再灌注损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伤，坏死肠管的大量毒素入血，影响肾功能其他脏器功能。我们</w:t>
      </w:r>
    </w:p>
    <w:p>
      <w:pPr>
        <w:spacing w:line="232" w:lineRule="auto"/>
        <w:sectPr>
          <w:type w:val="continuous"/>
          <w:pgSz w:w="11906" w:h="16838"/>
          <w:pgMar w:top="917" w:right="991" w:bottom="0" w:left="407" w:header="562" w:footer="0" w:gutter="0"/>
          <w:cols w:equalWidth="0" w:num="2">
            <w:col w:w="5580" w:space="100"/>
            <w:col w:w="482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15"/>
          <w:pgSz w:w="11906" w:h="16838"/>
          <w:pgMar w:top="917" w:right="991" w:bottom="0" w:left="407" w:header="562" w:footer="0" w:gutter="0"/>
          <w:cols w:equalWidth="0" w:num="1">
            <w:col w:w="10506" w:space="0"/>
          </w:cols>
        </w:sectPr>
        <w:rPr/>
      </w:pPr>
    </w:p>
    <w:p>
      <w:pPr>
        <w:pStyle w:val="BodyText"/>
        <w:ind w:left="633" w:right="121" w:firstLine="18"/>
        <w:spacing w:before="33" w:line="24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color w:val="231F20"/>
          <w:spacing w:val="6"/>
        </w:rPr>
        <w:t>例患者先行介入手术取栓，后行腹腔镜探查时发现存在肠道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坏死，行肠道切除，术后发生肾功能衰竭，心功能衰竭，最后死  </w:t>
      </w:r>
      <w:r>
        <w:rPr>
          <w:rFonts w:ascii="Microsoft YaHei" w:hAnsi="Microsoft YaHei" w:eastAsia="Microsoft YaHei" w:cs="Microsoft YaHei"/>
          <w:color w:val="231F20"/>
          <w:spacing w:val="5"/>
        </w:rPr>
        <w:t>于多脏器功能不全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。而开腹切开血管取栓的优点：可迅速去除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坏死肠道，清除腹腔内感染，避免开通血管后发生再灌注损伤。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缺点是仅能取出主干血栓，分支血栓无法取尽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。无法及时评估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取栓后血管恢复情况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。相对于直接介入取栓，血管开通时间会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延迟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  <w:spacing w:val="-1"/>
        </w:rPr>
        <w:t>1 </w:t>
      </w:r>
      <w:r>
        <w:rPr>
          <w:rFonts w:ascii="Microsoft YaHei" w:hAnsi="Microsoft YaHei" w:eastAsia="Microsoft YaHei" w:cs="Microsoft YaHei"/>
          <w:color w:val="231F20"/>
          <w:spacing w:val="-1"/>
        </w:rPr>
        <w:t>小时左右，加重肠道坏死范围。因此</w:t>
      </w:r>
      <w:r>
        <w:rPr>
          <w:rFonts w:ascii="Microsoft YaHei" w:hAnsi="Microsoft YaHei" w:eastAsia="Microsoft YaHei" w:cs="Microsoft YaHei"/>
          <w:color w:val="231F20"/>
          <w:spacing w:val="-2"/>
        </w:rPr>
        <w:t>，我们应该根据病情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情况决定取栓方式，术前评估至关重要，我们的研究表明，术前  </w:t>
      </w:r>
      <w:r>
        <w:rPr>
          <w:rFonts w:ascii="Microsoft YaHei" w:hAnsi="Microsoft YaHei" w:eastAsia="Microsoft YaHei" w:cs="Microsoft YaHei"/>
          <w:color w:val="231F20"/>
          <w:spacing w:val="8"/>
        </w:rPr>
        <w:t>腹部 </w:t>
      </w:r>
      <w:r>
        <w:rPr>
          <w:color w:val="231F20"/>
        </w:rPr>
        <w:t>CTA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及血常规等对术前判断肠道坏死有帮助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，表示可术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前请相关科室 </w:t>
      </w:r>
      <w:r>
        <w:rPr>
          <w:color w:val="231F20"/>
        </w:rPr>
        <w:t>MDT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讨论评估肠道情况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。但目前仍无判断肠道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坏死的金标准，存在肠道坏死的情况下开通血管的可能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。我们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有 </w:t>
      </w:r>
      <w:r>
        <w:rPr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color w:val="231F20"/>
          <w:spacing w:val="1"/>
        </w:rPr>
        <w:t>例患者术前评估肠道无坏死，直接介入治疗，开放血管后，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腔镜探查发现肠道坏死，术后发生肾功能不全，透析，其中一例  </w:t>
      </w:r>
      <w:r>
        <w:rPr>
          <w:rFonts w:ascii="Microsoft YaHei" w:hAnsi="Microsoft YaHei" w:eastAsia="Microsoft YaHei" w:cs="Microsoft YaHei"/>
          <w:color w:val="231F20"/>
          <w:spacing w:val="5"/>
        </w:rPr>
        <w:t>因心脏衰竭死亡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。我们的经验是，在杂交手术室内进行手术可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能更加安全，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我们可以遵循腔镜探查 </w:t>
      </w:r>
      <w:r>
        <w:rPr>
          <w:color w:val="231F20"/>
          <w:spacing w:val="6"/>
        </w:rPr>
        <w:t>- </w:t>
      </w:r>
      <w:r>
        <w:rPr>
          <w:rFonts w:ascii="Microsoft YaHei" w:hAnsi="Microsoft YaHei" w:eastAsia="Microsoft YaHei" w:cs="Microsoft YaHei"/>
          <w:color w:val="231F20"/>
          <w:spacing w:val="6"/>
        </w:rPr>
        <w:t>介入取</w:t>
      </w:r>
      <w:r>
        <w:rPr>
          <w:rFonts w:ascii="Microsoft YaHei" w:hAnsi="Microsoft YaHei" w:eastAsia="Microsoft YaHei" w:cs="Microsoft YaHei"/>
          <w:color w:val="231F20"/>
          <w:spacing w:val="5"/>
        </w:rPr>
        <w:t>栓 </w:t>
      </w:r>
      <w:r>
        <w:rPr>
          <w:color w:val="231F20"/>
          <w:spacing w:val="5"/>
        </w:rPr>
        <w:t>- </w:t>
      </w:r>
      <w:r>
        <w:rPr>
          <w:rFonts w:ascii="Microsoft YaHei" w:hAnsi="Microsoft YaHei" w:eastAsia="Microsoft YaHei" w:cs="Microsoft YaHei"/>
          <w:color w:val="231F20"/>
          <w:spacing w:val="5"/>
        </w:rPr>
        <w:t>再腹腔镜探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查的手术顺序，避免相关风险。总之，术前判断是否存在肠道坏  </w:t>
      </w:r>
      <w:r>
        <w:rPr>
          <w:rFonts w:ascii="Microsoft YaHei" w:hAnsi="Microsoft YaHei" w:eastAsia="Microsoft YaHei" w:cs="Microsoft YaHei"/>
          <w:color w:val="231F20"/>
          <w:spacing w:val="3"/>
        </w:rPr>
        <w:t>死对手术策略、挽救频临坏死肠管至关重要。</w:t>
      </w:r>
    </w:p>
    <w:p>
      <w:pPr>
        <w:pStyle w:val="BodyText"/>
        <w:ind w:left="631" w:right="121" w:firstLine="359"/>
        <w:spacing w:before="1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术中肠道坏死与否及范围的判断是肠管切除范围前提。通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常的判断依据包括：肠壁颜色、肠道蠕动、肠系膜血管搏动等，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存在主观差错。缺乏客观依据，术中判断困难，肠道切除范围不  </w:t>
      </w:r>
      <w:r>
        <w:rPr>
          <w:rFonts w:ascii="Microsoft YaHei" w:hAnsi="Microsoft YaHei" w:eastAsia="Microsoft YaHei" w:cs="Microsoft YaHei"/>
          <w:color w:val="231F20"/>
          <w:spacing w:val="6"/>
        </w:rPr>
        <w:t>精准，可能导致遗留坏死肠管或切除未坏死肠管，导致腹腔严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重感染、二次手术切除、短肠综合征等严重并发症，增加手术风  </w:t>
      </w:r>
      <w:r>
        <w:rPr>
          <w:rFonts w:ascii="Microsoft YaHei" w:hAnsi="Microsoft YaHei" w:eastAsia="Microsoft YaHei" w:cs="Microsoft YaHei"/>
          <w:color w:val="231F20"/>
        </w:rPr>
        <w:t>险。因此，术中可疑坏死肠管处理是另一个亟需解决的问题。我  </w:t>
      </w:r>
      <w:r>
        <w:rPr>
          <w:rFonts w:ascii="Microsoft YaHei" w:hAnsi="Microsoft YaHei" w:eastAsia="Microsoft YaHei" w:cs="Microsoft YaHei"/>
          <w:color w:val="231F20"/>
          <w:spacing w:val="4"/>
        </w:rPr>
        <w:t>院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例患者腔镜探查后未切除肠管，术后出现肠道坏死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。另一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例患者术中取栓后肠道颜色部分恢复，保留该处肠管，但术后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该处肠管功能恢复差，</w:t>
      </w:r>
      <w:r>
        <w:rPr>
          <w:color w:val="231F20"/>
          <w:spacing w:val="6"/>
        </w:rPr>
        <w:t>3 </w:t>
      </w:r>
      <w:r>
        <w:rPr>
          <w:rFonts w:ascii="Microsoft YaHei" w:hAnsi="Microsoft YaHei" w:eastAsia="Microsoft YaHei" w:cs="Microsoft YaHei"/>
          <w:color w:val="231F20"/>
          <w:spacing w:val="6"/>
        </w:rPr>
        <w:t>个月后再次行该处肠管切除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。有研究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报道</w:t>
      </w:r>
      <w:r>
        <w:rPr>
          <w:sz w:val="10"/>
          <w:szCs w:val="10"/>
          <w:color w:val="231F20"/>
          <w:spacing w:val="6"/>
          <w:position w:val="6"/>
        </w:rPr>
        <w:t>[28]</w:t>
      </w:r>
      <w:r>
        <w:rPr>
          <w:rFonts w:ascii="Microsoft YaHei" w:hAnsi="Microsoft YaHei" w:eastAsia="Microsoft YaHei" w:cs="Microsoft YaHei"/>
          <w:color w:val="231F20"/>
          <w:spacing w:val="6"/>
        </w:rPr>
        <w:t>在结肠癌手术中使用吲哚箐绿荧光显影剂</w:t>
      </w:r>
      <w:r>
        <w:rPr>
          <w:rFonts w:ascii="Microsoft YaHei" w:hAnsi="Microsoft YaHei" w:eastAsia="Microsoft YaHei" w:cs="Microsoft YaHei"/>
          <w:color w:val="231F20"/>
          <w:spacing w:val="5"/>
        </w:rPr>
        <w:t>、配合荧光导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航内镜，判断吻合口血液灌注情况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。该方法为肠系膜缺血性疾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病术中判断肠道缺血情况提供了一种新的方法，值得进一步探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讨。我们有 </w:t>
      </w:r>
      <w:r>
        <w:rPr>
          <w:color w:val="231F20"/>
          <w:spacing w:val="5"/>
        </w:rPr>
        <w:t>3 </w:t>
      </w:r>
      <w:r>
        <w:rPr>
          <w:rFonts w:ascii="Microsoft YaHei" w:hAnsi="Microsoft YaHei" w:eastAsia="Microsoft YaHei" w:cs="Microsoft YaHei"/>
          <w:color w:val="231F20"/>
          <w:spacing w:val="5"/>
        </w:rPr>
        <w:t>例患者术中使用荧光显影剂观察肠道血液灌注情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况，结果良好。该方法使术中精准判断肠道坏死范围成为可能。</w:t>
      </w:r>
    </w:p>
    <w:p>
      <w:pPr>
        <w:pStyle w:val="BodyText"/>
        <w:ind w:left="632" w:right="185" w:firstLine="358"/>
        <w:spacing w:before="2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世界急诊外科学会指南</w:t>
      </w:r>
      <w:r>
        <w:rPr>
          <w:sz w:val="10"/>
          <w:szCs w:val="10"/>
          <w:color w:val="231F20"/>
          <w:spacing w:val="5"/>
          <w:position w:val="6"/>
        </w:rPr>
        <w:t>[29]</w:t>
      </w:r>
      <w:r>
        <w:rPr>
          <w:rFonts w:ascii="Microsoft YaHei" w:hAnsi="Microsoft YaHei" w:eastAsia="Microsoft YaHei" w:cs="Microsoft YaHei"/>
          <w:color w:val="231F20"/>
          <w:spacing w:val="5"/>
        </w:rPr>
        <w:t>推荐肠系膜静脉缺血性疾病，建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议积极抗凝治疗的同时，适当推迟手术，以便术中判断肠道坏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死范围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。但考虑到可加重患者局部及全身感染，我们均在第一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时间积极手术治疗，改为远近端双造口，以便及时发现新的肠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道坏死，二次手术切除。同时可术后早期开展肠内营养支持，改 </w:t>
      </w:r>
      <w:r>
        <w:rPr>
          <w:rFonts w:ascii="Microsoft YaHei" w:hAnsi="Microsoft YaHei" w:eastAsia="Microsoft YaHei" w:cs="Microsoft YaHei"/>
          <w:color w:val="231F20"/>
          <w:spacing w:val="4"/>
        </w:rPr>
        <w:t>善患者全身营养状况，减少肠道细菌移位的风险。</w:t>
      </w:r>
    </w:p>
    <w:p>
      <w:pPr>
        <w:pStyle w:val="BodyText"/>
        <w:ind w:left="633" w:right="131" w:firstLine="358"/>
        <w:spacing w:before="2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切除坏死肠管后是否需要一期行消化道重建，目前未形成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共识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。因为肠系膜血管血栓可能再次形成，有再次发生肠道坏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死、吻合口缺血、吻合口漏、吻合口狭窄等危及生命的严重并发  </w:t>
      </w:r>
      <w:r>
        <w:rPr>
          <w:rFonts w:ascii="Microsoft YaHei" w:hAnsi="Microsoft YaHei" w:eastAsia="Microsoft YaHei" w:cs="Microsoft YaHei"/>
          <w:color w:val="231F20"/>
        </w:rPr>
        <w:t>症的可能。我们常规采用近、远端肠管分别行腹壁造瘘。其优点  </w:t>
      </w:r>
      <w:r>
        <w:rPr>
          <w:rFonts w:ascii="Microsoft YaHei" w:hAnsi="Microsoft YaHei" w:eastAsia="Microsoft YaHei" w:cs="Microsoft YaHei"/>
          <w:color w:val="231F20"/>
          <w:spacing w:val="6"/>
        </w:rPr>
        <w:t>是，通过观察造瘘肠管粘膜判断肠道血液灌注恢复情况，而且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无吻合口，可以避免发生肠瘘等严重并发症的发生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。同时术后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通过鼻饲，或远端肠道造瘘口放置场内营养管方式，可早期开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展肠内营养，改善患者营养状况，促进肠道功能恢复，尽早摆脱  </w:t>
      </w:r>
      <w:r>
        <w:rPr>
          <w:rFonts w:ascii="Microsoft YaHei" w:hAnsi="Microsoft YaHei" w:eastAsia="Microsoft YaHei" w:cs="Microsoft YaHei"/>
          <w:color w:val="231F20"/>
          <w:spacing w:val="2"/>
        </w:rPr>
        <w:t>或减少静脉营养支持，减少 </w:t>
      </w:r>
      <w:r>
        <w:rPr>
          <w:color w:val="231F20"/>
        </w:rPr>
        <w:t>TPN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相关并发症的发生，同时减轻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患者经济负担，符合加速康复外科理念。为防止术后血</w:t>
      </w:r>
      <w:r>
        <w:rPr>
          <w:rFonts w:ascii="Microsoft YaHei" w:hAnsi="Microsoft YaHei" w:eastAsia="Microsoft YaHei" w:cs="Microsoft YaHei"/>
          <w:color w:val="231F20"/>
          <w:spacing w:val="1"/>
        </w:rPr>
        <w:t>栓复发，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常规术后 </w:t>
      </w:r>
      <w:r>
        <w:rPr>
          <w:color w:val="231F20"/>
          <w:spacing w:val="6"/>
        </w:rPr>
        <w:t>24 </w:t>
      </w:r>
      <w:r>
        <w:rPr>
          <w:rFonts w:ascii="Microsoft YaHei" w:hAnsi="Microsoft YaHei" w:eastAsia="Microsoft YaHei" w:cs="Microsoft YaHei"/>
          <w:color w:val="231F20"/>
          <w:spacing w:val="6"/>
        </w:rPr>
        <w:t>小时给予低分子抗凝治疗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，恢复进食后口服抗凝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药物，但需警惕出血风险，应定期复查凝血功能。另外术后营养  </w:t>
      </w:r>
      <w:r>
        <w:rPr>
          <w:rFonts w:ascii="Microsoft YaHei" w:hAnsi="Microsoft YaHei" w:eastAsia="Microsoft YaHei" w:cs="Microsoft YaHei"/>
          <w:color w:val="231F20"/>
        </w:rPr>
        <w:t>支持、肠道康复等措施对患者术后恢复也非常重要。术后可根据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44" w:firstLine="1"/>
        <w:spacing w:before="37" w:line="24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患者全身状况及腹腔状况决定造口还纳的时机，一般 </w:t>
      </w:r>
      <w:r>
        <w:rPr>
          <w:color w:val="231F20"/>
          <w:spacing w:val="5"/>
        </w:rPr>
        <w:t>3 </w:t>
      </w:r>
      <w:r>
        <w:rPr>
          <w:rFonts w:ascii="Microsoft YaHei" w:hAnsi="Microsoft YaHei" w:eastAsia="Microsoft YaHei" w:cs="Microsoft YaHei"/>
          <w:color w:val="231F20"/>
          <w:spacing w:val="5"/>
        </w:rPr>
        <w:t>个</w:t>
      </w:r>
      <w:r>
        <w:rPr>
          <w:rFonts w:ascii="Microsoft YaHei" w:hAnsi="Microsoft YaHei" w:eastAsia="Microsoft YaHei" w:cs="Microsoft YaHei"/>
          <w:color w:val="231F20"/>
          <w:spacing w:val="4"/>
        </w:rPr>
        <w:t>月后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可行全身营养状况及腹腔状况评估，决定造口还纳手术的时机。</w:t>
      </w:r>
    </w:p>
    <w:p>
      <w:pPr>
        <w:pStyle w:val="BodyText"/>
        <w:ind w:firstLine="359"/>
        <w:spacing w:before="1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另外，虽然大多病人均合并较多的内科疾病，全身状况较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差，仍应积极手术切除坏死肠道，我们接诊病人中有</w:t>
      </w:r>
      <w:r>
        <w:rPr>
          <w:rFonts w:ascii="Microsoft YaHei" w:hAnsi="Microsoft YaHei" w:eastAsia="Microsoft YaHei" w:cs="Microsoft YaHei"/>
          <w:color w:val="231F20"/>
          <w:spacing w:val="36"/>
        </w:rPr>
        <w:t xml:space="preserve">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例病人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合并心衰，射血分数仅 </w:t>
      </w:r>
      <w:r>
        <w:rPr>
          <w:color w:val="231F20"/>
        </w:rPr>
        <w:t>25%</w:t>
      </w:r>
      <w:r>
        <w:rPr>
          <w:rFonts w:ascii="Microsoft YaHei" w:hAnsi="Microsoft YaHei" w:eastAsia="Microsoft YaHei" w:cs="Microsoft YaHei"/>
          <w:color w:val="231F20"/>
        </w:rPr>
        <w:t>，经过积极治疗后，病人恢复良好。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术后发生肠瘘等严重腹腔感染应积极手术处</w:t>
      </w:r>
      <w:r>
        <w:rPr>
          <w:rFonts w:ascii="Microsoft YaHei" w:hAnsi="Microsoft YaHei" w:eastAsia="Microsoft YaHei" w:cs="Microsoft YaHei"/>
          <w:color w:val="231F20"/>
          <w:spacing w:val="4"/>
        </w:rPr>
        <w:t>理，我们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例病人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因拒绝开腹手术探查，发生肠瘘，应用黎氏双套管进行主动引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流，控制腹腔感染，择期行肠瘘切除术，预后良好。</w:t>
      </w:r>
    </w:p>
    <w:p>
      <w:pPr>
        <w:ind w:right="10" w:firstLine="357"/>
        <w:spacing w:before="4" w:line="24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肠系膜缺血性疾病起病急、进展快、误诊率高，死亡率高，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临床医生尤其是急诊医师应该加强对该病的认识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，早期诊断，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并选择正确治疗方式，是提高诊疗效果的关键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。其预后取决于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病变血管受累范围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自起病到治疗开始时间以及病人全身状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况。近年来，随着对疾病的认识和诊疗技术的提高，肠系膜缺血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性疾病的发病率有所增加但病死率明显降低。</w:t>
      </w:r>
    </w:p>
    <w:p>
      <w:pPr>
        <w:pStyle w:val="BodyText"/>
        <w:ind w:left="1479"/>
        <w:spacing w:line="18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9"/>
        </w:rPr>
        <w:t>参 考 文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献（</w:t>
      </w:r>
      <w:r>
        <w:rPr>
          <w:color w:val="231F20"/>
          <w:spacing w:val="-9"/>
        </w:rPr>
        <w:t>References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</w:p>
    <w:p>
      <w:pPr>
        <w:pStyle w:val="BodyText"/>
        <w:ind w:left="317" w:right="66" w:hanging="309"/>
        <w:spacing w:before="85" w:line="3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[1]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2"/>
        </w:rPr>
        <w:t>Tilsed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JVT,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Casamassima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2"/>
        </w:rPr>
        <w:t>A,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2"/>
        </w:rPr>
        <w:t>Kurihara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ESTES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2"/>
        </w:rPr>
        <w:t>guidel</w:t>
      </w:r>
      <w:r>
        <w:rPr>
          <w:sz w:val="15"/>
          <w:szCs w:val="15"/>
          <w:color w:val="231F20"/>
          <w:spacing w:val="-3"/>
        </w:rPr>
        <w:t>ines: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acute mesenteric ischaemia[J]. Eeropean Joural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4"/>
        </w:rPr>
        <w:t>Trauma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and Emer-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gency Surgery, 2016, 42</w:t>
      </w:r>
      <w:r>
        <w:rPr>
          <w:sz w:val="15"/>
          <w:szCs w:val="15"/>
          <w:color w:val="231F20"/>
          <w:spacing w:val="-4"/>
        </w:rPr>
        <w:t>(2): 253-270</w:t>
      </w:r>
    </w:p>
    <w:p>
      <w:pPr>
        <w:pStyle w:val="BodyText"/>
        <w:ind w:left="316" w:right="62" w:hanging="308"/>
        <w:spacing w:before="23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[2]  Duran M, Pohi E, Grabitz K, 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importa</w:t>
      </w:r>
      <w:r>
        <w:rPr>
          <w:sz w:val="15"/>
          <w:szCs w:val="15"/>
          <w:color w:val="231F20"/>
          <w:spacing w:val="-3"/>
        </w:rPr>
        <w:t>nce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open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surgery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3"/>
        </w:rPr>
        <w:t>treatment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ac</w:t>
      </w:r>
      <w:r>
        <w:rPr>
          <w:sz w:val="15"/>
          <w:szCs w:val="15"/>
          <w:color w:val="231F20"/>
          <w:spacing w:val="-4"/>
        </w:rPr>
        <w:t>ute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4"/>
        </w:rPr>
        <w:t>mesenteric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4"/>
        </w:rPr>
        <w:t>ischemia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4"/>
        </w:rPr>
        <w:t>world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Eergsurg, 2015, 45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10.1186/s13017-015-0041-6</w:t>
      </w:r>
    </w:p>
    <w:p>
      <w:pPr>
        <w:pStyle w:val="BodyText"/>
        <w:ind w:left="318" w:right="65" w:hanging="310"/>
        <w:spacing w:before="89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[3]  Karkkainen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2"/>
        </w:rPr>
        <w:t>JM,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Acosta  S.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Acute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mesenteric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2"/>
        </w:rPr>
        <w:t>ischemia   (part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I)-Inci-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dence, etiologies,and how to improve early diagnosis[J]. Best Practice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&amp;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Research Clinical Gastroenterology, 201</w:t>
      </w:r>
      <w:r>
        <w:rPr>
          <w:sz w:val="15"/>
          <w:szCs w:val="15"/>
          <w:color w:val="231F20"/>
          <w:spacing w:val="-4"/>
        </w:rPr>
        <w:t>7, 31(1):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15-25</w:t>
      </w:r>
    </w:p>
    <w:p>
      <w:pPr>
        <w:pStyle w:val="BodyText"/>
        <w:ind w:left="314" w:right="46" w:hanging="306"/>
        <w:spacing w:before="92" w:line="3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[4]  Acosta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S,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Wadman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M,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SykI,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Epidemiology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Progn</w:t>
      </w:r>
      <w:r>
        <w:rPr>
          <w:sz w:val="15"/>
          <w:szCs w:val="15"/>
          <w:color w:val="231F20"/>
          <w:spacing w:val="-4"/>
        </w:rPr>
        <w:t>ostic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Fac-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tors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Acute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Superior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2"/>
        </w:rPr>
        <w:t>esenteric  Artery  Occlusion   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Journal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Gastrointestinal Surgery, 2010,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14(4): </w:t>
      </w:r>
      <w:r>
        <w:rPr>
          <w:sz w:val="15"/>
          <w:szCs w:val="15"/>
          <w:color w:val="231F20"/>
          <w:spacing w:val="-4"/>
        </w:rPr>
        <w:t>628-635</w:t>
      </w:r>
    </w:p>
    <w:p>
      <w:pPr>
        <w:pStyle w:val="BodyText"/>
        <w:ind w:left="318" w:right="67" w:hanging="310"/>
        <w:spacing w:before="129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[5]  K JM,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L TT, Manninen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H,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Acute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mesenteric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ischemia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mo</w:t>
      </w:r>
      <w:r>
        <w:rPr>
          <w:sz w:val="15"/>
          <w:szCs w:val="15"/>
          <w:color w:val="231F20"/>
          <w:spacing w:val="-3"/>
        </w:rPr>
        <w:t>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common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5"/>
        </w:rPr>
        <w:t>cause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than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expected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of acute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abdomen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elderly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[J].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GastrointestSurg, 2015,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19(8)</w:t>
      </w:r>
      <w:r>
        <w:rPr>
          <w:sz w:val="15"/>
          <w:szCs w:val="15"/>
          <w:color w:val="231F20"/>
          <w:spacing w:val="-5"/>
        </w:rPr>
        <w:t>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1407-1414</w:t>
      </w:r>
    </w:p>
    <w:p>
      <w:pPr>
        <w:pStyle w:val="BodyText"/>
        <w:ind w:left="315" w:right="63" w:hanging="307"/>
        <w:spacing w:before="127"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[6]  Guanyi,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Liao,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Siyang,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Review: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superior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mesenteric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embolism: Avascular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emergency cannot be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ignored by physicians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Medicine, 2019, 98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: e14446</w:t>
      </w:r>
    </w:p>
    <w:p>
      <w:pPr>
        <w:pStyle w:val="BodyText"/>
        <w:ind w:left="314" w:right="66" w:hanging="306"/>
        <w:spacing w:before="84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[7]  Alvi AR, Khan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S, Niaz</w:t>
      </w:r>
      <w:r>
        <w:rPr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SK,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Acute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mesenteric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venous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thrombo-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sis: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improved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outcome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with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early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diagnosis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prompt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an</w:t>
      </w:r>
      <w:r>
        <w:rPr>
          <w:sz w:val="15"/>
          <w:szCs w:val="15"/>
          <w:color w:val="231F20"/>
          <w:spacing w:val="-4"/>
        </w:rPr>
        <w:t>ticoagula-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tion therapy[J]. Int J Surg, 2009, 7(3): </w:t>
      </w:r>
      <w:r>
        <w:rPr>
          <w:sz w:val="15"/>
          <w:szCs w:val="15"/>
          <w:color w:val="231F20"/>
          <w:spacing w:val="-3"/>
        </w:rPr>
        <w:t>210-213</w:t>
      </w:r>
    </w:p>
    <w:p>
      <w:pPr>
        <w:pStyle w:val="BodyText"/>
        <w:ind w:left="8"/>
        <w:spacing w:before="12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[8]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2"/>
        </w:rPr>
        <w:t>Miklosh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B,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Jeffry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2"/>
        </w:rPr>
        <w:t>K,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Ernest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EM,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Acute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mesenteric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2"/>
        </w:rPr>
        <w:t>ischem</w:t>
      </w:r>
      <w:r>
        <w:rPr>
          <w:sz w:val="15"/>
          <w:szCs w:val="15"/>
          <w:color w:val="231F20"/>
          <w:spacing w:val="-3"/>
        </w:rPr>
        <w:t>ia:</w:t>
      </w:r>
    </w:p>
    <w:p>
      <w:pPr>
        <w:pStyle w:val="BodyText"/>
        <w:ind w:left="317" w:right="66" w:firstLine="1"/>
        <w:spacing w:before="126" w:line="30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guidelines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2"/>
        </w:rPr>
        <w:t>of 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World  Society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Emergency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Surgery   [J].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2"/>
        </w:rPr>
        <w:t>World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Journal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Emergency Surgery, 2017, 40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</w:p>
    <w:p>
      <w:pPr>
        <w:pStyle w:val="BodyText"/>
        <w:ind w:left="314" w:right="65" w:hanging="306"/>
        <w:spacing w:line="2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[9]  Safioleas MC, Moulakakis KG, Papavassiliou VG,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3"/>
        </w:rPr>
        <w:t>mesen-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teric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ischaemia,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a highly lethal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3"/>
        </w:rPr>
        <w:t>disease with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adevastating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outcome[J].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Vasa, 2006, 35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）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106-111</w:t>
      </w:r>
    </w:p>
    <w:p>
      <w:pPr>
        <w:pStyle w:val="BodyText"/>
        <w:ind w:left="323" w:right="64" w:hanging="315"/>
        <w:spacing w:before="67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[10]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王顺华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石建华</w:t>
      </w:r>
      <w:r>
        <w:rPr>
          <w:sz w:val="15"/>
          <w:szCs w:val="15"/>
          <w:color w:val="231F20"/>
          <w:spacing w:val="6"/>
        </w:rPr>
        <w:t>. 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例急性肠系膜上动脉栓塞临床诊治分析并文献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复习</w:t>
      </w:r>
      <w:r>
        <w:rPr>
          <w:sz w:val="15"/>
          <w:szCs w:val="15"/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医学综述</w:t>
      </w:r>
      <w:r>
        <w:rPr>
          <w:sz w:val="15"/>
          <w:szCs w:val="15"/>
          <w:color w:val="231F20"/>
          <w:spacing w:val="-5"/>
        </w:rPr>
        <w:t>, 2008,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: 2713-</w:t>
      </w:r>
      <w:r>
        <w:rPr>
          <w:sz w:val="15"/>
          <w:szCs w:val="15"/>
          <w:color w:val="231F20"/>
          <w:spacing w:val="-6"/>
        </w:rPr>
        <w:t>2715</w:t>
      </w:r>
    </w:p>
    <w:p>
      <w:pPr>
        <w:pStyle w:val="BodyText"/>
        <w:ind w:left="318" w:right="66" w:hanging="310"/>
        <w:spacing w:before="86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[11]  Carver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TW, Vora RS,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Taneja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A.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Mesenteric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ischemia    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Crit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Clin, 32(2):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155-171</w:t>
      </w:r>
    </w:p>
    <w:p>
      <w:pPr>
        <w:pStyle w:val="BodyText"/>
        <w:ind w:left="315" w:right="53" w:hanging="307"/>
        <w:spacing w:before="129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[12]  Dewitte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Biais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M,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Coquin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J,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Diagnosis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managemen</w:t>
      </w:r>
      <w:r>
        <w:rPr>
          <w:sz w:val="15"/>
          <w:szCs w:val="15"/>
          <w:color w:val="231F20"/>
          <w:spacing w:val="-3"/>
        </w:rPr>
        <w:t>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acute mesenteric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ischemia[J]. Ann Franc Anest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Reanim,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2011,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30(5):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410-420</w:t>
      </w:r>
    </w:p>
    <w:p>
      <w:pPr>
        <w:pStyle w:val="BodyText"/>
        <w:ind w:left="314" w:right="51" w:hanging="306"/>
        <w:spacing w:before="97" w:line="2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[13]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-2"/>
        </w:rPr>
        <w:t>Powell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Armstrong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2"/>
        </w:rPr>
        <w:t>P.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Plasma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biomarkers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for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early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diagnosis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Acute intestinal is</w:t>
      </w:r>
      <w:r>
        <w:rPr>
          <w:sz w:val="15"/>
          <w:szCs w:val="15"/>
          <w:color w:val="231F20"/>
          <w:spacing w:val="-3"/>
        </w:rPr>
        <w:t>chemia[J]. Semin Vasc Surg, 27(3-4):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170-175</w:t>
      </w:r>
    </w:p>
    <w:p>
      <w:pPr>
        <w:spacing w:before="114" w:line="183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（下转第 431 页）</w:t>
      </w:r>
    </w:p>
    <w:p>
      <w:pPr>
        <w:spacing w:line="183" w:lineRule="auto"/>
        <w:sectPr>
          <w:type w:val="continuous"/>
          <w:pgSz w:w="11906" w:h="16838"/>
          <w:pgMar w:top="917" w:right="991" w:bottom="0" w:left="407" w:header="562" w:footer="0" w:gutter="0"/>
          <w:cols w:equalWidth="0" w:num="2">
            <w:col w:w="5580" w:space="100"/>
            <w:col w:w="482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8"/>
        <w:rPr/>
      </w:pPr>
      <w:r/>
    </w:p>
    <w:p>
      <w:pPr>
        <w:sectPr>
          <w:headerReference w:type="default" r:id="rId16"/>
          <w:pgSz w:w="11906" w:h="16838"/>
          <w:pgMar w:top="917" w:right="1037" w:bottom="0" w:left="407" w:header="562" w:footer="0" w:gutter="0"/>
          <w:cols w:equalWidth="0" w:num="1">
            <w:col w:w="10460" w:space="0"/>
          </w:cols>
        </w:sectPr>
        <w:rPr/>
      </w:pPr>
    </w:p>
    <w:p>
      <w:pPr>
        <w:pStyle w:val="BodyText"/>
        <w:ind w:left="955"/>
        <w:spacing w:before="28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95-100</w:t>
      </w:r>
    </w:p>
    <w:p>
      <w:pPr>
        <w:pStyle w:val="BodyText"/>
        <w:ind w:left="953" w:right="195" w:hanging="309"/>
        <w:spacing w:before="99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[16]  Li C, Yu TY, Zhang Y, et al. Electroacupuncture I</w:t>
      </w:r>
      <w:r>
        <w:rPr>
          <w:sz w:val="15"/>
          <w:szCs w:val="15"/>
          <w:color w:val="231F20"/>
          <w:spacing w:val="-2"/>
        </w:rPr>
        <w:t>mproves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2"/>
        </w:rPr>
        <w:t>Cognition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in Rats With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Sepsis-Associated Encephalopathy[J]. 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4"/>
        </w:rPr>
        <w:t>Surg Res,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4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56(9): 258-266</w:t>
      </w:r>
    </w:p>
    <w:p>
      <w:pPr>
        <w:pStyle w:val="BodyText"/>
        <w:ind w:left="956" w:right="194" w:hanging="312"/>
        <w:spacing w:before="11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[17]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刘涓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谢瑞娟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石翠霞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现代康复训练结合中医针刺治疗小儿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脑瘫临床疗效及对肢体运动功能与脑血流影响</w:t>
      </w:r>
      <w:r>
        <w:rPr>
          <w:sz w:val="15"/>
          <w:szCs w:val="15"/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辽宁中医药大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学学报</w:t>
      </w:r>
      <w:r>
        <w:rPr>
          <w:sz w:val="15"/>
          <w:szCs w:val="15"/>
          <w:color w:val="231F20"/>
          <w:spacing w:val="-1"/>
        </w:rPr>
        <w:t>, 2016, 7(8): 251</w:t>
      </w:r>
      <w:r>
        <w:rPr>
          <w:sz w:val="15"/>
          <w:szCs w:val="15"/>
          <w:color w:val="231F20"/>
          <w:spacing w:val="-2"/>
        </w:rPr>
        <w:t>-253</w:t>
      </w:r>
    </w:p>
    <w:p>
      <w:pPr>
        <w:pStyle w:val="BodyText"/>
        <w:ind w:left="952" w:right="193" w:hanging="308"/>
        <w:spacing w:before="72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[18]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汤双红</w:t>
      </w:r>
      <w:r>
        <w:rPr>
          <w:sz w:val="15"/>
          <w:szCs w:val="15"/>
          <w:color w:val="231F20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杜艳军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肖佳欢</w:t>
      </w:r>
      <w:r>
        <w:rPr>
          <w:sz w:val="15"/>
          <w:szCs w:val="15"/>
          <w:color w:val="231F20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等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针灸上调血清 </w:t>
      </w:r>
      <w:r>
        <w:rPr>
          <w:sz w:val="15"/>
          <w:szCs w:val="15"/>
          <w:color w:val="231F20"/>
          <w:spacing w:val="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化酶对阿尔茨海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默病大鼠学习记忆能力和 β 淀粉样蛋白沉积的影响</w:t>
      </w:r>
      <w:r>
        <w:rPr>
          <w:sz w:val="15"/>
          <w:szCs w:val="15"/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针刺研究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3"/>
        </w:rPr>
        <w:t>2018, 43(11): 20-25</w:t>
      </w:r>
    </w:p>
    <w:p>
      <w:pPr>
        <w:pStyle w:val="BodyText"/>
        <w:ind w:left="954" w:right="195" w:hanging="310"/>
        <w:spacing w:before="129" w:line="3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[19]  Hu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2"/>
        </w:rPr>
        <w:t>B,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Wang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J,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Wu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X,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e</w:t>
      </w:r>
      <w:r>
        <w:rPr>
          <w:sz w:val="15"/>
          <w:szCs w:val="15"/>
          <w:color w:val="231F20"/>
          <w:spacing w:val="-3"/>
        </w:rPr>
        <w:t>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Interleukin-17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upregulates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vascular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dothelial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growth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factor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by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activating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JAK/STAT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pat</w:t>
      </w:r>
      <w:r>
        <w:rPr>
          <w:sz w:val="15"/>
          <w:szCs w:val="15"/>
          <w:color w:val="231F20"/>
          <w:spacing w:val="-2"/>
        </w:rPr>
        <w:t>hway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nu-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cleus pulposus cells[J]. Joint Bone Spine, 20</w:t>
      </w:r>
      <w:r>
        <w:rPr>
          <w:sz w:val="15"/>
          <w:szCs w:val="15"/>
          <w:color w:val="231F20"/>
          <w:spacing w:val="-4"/>
        </w:rPr>
        <w:t>16,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15(9): 65-70</w:t>
      </w:r>
    </w:p>
    <w:p>
      <w:pPr>
        <w:pStyle w:val="BodyText"/>
        <w:ind w:left="950" w:right="195" w:hanging="306"/>
        <w:spacing w:before="127" w:line="3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[20]  Kim HC, Kim E, Bae JI, 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Sevoflurane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2"/>
        </w:rPr>
        <w:t>Postcondition</w:t>
      </w:r>
      <w:r>
        <w:rPr>
          <w:sz w:val="15"/>
          <w:szCs w:val="15"/>
          <w:color w:val="231F20"/>
          <w:spacing w:val="-3"/>
        </w:rPr>
        <w:t>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3"/>
        </w:rPr>
        <w:t>Reduces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Apoptosis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</w:rPr>
        <w:t>Activating </w:t>
      </w:r>
      <w:r>
        <w:rPr>
          <w:sz w:val="15"/>
          <w:szCs w:val="15"/>
          <w:color w:val="231F20"/>
          <w:spacing w:val="-1"/>
        </w:rPr>
        <w:t xml:space="preserve"> the  JAK-STAT  Pathway  After  Transient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Global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Cerebral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Ischemia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Rats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Neurosurg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Anesth,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4"/>
        </w:rPr>
        <w:t>2016,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29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(1): 37-41</w:t>
      </w:r>
    </w:p>
    <w:p>
      <w:pPr>
        <w:pStyle w:val="BodyText"/>
        <w:ind w:left="950" w:right="194" w:hanging="306"/>
        <w:spacing w:before="130" w:line="27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[21]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-3"/>
        </w:rPr>
        <w:t>Wu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X,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Liu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3"/>
        </w:rPr>
        <w:t>Hu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Z,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Enriched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housing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promotes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post-stroke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neurogenesis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through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calpain  1-STAT3/HI</w:t>
      </w:r>
      <w:r>
        <w:rPr>
          <w:sz w:val="15"/>
          <w:szCs w:val="15"/>
          <w:color w:val="231F20"/>
          <w:spacing w:val="-3"/>
        </w:rPr>
        <w:t>F-1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α</w:t>
      </w:r>
      <w:r>
        <w:rPr>
          <w:sz w:val="15"/>
          <w:szCs w:val="15"/>
          <w:color w:val="231F20"/>
          <w:spacing w:val="-3"/>
        </w:rPr>
        <w:t>/VEGF  signaling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Brain Res Bull, 2018,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139(13):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133-143</w:t>
      </w:r>
    </w:p>
    <w:p>
      <w:pPr>
        <w:pStyle w:val="BodyText"/>
        <w:ind w:left="948" w:right="196" w:hanging="304"/>
        <w:spacing w:before="127" w:line="3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[22]  Jia L, Wang F, Gu X,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2"/>
        </w:rPr>
        <w:t>Propofol postconditioning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attenuates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2"/>
        </w:rPr>
        <w:t>hip-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pocampus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ischemia-reper</w:t>
      </w:r>
      <w:r>
        <w:rPr>
          <w:sz w:val="15"/>
          <w:szCs w:val="15"/>
          <w:color w:val="231F20"/>
          <w:spacing w:val="-2"/>
        </w:rPr>
        <w:t>fusion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injury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2"/>
        </w:rPr>
        <w:t>via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modulating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2"/>
        </w:rPr>
        <w:t>JAK2/STAT3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pathway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rats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after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autogenous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orthotropic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liver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transplantation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Brain Res, 2017,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15(1</w:t>
      </w:r>
      <w:r>
        <w:rPr>
          <w:sz w:val="15"/>
          <w:szCs w:val="15"/>
          <w:color w:val="231F20"/>
          <w:spacing w:val="-4"/>
        </w:rPr>
        <w:t>6): 202-207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0" w:right="18" w:hanging="310"/>
        <w:spacing w:before="28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[23]  Zhao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H,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Feng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Y,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Wei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3"/>
        </w:rPr>
        <w:t>Colivelin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Rescues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Ischemic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Neuron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Axons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"/>
        </w:rPr>
        <w:t>Involving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JAK/STAT3  Signaling  Pathway   [J]</w:t>
      </w:r>
      <w:r>
        <w:rPr>
          <w:sz w:val="15"/>
          <w:szCs w:val="15"/>
          <w:color w:val="231F20"/>
          <w:spacing w:val="-2"/>
        </w:rPr>
        <w:t>.  Neuro-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science, 2019,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15(9): </w:t>
      </w:r>
      <w:r>
        <w:rPr>
          <w:sz w:val="15"/>
          <w:szCs w:val="15"/>
          <w:color w:val="231F20"/>
          <w:spacing w:val="-5"/>
        </w:rPr>
        <w:t>85-91</w:t>
      </w:r>
    </w:p>
    <w:p>
      <w:pPr>
        <w:pStyle w:val="BodyText"/>
        <w:ind w:left="307" w:hanging="308"/>
        <w:spacing w:before="129" w:line="3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[24]  Vi</w:t>
      </w:r>
      <w:r>
        <w:rPr>
          <w:sz w:val="15"/>
          <w:szCs w:val="15"/>
          <w:color w:val="231F20"/>
          <w:spacing w:val="-2"/>
        </w:rPr>
        <w:t>llarino AV, Kanno Y, O'Shea JJ.</w:t>
      </w:r>
      <w:r>
        <w:rPr>
          <w:sz w:val="15"/>
          <w:szCs w:val="15"/>
          <w:color w:val="231F20"/>
          <w:spacing w:val="-3"/>
        </w:rPr>
        <w:t xml:space="preserve"> Mechanisms 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consequences o</w:t>
      </w:r>
      <w:r>
        <w:rPr>
          <w:sz w:val="15"/>
          <w:szCs w:val="15"/>
          <w:color w:val="231F20"/>
          <w:spacing w:val="5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Jak-STAT signaling in the immune system[J]. Nat Immunol</w:t>
      </w:r>
      <w:r>
        <w:rPr>
          <w:sz w:val="15"/>
          <w:szCs w:val="15"/>
          <w:color w:val="231F20"/>
          <w:spacing w:val="-3"/>
        </w:rPr>
        <w:t>, 2017,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18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(4): 374-384</w:t>
      </w:r>
    </w:p>
    <w:p>
      <w:pPr>
        <w:pStyle w:val="BodyText"/>
        <w:ind w:left="307" w:right="19" w:hanging="307"/>
        <w:spacing w:before="129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[25]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Pan X, Chen W, Yan L, et al. Protective ef</w:t>
      </w:r>
      <w:r>
        <w:rPr>
          <w:sz w:val="15"/>
          <w:szCs w:val="15"/>
          <w:color w:val="231F20"/>
          <w:spacing w:val="-3"/>
        </w:rPr>
        <w:t>fect and mechanism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gin-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senoside</w:t>
      </w:r>
      <w:r>
        <w:rPr>
          <w:sz w:val="15"/>
          <w:szCs w:val="15"/>
          <w:color w:val="231F20"/>
          <w:spacing w:val="5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Rg1  in  cerebral  ischaemia-reperfusion  injury  in  mice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Biomed Pharmacother, 2018,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4"/>
        </w:rPr>
        <w:t>13(9): 75-81</w:t>
      </w:r>
    </w:p>
    <w:p>
      <w:pPr>
        <w:pStyle w:val="BodyText"/>
        <w:ind w:left="307" w:right="17" w:hanging="308"/>
        <w:spacing w:before="109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[26]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沈菁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严洁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常小荣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从针刺十二经穴对健康人体表胃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小肠电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的影响探讨经穴与脏腑相关的特异性关系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[J</w:t>
      </w:r>
      <w:r>
        <w:rPr>
          <w:sz w:val="15"/>
          <w:szCs w:val="15"/>
          <w:color w:val="231F20"/>
          <w:spacing w:val="9"/>
        </w:rPr>
        <w:t>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中华中医药学刊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2008, 8(11): 49-51</w:t>
      </w:r>
    </w:p>
    <w:p>
      <w:pPr>
        <w:pStyle w:val="BodyText"/>
        <w:ind w:left="307" w:right="18" w:hanging="307"/>
        <w:spacing w:before="110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[27]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尚华杰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冯琪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刘美琪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针刺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"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百会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""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足三里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"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对血管性认知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障碍模型大鼠认知功能的影响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国际中医中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药杂志</w:t>
      </w:r>
      <w:r>
        <w:rPr>
          <w:sz w:val="15"/>
          <w:szCs w:val="15"/>
          <w:color w:val="231F20"/>
          <w:spacing w:val="3"/>
        </w:rPr>
        <w:t>, 2018, 40(5):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427-431</w:t>
      </w:r>
    </w:p>
    <w:p>
      <w:pPr>
        <w:pStyle w:val="BodyText"/>
        <w:ind w:left="307" w:right="18" w:hanging="307"/>
        <w:spacing w:before="8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[28]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丁宁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李瑞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田环环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针刺与艾灸对慢性不可预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见性温和应激抑郁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大鼠前额皮质 </w:t>
      </w:r>
      <w:r>
        <w:rPr>
          <w:sz w:val="15"/>
          <w:szCs w:val="15"/>
          <w:color w:val="231F20"/>
          <w:spacing w:val="7"/>
        </w:rPr>
        <w:t>5-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羟色胺系统的影响  </w:t>
      </w:r>
      <w:r>
        <w:rPr>
          <w:sz w:val="15"/>
          <w:szCs w:val="15"/>
          <w:color w:val="231F20"/>
          <w:spacing w:val="7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针刺研究</w:t>
      </w:r>
      <w:r>
        <w:rPr>
          <w:sz w:val="15"/>
          <w:szCs w:val="15"/>
          <w:color w:val="231F20"/>
          <w:spacing w:val="7"/>
        </w:rPr>
        <w:t>, 2016,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41(1):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45-50</w:t>
      </w:r>
    </w:p>
    <w:p>
      <w:pPr>
        <w:pStyle w:val="BodyText"/>
        <w:ind w:left="307" w:right="17" w:hanging="308"/>
        <w:spacing w:before="80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[29]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许晓康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周小红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张治方</w:t>
      </w:r>
      <w:r>
        <w:rPr>
          <w:sz w:val="15"/>
          <w:szCs w:val="15"/>
          <w:color w:val="231F20"/>
          <w:spacing w:val="7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灸神阙穴对不同程度力竭运动大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鼠海马区单胺类神经递质的影响  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医基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础医学杂志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2020, 26(1): 41-44</w:t>
      </w:r>
    </w:p>
    <w:p>
      <w:pPr>
        <w:pStyle w:val="BodyText"/>
        <w:ind w:left="307" w:right="18" w:hanging="307"/>
        <w:spacing w:before="112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[30]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王能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林晓伟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张晓丽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解郁汤联合电针百会</w:t>
      </w:r>
      <w:r>
        <w:rPr>
          <w:sz w:val="15"/>
          <w:szCs w:val="15"/>
          <w:color w:val="231F20"/>
          <w:spacing w:val="5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四神聪对脑梗死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后抑郁焦虑的临床疗效及对神经功能影响研究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中华中医药学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刊</w:t>
      </w:r>
      <w:r>
        <w:rPr>
          <w:sz w:val="15"/>
          <w:szCs w:val="15"/>
          <w:color w:val="231F20"/>
          <w:spacing w:val="-3"/>
        </w:rPr>
        <w:t>, 2020,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10(7): 40-43</w:t>
      </w:r>
    </w:p>
    <w:p>
      <w:pPr>
        <w:spacing w:line="219" w:lineRule="auto"/>
        <w:sectPr>
          <w:type w:val="continuous"/>
          <w:pgSz w:w="11906" w:h="16838"/>
          <w:pgMar w:top="917" w:right="1037" w:bottom="0" w:left="407" w:header="562" w:footer="0" w:gutter="0"/>
          <w:cols w:equalWidth="0" w:num="2">
            <w:col w:w="5589" w:space="100"/>
            <w:col w:w="4772" w:space="0"/>
          </w:cols>
        </w:sectPr>
        <w:rPr>
          <w:sz w:val="15"/>
          <w:szCs w:val="15"/>
        </w:rPr>
      </w:pPr>
    </w:p>
    <w:p>
      <w:pPr>
        <w:pStyle w:val="BodyText"/>
        <w:spacing w:line="451" w:lineRule="auto"/>
        <w:rPr>
          <w:sz w:val="21"/>
        </w:rPr>
      </w:pPr>
      <w:r/>
    </w:p>
    <w:p>
      <w:pPr>
        <w:ind w:firstLine="631"/>
        <w:spacing w:line="28" w:lineRule="exact"/>
        <w:rPr/>
      </w:pPr>
      <w:r>
        <w:rPr/>
        <w:drawing>
          <wp:inline distT="0" distB="0" distL="0" distR="0">
            <wp:extent cx="6228079" cy="1777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079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4"/>
        <w:rPr/>
      </w:pPr>
      <w:r/>
    </w:p>
    <w:p>
      <w:pPr>
        <w:sectPr>
          <w:type w:val="continuous"/>
          <w:pgSz w:w="11906" w:h="16838"/>
          <w:pgMar w:top="917" w:right="1037" w:bottom="0" w:left="407" w:header="562" w:footer="0" w:gutter="0"/>
          <w:cols w:equalWidth="0" w:num="1">
            <w:col w:w="10460" w:space="0"/>
          </w:cols>
        </w:sectPr>
        <w:rPr/>
      </w:pPr>
    </w:p>
    <w:p>
      <w:pPr>
        <w:ind w:left="570"/>
        <w:spacing w:before="31" w:line="18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（上接第 453 页）</w:t>
      </w:r>
    </w:p>
    <w:p>
      <w:pPr>
        <w:pStyle w:val="BodyText"/>
        <w:ind w:left="950" w:right="197" w:hanging="306"/>
        <w:spacing w:before="90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[14]  JR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Cangemi,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MF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Picco.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Intestinal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ischemia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3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elderly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3"/>
        </w:rPr>
        <w:t>Gastroen-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terology[J]. Clinics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1"/>
        </w:rPr>
        <w:t>North America, 2009, 38(3): 527-540</w:t>
      </w:r>
    </w:p>
    <w:p>
      <w:pPr>
        <w:pStyle w:val="BodyText"/>
        <w:ind w:left="953" w:right="196" w:hanging="309"/>
        <w:spacing w:before="129" w:line="3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[15]  Ozturk G, Aydinli B, Atamanalp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SS, et al. Acute mesenteric isc</w:t>
      </w:r>
      <w:r>
        <w:rPr>
          <w:sz w:val="15"/>
          <w:szCs w:val="15"/>
          <w:color w:val="231F20"/>
          <w:spacing w:val="-3"/>
        </w:rPr>
        <w:t>hemia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in  young  adults   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3"/>
        </w:rPr>
        <w:t>Wien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3"/>
        </w:rPr>
        <w:t>Med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3"/>
        </w:rPr>
        <w:t>Wochenschr,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3"/>
        </w:rPr>
        <w:t>2012,   162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(15-16):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349-353</w:t>
      </w:r>
    </w:p>
    <w:p>
      <w:pPr>
        <w:pStyle w:val="BodyText"/>
        <w:ind w:left="960" w:right="194" w:hanging="316"/>
        <w:spacing w:before="83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[16]</w:t>
      </w:r>
      <w:r>
        <w:rPr>
          <w:sz w:val="15"/>
          <w:szCs w:val="15"/>
          <w:color w:val="231F20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金红旭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赵晓东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吕传柱</w:t>
      </w:r>
      <w:r>
        <w:rPr>
          <w:sz w:val="15"/>
          <w:szCs w:val="15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5"/>
        </w:rPr>
        <w:t>. 2020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中国急性肠系膜缺血诊断与治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疗专家共识</w:t>
      </w:r>
      <w:r>
        <w:rPr>
          <w:sz w:val="15"/>
          <w:szCs w:val="15"/>
          <w:color w:val="231F20"/>
          <w:spacing w:val="-3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中国急救医学</w:t>
      </w:r>
      <w:r>
        <w:rPr>
          <w:sz w:val="15"/>
          <w:szCs w:val="15"/>
          <w:color w:val="231F20"/>
          <w:spacing w:val="-3"/>
        </w:rPr>
        <w:t>, 202</w:t>
      </w:r>
      <w:r>
        <w:rPr>
          <w:sz w:val="15"/>
          <w:szCs w:val="15"/>
          <w:color w:val="231F20"/>
          <w:spacing w:val="-4"/>
        </w:rPr>
        <w:t>0, 40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）</w:t>
      </w:r>
      <w:r>
        <w:rPr>
          <w:sz w:val="15"/>
          <w:szCs w:val="15"/>
          <w:color w:val="231F20"/>
          <w:spacing w:val="-4"/>
        </w:rPr>
        <w:t>: 804-812</w:t>
      </w:r>
    </w:p>
    <w:p>
      <w:pPr>
        <w:pStyle w:val="BodyText"/>
        <w:ind w:left="955" w:right="194" w:hanging="311"/>
        <w:spacing w:before="7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[17]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虞松平、宗建平、陈先汉等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应用 </w:t>
      </w:r>
      <w:r>
        <w:rPr>
          <w:sz w:val="15"/>
          <w:szCs w:val="15"/>
          <w:color w:val="231F20"/>
        </w:rPr>
        <w:t>ROC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曲线评价 </w:t>
      </w:r>
      <w:r>
        <w:rPr>
          <w:sz w:val="15"/>
          <w:szCs w:val="15"/>
          <w:color w:val="231F20"/>
          <w:spacing w:val="2"/>
        </w:rPr>
        <w:t>D-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二聚体对急性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肠系膜上动脉闭塞的诊断价值 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中国急救医学</w:t>
      </w:r>
      <w:r>
        <w:rPr>
          <w:sz w:val="15"/>
          <w:szCs w:val="15"/>
          <w:color w:val="231F20"/>
          <w:spacing w:val="2"/>
        </w:rPr>
        <w:t>, 2012, 32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）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62-65</w:t>
      </w:r>
    </w:p>
    <w:p>
      <w:pPr>
        <w:pStyle w:val="BodyText"/>
        <w:ind w:left="950" w:right="196" w:hanging="306"/>
        <w:spacing w:before="97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[18]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Robin M Lawson Mesenteric</w:t>
      </w:r>
      <w:r>
        <w:rPr>
          <w:sz w:val="15"/>
          <w:szCs w:val="15"/>
          <w:color w:val="231F20"/>
          <w:spacing w:val="-2"/>
        </w:rPr>
        <w:t xml:space="preserve"> Ischemia  [J]. Crit Care Nurs Clin North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Am, 2018, 30(1): 29-39</w:t>
      </w:r>
    </w:p>
    <w:p>
      <w:pPr>
        <w:pStyle w:val="BodyText"/>
        <w:ind w:left="644"/>
        <w:spacing w:before="129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[19]  Acosta S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．</w:t>
      </w:r>
      <w:r>
        <w:rPr>
          <w:sz w:val="15"/>
          <w:szCs w:val="15"/>
          <w:color w:val="231F20"/>
          <w:spacing w:val="-2"/>
        </w:rPr>
        <w:t>Mesenteric ischemia[J]. Curr Opin Crit </w:t>
      </w:r>
      <w:r>
        <w:rPr>
          <w:sz w:val="15"/>
          <w:szCs w:val="15"/>
          <w:color w:val="231F20"/>
          <w:spacing w:val="-3"/>
        </w:rPr>
        <w:t>Care,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2015,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3"/>
        </w:rPr>
        <w:t>21(2):</w:t>
      </w:r>
    </w:p>
    <w:p>
      <w:pPr>
        <w:pStyle w:val="BodyText"/>
        <w:ind w:left="968"/>
        <w:spacing w:before="89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171-178</w:t>
      </w:r>
    </w:p>
    <w:p>
      <w:pPr>
        <w:pStyle w:val="BodyText"/>
        <w:ind w:left="949" w:right="194" w:hanging="305"/>
        <w:spacing w:before="83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[20]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李树昌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杨宏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赵红军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MSCT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血管造影在急性肠系膜上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动脉栓塞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诊断中的价值</w:t>
      </w:r>
      <w:r>
        <w:rPr>
          <w:sz w:val="15"/>
          <w:szCs w:val="15"/>
          <w:color w:val="231F20"/>
          <w:spacing w:val="-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医学影像杂志</w:t>
      </w:r>
      <w:r>
        <w:rPr>
          <w:sz w:val="15"/>
          <w:szCs w:val="15"/>
          <w:color w:val="231F20"/>
          <w:spacing w:val="-2"/>
        </w:rPr>
        <w:t>, 2012, 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）</w:t>
      </w:r>
      <w:r>
        <w:rPr>
          <w:sz w:val="15"/>
          <w:szCs w:val="15"/>
          <w:color w:val="231F20"/>
          <w:spacing w:val="-2"/>
        </w:rPr>
        <w:t>: </w:t>
      </w:r>
      <w:r>
        <w:rPr>
          <w:sz w:val="15"/>
          <w:szCs w:val="15"/>
          <w:color w:val="231F20"/>
          <w:spacing w:val="-3"/>
        </w:rPr>
        <w:t>305-307</w:t>
      </w:r>
    </w:p>
    <w:p>
      <w:pPr>
        <w:pStyle w:val="BodyText"/>
        <w:ind w:left="948" w:right="195" w:hanging="304"/>
        <w:spacing w:before="90" w:line="3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[21]  Acosta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5"/>
        </w:rPr>
        <w:t>S,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Sonesson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5"/>
        </w:rPr>
        <w:t>B,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Resch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T,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Endovascular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therapeutic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proaches for acute s</w:t>
      </w:r>
      <w:r>
        <w:rPr>
          <w:sz w:val="15"/>
          <w:szCs w:val="15"/>
          <w:color w:val="231F20"/>
          <w:spacing w:val="-4"/>
        </w:rPr>
        <w:t>uperior mesenterie artery occlusion[J]. Cardiovase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Intervent Radiol, 2009, 32(5): 896-905</w:t>
      </w:r>
    </w:p>
    <w:p>
      <w:pPr>
        <w:pStyle w:val="BodyText"/>
        <w:ind w:left="948" w:right="195" w:hanging="304"/>
        <w:spacing w:before="128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[22]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2"/>
        </w:rPr>
        <w:t>Evennett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NJ,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Petrov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MS,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Mittal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A,  et  al.  System</w:t>
      </w:r>
      <w:r>
        <w:rPr>
          <w:sz w:val="15"/>
          <w:szCs w:val="15"/>
          <w:color w:val="231F20"/>
          <w:spacing w:val="-3"/>
        </w:rPr>
        <w:t>atic  review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pooled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estimates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3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di</w:t>
      </w:r>
      <w:r>
        <w:rPr>
          <w:sz w:val="15"/>
          <w:szCs w:val="15"/>
          <w:color w:val="231F20"/>
          <w:spacing w:val="-4"/>
        </w:rPr>
        <w:t>agnostic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4"/>
        </w:rPr>
        <w:t>accuracy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serological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markers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1"/>
        <w:spacing w:before="42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for intestinal ischemia[J]. World J Surg, 200</w:t>
      </w:r>
      <w:r>
        <w:rPr>
          <w:sz w:val="15"/>
          <w:szCs w:val="15"/>
          <w:color w:val="231F20"/>
          <w:spacing w:val="-3"/>
        </w:rPr>
        <w:t>9, 33(7):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1374-1383</w:t>
      </w:r>
    </w:p>
    <w:p>
      <w:pPr>
        <w:pStyle w:val="BodyText"/>
        <w:ind w:left="306" w:right="20" w:hanging="306"/>
        <w:spacing w:before="129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[23]  Cudnik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MT,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Darbha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S,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Jones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J,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diagnosis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</w:t>
      </w:r>
      <w:r>
        <w:rPr>
          <w:sz w:val="15"/>
          <w:szCs w:val="15"/>
          <w:color w:val="231F20"/>
          <w:spacing w:val="-5"/>
        </w:rPr>
        <w:t>f acute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5"/>
        </w:rPr>
        <w:t>mesen-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teric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3"/>
        </w:rPr>
        <w:t>ischemia: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systematic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review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meta-a</w:t>
      </w:r>
      <w:r>
        <w:rPr>
          <w:sz w:val="15"/>
          <w:szCs w:val="15"/>
          <w:color w:val="231F20"/>
          <w:spacing w:val="-4"/>
        </w:rPr>
        <w:t>nalysis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Acad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merg Med, 2013, 20(11):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4"/>
        </w:rPr>
        <w:t>087-1100</w:t>
      </w:r>
    </w:p>
    <w:p>
      <w:pPr>
        <w:pStyle w:val="BodyText"/>
        <w:ind w:left="306" w:right="2" w:hanging="306"/>
        <w:spacing w:before="114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[24]  D</w:t>
      </w:r>
      <w:r>
        <w:rPr>
          <w:sz w:val="15"/>
          <w:szCs w:val="15"/>
          <w:color w:val="231F20"/>
          <w:spacing w:val="-3"/>
        </w:rPr>
        <w:t>elaney CP,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＇ </w:t>
      </w:r>
      <w:r>
        <w:rPr>
          <w:sz w:val="15"/>
          <w:szCs w:val="15"/>
          <w:color w:val="231F20"/>
          <w:spacing w:val="-3"/>
        </w:rPr>
        <w:t>Neill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S, Manning F,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Plasma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concentrati</w:t>
      </w:r>
      <w:r>
        <w:rPr>
          <w:sz w:val="15"/>
          <w:szCs w:val="15"/>
          <w:color w:val="231F20"/>
          <w:spacing w:val="-4"/>
        </w:rPr>
        <w:t>ons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</w:t>
      </w:r>
      <w:r>
        <w:rPr>
          <w:sz w:val="15"/>
          <w:szCs w:val="15"/>
          <w:color w:val="231F20"/>
          <w:spacing w:val="3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glutathione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S-transferase isoenzyme are raised in patients </w:t>
      </w:r>
      <w:r>
        <w:rPr>
          <w:sz w:val="15"/>
          <w:szCs w:val="15"/>
          <w:color w:val="231F20"/>
          <w:spacing w:val="-4"/>
        </w:rPr>
        <w:t>with intesti-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nal ischaemia[J]. Br J S</w:t>
      </w:r>
      <w:r>
        <w:rPr>
          <w:sz w:val="15"/>
          <w:szCs w:val="15"/>
          <w:color w:val="231F20"/>
          <w:spacing w:val="-4"/>
        </w:rPr>
        <w:t>urg,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1999, 86(10):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1349-1353</w:t>
      </w:r>
    </w:p>
    <w:p>
      <w:pPr>
        <w:pStyle w:val="BodyText"/>
        <w:ind w:left="307" w:right="3" w:hanging="308"/>
        <w:spacing w:before="127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[25</w:t>
      </w:r>
      <w:r>
        <w:rPr>
          <w:sz w:val="15"/>
          <w:szCs w:val="15"/>
          <w:color w:val="231F20"/>
          <w:spacing w:val="-1"/>
        </w:rPr>
        <w:t>]  Bala. Acute mensenteri</w:t>
      </w:r>
      <w:r>
        <w:rPr>
          <w:sz w:val="15"/>
          <w:szCs w:val="15"/>
          <w:color w:val="231F20"/>
          <w:spacing w:val="-2"/>
        </w:rPr>
        <w:t>c ischemia: guidelines of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the World Society 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Emergency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Surgery  [J]. World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Journal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"/>
        </w:rPr>
        <w:t>Emergency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Surgery,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2017,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12(1): 38</w:t>
      </w:r>
    </w:p>
    <w:p>
      <w:pPr>
        <w:pStyle w:val="BodyText"/>
        <w:spacing w:before="12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[26]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2"/>
        </w:rPr>
        <w:t>Kieny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R.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Surgical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therapy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o</w:t>
      </w:r>
      <w:r>
        <w:rPr>
          <w:sz w:val="15"/>
          <w:szCs w:val="15"/>
          <w:color w:val="231F20"/>
          <w:spacing w:val="-3"/>
        </w:rPr>
        <w:t>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mesenteric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3"/>
        </w:rPr>
        <w:t>artery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occlusion [J].</w:t>
      </w:r>
    </w:p>
    <w:p>
      <w:pPr>
        <w:pStyle w:val="BodyText"/>
        <w:ind w:left="311" w:right="19" w:hanging="3"/>
        <w:spacing w:before="126" w:line="3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Langenbecks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Arch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3"/>
        </w:rPr>
        <w:t>Chir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Suppl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II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3"/>
        </w:rPr>
        <w:t>Verh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3"/>
        </w:rPr>
        <w:t>Dtsch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Ge</w:t>
      </w:r>
      <w:r>
        <w:rPr>
          <w:sz w:val="15"/>
          <w:szCs w:val="15"/>
          <w:color w:val="231F20"/>
          <w:spacing w:val="-4"/>
        </w:rPr>
        <w:t>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Chir,  1990,  134: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303-309</w:t>
      </w:r>
    </w:p>
    <w:p>
      <w:pPr>
        <w:pStyle w:val="BodyText"/>
        <w:ind w:left="310" w:right="18" w:hanging="310"/>
        <w:spacing w:before="1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[27]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李宇罡</w:t>
      </w:r>
      <w:r>
        <w:rPr>
          <w:sz w:val="15"/>
          <w:szCs w:val="15"/>
          <w:color w:val="231F20"/>
          <w:spacing w:val="3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辛世杰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急性肠系膜缺血性疾病的诊治进展［</w:t>
      </w:r>
      <w:r>
        <w:rPr>
          <w:sz w:val="15"/>
          <w:szCs w:val="15"/>
          <w:color w:val="231F20"/>
          <w:spacing w:val="3"/>
        </w:rPr>
        <w:t>J/</w:t>
      </w:r>
      <w:r>
        <w:rPr>
          <w:sz w:val="15"/>
          <w:szCs w:val="15"/>
          <w:color w:val="231F20"/>
        </w:rPr>
        <w:t>CD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血管外科杂志（电子版）</w:t>
      </w:r>
      <w:r>
        <w:rPr>
          <w:sz w:val="15"/>
          <w:szCs w:val="15"/>
          <w:color w:val="231F20"/>
          <w:spacing w:val="-8"/>
        </w:rPr>
        <w:t>, 2015, 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: 214-216</w:t>
      </w:r>
    </w:p>
    <w:p>
      <w:pPr>
        <w:pStyle w:val="BodyText"/>
        <w:ind w:left="306" w:right="18" w:hanging="306"/>
        <w:spacing w:before="86" w:line="3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[28]  Mehraneh D Jafari, MD,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Steven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D Wexner,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MD,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Perfusion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sessment in Laparoscopic Left-Sided/Anterior Resection (PILLAR II):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 Multi-Institutional Study[J]. J Am Coll</w:t>
      </w:r>
      <w:r>
        <w:rPr>
          <w:sz w:val="15"/>
          <w:szCs w:val="15"/>
          <w:color w:val="231F20"/>
          <w:spacing w:val="-1"/>
        </w:rPr>
        <w:t xml:space="preserve"> Surg, 2015, 220(1): 82-92</w:t>
      </w:r>
    </w:p>
    <w:p>
      <w:pPr>
        <w:pStyle w:val="BodyText"/>
        <w:ind w:left="306" w:right="17" w:hanging="306"/>
        <w:spacing w:before="127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[29]  Miklosh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Bala1,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Jeffry Kashuk,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Ernest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E.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Moore,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mesen-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teric ischemia: guidelines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the World Society 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Emergency 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[J]. World Journal of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Em</w:t>
      </w:r>
      <w:r>
        <w:rPr>
          <w:sz w:val="15"/>
          <w:szCs w:val="15"/>
          <w:color w:val="231F20"/>
          <w:spacing w:val="-5"/>
        </w:rPr>
        <w:t>ergency Surgery, 2017, 40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: 38</w:t>
      </w:r>
    </w:p>
    <w:sectPr>
      <w:type w:val="continuous"/>
      <w:pgSz w:w="11906" w:h="16838"/>
      <w:pgMar w:top="917" w:right="1037" w:bottom="0" w:left="407" w:header="562" w:footer="0" w:gutter="0"/>
      <w:cols w:equalWidth="0" w:num="2">
        <w:col w:w="5589" w:space="100"/>
        <w:col w:w="477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5"/>
      <w:spacing w:before="64" w:line="166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.3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.2022                    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  </w:t>
    </w:r>
    <w:r>
      <w:rPr>
        <w:color w:val="231F20"/>
        <w:spacing w:val="4"/>
        <w:position w:val="2"/>
      </w:rPr>
      <w:t>447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0"/>
      <w:spacing w:before="64" w:line="16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</w:t>
    </w:r>
    <w:r>
      <w:rPr>
        <w:color w:val="231F20"/>
        <w:spacing w:val="5"/>
        <w:position w:val="2"/>
      </w:rPr>
      <w:t>448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022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5"/>
      <w:spacing w:before="64" w:line="166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.3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.2022                    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  </w:t>
    </w:r>
    <w:r>
      <w:rPr>
        <w:color w:val="231F20"/>
        <w:spacing w:val="4"/>
        <w:position w:val="2"/>
      </w:rPr>
      <w:t>449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0"/>
      <w:spacing w:before="64" w:line="16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</w:t>
    </w:r>
    <w:r>
      <w:rPr>
        <w:color w:val="231F20"/>
        <w:spacing w:val="5"/>
        <w:position w:val="2"/>
      </w:rPr>
      <w:t>450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022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5"/>
      <w:spacing w:before="64" w:line="166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.3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.2022                    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  </w:t>
    </w:r>
    <w:r>
      <w:rPr>
        <w:color w:val="231F20"/>
        <w:spacing w:val="4"/>
        <w:position w:val="2"/>
      </w:rPr>
      <w:t>451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0"/>
      <w:spacing w:before="64" w:line="16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</w:t>
    </w:r>
    <w:r>
      <w:rPr>
        <w:color w:val="231F20"/>
        <w:spacing w:val="5"/>
        <w:position w:val="2"/>
      </w:rPr>
      <w:t>452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5"/>
      </w:rPr>
      <w:t>·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.2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022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5"/>
      <w:spacing w:before="64" w:line="166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.3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.2022                    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  </w:t>
    </w:r>
    <w:r>
      <w:rPr>
        <w:color w:val="231F20"/>
        <w:spacing w:val="4"/>
        <w:position w:val="2"/>
      </w:rPr>
      <w:t>453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5"/>
      <w:spacing w:before="64" w:line="166" w:lineRule="auto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16" style="position:absolute;margin-left:20.4pt;margin-top:814.49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660374</wp:posOffset>
          </wp:positionH>
          <wp:positionV relativeFrom="page">
            <wp:posOffset>537083</wp:posOffset>
          </wp:positionV>
          <wp:extent cx="6228079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现代生物医学进展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cnjournals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com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Progress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in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Modern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Biomedicine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Vol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.22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NO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.3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FEB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>.2022                    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  </w:t>
    </w:r>
    <w:r>
      <w:rPr>
        <w:color w:val="231F20"/>
        <w:spacing w:val="4"/>
        <w:position w:val="2"/>
      </w:rPr>
      <w:t>431 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4.png"/><Relationship Id="rId8" Type="http://schemas.openxmlformats.org/officeDocument/2006/relationships/header" Target="header5.xml"/><Relationship Id="rId7" Type="http://schemas.openxmlformats.org/officeDocument/2006/relationships/image" Target="media/image11.png"/><Relationship Id="rId6" Type="http://schemas.openxmlformats.org/officeDocument/2006/relationships/image" Target="media/image10.png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0" Type="http://schemas.openxmlformats.org/officeDocument/2006/relationships/fontTable" Target="fontTable.xml"/><Relationship Id="rId2" Type="http://schemas.openxmlformats.org/officeDocument/2006/relationships/image" Target="media/image3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25.png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image" Target="media/image20.png"/><Relationship Id="rId13" Type="http://schemas.openxmlformats.org/officeDocument/2006/relationships/image" Target="media/image19.png"/><Relationship Id="rId12" Type="http://schemas.openxmlformats.org/officeDocument/2006/relationships/header" Target="header6.xml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2022-10-22T17:34:12Z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2025-10-28T21:25:52</vt:filetime>
  </property>
</Properties>
</file>