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722"/>
        <w:spacing w:before="299" w:line="226" w:lineRule="auto"/>
        <w:rPr>
          <w:sz w:val="27"/>
          <w:szCs w:val="27"/>
        </w:rPr>
      </w:pPr>
      <w:r>
        <w:rPr>
          <w:sz w:val="20"/>
          <w:szCs w:val="20"/>
          <w:color w:val="231F20"/>
        </w:rPr>
        <w:t>doi</w:t>
      </w:r>
      <w:r>
        <w:rPr>
          <w:sz w:val="20"/>
          <w:szCs w:val="20"/>
          <w:color w:val="231F20"/>
          <w:spacing w:val="6"/>
        </w:rPr>
        <w:t>:10.3969/j.</w:t>
      </w:r>
      <w:r>
        <w:rPr>
          <w:sz w:val="20"/>
          <w:szCs w:val="20"/>
          <w:color w:val="231F20"/>
        </w:rPr>
        <w:t>issn</w:t>
      </w:r>
      <w:r>
        <w:rPr>
          <w:sz w:val="20"/>
          <w:szCs w:val="20"/>
          <w:color w:val="231F20"/>
          <w:spacing w:val="6"/>
        </w:rPr>
        <w:t>.1009-4393.2021.16.05</w:t>
      </w:r>
      <w:r>
        <w:rPr>
          <w:sz w:val="20"/>
          <w:szCs w:val="20"/>
          <w:color w:val="231F20"/>
          <w:spacing w:val="5"/>
        </w:rPr>
        <w:t>1</w:t>
      </w:r>
      <w:r>
        <w:rPr>
          <w:sz w:val="20"/>
          <w:szCs w:val="20"/>
          <w:color w:val="231F20"/>
          <w:spacing w:val="1"/>
        </w:rPr>
        <w:t xml:space="preserve">                                   </w:t>
      </w:r>
      <w:r>
        <w:rPr>
          <w:sz w:val="20"/>
          <w:szCs w:val="20"/>
          <w:color w:val="231F20"/>
        </w:rPr>
        <w:t xml:space="preserve">  </w:t>
      </w:r>
      <w:r>
        <w:rPr>
          <w:sz w:val="27"/>
          <w:szCs w:val="27"/>
          <w:color w:val="231F20"/>
          <w:spacing w:val="5"/>
        </w:rPr>
        <w:t>--临床研究--</w:t>
      </w:r>
    </w:p>
    <w:p>
      <w:pPr>
        <w:spacing w:line="421" w:lineRule="auto"/>
        <w:rPr>
          <w:rFonts w:ascii="Arial"/>
          <w:sz w:val="21"/>
        </w:rPr>
      </w:pPr>
      <w:r/>
    </w:p>
    <w:p>
      <w:pPr>
        <w:pStyle w:val="BodyText"/>
        <w:ind w:left="2145"/>
        <w:spacing w:before="133" w:line="224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15"/>
        </w:rPr>
        <w:t>急诊腹部</w:t>
      </w:r>
      <w:r>
        <w:rPr>
          <w:sz w:val="41"/>
          <w:szCs w:val="41"/>
          <w:color w:val="231F20"/>
        </w:rPr>
        <w:t>CT</w:t>
      </w:r>
      <w:r>
        <w:rPr>
          <w:sz w:val="41"/>
          <w:szCs w:val="41"/>
          <w:color w:val="231F20"/>
          <w:spacing w:val="15"/>
        </w:rPr>
        <w:t>对急性肠系膜血管栓塞的</w:t>
      </w:r>
    </w:p>
    <w:p>
      <w:pPr>
        <w:pStyle w:val="BodyText"/>
        <w:ind w:left="3888"/>
        <w:spacing w:before="26" w:line="223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5"/>
        </w:rPr>
        <w:t>临床诊断价值探讨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ind w:left="5340"/>
        <w:spacing w:before="65" w:line="229" w:lineRule="auto"/>
        <w:outlineLvl w:val="0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-1"/>
        </w:rPr>
        <w:t>易佳</w:t>
      </w:r>
    </w:p>
    <w:p>
      <w:pPr>
        <w:pStyle w:val="BodyText"/>
        <w:ind w:left="3684"/>
        <w:spacing w:before="66" w:line="230" w:lineRule="auto"/>
        <w:rPr/>
      </w:pPr>
      <w:r>
        <w:rPr>
          <w:color w:val="231F20"/>
          <w:spacing w:val="5"/>
        </w:rPr>
        <w:t>（松滋市人民医院</w:t>
      </w:r>
      <w:r>
        <w:rPr>
          <w:color w:val="231F20"/>
        </w:rPr>
        <w:t>CT</w:t>
      </w:r>
      <w:r>
        <w:rPr>
          <w:color w:val="231F20"/>
          <w:spacing w:val="5"/>
        </w:rPr>
        <w:t>室，湖北  荆州  434200）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716" w:right="7" w:firstLine="318"/>
        <w:spacing w:before="49" w:line="322" w:lineRule="auto"/>
        <w:jc w:val="both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11"/>
        </w:rPr>
        <w:t>摘要：</w:t>
      </w:r>
      <w:r>
        <w:rPr>
          <w:rFonts w:ascii="SimHei" w:hAnsi="SimHei" w:eastAsia="SimHei" w:cs="SimHei"/>
          <w:sz w:val="15"/>
          <w:szCs w:val="15"/>
          <w:color w:val="231F20"/>
          <w:spacing w:val="-37"/>
        </w:rPr>
        <w:t xml:space="preserve"> </w:t>
      </w:r>
      <w:r>
        <w:rPr>
          <w:rFonts w:ascii="SimHei" w:hAnsi="SimHei" w:eastAsia="SimHei" w:cs="SimHei"/>
          <w:sz w:val="15"/>
          <w:szCs w:val="15"/>
          <w:color w:val="231F20"/>
          <w:spacing w:val="11"/>
        </w:rPr>
        <w:t>目的</w:t>
      </w:r>
      <w:r>
        <w:rPr>
          <w:rFonts w:ascii="SimHei" w:hAnsi="SimHei" w:eastAsia="SimHei" w:cs="SimHei"/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11"/>
        </w:rPr>
        <w:t>探讨急诊腹部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11"/>
        </w:rPr>
        <w:t>对急性肠系膜血管栓塞的临床诊断价值。</w:t>
      </w:r>
      <w:r>
        <w:rPr>
          <w:rFonts w:ascii="SimHei" w:hAnsi="SimHei" w:eastAsia="SimHei" w:cs="SimHei"/>
          <w:sz w:val="15"/>
          <w:szCs w:val="15"/>
          <w:color w:val="231F20"/>
          <w:spacing w:val="11"/>
        </w:rPr>
        <w:t>方</w:t>
      </w:r>
      <w:r>
        <w:rPr>
          <w:rFonts w:ascii="SimHei" w:hAnsi="SimHei" w:eastAsia="SimHei" w:cs="SimHei"/>
          <w:sz w:val="15"/>
          <w:szCs w:val="15"/>
          <w:color w:val="231F20"/>
          <w:spacing w:val="10"/>
        </w:rPr>
        <w:t>法</w:t>
      </w:r>
      <w:r>
        <w:rPr>
          <w:rFonts w:ascii="SimHei" w:hAnsi="SimHei" w:eastAsia="SimHei" w:cs="SimHei"/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10"/>
        </w:rPr>
        <w:t>选取</w:t>
      </w:r>
      <w:r>
        <w:rPr>
          <w:sz w:val="15"/>
          <w:szCs w:val="15"/>
          <w:color w:val="231F20"/>
          <w:spacing w:val="-44"/>
        </w:rPr>
        <w:t xml:space="preserve"> </w:t>
      </w:r>
      <w:r>
        <w:rPr>
          <w:sz w:val="15"/>
          <w:szCs w:val="15"/>
          <w:color w:val="231F20"/>
          <w:spacing w:val="10"/>
        </w:rPr>
        <w:t>2018年</w:t>
      </w:r>
      <w:r>
        <w:rPr>
          <w:sz w:val="15"/>
          <w:szCs w:val="15"/>
          <w:color w:val="231F20"/>
          <w:spacing w:val="-34"/>
        </w:rPr>
        <w:t xml:space="preserve"> </w:t>
      </w:r>
      <w:r>
        <w:rPr>
          <w:sz w:val="15"/>
          <w:szCs w:val="15"/>
          <w:color w:val="231F20"/>
          <w:spacing w:val="10"/>
        </w:rPr>
        <w:t>12</w:t>
      </w:r>
      <w:r>
        <w:rPr>
          <w:sz w:val="15"/>
          <w:szCs w:val="15"/>
          <w:color w:val="231F20"/>
          <w:spacing w:val="-41"/>
        </w:rPr>
        <w:t xml:space="preserve"> </w:t>
      </w:r>
      <w:r>
        <w:rPr>
          <w:sz w:val="15"/>
          <w:szCs w:val="15"/>
          <w:color w:val="231F20"/>
          <w:spacing w:val="10"/>
        </w:rPr>
        <w:t>月至</w:t>
      </w:r>
      <w:r>
        <w:rPr>
          <w:sz w:val="15"/>
          <w:szCs w:val="15"/>
          <w:color w:val="231F20"/>
          <w:spacing w:val="-44"/>
        </w:rPr>
        <w:t xml:space="preserve"> </w:t>
      </w:r>
      <w:r>
        <w:rPr>
          <w:sz w:val="15"/>
          <w:szCs w:val="15"/>
          <w:color w:val="231F20"/>
          <w:spacing w:val="10"/>
        </w:rPr>
        <w:t>2019年</w:t>
      </w:r>
      <w:r>
        <w:rPr>
          <w:sz w:val="15"/>
          <w:szCs w:val="15"/>
          <w:color w:val="231F20"/>
          <w:spacing w:val="-34"/>
        </w:rPr>
        <w:t xml:space="preserve"> </w:t>
      </w:r>
      <w:r>
        <w:rPr>
          <w:sz w:val="15"/>
          <w:szCs w:val="15"/>
          <w:color w:val="231F20"/>
          <w:spacing w:val="10"/>
        </w:rPr>
        <w:t>12</w:t>
      </w:r>
      <w:r>
        <w:rPr>
          <w:sz w:val="15"/>
          <w:szCs w:val="15"/>
          <w:color w:val="231F20"/>
          <w:spacing w:val="-42"/>
        </w:rPr>
        <w:t xml:space="preserve"> </w:t>
      </w:r>
      <w:r>
        <w:rPr>
          <w:sz w:val="15"/>
          <w:szCs w:val="15"/>
          <w:color w:val="231F20"/>
          <w:spacing w:val="10"/>
        </w:rPr>
        <w:t>月本院急诊部收治的急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性肠系膜血管栓塞患者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9"/>
        </w:rPr>
        <w:t>74例作为研究对象，根据患者及家属意愿分为研究组与对照组，每组</w:t>
      </w:r>
      <w:r>
        <w:rPr>
          <w:sz w:val="15"/>
          <w:szCs w:val="15"/>
          <w:color w:val="231F20"/>
          <w:spacing w:val="-43"/>
        </w:rPr>
        <w:t xml:space="preserve"> </w:t>
      </w:r>
      <w:r>
        <w:rPr>
          <w:sz w:val="15"/>
          <w:szCs w:val="15"/>
          <w:color w:val="231F20"/>
          <w:spacing w:val="9"/>
        </w:rPr>
        <w:t>37例。对照组行开腹检查，研究组行腹部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9"/>
        </w:rPr>
        <w:t>检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查。</w:t>
      </w:r>
      <w:r>
        <w:rPr>
          <w:sz w:val="15"/>
          <w:szCs w:val="15"/>
          <w:color w:val="231F20"/>
          <w:spacing w:val="-43"/>
        </w:rPr>
        <w:t xml:space="preserve"> </w:t>
      </w:r>
      <w:r>
        <w:rPr>
          <w:sz w:val="15"/>
          <w:szCs w:val="15"/>
          <w:color w:val="231F20"/>
          <w:spacing w:val="9"/>
        </w:rPr>
        <w:t>比较两组检查结果、不良反应发生率、患者及家属对腹部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9"/>
        </w:rPr>
        <w:t>检查认识。</w:t>
      </w:r>
      <w:r>
        <w:rPr>
          <w:rFonts w:ascii="SimHei" w:hAnsi="SimHei" w:eastAsia="SimHei" w:cs="SimHei"/>
          <w:sz w:val="15"/>
          <w:szCs w:val="15"/>
          <w:color w:val="231F20"/>
          <w:spacing w:val="9"/>
        </w:rPr>
        <w:t>结果</w:t>
      </w:r>
      <w:r>
        <w:rPr>
          <w:rFonts w:ascii="SimHei" w:hAnsi="SimHei" w:eastAsia="SimHei" w:cs="SimHei"/>
          <w:sz w:val="15"/>
          <w:szCs w:val="15"/>
          <w:color w:val="231F20"/>
          <w:spacing w:val="9"/>
        </w:rPr>
        <w:t xml:space="preserve"> </w:t>
      </w:r>
      <w:r>
        <w:rPr>
          <w:rFonts w:ascii="SimHei" w:hAnsi="SimHei" w:eastAsia="SimHei" w:cs="SimHei"/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8"/>
        </w:rPr>
        <w:t>研究组诊断精准率高于对照组,检查时间短于对照组，失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血量少于对照组，检查费用低于对照组（</w:t>
      </w:r>
      <w:r>
        <w:rPr>
          <w:sz w:val="16"/>
          <w:szCs w:val="16"/>
          <w:i/>
          <w:iCs/>
          <w:color w:val="231F20"/>
          <w:spacing w:val="3"/>
        </w:rPr>
        <w:t>P</w:t>
      </w:r>
      <w:r>
        <w:rPr>
          <w:sz w:val="15"/>
          <w:szCs w:val="15"/>
          <w:color w:val="231F20"/>
          <w:spacing w:val="3"/>
        </w:rPr>
        <w:t>＜0.05</w:t>
      </w:r>
      <w:r>
        <w:rPr>
          <w:sz w:val="15"/>
          <w:szCs w:val="15"/>
          <w:color w:val="231F20"/>
          <w:spacing w:val="-24"/>
          <w:w w:val="61"/>
        </w:rPr>
        <w:t>）；</w:t>
      </w:r>
      <w:r>
        <w:rPr>
          <w:sz w:val="15"/>
          <w:szCs w:val="15"/>
          <w:color w:val="231F20"/>
          <w:spacing w:val="3"/>
        </w:rPr>
        <w:t>研究组不良反应发生率</w:t>
      </w:r>
      <w:r>
        <w:rPr>
          <w:sz w:val="15"/>
          <w:szCs w:val="15"/>
          <w:color w:val="231F20"/>
          <w:spacing w:val="2"/>
        </w:rPr>
        <w:t>（0.00%）明显低于对照组（18.92%</w:t>
      </w:r>
      <w:r>
        <w:rPr>
          <w:sz w:val="15"/>
          <w:szCs w:val="15"/>
          <w:color w:val="231F20"/>
          <w:spacing w:val="-24"/>
          <w:w w:val="61"/>
        </w:rPr>
        <w:t>），</w:t>
      </w:r>
      <w:r>
        <w:rPr>
          <w:sz w:val="15"/>
          <w:szCs w:val="15"/>
          <w:color w:val="231F20"/>
          <w:spacing w:val="2"/>
        </w:rPr>
        <w:t>差异有统计学意义（</w:t>
      </w:r>
      <w:r>
        <w:rPr>
          <w:sz w:val="16"/>
          <w:szCs w:val="16"/>
          <w:i/>
          <w:iCs/>
          <w:color w:val="231F20"/>
          <w:spacing w:val="2"/>
        </w:rPr>
        <w:t>P</w:t>
      </w:r>
      <w:r>
        <w:rPr>
          <w:sz w:val="15"/>
          <w:szCs w:val="15"/>
          <w:color w:val="231F20"/>
          <w:spacing w:val="2"/>
        </w:rPr>
        <w:t>＜0.05）。</w:t>
      </w:r>
      <w:r>
        <w:rPr>
          <w:sz w:val="15"/>
          <w:szCs w:val="15"/>
          <w:color w:val="231F20"/>
        </w:rPr>
        <w:t xml:space="preserve"> </w:t>
      </w:r>
      <w:r>
        <w:rPr>
          <w:rFonts w:ascii="SimHei" w:hAnsi="SimHei" w:eastAsia="SimHei" w:cs="SimHei"/>
          <w:sz w:val="15"/>
          <w:szCs w:val="15"/>
          <w:color w:val="231F20"/>
          <w:spacing w:val="8"/>
        </w:rPr>
        <w:t>结论</w:t>
      </w:r>
      <w:r>
        <w:rPr>
          <w:rFonts w:ascii="SimHei" w:hAnsi="SimHei" w:eastAsia="SimHei" w:cs="SimHei"/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8"/>
        </w:rPr>
        <w:t>急诊腹部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8"/>
        </w:rPr>
        <w:t>对急性肠系膜血管栓塞诊断精准且不良反应发生率较低，可为临床诊断</w:t>
      </w:r>
      <w:r>
        <w:rPr>
          <w:sz w:val="15"/>
          <w:szCs w:val="15"/>
          <w:color w:val="231F20"/>
          <w:spacing w:val="7"/>
        </w:rPr>
        <w:t>与治疗提供依据，具有十分重要的诊断价值。</w:t>
      </w:r>
    </w:p>
    <w:p>
      <w:pPr>
        <w:pStyle w:val="BodyText"/>
        <w:ind w:left="1035"/>
        <w:spacing w:line="206" w:lineRule="exact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-2"/>
          <w:position w:val="1"/>
        </w:rPr>
        <w:t>关键词：</w:t>
      </w:r>
      <w:r>
        <w:rPr>
          <w:sz w:val="15"/>
          <w:szCs w:val="15"/>
          <w:color w:val="231F20"/>
          <w:spacing w:val="-2"/>
          <w:position w:val="1"/>
        </w:rPr>
        <w:t>急诊；CT；急性肠系膜血管栓塞；诊断价值；不良反应</w:t>
      </w:r>
    </w:p>
    <w:p>
      <w:pPr>
        <w:spacing w:before="103"/>
        <w:rPr/>
      </w:pPr>
      <w:r/>
    </w:p>
    <w:p>
      <w:pPr>
        <w:sectPr>
          <w:headerReference w:type="default" r:id="rId1"/>
          <w:footerReference w:type="default" r:id="rId2"/>
          <w:pgSz w:w="11906" w:h="16838"/>
          <w:pgMar w:top="1341" w:right="1073" w:bottom="818" w:left="424" w:header="1037" w:footer="530" w:gutter="0"/>
          <w:cols w:equalWidth="0" w:num="1">
            <w:col w:w="10408" w:space="0"/>
          </w:cols>
        </w:sectPr>
        <w:rPr/>
      </w:pPr>
    </w:p>
    <w:p>
      <w:pPr>
        <w:pStyle w:val="BodyText"/>
        <w:ind w:left="716" w:right="253" w:firstLine="366"/>
        <w:spacing w:before="32" w:line="310" w:lineRule="auto"/>
        <w:jc w:val="both"/>
        <w:rPr/>
      </w:pPr>
      <w:r>
        <w:rPr>
          <w:color w:val="231F20"/>
          <w:spacing w:val="14"/>
        </w:rPr>
        <w:t>急性肠系膜血管栓塞指的是栓子进入肠系膜血管引起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7"/>
        </w:rPr>
        <w:t>肠系膜血管供血不足，肠壁肌肉功能障碍发生急性缺血性坏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死。该病急诊检查具有一定困难性，病情发展快，治疗不及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时可致死亡，因此，及时诊断具有重要作用。传统开腹探查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对机体伤害及不良反应较大，患者不易接受。随着临床诊断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水平的提高，</w:t>
      </w:r>
      <w:r>
        <w:rPr>
          <w:color w:val="231F20"/>
        </w:rPr>
        <w:t>CT</w:t>
      </w:r>
      <w:r>
        <w:rPr>
          <w:color w:val="231F20"/>
          <w:spacing w:val="7"/>
        </w:rPr>
        <w:t>在临床诊断中得到广泛应用，但关于腹部</w:t>
      </w:r>
      <w:r>
        <w:rPr>
          <w:color w:val="231F20"/>
        </w:rPr>
        <w:t>CT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5"/>
        </w:rPr>
        <w:t>检查的研究较少。基于此，本研究选取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5"/>
        </w:rPr>
        <w:t>2018</w:t>
      </w:r>
      <w:r>
        <w:rPr>
          <w:color w:val="231F20"/>
          <w:spacing w:val="-51"/>
        </w:rPr>
        <w:t xml:space="preserve"> </w:t>
      </w:r>
      <w:r>
        <w:rPr>
          <w:color w:val="231F20"/>
          <w:spacing w:val="5"/>
        </w:rPr>
        <w:t>年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5"/>
        </w:rPr>
        <w:t>12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5"/>
        </w:rPr>
        <w:t>月至</w:t>
      </w:r>
      <w:r>
        <w:rPr>
          <w:color w:val="231F20"/>
          <w:spacing w:val="-49"/>
        </w:rPr>
        <w:t xml:space="preserve"> </w:t>
      </w:r>
      <w:r>
        <w:rPr>
          <w:color w:val="231F20"/>
          <w:spacing w:val="5"/>
        </w:rPr>
        <w:t>2019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年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9"/>
        </w:rPr>
        <w:t>12</w:t>
      </w:r>
      <w:r>
        <w:rPr>
          <w:color w:val="231F20"/>
          <w:spacing w:val="-51"/>
        </w:rPr>
        <w:t xml:space="preserve"> </w:t>
      </w:r>
      <w:r>
        <w:rPr>
          <w:color w:val="231F20"/>
          <w:spacing w:val="9"/>
        </w:rPr>
        <w:t>月本院急诊部接收的</w:t>
      </w:r>
      <w:r>
        <w:rPr>
          <w:color w:val="231F20"/>
          <w:spacing w:val="-50"/>
        </w:rPr>
        <w:t xml:space="preserve"> </w:t>
      </w:r>
      <w:r>
        <w:rPr>
          <w:color w:val="231F20"/>
          <w:spacing w:val="9"/>
        </w:rPr>
        <w:t>74例急性肠系膜血管</w:t>
      </w:r>
      <w:r>
        <w:rPr>
          <w:color w:val="231F20"/>
          <w:spacing w:val="8"/>
        </w:rPr>
        <w:t>栓塞患者作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为研究对象，旨在探讨急诊腹部</w:t>
      </w:r>
      <w:r>
        <w:rPr>
          <w:color w:val="231F20"/>
          <w:spacing w:val="-33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50"/>
        </w:rPr>
        <w:t xml:space="preserve"> </w:t>
      </w:r>
      <w:r>
        <w:rPr>
          <w:color w:val="231F20"/>
          <w:spacing w:val="11"/>
        </w:rPr>
        <w:t>对急性肠系膜血管栓塞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的临床诊断价值，现报道如下。</w:t>
      </w:r>
    </w:p>
    <w:p>
      <w:pPr>
        <w:ind w:left="728"/>
        <w:spacing w:before="98" w:line="231" w:lineRule="exact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  <w:position w:val="1"/>
        </w:rPr>
        <w:t>1</w:t>
      </w:r>
      <w:r>
        <w:rPr>
          <w:rFonts w:ascii="SimHei" w:hAnsi="SimHei" w:eastAsia="SimHei" w:cs="SimHei"/>
          <w:sz w:val="17"/>
          <w:szCs w:val="17"/>
          <w:color w:val="231F20"/>
          <w:spacing w:val="30"/>
          <w:position w:val="1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5"/>
          <w:position w:val="1"/>
        </w:rPr>
        <w:t>资料与方法</w:t>
      </w:r>
    </w:p>
    <w:p>
      <w:pPr>
        <w:pStyle w:val="BodyText"/>
        <w:ind w:left="643" w:right="193" w:firstLine="86"/>
        <w:spacing w:before="159" w:line="310" w:lineRule="auto"/>
        <w:tabs>
          <w:tab w:val="left" w:pos="730"/>
        </w:tabs>
        <w:jc w:val="both"/>
        <w:rPr/>
      </w:pPr>
      <w:r>
        <w:rPr>
          <w:color w:val="231F20"/>
          <w:spacing w:val="8"/>
        </w:rPr>
        <w:t>1.1  临床资料  选取2018年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8"/>
        </w:rPr>
        <w:t>12</w:t>
      </w:r>
      <w:r>
        <w:rPr>
          <w:color w:val="231F20"/>
          <w:spacing w:val="-50"/>
        </w:rPr>
        <w:t xml:space="preserve"> </w:t>
      </w:r>
      <w:r>
        <w:rPr>
          <w:color w:val="231F20"/>
          <w:spacing w:val="8"/>
        </w:rPr>
        <w:t>月至2019年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7"/>
        </w:rPr>
        <w:t>12</w:t>
      </w:r>
      <w:r>
        <w:rPr>
          <w:color w:val="231F20"/>
          <w:spacing w:val="-50"/>
        </w:rPr>
        <w:t xml:space="preserve"> </w:t>
      </w:r>
      <w:r>
        <w:rPr>
          <w:color w:val="231F20"/>
          <w:spacing w:val="7"/>
        </w:rPr>
        <w:t>月本院急诊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部收治的急性肠系膜血管栓塞患者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15"/>
        </w:rPr>
        <w:t>74例作为研究对</w:t>
      </w:r>
      <w:r>
        <w:rPr>
          <w:color w:val="231F20"/>
          <w:spacing w:val="14"/>
        </w:rPr>
        <w:t>象。其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中持续性腹痛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2"/>
        </w:rPr>
        <w:t>30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2"/>
        </w:rPr>
        <w:t>例，初期阵发性，中期为持</w:t>
      </w:r>
      <w:r>
        <w:rPr>
          <w:color w:val="231F20"/>
          <w:spacing w:val="11"/>
        </w:rPr>
        <w:t>续性</w:t>
      </w:r>
      <w:r>
        <w:rPr>
          <w:color w:val="231F20"/>
          <w:spacing w:val="-50"/>
        </w:rPr>
        <w:t xml:space="preserve"> </w:t>
      </w:r>
      <w:r>
        <w:rPr>
          <w:color w:val="231F20"/>
          <w:spacing w:val="11"/>
        </w:rPr>
        <w:t>。疼痛位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置：上腹部41例，全腹痛33例。部分患者伴有恶心、腹</w:t>
      </w:r>
      <w:r>
        <w:rPr>
          <w:color w:val="231F20"/>
          <w:spacing w:val="2"/>
        </w:rPr>
        <w:t>泻、血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便症状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1"/>
        </w:rPr>
        <w:t>。20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1"/>
        </w:rPr>
        <w:t>例患者伴有压痛感、反跳痛；10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1"/>
        </w:rPr>
        <w:t>例仅为腹部压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痛，无反跳痛；15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8"/>
        </w:rPr>
        <w:t>例患者压痛无明显症状；10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8"/>
        </w:rPr>
        <w:t>例患者高热。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根据患者及家属意愿分为研究组与对照组，每组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3"/>
        </w:rPr>
        <w:t>37</w:t>
      </w:r>
      <w:r>
        <w:rPr>
          <w:color w:val="231F20"/>
          <w:spacing w:val="-49"/>
        </w:rPr>
        <w:t xml:space="preserve"> </w:t>
      </w:r>
      <w:r>
        <w:rPr>
          <w:color w:val="231F20"/>
          <w:spacing w:val="13"/>
        </w:rPr>
        <w:t>例。对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照组男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3"/>
        </w:rPr>
        <w:t>22例，女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3"/>
        </w:rPr>
        <w:t>15例；年龄</w:t>
      </w:r>
      <w:r>
        <w:rPr>
          <w:color w:val="231F20"/>
          <w:spacing w:val="-50"/>
        </w:rPr>
        <w:t xml:space="preserve"> </w:t>
      </w:r>
      <w:r>
        <w:rPr>
          <w:color w:val="231F20"/>
          <w:spacing w:val="-3"/>
        </w:rPr>
        <w:t>25～75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3"/>
        </w:rPr>
        <w:t>岁，平均（46.2±5.4）岁；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原发性高血压9例，风湿性心脏病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7"/>
        </w:rPr>
        <w:t>10例，脑梗死8例，肝硬化</w:t>
      </w:r>
      <w:r>
        <w:rPr>
          <w:color w:val="231F20"/>
        </w:rPr>
        <w:t xml:space="preserve"> </w:t>
      </w:r>
      <w:r>
        <w:rPr>
          <w:color w:val="231F20"/>
        </w:rPr>
        <w:tab/>
      </w:r>
      <w:r>
        <w:rPr>
          <w:color w:val="231F20"/>
          <w:spacing w:val="-6"/>
        </w:rPr>
        <w:t>10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6"/>
        </w:rPr>
        <w:t>例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6"/>
        </w:rPr>
        <w:t>。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6"/>
        </w:rPr>
        <w:t>研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6"/>
        </w:rPr>
        <w:t>究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6"/>
        </w:rPr>
        <w:t>组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6"/>
        </w:rPr>
        <w:t>男 14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6"/>
        </w:rPr>
        <w:t>例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-6"/>
        </w:rPr>
        <w:t>，女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6"/>
        </w:rPr>
        <w:t>23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6"/>
        </w:rPr>
        <w:t>例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6"/>
        </w:rPr>
        <w:t>；年</w:t>
      </w:r>
      <w:r>
        <w:rPr>
          <w:color w:val="231F20"/>
          <w:spacing w:val="-49"/>
        </w:rPr>
        <w:t xml:space="preserve"> </w:t>
      </w:r>
      <w:r>
        <w:rPr>
          <w:color w:val="231F20"/>
          <w:spacing w:val="-6"/>
        </w:rPr>
        <w:t>龄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6"/>
        </w:rPr>
        <w:t>24～78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岁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-7"/>
        </w:rPr>
        <w:t>，平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-7"/>
        </w:rPr>
        <w:t>均</w:t>
      </w:r>
      <w:r>
        <w:rPr>
          <w:color w:val="231F20"/>
        </w:rPr>
        <w:t xml:space="preserve"> </w:t>
      </w:r>
      <w:r>
        <w:rPr>
          <w:color w:val="231F20"/>
        </w:rPr>
        <w:t>（47.3±5.6）岁；原发性高血压8例，风湿性心脏病9例，脑梗 </w:t>
      </w:r>
      <w:r>
        <w:rPr>
          <w:color w:val="231F20"/>
          <w:spacing w:val="13"/>
        </w:rPr>
        <w:t>死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3"/>
        </w:rPr>
        <w:t>11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3"/>
        </w:rPr>
        <w:t>例，肝硬化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3"/>
        </w:rPr>
        <w:t>9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3"/>
        </w:rPr>
        <w:t>例。两组临床资料比较差异无统计学意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义，具有可比性。</w:t>
      </w:r>
    </w:p>
    <w:p>
      <w:pPr>
        <w:pStyle w:val="BodyText"/>
        <w:ind w:left="1078"/>
        <w:spacing w:line="228" w:lineRule="auto"/>
        <w:rPr/>
      </w:pPr>
      <w:r>
        <w:rPr>
          <w:color w:val="231F20"/>
          <w:spacing w:val="12"/>
        </w:rPr>
        <w:t>纳入标准：①经</w:t>
      </w:r>
      <w:r>
        <w:rPr>
          <w:color w:val="231F20"/>
        </w:rPr>
        <w:t>DSA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2"/>
        </w:rPr>
        <w:t>检查确诊为急性肠系膜血管栓塞；</w:t>
      </w:r>
    </w:p>
    <w:p>
      <w:pPr>
        <w:pStyle w:val="BodyText"/>
        <w:ind w:left="716" w:right="191" w:hanging="1"/>
        <w:spacing w:before="74" w:line="290" w:lineRule="auto"/>
        <w:rPr/>
      </w:pPr>
      <w:r>
        <w:rPr>
          <w:color w:val="231F20"/>
          <w:spacing w:val="-6"/>
        </w:rPr>
        <w:t>②伴有刀割样疼痛、绞痛、腹胀、呕吐、排便困难等现象；③患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9"/>
        </w:rPr>
        <w:t>者知情同意并签署知情同意书。排除标准：①精神性障碍、 </w:t>
      </w:r>
      <w:r>
        <w:rPr>
          <w:color w:val="231F20"/>
        </w:rPr>
        <w:t>语言交流障碍者；②中途退出者；③依从性不高者；④妊娠期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7"/>
        </w:rPr>
        <w:t>或哺乳期女性。</w:t>
      </w:r>
    </w:p>
    <w:p>
      <w:pPr>
        <w:pStyle w:val="BodyText"/>
        <w:ind w:left="717" w:right="253" w:firstLine="12"/>
        <w:spacing w:before="74" w:line="252" w:lineRule="auto"/>
        <w:rPr/>
      </w:pPr>
      <w:r>
        <w:rPr>
          <w:color w:val="231F20"/>
          <w:spacing w:val="9"/>
        </w:rPr>
        <w:t>1.2  方法  对照组检查前行麻醉，减</w:t>
      </w:r>
      <w:r>
        <w:rPr>
          <w:color w:val="231F20"/>
          <w:spacing w:val="8"/>
        </w:rPr>
        <w:t>缓不适确保手术有效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开展。于疼痛位置做切口，观察腹膜状态，清理残留物</w:t>
      </w:r>
      <w:r>
        <w:rPr>
          <w:color w:val="231F20"/>
          <w:spacing w:val="6"/>
        </w:rPr>
        <w:t>。剖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2" w:right="60"/>
        <w:spacing w:before="33" w:line="310" w:lineRule="auto"/>
        <w:jc w:val="both"/>
        <w:rPr/>
      </w:pPr>
      <w:r>
        <w:rPr>
          <w:color w:val="231F20"/>
          <w:spacing w:val="7"/>
        </w:rPr>
        <w:t>腹探查术：患者保持平卧位，确定病变位置。实验室检</w:t>
      </w:r>
      <w:r>
        <w:rPr>
          <w:color w:val="231F20"/>
          <w:spacing w:val="6"/>
        </w:rPr>
        <w:t>查包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括全血白细胞计数、血清C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8"/>
        </w:rPr>
        <w:t>反应蛋白、血清D-二聚体和尿淀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粉酶升高。</w:t>
      </w:r>
    </w:p>
    <w:p>
      <w:pPr>
        <w:pStyle w:val="BodyText"/>
        <w:ind w:left="71" w:firstLine="361"/>
        <w:spacing w:before="4" w:line="309" w:lineRule="auto"/>
        <w:jc w:val="both"/>
        <w:rPr/>
      </w:pPr>
      <w:r>
        <w:rPr>
          <w:color w:val="231F20"/>
          <w:spacing w:val="7"/>
        </w:rPr>
        <w:t>研究组行急诊腹部</w:t>
      </w:r>
      <w:r>
        <w:rPr>
          <w:color w:val="231F20"/>
        </w:rPr>
        <w:t>CT</w:t>
      </w:r>
      <w:r>
        <w:rPr>
          <w:color w:val="231F20"/>
          <w:spacing w:val="7"/>
        </w:rPr>
        <w:t>，患者呈仰卧位，足先进。引导患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者深吸气后屏气，扫描腹部薄层，由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0"/>
        </w:rPr>
        <w:t>T</w:t>
      </w:r>
      <w:r>
        <w:rPr>
          <w:sz w:val="9"/>
          <w:szCs w:val="9"/>
          <w:color w:val="231F20"/>
          <w:spacing w:val="10"/>
          <w:position w:val="-1"/>
        </w:rPr>
        <w:t>10</w:t>
      </w:r>
      <w:r>
        <w:rPr>
          <w:sz w:val="9"/>
          <w:szCs w:val="9"/>
          <w:color w:val="231F20"/>
          <w:spacing w:val="-15"/>
          <w:position w:val="-1"/>
        </w:rPr>
        <w:t xml:space="preserve"> </w:t>
      </w:r>
      <w:r>
        <w:rPr>
          <w:color w:val="231F20"/>
          <w:spacing w:val="10"/>
        </w:rPr>
        <w:t>椎体水平至髂嵴连</w:t>
      </w:r>
      <w:r>
        <w:rPr>
          <w:color w:val="231F20"/>
        </w:rPr>
        <w:t xml:space="preserve"> </w:t>
      </w:r>
      <w:r>
        <w:rPr>
          <w:color w:val="231F20"/>
        </w:rPr>
        <w:t>线。参数设定：管电压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120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kV，电流</w:t>
      </w:r>
      <w:r>
        <w:rPr>
          <w:color w:val="231F20"/>
          <w:spacing w:val="-33"/>
        </w:rPr>
        <w:t xml:space="preserve"> </w:t>
      </w:r>
      <w:r>
        <w:rPr>
          <w:color w:val="231F20"/>
        </w:rPr>
        <w:t>150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mA，扫面层厚</w:t>
      </w:r>
      <w:r>
        <w:rPr>
          <w:color w:val="231F20"/>
          <w:spacing w:val="-46"/>
        </w:rPr>
        <w:t xml:space="preserve"> </w:t>
      </w:r>
      <w:r>
        <w:rPr>
          <w:color w:val="231F20"/>
        </w:rPr>
        <w:t>6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mm， </w:t>
      </w:r>
      <w:r>
        <w:rPr>
          <w:color w:val="231F20"/>
          <w:spacing w:val="5"/>
        </w:rPr>
        <w:t>准直器宽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1.5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mm</w:t>
      </w:r>
      <w:r>
        <w:rPr>
          <w:color w:val="231F20"/>
          <w:spacing w:val="5"/>
        </w:rPr>
        <w:t>。造影剂：三代显碘比醇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5"/>
        </w:rPr>
        <w:t>90～100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mL</w:t>
      </w:r>
      <w:r>
        <w:rPr>
          <w:color w:val="231F20"/>
          <w:spacing w:val="5"/>
        </w:rPr>
        <w:t>，注射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速度每秒4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mL</w:t>
      </w:r>
      <w:r>
        <w:rPr>
          <w:color w:val="231F20"/>
          <w:spacing w:val="7"/>
        </w:rPr>
        <w:t>。</w:t>
      </w:r>
      <w:r>
        <w:rPr>
          <w:color w:val="231F20"/>
        </w:rPr>
        <w:t>ROI</w:t>
      </w:r>
      <w:r>
        <w:rPr>
          <w:color w:val="231F20"/>
          <w:spacing w:val="7"/>
        </w:rPr>
        <w:t>为降主动脉，自动触发阈值设置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7"/>
        </w:rPr>
        <w:t>120</w:t>
      </w:r>
      <w:r>
        <w:rPr>
          <w:color w:val="231F20"/>
          <w:spacing w:val="-35"/>
        </w:rPr>
        <w:t xml:space="preserve"> </w:t>
      </w:r>
      <w:r>
        <w:rPr>
          <w:color w:val="231F20"/>
        </w:rPr>
        <w:t>HU</w:t>
      </w:r>
      <w:r>
        <w:rPr>
          <w:color w:val="231F20"/>
          <w:spacing w:val="7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扫描后选择层厚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8"/>
        </w:rPr>
        <w:t>1</w:t>
      </w:r>
      <w:r>
        <w:rPr>
          <w:color w:val="231F20"/>
          <w:spacing w:val="-36"/>
        </w:rPr>
        <w:t xml:space="preserve"> </w:t>
      </w:r>
      <w:r>
        <w:rPr>
          <w:color w:val="231F20"/>
        </w:rPr>
        <w:t>mm</w:t>
      </w:r>
      <w:r>
        <w:rPr>
          <w:color w:val="231F20"/>
          <w:spacing w:val="8"/>
        </w:rPr>
        <w:t>，B30</w:t>
      </w:r>
      <w:r>
        <w:rPr>
          <w:color w:val="231F20"/>
        </w:rPr>
        <w:t>fmediumsmooth</w:t>
      </w:r>
      <w:r>
        <w:rPr>
          <w:color w:val="231F20"/>
          <w:spacing w:val="8"/>
        </w:rPr>
        <w:t>重建原始横断面薄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层图像上传，创建冠状面、矢状面、</w:t>
      </w:r>
      <w:r>
        <w:rPr>
          <w:color w:val="231F20"/>
        </w:rPr>
        <w:t>VR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6"/>
        </w:rPr>
        <w:t>血管成</w:t>
      </w:r>
      <w:r>
        <w:rPr>
          <w:color w:val="231F20"/>
          <w:spacing w:val="5"/>
        </w:rPr>
        <w:t>像。若病变位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置难以清楚展现，考虑是否需采用其他方法。</w:t>
      </w:r>
    </w:p>
    <w:p>
      <w:pPr>
        <w:pStyle w:val="BodyText"/>
        <w:ind w:left="73" w:right="60" w:firstLine="13"/>
        <w:spacing w:before="1" w:line="282" w:lineRule="auto"/>
        <w:rPr/>
      </w:pPr>
      <w:r>
        <w:rPr>
          <w:color w:val="231F20"/>
          <w:spacing w:val="9"/>
        </w:rPr>
        <w:t>1.3  观察指标  ①比较两组诊断精准</w:t>
      </w:r>
      <w:r>
        <w:rPr>
          <w:color w:val="231F20"/>
          <w:spacing w:val="8"/>
        </w:rPr>
        <w:t>率、检查时间、失血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量、检查费用；②比较两组并发症发生率，包括感染、高热、腹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7"/>
        </w:rPr>
        <w:t>腔内出血；③比较患者及家属对腹部的</w:t>
      </w:r>
      <w:r>
        <w:rPr>
          <w:color w:val="231F20"/>
        </w:rPr>
        <w:t>CT</w:t>
      </w:r>
      <w:r>
        <w:rPr>
          <w:color w:val="231F20"/>
          <w:spacing w:val="7"/>
        </w:rPr>
        <w:t>检查认识。</w:t>
      </w:r>
    </w:p>
    <w:p>
      <w:pPr>
        <w:pStyle w:val="BodyText"/>
        <w:ind w:left="72" w:right="5" w:firstLine="14"/>
        <w:spacing w:before="74" w:line="278" w:lineRule="auto"/>
        <w:rPr/>
      </w:pPr>
      <w:r>
        <w:pict>
          <v:shape id="_x0000_s6" style="position:absolute;margin-left:44.7202pt;margin-top:18.0451pt;mso-position-vertical-relative:text;mso-position-horizontal-relative:text;width:4pt;height:0.4pt;z-index:251658240;" filled="false" strokecolor="#231F20" strokeweight="0.37pt" coordsize="80,8" coordorigin="0,0" path="m0,3l79,3e">
            <v:stroke joinstyle="miter" miterlimit="4"/>
          </v:shape>
        </w:pict>
      </w:r>
      <w:r>
        <w:rPr>
          <w:color w:val="231F20"/>
          <w:spacing w:val="5"/>
        </w:rPr>
        <w:t>1.4  统计学方法  采用</w:t>
      </w:r>
      <w:r>
        <w:rPr>
          <w:color w:val="231F20"/>
        </w:rPr>
        <w:t>SPSS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22.0</w:t>
      </w:r>
      <w:r>
        <w:rPr>
          <w:color w:val="231F20"/>
          <w:spacing w:val="-50"/>
        </w:rPr>
        <w:t xml:space="preserve"> </w:t>
      </w:r>
      <w:r>
        <w:rPr>
          <w:color w:val="231F20"/>
          <w:spacing w:val="5"/>
        </w:rPr>
        <w:t>统计学软件分析数据，计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量资料以</w:t>
      </w:r>
      <w:r>
        <w:rPr>
          <w:color w:val="231F20"/>
          <w:spacing w:val="-8"/>
        </w:rPr>
        <w:t>“</w:t>
      </w:r>
      <w:r>
        <w:rPr>
          <w:rFonts w:ascii="Times New Roman" w:hAnsi="Times New Roman" w:eastAsia="Times New Roman" w:cs="Times New Roman"/>
          <w:i/>
          <w:iCs/>
          <w:color w:val="231F20"/>
          <w:spacing w:val="-8"/>
        </w:rPr>
        <w:t>x</w:t>
      </w:r>
      <w:r>
        <w:rPr>
          <w:rFonts w:ascii="Times New Roman" w:hAnsi="Times New Roman" w:eastAsia="Times New Roman" w:cs="Times New Roman"/>
          <w:i/>
          <w:iCs/>
          <w:color w:val="231F20"/>
        </w:rPr>
        <w:t xml:space="preserve"> </w:t>
      </w:r>
      <w:r>
        <w:rPr>
          <w:color w:val="231F20"/>
          <w:spacing w:val="-8"/>
        </w:rPr>
        <w:t>±</w:t>
      </w:r>
      <w:r>
        <w:rPr>
          <w:rFonts w:ascii="Times New Roman" w:hAnsi="Times New Roman" w:eastAsia="Times New Roman" w:cs="Times New Roman"/>
          <w:i/>
          <w:iCs/>
          <w:color w:val="231F20"/>
          <w:spacing w:val="-8"/>
        </w:rPr>
        <w:t>s</w:t>
      </w:r>
      <w:r>
        <w:rPr>
          <w:color w:val="231F20"/>
          <w:spacing w:val="-8"/>
        </w:rPr>
        <w:t>”表示，采用</w:t>
      </w:r>
      <w:r>
        <w:rPr>
          <w:color w:val="231F20"/>
          <w:spacing w:val="-37"/>
        </w:rPr>
        <w:t xml:space="preserve"> </w:t>
      </w:r>
      <w:r>
        <w:rPr>
          <w:sz w:val="18"/>
          <w:szCs w:val="18"/>
          <w:i/>
          <w:iCs/>
          <w:color w:val="231F20"/>
          <w:spacing w:val="-8"/>
        </w:rPr>
        <w:t>t</w:t>
      </w:r>
      <w:r>
        <w:rPr>
          <w:color w:val="231F20"/>
          <w:spacing w:val="-8"/>
        </w:rPr>
        <w:t>检验，计数资料以[</w:t>
      </w:r>
      <w:r>
        <w:rPr>
          <w:rFonts w:ascii="Times New Roman" w:hAnsi="Times New Roman" w:eastAsia="Times New Roman" w:cs="Times New Roman"/>
          <w:i/>
          <w:iCs/>
          <w:color w:val="231F20"/>
          <w:spacing w:val="-8"/>
        </w:rPr>
        <w:t>n</w:t>
      </w:r>
      <w:r>
        <w:rPr>
          <w:color w:val="231F20"/>
          <w:spacing w:val="-8"/>
        </w:rPr>
        <w:t>（%）]表示，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采用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5"/>
        </w:rPr>
        <w:t>c</w:t>
      </w:r>
      <w:r>
        <w:rPr>
          <w:sz w:val="9"/>
          <w:szCs w:val="9"/>
          <w:color w:val="231F20"/>
          <w:spacing w:val="5"/>
          <w:position w:val="7"/>
        </w:rPr>
        <w:t>2</w:t>
      </w:r>
      <w:r>
        <w:rPr>
          <w:sz w:val="9"/>
          <w:szCs w:val="9"/>
          <w:color w:val="231F20"/>
          <w:spacing w:val="-26"/>
          <w:position w:val="7"/>
        </w:rPr>
        <w:t xml:space="preserve"> </w:t>
      </w:r>
      <w:r>
        <w:rPr>
          <w:color w:val="231F20"/>
          <w:spacing w:val="5"/>
        </w:rPr>
        <w:t>检验，以</w:t>
      </w:r>
      <w:r>
        <w:rPr>
          <w:color w:val="231F20"/>
          <w:spacing w:val="-47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P</w:t>
      </w:r>
      <w:r>
        <w:rPr>
          <w:color w:val="231F20"/>
          <w:spacing w:val="5"/>
        </w:rPr>
        <w:t>＜0.05为差异有统计</w:t>
      </w:r>
      <w:r>
        <w:rPr>
          <w:color w:val="231F20"/>
          <w:spacing w:val="4"/>
        </w:rPr>
        <w:t>学意义。</w:t>
      </w:r>
    </w:p>
    <w:p>
      <w:pPr>
        <w:ind w:left="71"/>
        <w:spacing w:before="156" w:line="236" w:lineRule="exact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  <w:position w:val="1"/>
        </w:rPr>
        <w:t>2</w:t>
      </w:r>
      <w:r>
        <w:rPr>
          <w:rFonts w:ascii="SimHei" w:hAnsi="SimHei" w:eastAsia="SimHei" w:cs="SimHei"/>
          <w:sz w:val="17"/>
          <w:szCs w:val="17"/>
          <w:color w:val="231F20"/>
          <w:spacing w:val="28"/>
          <w:position w:val="1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5"/>
          <w:position w:val="1"/>
        </w:rPr>
        <w:t>结果</w:t>
      </w:r>
    </w:p>
    <w:p>
      <w:pPr>
        <w:pStyle w:val="BodyText"/>
        <w:ind w:left="73" w:right="60" w:firstLine="2"/>
        <w:spacing w:before="160" w:line="279" w:lineRule="auto"/>
        <w:rPr/>
      </w:pPr>
      <w:r>
        <w:rPr>
          <w:color w:val="231F20"/>
          <w:spacing w:val="12"/>
        </w:rPr>
        <w:t>2.1  两组诊断结果比较  研究组诊断精准率高于对照组,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检查时间短于对照组，失血量少于对照组，检查费用低</w:t>
      </w:r>
      <w:r>
        <w:rPr>
          <w:color w:val="231F20"/>
          <w:spacing w:val="6"/>
        </w:rPr>
        <w:t>于对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照组，差异均有统计学意义（</w:t>
      </w:r>
      <w:r>
        <w:rPr>
          <w:sz w:val="18"/>
          <w:szCs w:val="18"/>
          <w:i/>
          <w:iCs/>
          <w:color w:val="231F20"/>
          <w:spacing w:val="2"/>
        </w:rPr>
        <w:t>P</w:t>
      </w:r>
      <w:r>
        <w:rPr>
          <w:color w:val="231F20"/>
          <w:spacing w:val="2"/>
        </w:rPr>
        <w:t>＜0.05</w:t>
      </w:r>
      <w:r>
        <w:rPr>
          <w:color w:val="231F20"/>
          <w:spacing w:val="-27"/>
          <w:w w:val="61"/>
        </w:rPr>
        <w:t>），</w:t>
      </w:r>
      <w:r>
        <w:rPr>
          <w:color w:val="231F20"/>
          <w:spacing w:val="2"/>
        </w:rPr>
        <w:t>见表1。</w:t>
      </w:r>
    </w:p>
    <w:p>
      <w:pPr>
        <w:pStyle w:val="BodyText"/>
        <w:ind w:right="60" w:firstLine="75"/>
        <w:spacing w:before="69" w:line="264" w:lineRule="auto"/>
        <w:rPr/>
      </w:pPr>
      <w:r>
        <w:rPr>
          <w:color w:val="231F20"/>
          <w:spacing w:val="15"/>
        </w:rPr>
        <w:t>2.2  两组不良反应发生率比较  研究组不良反应发生率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5"/>
        </w:rPr>
        <w:t>（0.00%）明显低于对照组（18.92%</w:t>
      </w:r>
      <w:r>
        <w:rPr>
          <w:color w:val="231F20"/>
          <w:spacing w:val="-28"/>
          <w:w w:val="62"/>
        </w:rPr>
        <w:t>），</w:t>
      </w:r>
      <w:r>
        <w:rPr>
          <w:color w:val="231F20"/>
          <w:spacing w:val="5"/>
        </w:rPr>
        <w:t>差异有统计学意</w:t>
      </w:r>
      <w:r>
        <w:rPr>
          <w:color w:val="231F20"/>
          <w:spacing w:val="4"/>
        </w:rPr>
        <w:t>义（</w:t>
      </w:r>
      <w:r>
        <w:rPr>
          <w:sz w:val="18"/>
          <w:szCs w:val="18"/>
          <w:i/>
          <w:iCs/>
          <w:color w:val="231F20"/>
          <w:spacing w:val="4"/>
        </w:rPr>
        <w:t>P</w:t>
      </w:r>
      <w:r>
        <w:rPr>
          <w:color w:val="231F20"/>
          <w:spacing w:val="4"/>
        </w:rPr>
        <w:t>&lt;</w:t>
      </w:r>
    </w:p>
    <w:p>
      <w:pPr>
        <w:pStyle w:val="BodyText"/>
        <w:ind w:left="74"/>
        <w:spacing w:before="70" w:line="230" w:lineRule="auto"/>
        <w:rPr/>
      </w:pPr>
      <w:r>
        <w:rPr>
          <w:color w:val="231F20"/>
          <w:spacing w:val="11"/>
        </w:rPr>
        <w:t>0.05</w:t>
      </w:r>
      <w:r>
        <w:rPr>
          <w:color w:val="231F20"/>
          <w:spacing w:val="-27"/>
          <w:w w:val="60"/>
        </w:rPr>
        <w:t>），</w:t>
      </w:r>
      <w:r>
        <w:rPr>
          <w:color w:val="231F20"/>
          <w:spacing w:val="11"/>
        </w:rPr>
        <w:t>见表2。</w:t>
      </w:r>
    </w:p>
    <w:p>
      <w:pPr>
        <w:pStyle w:val="BodyText"/>
        <w:ind w:left="72" w:right="60" w:firstLine="2"/>
        <w:spacing w:before="75" w:line="296" w:lineRule="auto"/>
        <w:rPr/>
      </w:pPr>
      <w:r>
        <w:rPr>
          <w:color w:val="231F20"/>
          <w:spacing w:val="13"/>
        </w:rPr>
        <w:t>2.3  患者及家属对腹部</w:t>
      </w:r>
      <w:r>
        <w:rPr>
          <w:color w:val="231F20"/>
          <w:spacing w:val="-40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13"/>
        </w:rPr>
        <w:t>检查认识  对照组患者及家属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对腹部</w:t>
      </w:r>
      <w:r>
        <w:rPr>
          <w:color w:val="231F20"/>
        </w:rPr>
        <w:t>CT</w:t>
      </w:r>
      <w:r>
        <w:rPr>
          <w:color w:val="231F20"/>
          <w:spacing w:val="7"/>
        </w:rPr>
        <w:t>缺少认知，普遍认为两种诊断效果一致，无需选择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2"/>
        </w:rPr>
        <w:t>腹部</w:t>
      </w:r>
      <w:r>
        <w:rPr>
          <w:color w:val="231F20"/>
        </w:rPr>
        <w:t>CT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2"/>
        </w:rPr>
        <w:t>检查；研究组患者及家属认为急诊腹部</w:t>
      </w:r>
      <w:r>
        <w:rPr>
          <w:color w:val="231F20"/>
        </w:rPr>
        <w:t>CT</w:t>
      </w:r>
      <w:r>
        <w:rPr>
          <w:color w:val="231F20"/>
          <w:spacing w:val="-51"/>
        </w:rPr>
        <w:t xml:space="preserve"> </w:t>
      </w:r>
      <w:r>
        <w:rPr>
          <w:color w:val="231F20"/>
          <w:spacing w:val="12"/>
        </w:rPr>
        <w:t>精准性更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高且机体损伤小，能为医生确诊与治疗提供更加可靠的依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据，因此，有必要选择腹部</w:t>
      </w:r>
      <w:r>
        <w:rPr>
          <w:color w:val="231F20"/>
        </w:rPr>
        <w:t>CT</w:t>
      </w:r>
      <w:r>
        <w:rPr>
          <w:color w:val="231F20"/>
          <w:spacing w:val="7"/>
        </w:rPr>
        <w:t>检查。表明患者选择何种检查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1"/>
        </w:rPr>
        <w:t>方法70%取决于患者及家属对腹部</w:t>
      </w:r>
      <w:r>
        <w:rPr>
          <w:color w:val="231F20"/>
        </w:rPr>
        <w:t>CT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1"/>
        </w:rPr>
        <w:t>的认知程度。</w:t>
      </w:r>
    </w:p>
    <w:p>
      <w:pPr>
        <w:spacing w:line="296" w:lineRule="auto"/>
        <w:sectPr>
          <w:type w:val="continuous"/>
          <w:pgSz w:w="11906" w:h="16838"/>
          <w:pgMar w:top="1341" w:right="1073" w:bottom="818" w:left="424" w:header="1037" w:footer="530" w:gutter="0"/>
          <w:cols w:equalWidth="0" w:num="2">
            <w:col w:w="5573" w:space="100"/>
            <w:col w:w="4736" w:space="0"/>
          </w:cols>
        </w:sectPr>
        <w:rPr/>
      </w:pPr>
    </w:p>
    <w:p>
      <w:pPr>
        <w:pStyle w:val="BodyText"/>
        <w:ind w:left="4684"/>
        <w:spacing w:before="244" w:line="232" w:lineRule="auto"/>
        <w:outlineLvl w:val="0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表</w:t>
      </w:r>
      <w:r>
        <w:rPr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6"/>
        </w:rPr>
        <w:t>1  两组诊断结果比较</w:t>
      </w:r>
    </w:p>
    <w:p>
      <w:pPr>
        <w:spacing w:line="72" w:lineRule="exact"/>
        <w:rPr/>
      </w:pPr>
      <w:r/>
    </w:p>
    <w:tbl>
      <w:tblPr>
        <w:tblStyle w:val="TableNormal"/>
        <w:tblW w:w="9637" w:type="dxa"/>
        <w:tblInd w:w="70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55"/>
        <w:gridCol w:w="1229"/>
        <w:gridCol w:w="1875"/>
        <w:gridCol w:w="1739"/>
        <w:gridCol w:w="1638"/>
        <w:gridCol w:w="1701"/>
      </w:tblGrid>
      <w:tr>
        <w:trPr>
          <w:trHeight w:val="242" w:hRule="atLeast"/>
        </w:trPr>
        <w:tc>
          <w:tcPr>
            <w:tcW w:w="1455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8"/>
              <w:spacing w:before="38" w:line="233" w:lineRule="auto"/>
              <w:rPr/>
            </w:pPr>
            <w:r>
              <w:rPr>
                <w:color w:val="231F20"/>
                <w:spacing w:val="5"/>
              </w:rPr>
              <w:t>组别</w:t>
            </w:r>
          </w:p>
        </w:tc>
        <w:tc>
          <w:tcPr>
            <w:tcW w:w="1229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574"/>
              <w:spacing w:before="38" w:line="232" w:lineRule="auto"/>
              <w:rPr/>
            </w:pPr>
            <w:r>
              <w:rPr>
                <w:color w:val="231F20"/>
                <w:spacing w:val="6"/>
              </w:rPr>
              <w:t>例数</w:t>
            </w:r>
          </w:p>
        </w:tc>
        <w:tc>
          <w:tcPr>
            <w:tcW w:w="1875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349"/>
              <w:spacing w:before="33" w:line="198" w:lineRule="exact"/>
              <w:rPr/>
            </w:pPr>
            <w:r>
              <w:rPr>
                <w:color w:val="231F20"/>
                <w:spacing w:val="-7"/>
                <w:position w:val="1"/>
              </w:rPr>
              <w:t>诊断精准率[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7"/>
                <w:position w:val="1"/>
              </w:rPr>
              <w:t>n</w:t>
            </w:r>
            <w:r>
              <w:rPr>
                <w:color w:val="231F20"/>
                <w:spacing w:val="-7"/>
                <w:position w:val="1"/>
              </w:rPr>
              <w:t>（%）]</w:t>
            </w:r>
          </w:p>
        </w:tc>
        <w:tc>
          <w:tcPr>
            <w:tcW w:w="1739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285"/>
              <w:spacing w:before="38" w:line="232" w:lineRule="auto"/>
              <w:rPr/>
            </w:pPr>
            <w:r>
              <w:rPr>
                <w:color w:val="231F20"/>
                <w:spacing w:val="-3"/>
              </w:rPr>
              <w:t>检查时间（min）</w:t>
            </w:r>
          </w:p>
        </w:tc>
        <w:tc>
          <w:tcPr>
            <w:tcW w:w="1638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475"/>
              <w:spacing w:before="38" w:line="233" w:lineRule="auto"/>
              <w:rPr/>
            </w:pPr>
            <w:r>
              <w:rPr>
                <w:color w:val="231F20"/>
                <w:spacing w:val="-6"/>
              </w:rPr>
              <w:t>失血量（mL）</w:t>
            </w:r>
          </w:p>
        </w:tc>
        <w:tc>
          <w:tcPr>
            <w:tcW w:w="1701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345"/>
              <w:spacing w:before="38" w:line="232" w:lineRule="auto"/>
              <w:rPr/>
            </w:pPr>
            <w:r>
              <w:rPr>
                <w:color w:val="231F20"/>
                <w:spacing w:val="-3"/>
              </w:rPr>
              <w:t>检查费用（千元）</w:t>
            </w:r>
          </w:p>
        </w:tc>
      </w:tr>
      <w:tr>
        <w:trPr>
          <w:trHeight w:val="241" w:hRule="atLeast"/>
        </w:trPr>
        <w:tc>
          <w:tcPr>
            <w:tcW w:w="145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"/>
              <w:spacing w:before="40" w:line="231" w:lineRule="auto"/>
              <w:rPr/>
            </w:pPr>
            <w:r>
              <w:rPr>
                <w:color w:val="231F20"/>
                <w:spacing w:val="7"/>
              </w:rPr>
              <w:t>研究组</w:t>
            </w:r>
          </w:p>
        </w:tc>
        <w:tc>
          <w:tcPr>
            <w:tcW w:w="122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57"/>
              <w:spacing w:before="40" w:line="234" w:lineRule="auto"/>
              <w:rPr/>
            </w:pPr>
            <w:r>
              <w:rPr>
                <w:color w:val="231F20"/>
              </w:rPr>
              <w:t>37</w:t>
            </w:r>
          </w:p>
        </w:tc>
        <w:tc>
          <w:tcPr>
            <w:tcW w:w="187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31"/>
              <w:spacing w:before="40" w:line="234" w:lineRule="auto"/>
              <w:rPr/>
            </w:pPr>
            <w:r>
              <w:rPr>
                <w:color w:val="231F20"/>
                <w:spacing w:val="-5"/>
              </w:rPr>
              <w:t>36（97.30）</w:t>
            </w:r>
          </w:p>
        </w:tc>
        <w:tc>
          <w:tcPr>
            <w:tcW w:w="173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67"/>
              <w:spacing w:before="40" w:line="234" w:lineRule="auto"/>
              <w:rPr/>
            </w:pPr>
            <w:r>
              <w:rPr>
                <w:color w:val="231F20"/>
                <w:spacing w:val="4"/>
              </w:rPr>
              <w:t>20.45±5.14</w:t>
            </w:r>
          </w:p>
        </w:tc>
        <w:tc>
          <w:tcPr>
            <w:tcW w:w="163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32"/>
              <w:spacing w:before="40" w:line="234" w:lineRule="auto"/>
              <w:rPr/>
            </w:pPr>
            <w:r>
              <w:rPr>
                <w:color w:val="231F20"/>
              </w:rPr>
              <w:t>0</w:t>
            </w:r>
          </w:p>
        </w:tc>
        <w:tc>
          <w:tcPr>
            <w:tcW w:w="170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06"/>
              <w:spacing w:before="40" w:line="234" w:lineRule="auto"/>
              <w:rPr/>
            </w:pPr>
            <w:r>
              <w:rPr>
                <w:color w:val="231F20"/>
                <w:spacing w:val="4"/>
              </w:rPr>
              <w:t>0.71±0.21</w:t>
            </w:r>
          </w:p>
        </w:tc>
      </w:tr>
      <w:tr>
        <w:trPr>
          <w:trHeight w:val="249" w:hRule="atLeast"/>
        </w:trPr>
        <w:tc>
          <w:tcPr>
            <w:tcW w:w="1455" w:type="dxa"/>
            <w:vAlign w:val="top"/>
          </w:tcPr>
          <w:p>
            <w:pPr>
              <w:pStyle w:val="TableText"/>
              <w:ind w:left="5"/>
              <w:spacing w:before="49" w:line="233" w:lineRule="auto"/>
              <w:rPr/>
            </w:pPr>
            <w:r>
              <w:rPr>
                <w:color w:val="231F20"/>
                <w:spacing w:val="8"/>
              </w:rPr>
              <w:t>对照组</w:t>
            </w:r>
          </w:p>
        </w:tc>
        <w:tc>
          <w:tcPr>
            <w:tcW w:w="122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657"/>
              <w:spacing w:before="49" w:line="233" w:lineRule="auto"/>
              <w:rPr/>
            </w:pPr>
            <w:r>
              <w:rPr>
                <w:color w:val="231F20"/>
              </w:rPr>
              <w:t>37</w:t>
            </w:r>
          </w:p>
        </w:tc>
        <w:tc>
          <w:tcPr>
            <w:tcW w:w="187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631"/>
              <w:spacing w:before="49" w:line="233" w:lineRule="auto"/>
              <w:rPr/>
            </w:pPr>
            <w:r>
              <w:rPr>
                <w:color w:val="231F20"/>
                <w:spacing w:val="-5"/>
              </w:rPr>
              <w:t>30（81.08）</w:t>
            </w:r>
          </w:p>
        </w:tc>
        <w:tc>
          <w:tcPr>
            <w:tcW w:w="173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68"/>
              <w:spacing w:before="49" w:line="233" w:lineRule="auto"/>
              <w:rPr/>
            </w:pPr>
            <w:r>
              <w:rPr>
                <w:color w:val="231F20"/>
                <w:spacing w:val="4"/>
              </w:rPr>
              <w:t>56.11±10.25</w:t>
            </w:r>
          </w:p>
        </w:tc>
        <w:tc>
          <w:tcPr>
            <w:tcW w:w="163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30"/>
              <w:spacing w:before="49" w:line="233" w:lineRule="auto"/>
              <w:rPr/>
            </w:pPr>
            <w:r>
              <w:rPr>
                <w:color w:val="231F20"/>
                <w:spacing w:val="4"/>
              </w:rPr>
              <w:t>47.25±2.03</w:t>
            </w:r>
          </w:p>
        </w:tc>
        <w:tc>
          <w:tcPr>
            <w:tcW w:w="170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516"/>
              <w:spacing w:before="49" w:line="233" w:lineRule="auto"/>
              <w:rPr/>
            </w:pPr>
            <w:r>
              <w:rPr>
                <w:color w:val="231F20"/>
                <w:spacing w:val="3"/>
              </w:rPr>
              <w:t>1.41±0.51</w:t>
            </w:r>
          </w:p>
        </w:tc>
      </w:tr>
      <w:tr>
        <w:trPr>
          <w:trHeight w:val="250" w:hRule="atLeast"/>
        </w:trPr>
        <w:tc>
          <w:tcPr>
            <w:tcW w:w="1455" w:type="dxa"/>
            <w:vAlign w:val="top"/>
          </w:tcPr>
          <w:p>
            <w:pPr>
              <w:pStyle w:val="TableText"/>
              <w:ind w:left="26"/>
              <w:spacing w:before="45" w:line="225" w:lineRule="auto"/>
              <w:rPr/>
            </w:pPr>
            <w:r>
              <w:rPr>
                <w:sz w:val="16"/>
                <w:szCs w:val="16"/>
                <w:i/>
                <w:iCs/>
                <w:color w:val="231F20"/>
                <w:spacing w:val="-2"/>
              </w:rPr>
              <w:t>t</w:t>
            </w:r>
            <w:r>
              <w:rPr>
                <w:color w:val="231F20"/>
                <w:spacing w:val="-2"/>
              </w:rPr>
              <w:t>/</w:t>
            </w:r>
            <w:r>
              <w:rPr>
                <w:rFonts w:ascii="Arial" w:hAnsi="Arial" w:eastAsia="Arial" w:cs="Arial"/>
                <w:sz w:val="16"/>
                <w:szCs w:val="16"/>
                <w:i/>
                <w:iCs/>
                <w:spacing w:val="-2"/>
              </w:rPr>
              <w:t>c</w:t>
            </w:r>
            <w:r>
              <w:rPr>
                <w:sz w:val="8"/>
                <w:szCs w:val="8"/>
                <w:spacing w:val="-2"/>
                <w:position w:val="5"/>
              </w:rPr>
              <w:t>2</w:t>
            </w:r>
            <w:r>
              <w:rPr>
                <w:sz w:val="8"/>
                <w:szCs w:val="8"/>
                <w:spacing w:val="-22"/>
                <w:position w:val="5"/>
              </w:rPr>
              <w:t xml:space="preserve"> </w:t>
            </w:r>
            <w:r>
              <w:rPr>
                <w:color w:val="231F20"/>
                <w:spacing w:val="-2"/>
              </w:rPr>
              <w:t>值</w:t>
            </w:r>
          </w:p>
        </w:tc>
        <w:tc>
          <w:tcPr>
            <w:tcW w:w="1229" w:type="dxa"/>
            <w:vAlign w:val="top"/>
            <w:tcBorders>
              <w:top w:val="single" w:color="000000" w:sz="2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87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31"/>
              <w:spacing w:before="45"/>
              <w:rPr/>
            </w:pPr>
            <w:r>
              <w:rPr>
                <w:color w:val="231F20"/>
                <w:spacing w:val="2"/>
              </w:rPr>
              <w:t>5.04</w:t>
            </w:r>
          </w:p>
        </w:tc>
        <w:tc>
          <w:tcPr>
            <w:tcW w:w="173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17"/>
              <w:spacing w:before="45"/>
              <w:rPr/>
            </w:pPr>
            <w:r>
              <w:rPr>
                <w:color w:val="231F20"/>
                <w:spacing w:val="1"/>
              </w:rPr>
              <w:t>18.92</w:t>
            </w:r>
          </w:p>
        </w:tc>
        <w:tc>
          <w:tcPr>
            <w:tcW w:w="163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43"/>
              <w:spacing w:before="45"/>
              <w:rPr/>
            </w:pPr>
            <w:r>
              <w:rPr>
                <w:color w:val="231F20"/>
                <w:spacing w:val="1"/>
              </w:rPr>
              <w:t>141.58</w:t>
            </w:r>
          </w:p>
        </w:tc>
        <w:tc>
          <w:tcPr>
            <w:tcW w:w="170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48"/>
              <w:spacing w:before="45"/>
              <w:rPr/>
            </w:pPr>
            <w:r>
              <w:rPr>
                <w:color w:val="231F20"/>
                <w:spacing w:val="2"/>
              </w:rPr>
              <w:t>7.72</w:t>
            </w:r>
          </w:p>
        </w:tc>
      </w:tr>
      <w:tr>
        <w:trPr>
          <w:trHeight w:val="245" w:hRule="atLeast"/>
        </w:trPr>
        <w:tc>
          <w:tcPr>
            <w:tcW w:w="145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0"/>
              <w:spacing w:before="44" w:line="220" w:lineRule="auto"/>
              <w:rPr/>
            </w:pPr>
            <w:r>
              <w:rPr>
                <w:sz w:val="16"/>
                <w:szCs w:val="16"/>
                <w:i/>
                <w:iCs/>
                <w:color w:val="231F20"/>
                <w:spacing w:val="4"/>
              </w:rPr>
              <w:t>P</w:t>
            </w:r>
            <w:r>
              <w:rPr>
                <w:color w:val="231F20"/>
                <w:spacing w:val="4"/>
              </w:rPr>
              <w:t>值</w:t>
            </w:r>
          </w:p>
        </w:tc>
        <w:tc>
          <w:tcPr>
            <w:tcW w:w="1229" w:type="dxa"/>
            <w:vAlign w:val="top"/>
            <w:tcBorders>
              <w:bottom w:val="single" w:color="000000" w:sz="4" w:space="0"/>
            </w:tcBorders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  <w:tc>
          <w:tcPr>
            <w:tcW w:w="187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829"/>
              <w:spacing w:before="44" w:line="235" w:lineRule="auto"/>
              <w:rPr/>
            </w:pPr>
            <w:r>
              <w:rPr>
                <w:color w:val="231F20"/>
                <w:spacing w:val="3"/>
              </w:rPr>
              <w:t>0.02</w:t>
            </w:r>
          </w:p>
        </w:tc>
        <w:tc>
          <w:tcPr>
            <w:tcW w:w="173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686"/>
              <w:spacing w:before="44" w:line="235" w:lineRule="auto"/>
              <w:rPr/>
            </w:pPr>
            <w:r>
              <w:rPr>
                <w:color w:val="231F20"/>
                <w:spacing w:val="3"/>
              </w:rPr>
              <w:t>0.00</w:t>
            </w:r>
          </w:p>
        </w:tc>
        <w:tc>
          <w:tcPr>
            <w:tcW w:w="163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792"/>
              <w:spacing w:before="44" w:line="235" w:lineRule="auto"/>
              <w:rPr/>
            </w:pPr>
            <w:r>
              <w:rPr>
                <w:color w:val="231F20"/>
                <w:spacing w:val="3"/>
              </w:rPr>
              <w:t>0.00</w:t>
            </w:r>
          </w:p>
        </w:tc>
        <w:tc>
          <w:tcPr>
            <w:tcW w:w="170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746"/>
              <w:spacing w:before="44" w:line="235" w:lineRule="auto"/>
              <w:rPr/>
            </w:pPr>
            <w:r>
              <w:rPr>
                <w:color w:val="231F20"/>
                <w:spacing w:val="3"/>
              </w:rPr>
              <w:t>0.00</w:t>
            </w:r>
          </w:p>
        </w:tc>
      </w:tr>
    </w:tbl>
    <w:p>
      <w:pPr>
        <w:spacing w:line="163" w:lineRule="exact"/>
        <w:rPr>
          <w:rFonts w:ascii="Arial"/>
          <w:sz w:val="14"/>
        </w:rPr>
      </w:pPr>
      <w:r/>
    </w:p>
    <w:p>
      <w:pPr>
        <w:spacing w:line="163" w:lineRule="exact"/>
        <w:sectPr>
          <w:headerReference w:type="default" r:id="rId3"/>
          <w:footerReference w:type="default" r:id="rId4"/>
          <w:pgSz w:w="11906" w:h="16838"/>
          <w:pgMar w:top="1341" w:right="1133" w:bottom="354" w:left="424" w:header="1037" w:footer="0" w:gutter="0"/>
          <w:cols w:equalWidth="0" w:num="1">
            <w:col w:w="10348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pStyle w:val="BodyText"/>
        <w:ind w:left="1689"/>
        <w:spacing w:before="35" w:line="205" w:lineRule="exact"/>
        <w:outlineLvl w:val="0"/>
        <w:rPr>
          <w:sz w:val="15"/>
          <w:szCs w:val="15"/>
        </w:rPr>
      </w:pPr>
      <w:r>
        <w:rPr>
          <w:sz w:val="15"/>
          <w:szCs w:val="15"/>
          <w:color w:val="231F20"/>
          <w:spacing w:val="1"/>
          <w:position w:val="1"/>
        </w:rPr>
        <w:t>表2  两组不良反应发生率比较[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1"/>
          <w:position w:val="1"/>
        </w:rPr>
        <w:t>n</w:t>
      </w:r>
      <w:r>
        <w:rPr>
          <w:sz w:val="15"/>
          <w:szCs w:val="15"/>
          <w:color w:val="231F20"/>
          <w:spacing w:val="1"/>
          <w:position w:val="1"/>
        </w:rPr>
        <w:t>（%）]</w:t>
      </w:r>
    </w:p>
    <w:p>
      <w:pPr>
        <w:spacing w:line="61" w:lineRule="exact"/>
        <w:rPr/>
      </w:pPr>
      <w:r/>
    </w:p>
    <w:tbl>
      <w:tblPr>
        <w:tblStyle w:val="TableNormal"/>
        <w:tblW w:w="4592" w:type="dxa"/>
        <w:tblInd w:w="71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30"/>
        <w:gridCol w:w="735"/>
        <w:gridCol w:w="850"/>
        <w:gridCol w:w="756"/>
        <w:gridCol w:w="945"/>
        <w:gridCol w:w="776"/>
      </w:tblGrid>
      <w:tr>
        <w:trPr>
          <w:trHeight w:val="242" w:hRule="atLeast"/>
        </w:trPr>
        <w:tc>
          <w:tcPr>
            <w:tcW w:w="530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8"/>
              <w:spacing w:before="38" w:line="233" w:lineRule="auto"/>
              <w:rPr/>
            </w:pPr>
            <w:r>
              <w:rPr>
                <w:color w:val="231F20"/>
                <w:spacing w:val="5"/>
              </w:rPr>
              <w:t>组别</w:t>
            </w:r>
          </w:p>
        </w:tc>
        <w:tc>
          <w:tcPr>
            <w:tcW w:w="735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243"/>
              <w:spacing w:before="38" w:line="232" w:lineRule="auto"/>
              <w:rPr/>
            </w:pPr>
            <w:r>
              <w:rPr>
                <w:color w:val="231F20"/>
                <w:spacing w:val="6"/>
              </w:rPr>
              <w:t>例数</w:t>
            </w:r>
          </w:p>
        </w:tc>
        <w:tc>
          <w:tcPr>
            <w:tcW w:w="850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303"/>
              <w:spacing w:before="38" w:line="233" w:lineRule="auto"/>
              <w:rPr/>
            </w:pPr>
            <w:r>
              <w:rPr>
                <w:color w:val="231F20"/>
                <w:spacing w:val="6"/>
              </w:rPr>
              <w:t>感染</w:t>
            </w:r>
          </w:p>
        </w:tc>
        <w:tc>
          <w:tcPr>
            <w:tcW w:w="756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252"/>
              <w:spacing w:before="38" w:line="232" w:lineRule="auto"/>
              <w:rPr/>
            </w:pPr>
            <w:r>
              <w:rPr>
                <w:color w:val="231F20"/>
                <w:spacing w:val="4"/>
              </w:rPr>
              <w:t>高热</w:t>
            </w:r>
          </w:p>
        </w:tc>
        <w:tc>
          <w:tcPr>
            <w:tcW w:w="945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90"/>
              <w:spacing w:before="38" w:line="232" w:lineRule="auto"/>
              <w:rPr/>
            </w:pPr>
            <w:r>
              <w:rPr>
                <w:color w:val="231F20"/>
                <w:spacing w:val="8"/>
              </w:rPr>
              <w:t>腹腔内出血</w:t>
            </w:r>
          </w:p>
        </w:tc>
        <w:tc>
          <w:tcPr>
            <w:tcW w:w="776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66"/>
              <w:spacing w:before="38" w:line="232" w:lineRule="auto"/>
              <w:rPr/>
            </w:pPr>
            <w:r>
              <w:rPr>
                <w:color w:val="231F20"/>
                <w:spacing w:val="7"/>
              </w:rPr>
              <w:t>总发生率</w:t>
            </w:r>
          </w:p>
        </w:tc>
      </w:tr>
      <w:tr>
        <w:trPr>
          <w:trHeight w:val="241" w:hRule="atLeast"/>
        </w:trPr>
        <w:tc>
          <w:tcPr>
            <w:tcW w:w="53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"/>
              <w:spacing w:before="40" w:line="231" w:lineRule="auto"/>
              <w:rPr/>
            </w:pPr>
            <w:r>
              <w:rPr>
                <w:color w:val="231F20"/>
                <w:spacing w:val="7"/>
              </w:rPr>
              <w:t>研究组</w:t>
            </w:r>
          </w:p>
        </w:tc>
        <w:tc>
          <w:tcPr>
            <w:tcW w:w="73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26"/>
              <w:spacing w:before="40" w:line="234" w:lineRule="auto"/>
              <w:rPr/>
            </w:pPr>
            <w:r>
              <w:rPr>
                <w:color w:val="231F20"/>
              </w:rPr>
              <w:t>37</w:t>
            </w:r>
          </w:p>
        </w:tc>
        <w:tc>
          <w:tcPr>
            <w:tcW w:w="85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4"/>
              <w:spacing w:before="40" w:line="234" w:lineRule="auto"/>
              <w:rPr/>
            </w:pPr>
            <w:r>
              <w:rPr>
                <w:color w:val="231F20"/>
                <w:spacing w:val="-8"/>
              </w:rPr>
              <w:t>0（0.00）</w:t>
            </w:r>
          </w:p>
        </w:tc>
        <w:tc>
          <w:tcPr>
            <w:tcW w:w="75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right="4"/>
              <w:spacing w:before="40" w:line="234" w:lineRule="auto"/>
              <w:jc w:val="right"/>
              <w:rPr/>
            </w:pPr>
            <w:r>
              <w:rPr>
                <w:color w:val="231F20"/>
                <w:spacing w:val="-8"/>
              </w:rPr>
              <w:t>0（0.00）</w:t>
            </w:r>
          </w:p>
        </w:tc>
        <w:tc>
          <w:tcPr>
            <w:tcW w:w="94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1"/>
              <w:spacing w:before="40" w:line="234" w:lineRule="auto"/>
              <w:rPr/>
            </w:pPr>
            <w:r>
              <w:rPr>
                <w:color w:val="231F20"/>
                <w:spacing w:val="-8"/>
              </w:rPr>
              <w:t>0（0.00）</w:t>
            </w:r>
          </w:p>
        </w:tc>
        <w:tc>
          <w:tcPr>
            <w:tcW w:w="77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right="7"/>
              <w:spacing w:before="40" w:line="234" w:lineRule="auto"/>
              <w:jc w:val="right"/>
              <w:rPr/>
            </w:pPr>
            <w:r>
              <w:rPr>
                <w:color w:val="231F20"/>
                <w:spacing w:val="-8"/>
              </w:rPr>
              <w:t>0（0.00）</w:t>
            </w:r>
          </w:p>
        </w:tc>
      </w:tr>
      <w:tr>
        <w:trPr>
          <w:trHeight w:val="249" w:hRule="atLeast"/>
        </w:trPr>
        <w:tc>
          <w:tcPr>
            <w:tcW w:w="530" w:type="dxa"/>
            <w:vAlign w:val="top"/>
          </w:tcPr>
          <w:p>
            <w:pPr>
              <w:pStyle w:val="TableText"/>
              <w:ind w:left="5"/>
              <w:spacing w:before="49" w:line="233" w:lineRule="auto"/>
              <w:rPr/>
            </w:pPr>
            <w:r>
              <w:rPr>
                <w:color w:val="231F20"/>
                <w:spacing w:val="8"/>
              </w:rPr>
              <w:t>对照组</w:t>
            </w:r>
          </w:p>
        </w:tc>
        <w:tc>
          <w:tcPr>
            <w:tcW w:w="73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26"/>
              <w:spacing w:before="49" w:line="233" w:lineRule="auto"/>
              <w:rPr/>
            </w:pPr>
            <w:r>
              <w:rPr>
                <w:color w:val="231F20"/>
              </w:rPr>
              <w:t>37</w:t>
            </w:r>
          </w:p>
        </w:tc>
        <w:tc>
          <w:tcPr>
            <w:tcW w:w="85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4"/>
              <w:spacing w:before="49" w:line="233" w:lineRule="auto"/>
              <w:rPr/>
            </w:pPr>
            <w:r>
              <w:rPr>
                <w:color w:val="231F20"/>
                <w:spacing w:val="-8"/>
              </w:rPr>
              <w:t>2（5.41）</w:t>
            </w:r>
          </w:p>
        </w:tc>
        <w:tc>
          <w:tcPr>
            <w:tcW w:w="75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right="4"/>
              <w:spacing w:before="49" w:line="233" w:lineRule="auto"/>
              <w:jc w:val="right"/>
              <w:rPr/>
            </w:pPr>
            <w:r>
              <w:rPr>
                <w:color w:val="231F20"/>
                <w:spacing w:val="-8"/>
              </w:rPr>
              <w:t>3（8.10）</w:t>
            </w:r>
          </w:p>
        </w:tc>
        <w:tc>
          <w:tcPr>
            <w:tcW w:w="94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12"/>
              <w:spacing w:before="49" w:line="233" w:lineRule="auto"/>
              <w:rPr/>
            </w:pPr>
            <w:r>
              <w:rPr>
                <w:color w:val="231F20"/>
                <w:spacing w:val="-8"/>
              </w:rPr>
              <w:t>2（5.41）</w:t>
            </w:r>
          </w:p>
        </w:tc>
        <w:tc>
          <w:tcPr>
            <w:tcW w:w="77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right="7"/>
              <w:spacing w:before="49" w:line="233" w:lineRule="auto"/>
              <w:jc w:val="right"/>
              <w:rPr/>
            </w:pPr>
            <w:r>
              <w:rPr>
                <w:color w:val="231F20"/>
                <w:spacing w:val="-7"/>
              </w:rPr>
              <w:t>7（18.92）</w:t>
            </w:r>
          </w:p>
        </w:tc>
      </w:tr>
      <w:tr>
        <w:trPr>
          <w:trHeight w:val="250" w:hRule="atLeast"/>
        </w:trPr>
        <w:tc>
          <w:tcPr>
            <w:tcW w:w="530" w:type="dxa"/>
            <w:vAlign w:val="top"/>
          </w:tcPr>
          <w:p>
            <w:pPr>
              <w:pStyle w:val="TableText"/>
              <w:ind w:left="12"/>
              <w:spacing w:before="45"/>
              <w:rPr/>
            </w:pPr>
            <w:r>
              <w:rPr>
                <w:rFonts w:ascii="Arial" w:hAnsi="Arial" w:eastAsia="Arial" w:cs="Arial"/>
                <w:sz w:val="16"/>
                <w:szCs w:val="16"/>
                <w:i/>
                <w:iCs/>
                <w:position w:val="-1"/>
              </w:rPr>
              <w:t>c</w:t>
            </w:r>
            <w:r>
              <w:rPr>
                <w:sz w:val="8"/>
                <w:szCs w:val="8"/>
                <w:position w:val="5"/>
              </w:rPr>
              <w:t>2</w:t>
            </w:r>
            <w:r>
              <w:rPr>
                <w:sz w:val="8"/>
                <w:szCs w:val="8"/>
                <w:spacing w:val="-23"/>
                <w:position w:val="5"/>
              </w:rPr>
              <w:t xml:space="preserve"> </w:t>
            </w:r>
            <w:r>
              <w:rPr>
                <w:position w:val="-1"/>
              </w:rPr>
              <w:t>值</w:t>
            </w:r>
          </w:p>
        </w:tc>
        <w:tc>
          <w:tcPr>
            <w:tcW w:w="735" w:type="dxa"/>
            <w:vAlign w:val="top"/>
            <w:tcBorders>
              <w:top w:val="single" w:color="000000" w:sz="2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850" w:type="dxa"/>
            <w:vAlign w:val="top"/>
            <w:tcBorders>
              <w:top w:val="single" w:color="000000" w:sz="2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756" w:type="dxa"/>
            <w:vAlign w:val="top"/>
            <w:tcBorders>
              <w:top w:val="single" w:color="000000" w:sz="2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945" w:type="dxa"/>
            <w:vAlign w:val="top"/>
            <w:tcBorders>
              <w:top w:val="single" w:color="000000" w:sz="2" w:space="0"/>
            </w:tcBorders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77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8"/>
              <w:spacing w:before="45"/>
              <w:rPr/>
            </w:pPr>
            <w:r>
              <w:rPr>
                <w:color w:val="231F20"/>
                <w:spacing w:val="2"/>
              </w:rPr>
              <w:t>7.73</w:t>
            </w:r>
          </w:p>
        </w:tc>
      </w:tr>
      <w:tr>
        <w:trPr>
          <w:trHeight w:val="245" w:hRule="atLeast"/>
        </w:trPr>
        <w:tc>
          <w:tcPr>
            <w:tcW w:w="53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0"/>
              <w:spacing w:before="44" w:line="220" w:lineRule="auto"/>
              <w:rPr/>
            </w:pPr>
            <w:r>
              <w:rPr>
                <w:sz w:val="16"/>
                <w:szCs w:val="16"/>
                <w:i/>
                <w:iCs/>
                <w:spacing w:val="4"/>
              </w:rPr>
              <w:t>P</w:t>
            </w:r>
            <w:r>
              <w:rPr>
                <w:spacing w:val="4"/>
              </w:rPr>
              <w:t>值</w:t>
            </w:r>
          </w:p>
        </w:tc>
        <w:tc>
          <w:tcPr>
            <w:tcW w:w="735" w:type="dxa"/>
            <w:vAlign w:val="top"/>
            <w:tcBorders>
              <w:bottom w:val="single" w:color="000000" w:sz="4" w:space="0"/>
            </w:tcBorders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  <w:tc>
          <w:tcPr>
            <w:tcW w:w="850" w:type="dxa"/>
            <w:vAlign w:val="top"/>
            <w:tcBorders>
              <w:bottom w:val="single" w:color="000000" w:sz="4" w:space="0"/>
            </w:tcBorders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  <w:tc>
          <w:tcPr>
            <w:tcW w:w="756" w:type="dxa"/>
            <w:vAlign w:val="top"/>
            <w:tcBorders>
              <w:bottom w:val="single" w:color="000000" w:sz="4" w:space="0"/>
            </w:tcBorders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  <w:tc>
          <w:tcPr>
            <w:tcW w:w="945" w:type="dxa"/>
            <w:vAlign w:val="top"/>
            <w:tcBorders>
              <w:bottom w:val="single" w:color="000000" w:sz="4" w:space="0"/>
            </w:tcBorders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  <w:tc>
          <w:tcPr>
            <w:tcW w:w="77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26"/>
              <w:spacing w:before="44" w:line="235" w:lineRule="auto"/>
              <w:rPr/>
            </w:pPr>
            <w:r>
              <w:rPr>
                <w:color w:val="231F20"/>
                <w:spacing w:val="3"/>
              </w:rPr>
              <w:t>0.00</w:t>
            </w:r>
          </w:p>
        </w:tc>
      </w:tr>
    </w:tbl>
    <w:p>
      <w:pPr>
        <w:ind w:left="713"/>
        <w:spacing w:before="197" w:line="234" w:lineRule="exact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  <w:position w:val="1"/>
        </w:rPr>
        <w:t>3</w:t>
      </w:r>
      <w:r>
        <w:rPr>
          <w:rFonts w:ascii="SimHei" w:hAnsi="SimHei" w:eastAsia="SimHei" w:cs="SimHei"/>
          <w:sz w:val="17"/>
          <w:szCs w:val="17"/>
          <w:color w:val="231F20"/>
          <w:spacing w:val="20"/>
          <w:position w:val="1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8"/>
          <w:position w:val="1"/>
        </w:rPr>
        <w:t>讨论</w:t>
      </w:r>
    </w:p>
    <w:p>
      <w:pPr>
        <w:pStyle w:val="BodyText"/>
        <w:ind w:left="716" w:right="296" w:firstLine="366"/>
        <w:spacing w:before="157" w:line="310" w:lineRule="auto"/>
        <w:jc w:val="both"/>
        <w:rPr/>
      </w:pPr>
      <w:r>
        <w:rPr>
          <w:color w:val="231F20"/>
          <w:spacing w:val="7"/>
        </w:rPr>
        <w:t>急性肠系膜血管栓塞（</w:t>
      </w:r>
      <w:r>
        <w:rPr>
          <w:color w:val="231F20"/>
        </w:rPr>
        <w:t>AMVO</w:t>
      </w:r>
      <w:r>
        <w:rPr>
          <w:color w:val="231F20"/>
          <w:spacing w:val="7"/>
        </w:rPr>
        <w:t>）分为动脉栓塞与肠系膜上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静脉血栓形成。其中，急性肠系膜上动脉栓塞病理为肠系膜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上动脉栓塞后肠组织发生缺血性改变，肠黏膜先受累</w:t>
      </w:r>
      <w:r>
        <w:rPr>
          <w:sz w:val="9"/>
          <w:szCs w:val="9"/>
          <w:color w:val="231F20"/>
          <w:spacing w:val="6"/>
          <w:position w:val="6"/>
        </w:rPr>
        <w:t>[1]</w:t>
      </w:r>
      <w:r>
        <w:rPr>
          <w:sz w:val="9"/>
          <w:szCs w:val="9"/>
          <w:color w:val="231F20"/>
          <w:spacing w:val="-20"/>
          <w:position w:val="6"/>
        </w:rPr>
        <w:t xml:space="preserve"> </w:t>
      </w:r>
      <w:r>
        <w:rPr>
          <w:color w:val="231F20"/>
          <w:spacing w:val="6"/>
        </w:rPr>
        <w:t>。此</w:t>
      </w:r>
      <w:r>
        <w:rPr>
          <w:color w:val="231F20"/>
        </w:rPr>
        <w:t xml:space="preserve"> </w:t>
      </w:r>
      <w:r>
        <w:rPr>
          <w:color w:val="231F20"/>
        </w:rPr>
        <w:t>时，伴有强烈的肠痉挛性收缩，患者腹痛严重且伴有呕吐、腹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9"/>
        </w:rPr>
        <w:t>泻症状。肠系膜上静脉血栓形成病理为原发性无明确病因，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7"/>
        </w:rPr>
        <w:t>继发性多发于腹腔内感染，门脉高压症引起的静脉淤血、血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流缓慢，手术造成的肠系膜上静脉损伤，其他疾病引发的血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凝异常</w:t>
      </w:r>
      <w:r>
        <w:rPr>
          <w:sz w:val="9"/>
          <w:szCs w:val="9"/>
          <w:color w:val="231F20"/>
          <w:spacing w:val="7"/>
          <w:position w:val="6"/>
        </w:rPr>
        <w:t>[2]</w:t>
      </w:r>
      <w:r>
        <w:rPr>
          <w:sz w:val="9"/>
          <w:szCs w:val="9"/>
          <w:color w:val="231F20"/>
          <w:spacing w:val="-11"/>
          <w:position w:val="6"/>
        </w:rPr>
        <w:t xml:space="preserve"> </w:t>
      </w:r>
      <w:r>
        <w:rPr>
          <w:color w:val="231F20"/>
          <w:spacing w:val="7"/>
        </w:rPr>
        <w:t>。因</w:t>
      </w:r>
      <w:r>
        <w:rPr>
          <w:color w:val="231F20"/>
        </w:rPr>
        <w:t>AMVO</w:t>
      </w:r>
      <w:r>
        <w:rPr>
          <w:color w:val="231F20"/>
          <w:spacing w:val="7"/>
        </w:rPr>
        <w:t>属于严重急腹症，临床诊断时应鼓励患者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积极配合医生尽早确诊</w:t>
      </w:r>
      <w:r>
        <w:rPr>
          <w:sz w:val="9"/>
          <w:szCs w:val="9"/>
          <w:color w:val="231F20"/>
          <w:spacing w:val="7"/>
          <w:position w:val="6"/>
        </w:rPr>
        <w:t>[3]</w:t>
      </w:r>
      <w:r>
        <w:rPr>
          <w:sz w:val="9"/>
          <w:szCs w:val="9"/>
          <w:color w:val="231F20"/>
          <w:spacing w:val="-11"/>
          <w:position w:val="6"/>
        </w:rPr>
        <w:t xml:space="preserve"> </w:t>
      </w:r>
      <w:r>
        <w:rPr>
          <w:color w:val="231F20"/>
          <w:spacing w:val="7"/>
        </w:rPr>
        <w:t>。因治疗时间紧迫，需在确诊</w:t>
      </w:r>
      <w:r>
        <w:rPr>
          <w:color w:val="231F20"/>
        </w:rPr>
        <w:t>AMVO </w:t>
      </w:r>
      <w:r>
        <w:rPr>
          <w:color w:val="231F20"/>
          <w:spacing w:val="7"/>
        </w:rPr>
        <w:t>后及时治疗，切除坏死血管和栓塞坏死的肠系膜，促进血液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循环，提高患者生活质量</w:t>
      </w:r>
      <w:r>
        <w:rPr>
          <w:sz w:val="9"/>
          <w:szCs w:val="9"/>
          <w:color w:val="231F20"/>
          <w:spacing w:val="6"/>
          <w:position w:val="6"/>
        </w:rPr>
        <w:t>[4]</w:t>
      </w:r>
      <w:r>
        <w:rPr>
          <w:sz w:val="9"/>
          <w:szCs w:val="9"/>
          <w:color w:val="231F20"/>
          <w:spacing w:val="-21"/>
          <w:position w:val="6"/>
        </w:rPr>
        <w:t xml:space="preserve"> </w:t>
      </w:r>
      <w:r>
        <w:rPr>
          <w:color w:val="231F20"/>
          <w:spacing w:val="6"/>
        </w:rPr>
        <w:t>。</w:t>
      </w:r>
      <w:r>
        <w:rPr>
          <w:color w:val="231F20"/>
        </w:rPr>
        <w:t>AMVO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6"/>
        </w:rPr>
        <w:t>具有发病突然、风</w:t>
      </w:r>
      <w:r>
        <w:rPr>
          <w:color w:val="231F20"/>
          <w:spacing w:val="5"/>
        </w:rPr>
        <w:t>险高的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特点，及时诊断尤为重要。</w:t>
      </w:r>
    </w:p>
    <w:p>
      <w:pPr>
        <w:pStyle w:val="BodyText"/>
        <w:ind w:left="715" w:right="290" w:firstLine="360"/>
        <w:spacing w:before="1" w:line="307" w:lineRule="auto"/>
        <w:jc w:val="both"/>
        <w:rPr/>
      </w:pPr>
      <w:r>
        <w:rPr>
          <w:color w:val="231F20"/>
          <w:spacing w:val="9"/>
        </w:rPr>
        <w:t>传统开腹探查与肠系膜血管造影对患者损伤大，通常，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7"/>
        </w:rPr>
        <w:t>临床针对上腹部病情不明，但病情比较紧急危险时会采取开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腹手术探查从而确定腹部病变并采取积极的治疗方案</w:t>
      </w:r>
      <w:r>
        <w:rPr>
          <w:sz w:val="9"/>
          <w:szCs w:val="9"/>
          <w:color w:val="231F20"/>
          <w:spacing w:val="16"/>
          <w:position w:val="6"/>
        </w:rPr>
        <w:t>[5]</w:t>
      </w:r>
      <w:r>
        <w:rPr>
          <w:color w:val="231F20"/>
          <w:spacing w:val="16"/>
        </w:rPr>
        <w:t>。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2"/>
        </w:rPr>
        <w:t>但开腹探查风险较高（腹内感染、麻醉意外等）且无法避免。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4"/>
        </w:rPr>
        <w:t>随着临床诊疗水平的提高，急诊腹部</w:t>
      </w:r>
      <w:r>
        <w:rPr>
          <w:color w:val="231F20"/>
        </w:rPr>
        <w:t>CT</w:t>
      </w:r>
      <w:r>
        <w:rPr>
          <w:color w:val="231F20"/>
          <w:spacing w:val="14"/>
        </w:rPr>
        <w:t>在</w:t>
      </w:r>
      <w:r>
        <w:rPr>
          <w:color w:val="231F20"/>
        </w:rPr>
        <w:t>AMVO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4"/>
        </w:rPr>
        <w:t>诊断中发挥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了重要作用。</w:t>
      </w:r>
      <w:r>
        <w:rPr>
          <w:color w:val="231F20"/>
        </w:rPr>
        <w:t>CT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6"/>
        </w:rPr>
        <w:t>可精准确诊有无栓子、闭塞、</w:t>
      </w:r>
      <w:r>
        <w:rPr>
          <w:color w:val="231F20"/>
          <w:spacing w:val="5"/>
        </w:rPr>
        <w:t>肿瘤侵袭，判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断缺血肠袢从而确定缺血病因，观察肠缺血并发症与其他脏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器情况，排除其他急腹症。二维多平面创建与三维血管重建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可清楚显示肠缺血状况，确保诊断精准性。该病</w:t>
      </w:r>
      <w:r>
        <w:rPr>
          <w:color w:val="231F20"/>
          <w:spacing w:val="-32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50"/>
        </w:rPr>
        <w:t xml:space="preserve"> </w:t>
      </w:r>
      <w:r>
        <w:rPr>
          <w:color w:val="231F20"/>
          <w:spacing w:val="11"/>
        </w:rPr>
        <w:t>表现分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为直接、间接征象。前者肠系膜血管内血栓生成，血液密度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高，显示形态不同的充盈缺损。后者分为肠壁变薄、肠壁增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厚、扩张。本研究结果显示，研究组诊断精准率高于对照组,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7"/>
        </w:rPr>
        <w:t>检查时间短于对照组，失血量少于对照组，检查费用低于对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照组，差异均有统计学意义（</w:t>
      </w:r>
      <w:r>
        <w:rPr>
          <w:sz w:val="18"/>
          <w:szCs w:val="18"/>
          <w:i/>
          <w:iCs/>
          <w:color w:val="231F20"/>
          <w:spacing w:val="4"/>
        </w:rPr>
        <w:t>P</w:t>
      </w:r>
      <w:r>
        <w:rPr>
          <w:color w:val="231F20"/>
          <w:spacing w:val="4"/>
        </w:rPr>
        <w:t>＜0.05</w:t>
      </w:r>
      <w:r>
        <w:rPr>
          <w:color w:val="231F20"/>
          <w:spacing w:val="-28"/>
          <w:w w:val="60"/>
        </w:rPr>
        <w:t>）；</w:t>
      </w:r>
      <w:r>
        <w:rPr>
          <w:color w:val="231F20"/>
          <w:spacing w:val="4"/>
        </w:rPr>
        <w:t>研究组不良反应发生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5"/>
        </w:rPr>
        <w:t>率低于对照组（</w:t>
      </w:r>
      <w:r>
        <w:rPr>
          <w:sz w:val="18"/>
          <w:szCs w:val="18"/>
          <w:i/>
          <w:iCs/>
          <w:color w:val="231F20"/>
          <w:spacing w:val="5"/>
        </w:rPr>
        <w:t>P</w:t>
      </w:r>
      <w:r>
        <w:rPr>
          <w:color w:val="231F20"/>
          <w:spacing w:val="5"/>
        </w:rPr>
        <w:t>＜0.05</w:t>
      </w:r>
      <w:r>
        <w:rPr>
          <w:color w:val="231F20"/>
          <w:spacing w:val="-28"/>
          <w:w w:val="62"/>
        </w:rPr>
        <w:t>），</w:t>
      </w:r>
      <w:r>
        <w:rPr>
          <w:color w:val="231F20"/>
          <w:spacing w:val="5"/>
        </w:rPr>
        <w:t>与刘术昌等</w:t>
      </w:r>
      <w:r>
        <w:rPr>
          <w:sz w:val="9"/>
          <w:szCs w:val="9"/>
          <w:color w:val="231F20"/>
          <w:spacing w:val="5"/>
          <w:position w:val="6"/>
        </w:rPr>
        <w:t>[6-8]</w:t>
      </w:r>
      <w:r>
        <w:rPr>
          <w:color w:val="231F20"/>
          <w:spacing w:val="5"/>
        </w:rPr>
        <w:t>研究结果一致。</w:t>
      </w:r>
    </w:p>
    <w:p>
      <w:pPr>
        <w:pStyle w:val="BodyText"/>
        <w:ind w:left="719" w:right="351" w:firstLine="360"/>
        <w:spacing w:before="5" w:line="309" w:lineRule="auto"/>
        <w:jc w:val="both"/>
        <w:rPr/>
      </w:pPr>
      <w:r>
        <w:rPr>
          <w:color w:val="231F20"/>
          <w:spacing w:val="11"/>
        </w:rPr>
        <w:t>综上所述，急诊腹部</w:t>
      </w:r>
      <w:r>
        <w:rPr>
          <w:color w:val="231F20"/>
          <w:spacing w:val="-35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49"/>
        </w:rPr>
        <w:t xml:space="preserve"> </w:t>
      </w:r>
      <w:r>
        <w:rPr>
          <w:color w:val="231F20"/>
          <w:spacing w:val="11"/>
        </w:rPr>
        <w:t>对急性肠系膜血管栓塞具有较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高的诊断价值，检出率高，无出血情况，减少患者机体损伤；同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时，有利于精准诊断肠系膜血管有无栓塞，明确栓塞位置，观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察肠缺血并发症与其他脏器，便于排除其他急腹症。此外，其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并发症发生率低，诊断方法安全、高效，值得临床推广</w:t>
      </w:r>
      <w:r>
        <w:rPr>
          <w:color w:val="231F20"/>
          <w:spacing w:val="-5"/>
        </w:rPr>
        <w:t>应用。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ind w:left="716"/>
        <w:spacing w:before="56" w:line="232" w:lineRule="exac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  <w:position w:val="1"/>
        </w:rPr>
        <w:t>参考文献</w:t>
      </w:r>
    </w:p>
    <w:p>
      <w:pPr>
        <w:pStyle w:val="BodyText"/>
        <w:ind w:left="741" w:right="351"/>
        <w:spacing w:before="59" w:line="326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[1]  赵雪梅,张海胜,赵力</w:t>
      </w:r>
      <w:r>
        <w:rPr>
          <w:sz w:val="15"/>
          <w:szCs w:val="15"/>
          <w:color w:val="231F20"/>
          <w:spacing w:val="-42"/>
        </w:rPr>
        <w:t xml:space="preserve"> 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-40"/>
        </w:rPr>
        <w:t xml:space="preserve"> </w:t>
      </w:r>
      <w:r>
        <w:rPr>
          <w:sz w:val="15"/>
          <w:szCs w:val="15"/>
          <w:color w:val="231F20"/>
          <w:spacing w:val="10"/>
        </w:rPr>
        <w:t>多排螺旋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10"/>
        </w:rPr>
        <w:t>征象及轴位联合后处</w:t>
      </w:r>
      <w:r>
        <w:rPr>
          <w:sz w:val="15"/>
          <w:szCs w:val="15"/>
          <w:color w:val="231F20"/>
          <w:spacing w:val="9"/>
        </w:rPr>
        <w:t>理图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8"/>
        </w:rPr>
        <w:t>像对急性肠系膜缺血的诊断价值[J].</w:t>
      </w:r>
      <w:r>
        <w:rPr>
          <w:sz w:val="15"/>
          <w:szCs w:val="15"/>
          <w:color w:val="231F20"/>
          <w:spacing w:val="-32"/>
        </w:rPr>
        <w:t xml:space="preserve"> </w:t>
      </w:r>
      <w:r>
        <w:rPr>
          <w:sz w:val="15"/>
          <w:szCs w:val="15"/>
          <w:color w:val="231F20"/>
          <w:spacing w:val="8"/>
        </w:rPr>
        <w:t>中国</w:t>
      </w:r>
      <w:r>
        <w:rPr>
          <w:sz w:val="15"/>
          <w:szCs w:val="15"/>
          <w:color w:val="231F20"/>
          <w:spacing w:val="7"/>
        </w:rPr>
        <w:t>医药,2017,12(8):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86"/>
        <w:spacing w:before="39" w:line="204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3"/>
          <w:position w:val="1"/>
        </w:rPr>
        <w:t>1201-1204.</w:t>
      </w:r>
    </w:p>
    <w:p>
      <w:pPr>
        <w:pStyle w:val="BodyText"/>
        <w:ind w:left="380" w:hanging="380"/>
        <w:spacing w:before="60" w:line="29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[2]  刘家祎,晏子旭,张楠</w:t>
      </w:r>
      <w:r>
        <w:rPr>
          <w:sz w:val="15"/>
          <w:szCs w:val="15"/>
          <w:color w:val="231F20"/>
          <w:spacing w:val="-40"/>
        </w:rPr>
        <w:t xml:space="preserve"> </w:t>
      </w:r>
      <w:r>
        <w:rPr>
          <w:sz w:val="15"/>
          <w:szCs w:val="15"/>
          <w:color w:val="231F20"/>
          <w:spacing w:val="11"/>
        </w:rPr>
        <w:t>.胸腹联合胸痛三联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11"/>
        </w:rPr>
        <w:t>血管造影扫描对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8"/>
        </w:rPr>
        <w:t>急诊胸痛患者心血管疾病诊断的价值[J].</w:t>
      </w:r>
      <w:r>
        <w:rPr>
          <w:sz w:val="15"/>
          <w:szCs w:val="15"/>
          <w:color w:val="231F20"/>
          <w:spacing w:val="-33"/>
        </w:rPr>
        <w:t xml:space="preserve"> </w:t>
      </w:r>
      <w:r>
        <w:rPr>
          <w:sz w:val="15"/>
          <w:szCs w:val="15"/>
          <w:color w:val="231F20"/>
          <w:spacing w:val="8"/>
        </w:rPr>
        <w:t>中国医药,2017,</w:t>
      </w:r>
      <w:r>
        <w:rPr>
          <w:sz w:val="15"/>
          <w:szCs w:val="15"/>
          <w:color w:val="231F20"/>
          <w:spacing w:val="7"/>
        </w:rPr>
        <w:t>12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(5):711-715.</w:t>
      </w:r>
    </w:p>
    <w:p>
      <w:pPr>
        <w:pStyle w:val="BodyText"/>
        <w:ind w:left="377" w:hanging="378"/>
        <w:spacing w:before="73" w:line="27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5"/>
        </w:rPr>
        <w:t>[3]  余超,何磊,丁丁</w:t>
      </w:r>
      <w:r>
        <w:rPr>
          <w:sz w:val="15"/>
          <w:szCs w:val="15"/>
          <w:color w:val="231F20"/>
          <w:spacing w:val="-30"/>
        </w:rPr>
        <w:t xml:space="preserve"> </w:t>
      </w:r>
      <w:r>
        <w:rPr>
          <w:sz w:val="15"/>
          <w:szCs w:val="15"/>
          <w:color w:val="231F20"/>
          <w:spacing w:val="15"/>
        </w:rPr>
        <w:t>.</w:t>
      </w:r>
      <w:r>
        <w:rPr>
          <w:sz w:val="15"/>
          <w:szCs w:val="15"/>
          <w:color w:val="231F20"/>
          <w:spacing w:val="-37"/>
        </w:rPr>
        <w:t xml:space="preserve"> </w:t>
      </w:r>
      <w:r>
        <w:rPr>
          <w:sz w:val="15"/>
          <w:szCs w:val="15"/>
          <w:color w:val="231F20"/>
          <w:spacing w:val="15"/>
        </w:rPr>
        <w:t>肠系膜上动脉栓塞的外科诊治:18</w:t>
      </w:r>
      <w:r>
        <w:rPr>
          <w:sz w:val="15"/>
          <w:szCs w:val="15"/>
          <w:color w:val="231F20"/>
          <w:spacing w:val="-37"/>
        </w:rPr>
        <w:t xml:space="preserve"> </w:t>
      </w:r>
      <w:r>
        <w:rPr>
          <w:sz w:val="15"/>
          <w:szCs w:val="15"/>
          <w:color w:val="231F20"/>
          <w:spacing w:val="15"/>
        </w:rPr>
        <w:t>例报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告[J].安徽医药,2019,23(5):969-971.</w:t>
      </w:r>
    </w:p>
    <w:p>
      <w:pPr>
        <w:pStyle w:val="BodyText"/>
        <w:ind w:left="375" w:hanging="375"/>
        <w:spacing w:before="79" w:line="29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[4]  卞琳杰,巫丹萍,张追阳,等</w:t>
      </w:r>
      <w:r>
        <w:rPr>
          <w:sz w:val="15"/>
          <w:szCs w:val="15"/>
          <w:color w:val="231F20"/>
          <w:spacing w:val="-36"/>
        </w:rPr>
        <w:t xml:space="preserve"> 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-36"/>
        </w:rPr>
        <w:t xml:space="preserve"> </w:t>
      </w:r>
      <w:r>
        <w:rPr>
          <w:sz w:val="15"/>
          <w:szCs w:val="15"/>
          <w:color w:val="231F20"/>
          <w:spacing w:val="11"/>
        </w:rPr>
        <w:t>多层螺旋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-43"/>
        </w:rPr>
        <w:t xml:space="preserve"> </w:t>
      </w:r>
      <w:r>
        <w:rPr>
          <w:sz w:val="15"/>
          <w:szCs w:val="15"/>
          <w:color w:val="231F20"/>
          <w:spacing w:val="11"/>
        </w:rPr>
        <w:t>血管成像和结肠成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像及图像融合技术对腹腔镜右半结肠癌的术前评</w:t>
      </w:r>
      <w:r>
        <w:rPr>
          <w:sz w:val="15"/>
          <w:szCs w:val="15"/>
          <w:color w:val="231F20"/>
          <w:spacing w:val="10"/>
        </w:rPr>
        <w:t>估价值[J].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中华消化外科杂志,2018,17(6):631-636.</w:t>
      </w:r>
    </w:p>
    <w:p>
      <w:pPr>
        <w:pStyle w:val="BodyText"/>
        <w:ind w:left="375" w:hanging="376"/>
        <w:spacing w:before="80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[5]  Zuo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5"/>
        </w:rPr>
        <w:t>Taiyang,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5"/>
        </w:rPr>
        <w:t>Liu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4"/>
        </w:rPr>
        <w:t>Fengyong,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4"/>
        </w:rPr>
        <w:t>Wang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4"/>
        </w:rPr>
        <w:t>Maoqiang.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4"/>
        </w:rPr>
        <w:t>Thrombolysis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4"/>
        </w:rPr>
        <w:t>superior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4"/>
        </w:rPr>
        <w:t>mesenteric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4"/>
        </w:rPr>
        <w:t>ar</w:t>
      </w:r>
      <w:r>
        <w:rPr>
          <w:sz w:val="15"/>
          <w:szCs w:val="15"/>
          <w:color w:val="231F20"/>
          <w:spacing w:val="3"/>
        </w:rPr>
        <w:t>tery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3"/>
        </w:rPr>
        <w:t>treatment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3"/>
        </w:rPr>
        <w:t>acute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superior mesenteric vein-p</w:t>
      </w:r>
      <w:r>
        <w:rPr>
          <w:sz w:val="15"/>
          <w:szCs w:val="15"/>
          <w:color w:val="231F20"/>
          <w:spacing w:val="4"/>
        </w:rPr>
        <w:t>ortal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4"/>
        </w:rPr>
        <w:t>thrombosis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4"/>
        </w:rPr>
        <w:t>isch-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emia-reperfusion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4"/>
        </w:rPr>
        <w:t>injury[J].</w:t>
      </w:r>
      <w:r>
        <w:rPr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4"/>
        </w:rPr>
        <w:t>Chinese</w:t>
      </w:r>
      <w:r>
        <w:rPr>
          <w:sz w:val="15"/>
          <w:szCs w:val="15"/>
          <w:color w:val="231F20"/>
          <w:spacing w:val="-28"/>
        </w:rPr>
        <w:t xml:space="preserve"> </w:t>
      </w:r>
      <w:r>
        <w:rPr>
          <w:sz w:val="15"/>
          <w:szCs w:val="15"/>
          <w:color w:val="231F20"/>
          <w:spacing w:val="4"/>
        </w:rPr>
        <w:t>Journal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4"/>
        </w:rPr>
        <w:t>Emergen-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cy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</w:rPr>
        <w:t>Medicine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6"/>
        </w:rPr>
        <w:t>2018,27(9):1044-1046.</w:t>
      </w:r>
    </w:p>
    <w:p>
      <w:pPr>
        <w:pStyle w:val="BodyText"/>
        <w:ind w:left="375" w:hanging="376"/>
        <w:spacing w:before="80" w:line="27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[6]  刘术昌</w:t>
      </w:r>
      <w:r>
        <w:rPr>
          <w:sz w:val="15"/>
          <w:szCs w:val="15"/>
          <w:color w:val="231F20"/>
          <w:spacing w:val="-32"/>
        </w:rPr>
        <w:t xml:space="preserve"> 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-42"/>
        </w:rPr>
        <w:t xml:space="preserve"> </w:t>
      </w:r>
      <w:r>
        <w:rPr>
          <w:sz w:val="15"/>
          <w:szCs w:val="15"/>
          <w:color w:val="231F20"/>
          <w:spacing w:val="10"/>
        </w:rPr>
        <w:t>急诊腹部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10"/>
        </w:rPr>
        <w:t>对急性肠系膜血管栓塞的临床诊断价值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分析[J].影像研究与医学应用,2019,3(7):161-1</w:t>
      </w:r>
      <w:r>
        <w:rPr>
          <w:sz w:val="15"/>
          <w:szCs w:val="15"/>
          <w:color w:val="231F20"/>
          <w:spacing w:val="6"/>
        </w:rPr>
        <w:t>62.</w:t>
      </w:r>
    </w:p>
    <w:p>
      <w:pPr>
        <w:pStyle w:val="BodyText"/>
        <w:ind w:left="377" w:hanging="378"/>
        <w:spacing w:before="79" w:line="30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[7]  廖冠义,高青</w:t>
      </w:r>
      <w:r>
        <w:rPr>
          <w:sz w:val="15"/>
          <w:szCs w:val="15"/>
          <w:color w:val="231F20"/>
          <w:spacing w:val="-40"/>
        </w:rPr>
        <w:t xml:space="preserve"> 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-43"/>
        </w:rPr>
        <w:t xml:space="preserve"> </w:t>
      </w:r>
      <w:r>
        <w:rPr>
          <w:sz w:val="15"/>
          <w:szCs w:val="15"/>
          <w:color w:val="231F20"/>
          <w:spacing w:val="10"/>
        </w:rPr>
        <w:t>经手术及血管影像学检查证实的</w:t>
      </w:r>
      <w:r>
        <w:rPr>
          <w:sz w:val="15"/>
          <w:szCs w:val="15"/>
          <w:color w:val="231F20"/>
          <w:spacing w:val="-42"/>
        </w:rPr>
        <w:t xml:space="preserve"> </w:t>
      </w:r>
      <w:r>
        <w:rPr>
          <w:sz w:val="15"/>
          <w:szCs w:val="15"/>
          <w:color w:val="231F20"/>
          <w:spacing w:val="10"/>
        </w:rPr>
        <w:t>66</w:t>
      </w:r>
      <w:r>
        <w:rPr>
          <w:sz w:val="15"/>
          <w:szCs w:val="15"/>
          <w:color w:val="231F20"/>
          <w:spacing w:val="-44"/>
        </w:rPr>
        <w:t xml:space="preserve"> </w:t>
      </w:r>
      <w:r>
        <w:rPr>
          <w:sz w:val="15"/>
          <w:szCs w:val="15"/>
          <w:color w:val="231F20"/>
          <w:spacing w:val="10"/>
        </w:rPr>
        <w:t>例急性肠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系膜上动脉栓塞的临床分析[J].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7"/>
        </w:rPr>
        <w:t>中华消化杂志,2019,39(2):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111-114.</w:t>
      </w:r>
    </w:p>
    <w:p>
      <w:pPr>
        <w:pStyle w:val="BodyText"/>
        <w:ind w:left="375" w:hanging="376"/>
        <w:spacing w:before="60" w:line="27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[8]  周力,王永亮,陈晖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-37"/>
        </w:rPr>
        <w:t xml:space="preserve"> </w:t>
      </w:r>
      <w:r>
        <w:rPr>
          <w:sz w:val="15"/>
          <w:szCs w:val="15"/>
          <w:color w:val="231F20"/>
          <w:spacing w:val="9"/>
        </w:rPr>
        <w:t>阵发性心房颤动并发冠状动脉及肠系膜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上动脉栓塞一例[J].</w:t>
      </w:r>
      <w:r>
        <w:rPr>
          <w:sz w:val="15"/>
          <w:szCs w:val="15"/>
          <w:color w:val="231F20"/>
          <w:spacing w:val="-31"/>
        </w:rPr>
        <w:t xml:space="preserve"> </w:t>
      </w:r>
      <w:r>
        <w:rPr>
          <w:sz w:val="15"/>
          <w:szCs w:val="15"/>
          <w:color w:val="231F20"/>
          <w:spacing w:val="6"/>
        </w:rPr>
        <w:t>中华内科杂志,2018,57(8):599-600.</w:t>
      </w:r>
    </w:p>
    <w:p>
      <w:pPr>
        <w:spacing w:line="278" w:lineRule="auto"/>
        <w:sectPr>
          <w:type w:val="continuous"/>
          <w:pgSz w:w="11906" w:h="16838"/>
          <w:pgMar w:top="1341" w:right="1133" w:bottom="354" w:left="424" w:header="1037" w:footer="0" w:gutter="0"/>
          <w:cols w:equalWidth="0" w:num="2">
            <w:col w:w="5670" w:space="100"/>
            <w:col w:w="4578" w:space="0"/>
          </w:cols>
        </w:sectPr>
        <w:rPr>
          <w:sz w:val="15"/>
          <w:szCs w:val="15"/>
        </w:rPr>
      </w:pPr>
    </w:p>
    <w:p>
      <w:pPr>
        <w:spacing w:line="261" w:lineRule="auto"/>
        <w:rPr>
          <w:rFonts w:ascii="Arial"/>
          <w:sz w:val="21"/>
        </w:rPr>
      </w:pPr>
      <w:r/>
    </w:p>
    <w:p>
      <w:pPr>
        <w:ind w:left="4829"/>
        <w:spacing w:before="86" w:line="215" w:lineRule="exact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  <w:position w:val="-1"/>
        </w:rPr>
        <w:t>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  <w:position w:val="-1"/>
        </w:rPr>
        <w:t xml:space="preserve">    </w:t>
      </w:r>
      <w:r>
        <w:rPr>
          <w:rFonts w:ascii="NSimSun" w:hAnsi="NSimSun" w:eastAsia="NSimSun" w:cs="NSimSun"/>
          <w:sz w:val="20"/>
          <w:szCs w:val="20"/>
          <w:color w:val="231F20"/>
          <w:spacing w:val="-3"/>
          <w:position w:val="-1"/>
        </w:rPr>
        <w:t>129</w:t>
      </w:r>
      <w:r>
        <w:rPr>
          <w:rFonts w:ascii="NSimSun" w:hAnsi="NSimSun" w:eastAsia="NSimSun" w:cs="NSimSun"/>
          <w:sz w:val="20"/>
          <w:szCs w:val="20"/>
          <w:color w:val="231F20"/>
          <w:spacing w:val="13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  <w:position w:val="-1"/>
        </w:rPr>
        <w:t>—</w:t>
      </w:r>
    </w:p>
    <w:p>
      <w:pPr>
        <w:spacing w:line="240" w:lineRule="exact"/>
        <w:rPr>
          <w:rFonts w:ascii="Arial" w:hAnsi="Arial" w:eastAsia="Arial" w:cs="Arial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999999"/>
          <w:spacing w:val="10"/>
        </w:rPr>
        <w:t>中国知网</w:t>
      </w:r>
      <w:r>
        <w:rPr>
          <w:rFonts w:ascii="Microsoft YaHei" w:hAnsi="Microsoft YaHei" w:eastAsia="Microsoft YaHei" w:cs="Microsoft YaHei"/>
          <w:sz w:val="22"/>
          <w:szCs w:val="22"/>
          <w:color w:val="999999"/>
          <w:spacing w:val="1"/>
        </w:rPr>
        <w:t xml:space="preserve">     </w:t>
      </w:r>
      <w:r>
        <w:rPr>
          <w:rFonts w:ascii="Arial" w:hAnsi="Arial" w:eastAsia="Arial" w:cs="Arial"/>
          <w:sz w:val="22"/>
          <w:szCs w:val="22"/>
          <w:color w:val="999999"/>
        </w:rPr>
        <w:t>https</w:t>
      </w:r>
      <w:r>
        <w:rPr>
          <w:rFonts w:ascii="Arial" w:hAnsi="Arial" w:eastAsia="Arial" w:cs="Arial"/>
          <w:sz w:val="22"/>
          <w:szCs w:val="22"/>
          <w:color w:val="999999"/>
          <w:spacing w:val="10"/>
        </w:rPr>
        <w:t>:</w:t>
      </w:r>
      <w:r>
        <w:rPr>
          <w:sz w:val="22"/>
          <w:szCs w:val="22"/>
          <w:position w:val="-1"/>
        </w:rPr>
        <w:drawing>
          <wp:inline distT="0" distB="0" distL="0" distR="0">
            <wp:extent cx="45084" cy="109727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"/>
        </w:rPr>
        <w:drawing>
          <wp:inline distT="0" distB="0" distL="0" distR="0">
            <wp:extent cx="45084" cy="109727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  <w:color w:val="999999"/>
          <w:position w:val="2"/>
        </w:rPr>
        <w:t>Www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2"/>
        </w:rPr>
        <w:t>.</w:t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cnki</w:t>
      </w:r>
      <w:r>
        <w:rPr>
          <w:rFonts w:ascii="Arial" w:hAnsi="Arial" w:eastAsia="Arial" w:cs="Arial"/>
          <w:sz w:val="22"/>
          <w:szCs w:val="22"/>
          <w:color w:val="999999"/>
          <w:spacing w:val="-16"/>
          <w:position w:val="1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2"/>
        </w:rPr>
        <w:t>.</w:t>
      </w:r>
      <w:r>
        <w:rPr>
          <w:rFonts w:ascii="Arial" w:hAnsi="Arial" w:eastAsia="Arial" w:cs="Arial"/>
          <w:sz w:val="22"/>
          <w:szCs w:val="22"/>
          <w:color w:val="999999"/>
          <w:spacing w:val="-35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position w:val="2"/>
        </w:rPr>
        <w:t>net</w:t>
      </w:r>
    </w:p>
    <w:sectPr>
      <w:type w:val="continuous"/>
      <w:pgSz w:w="11906" w:h="16838"/>
      <w:pgMar w:top="1341" w:right="1133" w:bottom="354" w:left="424" w:header="1037" w:footer="0" w:gutter="0"/>
      <w:cols w:equalWidth="0" w:num="1">
        <w:col w:w="1034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503050405090304"/>
    <w:charset w:val="00"/>
    <w:family w:val="auto"/>
    <w:pitch w:val="variable"/>
    <w:sig w:usb0="E0000EFF" w:usb1="4000785B" w:usb2="00000001" w:usb3="00000000" w:csb0="400001BF" w:csb1="DFF7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39"/>
      <w:spacing w:line="194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color w:val="231F20"/>
        <w:spacing w:val="-3"/>
      </w:rPr>
      <w:t>—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3"/>
      </w:rPr>
      <w:t xml:space="preserve">    </w:t>
    </w:r>
    <w:r>
      <w:rPr>
        <w:rFonts w:ascii="NSimSun" w:hAnsi="NSimSun" w:eastAsia="NSimSun" w:cs="NSimSun"/>
        <w:sz w:val="20"/>
        <w:szCs w:val="20"/>
        <w:color w:val="231F20"/>
        <w:spacing w:val="-3"/>
      </w:rPr>
      <w:t>128</w:t>
    </w:r>
    <w:r>
      <w:rPr>
        <w:rFonts w:ascii="NSimSun" w:hAnsi="NSimSun" w:eastAsia="NSimSun" w:cs="NSimSun"/>
        <w:sz w:val="20"/>
        <w:szCs w:val="20"/>
        <w:color w:val="231F20"/>
        <w:spacing w:val="13"/>
      </w:rPr>
      <w:t xml:space="preserve">  </w:t>
    </w:r>
    <w:r>
      <w:rPr>
        <w:rFonts w:ascii="Microsoft YaHei" w:hAnsi="Microsoft YaHei" w:eastAsia="Microsoft YaHei" w:cs="Microsoft YaHei"/>
        <w:sz w:val="20"/>
        <w:szCs w:val="20"/>
        <w:color w:val="231F20"/>
        <w:spacing w:val="-3"/>
      </w:rPr>
      <w:t>—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24"/>
      <w:spacing w:before="33" w:line="211" w:lineRule="auto"/>
      <w:rPr>
        <w:rFonts w:ascii="NSimSun" w:hAnsi="NSimSun" w:eastAsia="NSimSun" w:cs="NSimSun"/>
        <w:sz w:val="15"/>
        <w:szCs w:val="15"/>
      </w:rPr>
    </w:pPr>
    <w:r>
      <w:pict>
        <v:shape id="WordPictureWatermark2" style="position:absolute;margin-left:21.2pt;margin-top:811.69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56.6929pt;margin-top:65.013pt;mso-position-vertical-relative:page;mso-position-horizontal-relative:page;width:481.9pt;height:0.4pt;z-index:251659264;" o:allowincell="f" filled="false" strokecolor="#231F20" strokeweight="0.37pt" coordsize="9637,8" coordorigin="0,0" path="m0,3l9637,3e">
          <v:stroke joinstyle="miter" miterlimit="4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</w:rPr>
      <w:t>当代医学    </w:t>
    </w:r>
    <w:r>
      <w:rPr>
        <w:rFonts w:ascii="NSimSun" w:hAnsi="NSimSun" w:eastAsia="NSimSun" w:cs="NSimSun"/>
        <w:sz w:val="15"/>
        <w:szCs w:val="15"/>
        <w:color w:val="231F20"/>
      </w:rPr>
      <w:t>2021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5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</w:rPr>
      <w:t>6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月第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9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</w:rPr>
      <w:t>27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卷第 </w:t>
    </w:r>
    <w:r>
      <w:rPr>
        <w:rFonts w:ascii="NSimSun" w:hAnsi="NSimSun" w:eastAsia="NSimSun" w:cs="NSimSun"/>
        <w:sz w:val="15"/>
        <w:szCs w:val="15"/>
        <w:color w:val="231F20"/>
      </w:rPr>
      <w:t>16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期总第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9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</w:rPr>
      <w:t>603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期   </w:t>
    </w:r>
    <w:r>
      <w:rPr>
        <w:rFonts w:ascii="NSimSun" w:hAnsi="NSimSun" w:eastAsia="NSimSun" w:cs="NSimSun"/>
        <w:sz w:val="15"/>
        <w:szCs w:val="15"/>
        <w:color w:val="231F20"/>
      </w:rPr>
      <w:t>Contemporary</w:t>
    </w:r>
    <w:r>
      <w:rPr>
        <w:rFonts w:ascii="NSimSun" w:hAnsi="NSimSun" w:eastAsia="NSimSun" w:cs="NSimSun"/>
        <w:sz w:val="15"/>
        <w:szCs w:val="15"/>
        <w:color w:val="231F20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</w:rPr>
      <w:t>Medicine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，</w:t>
    </w:r>
    <w:r>
      <w:rPr>
        <w:rFonts w:ascii="NSimSun" w:hAnsi="NSimSun" w:eastAsia="NSimSun" w:cs="NSimSun"/>
        <w:sz w:val="15"/>
        <w:szCs w:val="15"/>
        <w:color w:val="231F20"/>
      </w:rPr>
      <w:t>Jun.2021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，</w:t>
    </w:r>
    <w:r>
      <w:rPr>
        <w:rFonts w:ascii="NSimSun" w:hAnsi="NSimSun" w:eastAsia="NSimSun" w:cs="NSimSun"/>
        <w:sz w:val="15"/>
        <w:szCs w:val="15"/>
        <w:color w:val="231F20"/>
      </w:rPr>
      <w:t>Vol.27</w:t>
    </w:r>
    <w:r>
      <w:rPr>
        <w:rFonts w:ascii="NSimSun" w:hAnsi="NSimSun" w:eastAsia="NSimSun" w:cs="NSimSun"/>
        <w:sz w:val="15"/>
        <w:szCs w:val="15"/>
        <w:color w:val="231F20"/>
        <w:spacing w:val="-29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</w:rPr>
      <w:t>No.16</w:t>
    </w:r>
    <w:r>
      <w:rPr>
        <w:rFonts w:ascii="NSimSun" w:hAnsi="NSimSun" w:eastAsia="NSimSun" w:cs="NSimSun"/>
        <w:sz w:val="15"/>
        <w:szCs w:val="15"/>
        <w:color w:val="231F20"/>
        <w:spacing w:val="-30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</w:rPr>
      <w:t>Issue</w:t>
    </w:r>
    <w:r>
      <w:rPr>
        <w:rFonts w:ascii="NSimSun" w:hAnsi="NSimSun" w:eastAsia="NSimSun" w:cs="NSimSun"/>
        <w:sz w:val="15"/>
        <w:szCs w:val="15"/>
        <w:color w:val="231F20"/>
        <w:spacing w:val="-29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</w:rPr>
      <w:t>No.603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24"/>
      <w:spacing w:before="33" w:line="211" w:lineRule="auto"/>
      <w:rPr>
        <w:rFonts w:ascii="NSimSun" w:hAnsi="NSimSun" w:eastAsia="NSimSun" w:cs="NSimSun"/>
        <w:sz w:val="15"/>
        <w:szCs w:val="15"/>
      </w:rPr>
    </w:pPr>
    <w:r>
      <w:pict>
        <v:shape id="_x0000_s8" style="position:absolute;margin-left:56.693pt;margin-top:65.013pt;mso-position-vertical-relative:page;mso-position-horizontal-relative:page;width:481.9pt;height:0.4pt;z-index:251660288;" o:allowincell="f" filled="false" strokecolor="#231F20" strokeweight="0.37pt" coordsize="9637,8" coordorigin="0,0" path="m0,3l9637,3e">
          <v:stroke joinstyle="miter" miterlimit="4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</w:rPr>
      <w:t>当代医学    </w:t>
    </w:r>
    <w:r>
      <w:rPr>
        <w:rFonts w:ascii="NSimSun" w:hAnsi="NSimSun" w:eastAsia="NSimSun" w:cs="NSimSun"/>
        <w:sz w:val="15"/>
        <w:szCs w:val="15"/>
        <w:color w:val="231F20"/>
      </w:rPr>
      <w:t>2021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5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</w:rPr>
      <w:t>6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月第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9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</w:rPr>
      <w:t>27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卷第 </w:t>
    </w:r>
    <w:r>
      <w:rPr>
        <w:rFonts w:ascii="NSimSun" w:hAnsi="NSimSun" w:eastAsia="NSimSun" w:cs="NSimSun"/>
        <w:sz w:val="15"/>
        <w:szCs w:val="15"/>
        <w:color w:val="231F20"/>
      </w:rPr>
      <w:t>16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期总第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9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</w:rPr>
      <w:t>603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期   </w:t>
    </w:r>
    <w:r>
      <w:rPr>
        <w:rFonts w:ascii="NSimSun" w:hAnsi="NSimSun" w:eastAsia="NSimSun" w:cs="NSimSun"/>
        <w:sz w:val="15"/>
        <w:szCs w:val="15"/>
        <w:color w:val="231F20"/>
      </w:rPr>
      <w:t>Contemporary</w:t>
    </w:r>
    <w:r>
      <w:rPr>
        <w:rFonts w:ascii="NSimSun" w:hAnsi="NSimSun" w:eastAsia="NSimSun" w:cs="NSimSun"/>
        <w:sz w:val="15"/>
        <w:szCs w:val="15"/>
        <w:color w:val="231F20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</w:rPr>
      <w:t>Medicine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，</w:t>
    </w:r>
    <w:r>
      <w:rPr>
        <w:rFonts w:ascii="NSimSun" w:hAnsi="NSimSun" w:eastAsia="NSimSun" w:cs="NSimSun"/>
        <w:sz w:val="15"/>
        <w:szCs w:val="15"/>
        <w:color w:val="231F20"/>
      </w:rPr>
      <w:t>Jun.2021</w:t>
    </w:r>
    <w:r>
      <w:rPr>
        <w:rFonts w:ascii="Microsoft YaHei" w:hAnsi="Microsoft YaHei" w:eastAsia="Microsoft YaHei" w:cs="Microsoft YaHei"/>
        <w:sz w:val="15"/>
        <w:szCs w:val="15"/>
        <w:color w:val="231F20"/>
      </w:rPr>
      <w:t>，</w:t>
    </w:r>
    <w:r>
      <w:rPr>
        <w:rFonts w:ascii="NSimSun" w:hAnsi="NSimSun" w:eastAsia="NSimSun" w:cs="NSimSun"/>
        <w:sz w:val="15"/>
        <w:szCs w:val="15"/>
        <w:color w:val="231F20"/>
      </w:rPr>
      <w:t>Vol.27</w:t>
    </w:r>
    <w:r>
      <w:rPr>
        <w:rFonts w:ascii="NSimSun" w:hAnsi="NSimSun" w:eastAsia="NSimSun" w:cs="NSimSun"/>
        <w:sz w:val="15"/>
        <w:szCs w:val="15"/>
        <w:color w:val="231F20"/>
        <w:spacing w:val="-29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</w:rPr>
      <w:t>No.16</w:t>
    </w:r>
    <w:r>
      <w:rPr>
        <w:rFonts w:ascii="NSimSun" w:hAnsi="NSimSun" w:eastAsia="NSimSun" w:cs="NSimSun"/>
        <w:sz w:val="15"/>
        <w:szCs w:val="15"/>
        <w:color w:val="231F20"/>
        <w:spacing w:val="-30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</w:rPr>
      <w:t>Issue</w:t>
    </w:r>
    <w:r>
      <w:rPr>
        <w:rFonts w:ascii="NSimSun" w:hAnsi="NSimSun" w:eastAsia="NSimSun" w:cs="NSimSun"/>
        <w:sz w:val="15"/>
        <w:szCs w:val="15"/>
        <w:color w:val="231F20"/>
        <w:spacing w:val="-29"/>
      </w:rPr>
      <w:t xml:space="preserve"> </w:t>
    </w:r>
    <w:r>
      <w:rPr>
        <w:rFonts w:ascii="NSimSun" w:hAnsi="NSimSun" w:eastAsia="NSimSun" w:cs="NSimSun"/>
        <w:sz w:val="15"/>
        <w:szCs w:val="15"/>
        <w:color w:val="231F20"/>
      </w:rPr>
      <w:t>No.603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2025-03-17T22:13:12Z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2025-10-28T21:25:46</vt:filetime>
  </property>
</Properties>
</file>