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396"/>
        <w:spacing w:before="61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color w:val="231F20"/>
          <w:spacing w:val="17"/>
          <w:position w:val="1"/>
        </w:rPr>
        <w:t>· </w:t>
      </w:r>
      <w:r>
        <w:rPr>
          <w:rFonts w:ascii="Times New Roman" w:hAnsi="Times New Roman" w:eastAsia="Times New Roman" w:cs="Times New Roman"/>
          <w:color w:val="231F20"/>
          <w:spacing w:val="17"/>
          <w:position w:val="2"/>
        </w:rPr>
        <w:t>86   </w:t>
      </w:r>
      <w:r>
        <w:rPr>
          <w:color w:val="231F20"/>
          <w:spacing w:val="17"/>
          <w:position w:val="1"/>
        </w:rPr>
        <w:t>·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17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</w:rPr>
        <w:t>Shenzhen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</w:rPr>
        <w:t>Journal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</w:rPr>
        <w:t>of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</w:rPr>
        <w:t>Integrated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</w:rPr>
        <w:t>Traditional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</w:rPr>
        <w:t>Chinese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</w:rPr>
        <w:t>Western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</w:rPr>
        <w:t>Medicine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</w:rPr>
        <w:t>October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17"/>
        </w:rPr>
        <w:t>2021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</w:rPr>
        <w:t>Vol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17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17"/>
        </w:rPr>
        <w:t>31.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color w:val="231F20"/>
          <w:spacing w:val="17"/>
        </w:rPr>
        <w:t>.19</w:t>
      </w:r>
    </w:p>
    <w:p>
      <w:pPr>
        <w:spacing w:before="59"/>
        <w:rPr/>
      </w:pPr>
      <w:r/>
    </w:p>
    <w:p>
      <w:pPr>
        <w:spacing w:before="59"/>
        <w:rPr/>
      </w:pPr>
      <w:r/>
    </w:p>
    <w:p>
      <w:pPr>
        <w:sectPr>
          <w:headerReference w:type="default" r:id="rId1"/>
          <w:pgSz w:w="11906" w:h="16838"/>
          <w:pgMar w:top="400" w:right="718" w:bottom="0" w:left="407" w:header="0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left="443" w:right="208" w:firstLine="21"/>
        <w:spacing w:before="43" w:line="304" w:lineRule="auto"/>
        <w:rPr/>
      </w:pPr>
      <w:r>
        <w:rPr>
          <w:color w:val="231F20"/>
          <w:spacing w:val="-1"/>
        </w:rPr>
        <w:t>的分辨率，腺体内浅钙化和微小钙化可清晰显示，乳腺癌检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出率较高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[8] </w:t>
      </w:r>
      <w:r>
        <w:rPr>
          <w:color w:val="231F20"/>
          <w:spacing w:val="-1"/>
        </w:rPr>
        <w:t>。呈叶状或刺状肿块、边缘模糊、病灶钙化等特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征是诊断乳腺癌的重要指标。但部分高密度纤维叶在钼靶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 </w:t>
      </w:r>
      <w:r>
        <w:rPr>
          <w:color w:val="231F20"/>
        </w:rPr>
        <w:t>线诊断过程中也存在钙化特征，容易发生误诊，同时钼靶</w:t>
      </w:r>
      <w:r>
        <w:rPr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X </w:t>
      </w:r>
      <w:r>
        <w:rPr>
          <w:color w:val="231F20"/>
        </w:rPr>
        <w:t>线检查会对患者造成辐射危害。本研究中，联合检查乳腺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癌诊断符合率高于彩色多普勒超声、钼靶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X </w:t>
      </w:r>
      <w:r>
        <w:rPr>
          <w:color w:val="231F20"/>
          <w:spacing w:val="6"/>
        </w:rPr>
        <w:t>线单一</w:t>
      </w:r>
      <w:r>
        <w:rPr>
          <w:color w:val="231F20"/>
          <w:spacing w:val="5"/>
        </w:rPr>
        <w:t>检查，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漏诊率、误诊率低于彩色多普勒超声、钼靶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X </w:t>
      </w:r>
      <w:r>
        <w:rPr>
          <w:color w:val="231F20"/>
          <w:spacing w:val="-1"/>
        </w:rPr>
        <w:t>线单一检查；</w:t>
      </w:r>
      <w:r>
        <w:rPr>
          <w:color w:val="231F20"/>
        </w:rPr>
        <w:t xml:space="preserve"> </w:t>
      </w:r>
      <w:r>
        <w:rPr>
          <w:color w:val="231F20"/>
        </w:rPr>
        <w:t>彩色多普勒超声对腋窝淋巴结肿大、血管征、肿块检出率高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于钼靶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X </w:t>
      </w:r>
      <w:r>
        <w:rPr>
          <w:color w:val="231F20"/>
          <w:spacing w:val="4"/>
        </w:rPr>
        <w:t>线，微小钙化灶检出率低于钼靶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X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线，提示彩色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多普勒超声与钼靶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X </w:t>
      </w:r>
      <w:r>
        <w:rPr>
          <w:color w:val="231F20"/>
          <w:spacing w:val="6"/>
        </w:rPr>
        <w:t>线诊断乳腺癌各有优缺点，</w:t>
      </w:r>
      <w:r>
        <w:rPr>
          <w:color w:val="231F20"/>
          <w:spacing w:val="5"/>
        </w:rPr>
        <w:t>联合检查</w:t>
      </w:r>
      <w:r>
        <w:rPr>
          <w:color w:val="231F20"/>
        </w:rPr>
        <w:t xml:space="preserve"> </w:t>
      </w:r>
      <w:r>
        <w:rPr>
          <w:color w:val="231F20"/>
        </w:rPr>
        <w:t>可提高乳腺癌检出率。联合检测可经不同角度对病灶病理特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性分析，发挥优势互补作用，为临床提供更加全面的信息，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降低乳腺癌误诊、漏诊率。</w:t>
      </w:r>
    </w:p>
    <w:p>
      <w:pPr>
        <w:pStyle w:val="BodyText"/>
        <w:ind w:left="449" w:right="209" w:firstLine="382"/>
        <w:spacing w:before="2" w:line="305" w:lineRule="auto"/>
        <w:jc w:val="both"/>
        <w:rPr/>
      </w:pPr>
      <w:r>
        <w:rPr>
          <w:color w:val="231F20"/>
          <w:spacing w:val="6"/>
        </w:rPr>
        <w:t>综上所述，彩色多普勒超声与钼靶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X </w:t>
      </w:r>
      <w:r>
        <w:rPr>
          <w:color w:val="231F20"/>
          <w:spacing w:val="6"/>
        </w:rPr>
        <w:t>线诊断乳腺癌各</w:t>
      </w:r>
      <w:r>
        <w:rPr>
          <w:color w:val="231F20"/>
        </w:rPr>
        <w:t xml:space="preserve"> </w:t>
      </w:r>
      <w:r>
        <w:rPr>
          <w:color w:val="231F20"/>
        </w:rPr>
        <w:t>有优势与不足，联合检查可提高乳腺癌的诊断准确率，更好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地指导临床的治疗。</w:t>
      </w:r>
    </w:p>
    <w:p>
      <w:pPr>
        <w:ind w:left="437"/>
        <w:spacing w:before="301" w:line="24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〔参考文献〕</w:t>
      </w:r>
    </w:p>
    <w:p>
      <w:pPr>
        <w:pStyle w:val="BodyText"/>
        <w:ind w:left="468"/>
        <w:spacing w:before="74" w:line="21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1</w:t>
      </w:r>
      <w:r>
        <w:rPr>
          <w:sz w:val="17"/>
          <w:szCs w:val="17"/>
          <w:color w:val="231F20"/>
          <w:spacing w:val="1"/>
        </w:rPr>
        <w:t>〕  张婧姝，郑慧．彩色多普勒超声诊断乳</w:t>
      </w:r>
      <w:r>
        <w:rPr>
          <w:sz w:val="17"/>
          <w:szCs w:val="17"/>
          <w:color w:val="231F20"/>
        </w:rPr>
        <w:t>腺癌的价值〔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J</w:t>
      </w:r>
      <w:r>
        <w:rPr>
          <w:sz w:val="17"/>
          <w:szCs w:val="17"/>
          <w:color w:val="231F20"/>
        </w:rPr>
        <w:t>〕．</w:t>
      </w:r>
    </w:p>
    <w:p>
      <w:pPr>
        <w:spacing w:line="8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73"/>
        <w:spacing w:before="36" w:line="20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安徽医药，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2018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22(8)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1475-1476</w:t>
      </w:r>
      <w:r>
        <w:rPr>
          <w:sz w:val="17"/>
          <w:szCs w:val="17"/>
          <w:color w:val="231F20"/>
          <w:spacing w:val="-2"/>
        </w:rPr>
        <w:t>．</w:t>
      </w:r>
    </w:p>
    <w:p>
      <w:pPr>
        <w:pStyle w:val="BodyText"/>
        <w:ind w:left="569" w:right="131" w:hanging="569"/>
        <w:spacing w:before="90" w:line="30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2</w:t>
      </w:r>
      <w:r>
        <w:rPr>
          <w:sz w:val="17"/>
          <w:szCs w:val="17"/>
          <w:color w:val="231F20"/>
          <w:spacing w:val="1"/>
        </w:rPr>
        <w:t>〕  程任捷，唐文成．多种超声技术与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X </w:t>
      </w:r>
      <w:r>
        <w:rPr>
          <w:sz w:val="17"/>
          <w:szCs w:val="17"/>
          <w:color w:val="231F20"/>
          <w:spacing w:val="1"/>
        </w:rPr>
        <w:t>线钼靶联合诊断乳腺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癌的应用价值〔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J</w:t>
      </w:r>
      <w:r>
        <w:rPr>
          <w:sz w:val="17"/>
          <w:szCs w:val="17"/>
          <w:color w:val="231F20"/>
          <w:spacing w:val="2"/>
        </w:rPr>
        <w:t>〕．</w:t>
      </w:r>
      <w:r>
        <w:rPr>
          <w:sz w:val="17"/>
          <w:szCs w:val="17"/>
          <w:color w:val="231F20"/>
          <w:spacing w:val="-49"/>
        </w:rPr>
        <w:t xml:space="preserve"> </w:t>
      </w:r>
      <w:r>
        <w:rPr>
          <w:sz w:val="17"/>
          <w:szCs w:val="17"/>
          <w:color w:val="231F20"/>
          <w:spacing w:val="2"/>
        </w:rPr>
        <w:t>中国临床研究，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2017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30(8)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1123-</w:t>
      </w:r>
    </w:p>
    <w:p>
      <w:pPr>
        <w:pStyle w:val="BodyText"/>
        <w:ind w:left="583"/>
        <w:spacing w:before="33" w:line="179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6"/>
        </w:rPr>
        <w:t>1125</w:t>
      </w:r>
      <w:r>
        <w:rPr>
          <w:sz w:val="17"/>
          <w:szCs w:val="17"/>
          <w:color w:val="231F20"/>
          <w:spacing w:val="-6"/>
        </w:rPr>
        <w:t>．</w:t>
      </w:r>
    </w:p>
    <w:p>
      <w:pPr>
        <w:pStyle w:val="BodyText"/>
        <w:ind w:left="570" w:right="131" w:hanging="571"/>
        <w:spacing w:before="91" w:line="30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3</w:t>
      </w:r>
      <w:r>
        <w:rPr>
          <w:sz w:val="17"/>
          <w:szCs w:val="17"/>
          <w:color w:val="231F20"/>
          <w:spacing w:val="3"/>
        </w:rPr>
        <w:t>〕  王芳，刘晓红，石新霞，等．全视野数字化乳腺摄</w:t>
      </w:r>
      <w:r>
        <w:rPr>
          <w:sz w:val="17"/>
          <w:szCs w:val="17"/>
          <w:color w:val="231F20"/>
          <w:spacing w:val="2"/>
        </w:rPr>
        <w:t>影联合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彩色多普勒超声在乳腺癌诊断中的应用价值〔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J</w:t>
      </w:r>
      <w:r>
        <w:rPr>
          <w:sz w:val="17"/>
          <w:szCs w:val="17"/>
          <w:color w:val="231F20"/>
          <w:spacing w:val="1"/>
        </w:rPr>
        <w:t>〕．西北国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防医学杂志，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2017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38(7)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441-444</w:t>
      </w:r>
      <w:r>
        <w:rPr>
          <w:sz w:val="17"/>
          <w:szCs w:val="17"/>
          <w:color w:val="231F20"/>
          <w:spacing w:val="-2"/>
        </w:rPr>
        <w:t>．</w:t>
      </w:r>
    </w:p>
    <w:p>
      <w:pPr>
        <w:pStyle w:val="BodyText"/>
        <w:ind w:left="570" w:right="131" w:hanging="571"/>
        <w:spacing w:before="6" w:line="304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4</w:t>
      </w:r>
      <w:r>
        <w:rPr>
          <w:sz w:val="17"/>
          <w:szCs w:val="17"/>
          <w:color w:val="231F20"/>
        </w:rPr>
        <w:t>〕  吕小利，洪向丽，陈颖培，等．超声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BI-RADS </w:t>
      </w:r>
      <w:r>
        <w:rPr>
          <w:sz w:val="17"/>
          <w:szCs w:val="17"/>
          <w:color w:val="231F20"/>
        </w:rPr>
        <w:t>分级第二版 </w:t>
      </w:r>
      <w:r>
        <w:rPr>
          <w:sz w:val="17"/>
          <w:szCs w:val="17"/>
          <w:color w:val="231F20"/>
          <w:spacing w:val="2"/>
        </w:rPr>
        <w:t>诊断标准在乳腺疾病诊断中的应用价值〔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J</w:t>
      </w:r>
      <w:r>
        <w:rPr>
          <w:sz w:val="17"/>
          <w:szCs w:val="17"/>
          <w:color w:val="231F20"/>
          <w:spacing w:val="2"/>
        </w:rPr>
        <w:t>〕</w:t>
      </w:r>
      <w:r>
        <w:rPr>
          <w:sz w:val="17"/>
          <w:szCs w:val="17"/>
          <w:color w:val="231F20"/>
          <w:spacing w:val="1"/>
        </w:rPr>
        <w:t>．临床超声医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学杂志，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2016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18(12)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820-8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22</w:t>
      </w:r>
      <w:r>
        <w:rPr>
          <w:sz w:val="17"/>
          <w:szCs w:val="17"/>
          <w:color w:val="231F20"/>
          <w:spacing w:val="-3"/>
        </w:rPr>
        <w:t>．</w:t>
      </w:r>
    </w:p>
    <w:p>
      <w:pPr>
        <w:pStyle w:val="BodyText"/>
        <w:ind w:left="569" w:right="131" w:hanging="569"/>
        <w:spacing w:before="7" w:line="30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5</w:t>
      </w:r>
      <w:r>
        <w:rPr>
          <w:sz w:val="17"/>
          <w:szCs w:val="17"/>
          <w:color w:val="231F20"/>
          <w:spacing w:val="3"/>
        </w:rPr>
        <w:t>〕  白雪，林温文，冯欣宇．超声弹性成像与彩色多普勒超声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在乳腺癌鉴别诊断中的临床价值〔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J</w:t>
      </w:r>
      <w:r>
        <w:rPr>
          <w:sz w:val="17"/>
          <w:szCs w:val="17"/>
          <w:color w:val="231F20"/>
          <w:spacing w:val="1"/>
        </w:rPr>
        <w:t>〕．癌症进展，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2019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1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17(12)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1432-1435</w:t>
      </w:r>
      <w:r>
        <w:rPr>
          <w:sz w:val="17"/>
          <w:szCs w:val="17"/>
          <w:color w:val="231F20"/>
          <w:spacing w:val="-2"/>
        </w:rPr>
        <w:t>．</w:t>
      </w:r>
    </w:p>
    <w:p>
      <w:pPr>
        <w:pStyle w:val="BodyText"/>
        <w:ind w:right="131"/>
        <w:spacing w:before="5" w:line="303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6</w:t>
      </w:r>
      <w:r>
        <w:rPr>
          <w:sz w:val="17"/>
          <w:szCs w:val="17"/>
          <w:color w:val="231F20"/>
          <w:spacing w:val="1"/>
        </w:rPr>
        <w:t>〕  齐春凤．彩色多普勒超声与钼靶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X </w:t>
      </w:r>
      <w:r>
        <w:rPr>
          <w:sz w:val="17"/>
          <w:szCs w:val="17"/>
          <w:color w:val="231F20"/>
          <w:spacing w:val="1"/>
        </w:rPr>
        <w:t>线联合检查早期乳腺癌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的研究〔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J</w:t>
      </w:r>
      <w:r>
        <w:rPr>
          <w:sz w:val="17"/>
          <w:szCs w:val="17"/>
          <w:color w:val="231F20"/>
          <w:spacing w:val="-2"/>
        </w:rPr>
        <w:t>〕．中国实验诊断学，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2018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22(7)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1138-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1139</w:t>
      </w:r>
      <w:r>
        <w:rPr>
          <w:sz w:val="17"/>
          <w:szCs w:val="17"/>
          <w:color w:val="231F20"/>
          <w:spacing w:val="-3"/>
        </w:rPr>
        <w:t>．</w:t>
      </w:r>
    </w:p>
    <w:p>
      <w:pPr>
        <w:pStyle w:val="BodyText"/>
        <w:ind w:left="567" w:right="132" w:hanging="567"/>
        <w:spacing w:before="7" w:line="30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7</w:t>
      </w:r>
      <w:r>
        <w:rPr>
          <w:sz w:val="17"/>
          <w:szCs w:val="17"/>
          <w:color w:val="231F20"/>
          <w:spacing w:val="3"/>
        </w:rPr>
        <w:t>〕  闫敏芳，杜起军，任路平，等．彩色多普勒超声成</w:t>
      </w:r>
      <w:r>
        <w:rPr>
          <w:sz w:val="17"/>
          <w:szCs w:val="17"/>
          <w:color w:val="231F20"/>
          <w:spacing w:val="2"/>
        </w:rPr>
        <w:t>像联合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钼靶</w:t>
      </w:r>
      <w:r>
        <w:rPr>
          <w:sz w:val="17"/>
          <w:szCs w:val="17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X </w:t>
      </w:r>
      <w:r>
        <w:rPr>
          <w:sz w:val="17"/>
          <w:szCs w:val="17"/>
          <w:color w:val="231F20"/>
        </w:rPr>
        <w:t>线对早期乳腺癌的诊断意义〔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J</w:t>
      </w:r>
      <w:r>
        <w:rPr>
          <w:sz w:val="17"/>
          <w:szCs w:val="17"/>
          <w:color w:val="231F20"/>
        </w:rPr>
        <w:t>〕．中国妇幼保健，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2018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33(22)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5273-52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75</w:t>
      </w:r>
      <w:r>
        <w:rPr>
          <w:sz w:val="17"/>
          <w:szCs w:val="17"/>
          <w:color w:val="231F20"/>
          <w:spacing w:val="-3"/>
        </w:rPr>
        <w:t>．</w:t>
      </w:r>
    </w:p>
    <w:p>
      <w:pPr>
        <w:pStyle w:val="BodyText"/>
        <w:ind w:left="567" w:hanging="567"/>
        <w:spacing w:before="6" w:line="30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8</w:t>
      </w:r>
      <w:r>
        <w:rPr>
          <w:sz w:val="17"/>
          <w:szCs w:val="17"/>
          <w:color w:val="231F20"/>
          <w:spacing w:val="1"/>
        </w:rPr>
        <w:t>〕  姚霞飞，周珂，钱群飞．彩色多普勒超声联合钼靶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X </w:t>
      </w:r>
      <w:r>
        <w:rPr>
          <w:sz w:val="17"/>
          <w:szCs w:val="17"/>
          <w:color w:val="231F20"/>
          <w:spacing w:val="1"/>
        </w:rPr>
        <w:t>线摄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</w:rPr>
        <w:t>影对乳腺癌的诊断价值〔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J</w:t>
      </w:r>
      <w:r>
        <w:rPr>
          <w:sz w:val="17"/>
          <w:szCs w:val="17"/>
          <w:color w:val="231F20"/>
        </w:rPr>
        <w:t>〕．中国中西医结合影像学杂志，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2017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15(3)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348-350</w:t>
      </w:r>
      <w:r>
        <w:rPr>
          <w:sz w:val="17"/>
          <w:szCs w:val="17"/>
          <w:color w:val="231F20"/>
          <w:spacing w:val="-3"/>
        </w:rPr>
        <w:t>．</w:t>
      </w:r>
    </w:p>
    <w:p>
      <w:pPr>
        <w:spacing w:line="304" w:lineRule="auto"/>
        <w:sectPr>
          <w:type w:val="continuous"/>
          <w:pgSz w:w="11906" w:h="16838"/>
          <w:pgMar w:top="400" w:right="718" w:bottom="0" w:left="407" w:header="0" w:footer="0" w:gutter="0"/>
          <w:cols w:equalWidth="0" w:num="2">
            <w:col w:w="5613" w:space="100"/>
            <w:col w:w="5067" w:space="0"/>
          </w:cols>
        </w:sectPr>
        <w:rPr>
          <w:sz w:val="17"/>
          <w:szCs w:val="17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>
        <w:pict>
          <v:shape id="_x0000_s4" style="position:absolute;margin-left:22.4947pt;margin-top:2.26794pt;mso-position-vertical-relative:text;mso-position-horizontal-relative:text;width:510.25pt;height:0.75pt;z-index:251658240;" filled="false" strokecolor="#231F20" strokeweight="0.75pt" coordsize="10205,15" coordorigin="0,0" path="m0,7l10204,7e">
            <v:stroke joinstyle="miter" miterlimit="4"/>
          </v:shape>
        </w:pict>
      </w:r>
      <w:r/>
    </w:p>
    <w:p>
      <w:pPr>
        <w:pStyle w:val="BodyText"/>
        <w:ind w:left="472"/>
        <w:spacing w:before="65" w:line="20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color w:val="231F20"/>
        </w:rPr>
        <w:t>〔文章编号〕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1007-0893(2021)19-0086-03                          DOI</w:t>
      </w:r>
      <w:r>
        <w:rPr>
          <w:sz w:val="20"/>
          <w:szCs w:val="20"/>
          <w:color w:val="231F20"/>
        </w:rPr>
        <w:t>：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10.16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458/j.cnki.1007-0893.2021.19.035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1414"/>
        <w:spacing w:before="131" w:line="241" w:lineRule="auto"/>
        <w:outlineLvl w:val="0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2"/>
        </w:rPr>
        <w:t>急诊腹部</w:t>
      </w:r>
      <w:r>
        <w:rPr>
          <w:rFonts w:ascii="SimHei" w:hAnsi="SimHei" w:eastAsia="SimHei" w:cs="SimHei"/>
          <w:sz w:val="40"/>
          <w:szCs w:val="40"/>
          <w:color w:val="231F20"/>
          <w:spacing w:val="-82"/>
        </w:rPr>
        <w:t xml:space="preserve"> </w:t>
      </w:r>
      <w:r>
        <w:rPr>
          <w:rFonts w:ascii="Times New Roman" w:hAnsi="Times New Roman" w:eastAsia="Times New Roman" w:cs="Times New Roman"/>
          <w:sz w:val="40"/>
          <w:szCs w:val="40"/>
          <w:color w:val="231F20"/>
          <w:spacing w:val="-2"/>
          <w:position w:val="1"/>
        </w:rPr>
        <w:t>CT </w:t>
      </w:r>
      <w:r>
        <w:rPr>
          <w:rFonts w:ascii="SimHei" w:hAnsi="SimHei" w:eastAsia="SimHei" w:cs="SimHei"/>
          <w:sz w:val="40"/>
          <w:szCs w:val="40"/>
          <w:color w:val="231F20"/>
          <w:spacing w:val="-2"/>
        </w:rPr>
        <w:t>对急性肠系膜血管栓塞的诊断价值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860"/>
        <w:spacing w:before="65" w:line="23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崔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勇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袁建宏</w:t>
      </w:r>
    </w:p>
    <w:p>
      <w:pPr>
        <w:pStyle w:val="BodyText"/>
        <w:ind w:left="3773"/>
        <w:spacing w:before="157" w:line="22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（长沙泰和医院，湖南 长沙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410000</w:t>
      </w:r>
      <w:r>
        <w:rPr>
          <w:sz w:val="21"/>
          <w:szCs w:val="21"/>
          <w:color w:val="231F20"/>
          <w:spacing w:val="-1"/>
        </w:rPr>
        <w:t>）</w:t>
      </w:r>
    </w:p>
    <w:p>
      <w:pPr>
        <w:pStyle w:val="BodyText"/>
        <w:ind w:left="447" w:right="135" w:hanging="10"/>
        <w:spacing w:before="298" w:line="277" w:lineRule="auto"/>
        <w:rPr/>
      </w:pPr>
      <w:r>
        <w:rPr>
          <w:rFonts w:ascii="SimHei" w:hAnsi="SimHei" w:eastAsia="SimHei" w:cs="SimHei"/>
          <w:color w:val="231F20"/>
          <w:spacing w:val="2"/>
        </w:rPr>
        <w:t>〔摘</w:t>
      </w:r>
      <w:r>
        <w:rPr>
          <w:rFonts w:ascii="SimHei" w:hAnsi="SimHei" w:eastAsia="SimHei" w:cs="SimHei"/>
          <w:color w:val="231F20"/>
          <w:spacing w:val="2"/>
        </w:rPr>
        <w:t xml:space="preserve">  </w:t>
      </w:r>
      <w:r>
        <w:rPr>
          <w:rFonts w:ascii="SimHei" w:hAnsi="SimHei" w:eastAsia="SimHei" w:cs="SimHei"/>
          <w:color w:val="231F20"/>
          <w:spacing w:val="2"/>
        </w:rPr>
        <w:t>要〕</w:t>
      </w:r>
      <w:r>
        <w:rPr>
          <w:rFonts w:ascii="SimHei" w:hAnsi="SimHei" w:eastAsia="SimHei" w:cs="SimHei"/>
          <w:color w:val="231F20"/>
          <w:spacing w:val="2"/>
        </w:rPr>
        <w:t xml:space="preserve">  </w:t>
      </w:r>
      <w:r>
        <w:rPr>
          <w:color w:val="231F20"/>
          <w:spacing w:val="2"/>
        </w:rPr>
        <w:t>目的：探讨急诊腹部计算机</w:t>
      </w:r>
      <w:r>
        <w:rPr>
          <w:color w:val="231F20"/>
          <w:spacing w:val="1"/>
        </w:rPr>
        <w:t>断层扫描（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color w:val="231F20"/>
          <w:spacing w:val="1"/>
        </w:rPr>
        <w:t>）诊断技术用于急性肠系膜血管栓塞（</w:t>
      </w:r>
      <w:r>
        <w:rPr>
          <w:rFonts w:ascii="Times New Roman" w:hAnsi="Times New Roman" w:eastAsia="Times New Roman" w:cs="Times New Roman"/>
          <w:color w:val="231F20"/>
        </w:rPr>
        <w:t>AMVO</w:t>
      </w:r>
      <w:r>
        <w:rPr>
          <w:color w:val="231F20"/>
          <w:spacing w:val="1"/>
        </w:rPr>
        <w:t>）患者的诊断效果及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准确度。方法：选取长沙泰和医院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2019 </w:t>
      </w:r>
      <w:r>
        <w:rPr>
          <w:color w:val="231F20"/>
          <w:spacing w:val="1"/>
        </w:rPr>
        <w:t>年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月至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2019 </w:t>
      </w:r>
      <w:r>
        <w:rPr>
          <w:color w:val="231F20"/>
          <w:spacing w:val="1"/>
        </w:rPr>
        <w:t>年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12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月期间收治的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56 </w:t>
      </w:r>
      <w:r>
        <w:rPr>
          <w:color w:val="231F20"/>
          <w:spacing w:val="1"/>
        </w:rPr>
        <w:t>例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AMVO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color w:val="231F20"/>
          <w:spacing w:val="1"/>
        </w:rPr>
        <w:t>患者，根据不</w:t>
      </w:r>
      <w:r>
        <w:rPr>
          <w:color w:val="231F20"/>
        </w:rPr>
        <w:t>同诊断方案将其分 </w:t>
      </w:r>
      <w:r>
        <w:rPr>
          <w:color w:val="231F20"/>
          <w:spacing w:val="2"/>
        </w:rPr>
        <w:t>为对照组（</w:t>
      </w:r>
      <w:r>
        <w:rPr>
          <w:rFonts w:ascii="Times New Roman" w:hAnsi="Times New Roman" w:eastAsia="Times New Roman" w:cs="Times New Roman"/>
          <w:color w:val="231F20"/>
          <w:spacing w:val="2"/>
        </w:rPr>
        <w:t>28 </w:t>
      </w:r>
      <w:r>
        <w:rPr>
          <w:color w:val="231F20"/>
          <w:spacing w:val="2"/>
        </w:rPr>
        <w:t>例）与观察组（</w:t>
      </w:r>
      <w:r>
        <w:rPr>
          <w:rFonts w:ascii="Times New Roman" w:hAnsi="Times New Roman" w:eastAsia="Times New Roman" w:cs="Times New Roman"/>
          <w:color w:val="231F20"/>
          <w:spacing w:val="2"/>
        </w:rPr>
        <w:t>28 </w:t>
      </w:r>
      <w:r>
        <w:rPr>
          <w:color w:val="231F20"/>
          <w:spacing w:val="2"/>
        </w:rPr>
        <w:t>例）。观察组实施腹部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诊</w:t>
      </w:r>
      <w:r>
        <w:rPr>
          <w:color w:val="231F20"/>
          <w:spacing w:val="1"/>
        </w:rPr>
        <w:t>断，对照组实施剖腹探查诊断，比较两组诊断效果。结果：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观察组患者的检查时间相比对照组更低，患者失</w:t>
      </w:r>
      <w:r>
        <w:rPr>
          <w:color w:val="231F20"/>
          <w:spacing w:val="5"/>
        </w:rPr>
        <w:t>血量及诊疗费用相比对照组更少，差异具有统计学意义（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2"/>
        </w:rPr>
        <w:t xml:space="preserve"> </w:t>
      </w:r>
      <w:r>
        <w:rPr>
          <w:color w:val="231F20"/>
          <w:spacing w:val="5"/>
        </w:rPr>
        <w:t>＜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0.05</w:t>
      </w:r>
      <w:r>
        <w:rPr>
          <w:color w:val="231F20"/>
          <w:spacing w:val="5"/>
        </w:rPr>
        <w:t>）。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观察组患者诊断准确率相比对照组更高，而不良</w:t>
      </w:r>
      <w:r>
        <w:rPr>
          <w:color w:val="231F20"/>
          <w:spacing w:val="5"/>
        </w:rPr>
        <w:t>反应发生率相比对照组明显更低，差异具有统计学意义（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2"/>
        </w:rPr>
        <w:t xml:space="preserve"> </w:t>
      </w:r>
      <w:r>
        <w:rPr>
          <w:color w:val="231F20"/>
          <w:spacing w:val="5"/>
        </w:rPr>
        <w:t>＜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0.05</w:t>
      </w:r>
      <w:r>
        <w:rPr>
          <w:color w:val="231F20"/>
          <w:spacing w:val="5"/>
        </w:rPr>
        <w:t>）。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结论：急诊腹部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CT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-2"/>
        </w:rPr>
        <w:t>可有效提升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AMVO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患者临床诊断效果及准确度，降低不良反应发生率。</w:t>
      </w:r>
    </w:p>
    <w:p>
      <w:pPr>
        <w:pStyle w:val="BodyText"/>
        <w:ind w:left="438"/>
        <w:spacing w:line="241" w:lineRule="auto"/>
        <w:rPr/>
      </w:pPr>
      <w:r>
        <w:rPr>
          <w:rFonts w:ascii="SimHei" w:hAnsi="SimHei" w:eastAsia="SimHei" w:cs="SimHei"/>
          <w:color w:val="231F20"/>
        </w:rPr>
        <w:t>〔关键词〕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color w:val="231F20"/>
        </w:rPr>
        <w:t>急性肠系膜血管栓塞；腹部计算机断层扫描；腹部急诊</w:t>
      </w:r>
    </w:p>
    <w:p>
      <w:pPr>
        <w:pStyle w:val="BodyText"/>
        <w:ind w:left="438"/>
        <w:spacing w:before="37" w:line="241" w:lineRule="auto"/>
        <w:rPr>
          <w:rFonts w:ascii="Times New Roman" w:hAnsi="Times New Roman" w:eastAsia="Times New Roman" w:cs="Times New Roman"/>
        </w:rPr>
      </w:pPr>
      <w:r>
        <w:rPr>
          <w:rFonts w:ascii="SimHei" w:hAnsi="SimHei" w:eastAsia="SimHei" w:cs="SimHei"/>
          <w:color w:val="231F20"/>
          <w:spacing w:val="-1"/>
        </w:rPr>
        <w:t>〔中图分类号〕</w:t>
      </w:r>
      <w:r>
        <w:rPr>
          <w:rFonts w:ascii="SimHei" w:hAnsi="SimHei" w:eastAsia="SimHei" w:cs="SimHei"/>
          <w:color w:val="231F20"/>
          <w:spacing w:val="7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R 816.5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1"/>
        </w:rPr>
        <w:t>；</w:t>
      </w:r>
      <w:r>
        <w:rPr>
          <w:rFonts w:ascii="Times New Roman" w:hAnsi="Times New Roman" w:eastAsia="Times New Roman" w:cs="Times New Roman"/>
          <w:color w:val="231F20"/>
          <w:spacing w:val="-1"/>
        </w:rPr>
        <w:t>R 656.1        </w:t>
      </w:r>
      <w:r>
        <w:rPr>
          <w:rFonts w:ascii="SimHei" w:hAnsi="SimHei" w:eastAsia="SimHei" w:cs="SimHei"/>
          <w:color w:val="231F20"/>
          <w:spacing w:val="-1"/>
        </w:rPr>
        <w:t>〔文献标识码〕</w:t>
      </w:r>
      <w:r>
        <w:rPr>
          <w:rFonts w:ascii="SimHei" w:hAnsi="SimHei" w:eastAsia="SimHei" w:cs="SimHei"/>
          <w:color w:val="231F20"/>
          <w:spacing w:val="6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</w:t>
      </w:r>
    </w:p>
    <w:p>
      <w:pPr>
        <w:ind w:left="1131"/>
        <w:spacing w:before="245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3"/>
        </w:rPr>
        <w:t>The Value of Emergency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3"/>
        </w:rPr>
        <w:t>Abdominal CT in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4"/>
        </w:rPr>
        <w:t>the Diagnosis of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4"/>
        </w:rPr>
        <w:t>Acute Mesenteric Vascular Embolism</w:t>
      </w:r>
    </w:p>
    <w:p>
      <w:pPr>
        <w:ind w:left="4428"/>
        <w:spacing w:before="297" w:line="19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CUI Yong,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YUAN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Jian-hong</w:t>
      </w:r>
    </w:p>
    <w:p>
      <w:pPr>
        <w:ind w:left="3395"/>
        <w:spacing w:before="52" w:line="266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  <w:position w:val="3"/>
        </w:rPr>
        <w:t>(Changsha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  <w:position w:val="3"/>
        </w:rPr>
        <w:t>Taihe Hospital, Hunan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13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  <w:position w:val="3"/>
        </w:rPr>
        <w:t>Ch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2"/>
          <w:position w:val="3"/>
        </w:rPr>
        <w:t>angsha 410000)</w:t>
      </w:r>
    </w:p>
    <w:p>
      <w:pPr>
        <w:pStyle w:val="BodyText"/>
        <w:ind w:left="471"/>
        <w:spacing w:before="214" w:line="211" w:lineRule="auto"/>
        <w:rPr>
          <w:rFonts w:ascii="Times New Roman" w:hAnsi="Times New Roman" w:eastAsia="Times New Roman" w:cs="Times New Roman"/>
        </w:rPr>
      </w:pPr>
      <w:r>
        <w:rPr>
          <w:color w:val="231F20"/>
        </w:rPr>
        <w:t>〔</w:t>
      </w:r>
      <w:r>
        <w:rPr>
          <w:rFonts w:ascii="Times New Roman" w:hAnsi="Times New Roman" w:eastAsia="Times New Roman" w:cs="Times New Roman"/>
          <w:b/>
          <w:bCs/>
          <w:color w:val="231F20"/>
        </w:rPr>
        <w:t>Abstract</w:t>
      </w:r>
      <w:r>
        <w:rPr>
          <w:color w:val="231F20"/>
        </w:rPr>
        <w:t>〕  </w:t>
      </w:r>
      <w:r>
        <w:rPr>
          <w:rFonts w:ascii="Arial" w:hAnsi="Arial" w:eastAsia="Arial" w:cs="Arial"/>
          <w:color w:val="231F20"/>
        </w:rPr>
        <w:t>Objective   </w:t>
      </w:r>
      <w:r>
        <w:rPr>
          <w:rFonts w:ascii="Times New Roman" w:hAnsi="Times New Roman" w:eastAsia="Times New Roman" w:cs="Times New Roman"/>
          <w:color w:val="231F20"/>
        </w:rPr>
        <w:t>To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investig</w:t>
      </w:r>
      <w:r>
        <w:rPr>
          <w:rFonts w:ascii="Times New Roman" w:hAnsi="Times New Roman" w:eastAsia="Times New Roman" w:cs="Times New Roman"/>
          <w:color w:val="231F20"/>
          <w:spacing w:val="-1"/>
        </w:rPr>
        <w:t>ate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diagnostic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effect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accuracy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emergency</w:t>
      </w:r>
      <w:r>
        <w:rPr>
          <w:rFonts w:ascii="Times New Roman" w:hAnsi="Times New Roman" w:eastAsia="Times New Roman" w:cs="Times New Roman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abdominal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computed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tomography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(CT)</w:t>
      </w:r>
    </w:p>
    <w:p>
      <w:pPr>
        <w:spacing w:line="463" w:lineRule="auto"/>
        <w:rPr>
          <w:rFonts w:ascii="Arial"/>
          <w:sz w:val="21"/>
        </w:rPr>
      </w:pPr>
      <w:r>
        <w:pict>
          <v:shape id="_x0000_s6" style="position:absolute;margin-left:22.4738pt;margin-top:18.4002pt;mso-position-vertical-relative:text;mso-position-horizontal-relative:text;width:127.6pt;height:0.3pt;z-index:251659264;" filled="false" strokecolor="#231F20" strokeweight="0.28pt" coordsize="2551,6" coordorigin="0,0" path="m0,2l2551,2e">
            <v:stroke joinstyle="miter" miterlimit="4"/>
          </v:shape>
        </w:pict>
      </w:r>
      <w:r/>
    </w:p>
    <w:p>
      <w:pPr>
        <w:ind w:left="817"/>
        <w:spacing w:before="63" w:line="24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>〔收稿日期〕</w:t>
      </w: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2021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- 07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-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07</w:t>
      </w:r>
    </w:p>
    <w:p>
      <w:pPr>
        <w:pStyle w:val="BodyText"/>
        <w:ind w:left="817"/>
        <w:spacing w:before="47" w:line="208" w:lineRule="auto"/>
        <w:rPr/>
      </w:pPr>
      <w:r>
        <w:rPr>
          <w:rFonts w:ascii="SimHei" w:hAnsi="SimHei" w:eastAsia="SimHei" w:cs="SimHei"/>
          <w:color w:val="231F20"/>
          <w:spacing w:val="-1"/>
        </w:rPr>
        <w:t>〔作者简介〕</w:t>
      </w:r>
      <w:r>
        <w:rPr>
          <w:rFonts w:ascii="SimHei" w:hAnsi="SimHei" w:eastAsia="SimHei" w:cs="SimHei"/>
          <w:color w:val="231F20"/>
          <w:spacing w:val="-1"/>
        </w:rPr>
        <w:t xml:space="preserve">  </w:t>
      </w:r>
      <w:r>
        <w:rPr>
          <w:color w:val="231F20"/>
          <w:spacing w:val="-1"/>
        </w:rPr>
        <w:t>崔勇，男，副主任医师，主要研究方向是放射医学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/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放射医学影像诊断。</w:t>
      </w:r>
    </w:p>
    <w:p>
      <w:pPr>
        <w:spacing w:line="208" w:lineRule="auto"/>
        <w:sectPr>
          <w:type w:val="continuous"/>
          <w:pgSz w:w="11906" w:h="16838"/>
          <w:pgMar w:top="400" w:right="718" w:bottom="0" w:left="407" w:header="0" w:footer="0" w:gutter="0"/>
          <w:cols w:equalWidth="0" w:num="1">
            <w:col w:w="10779" w:space="0"/>
          </w:cols>
        </w:sectPr>
        <w:rPr/>
      </w:pP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spacing w:before="62" w:line="221" w:lineRule="auto"/>
        <w:jc w:val="right"/>
        <w:rPr/>
      </w:pPr>
      <w:r>
        <w:rPr>
          <w:sz w:val="18"/>
          <w:szCs w:val="18"/>
          <w:u w:val="single" w:color="auto"/>
          <w:color w:val="231F20"/>
          <w:spacing w:val="-7"/>
        </w:rPr>
        <w:t>深圳中西医结合杂志</w:t>
      </w:r>
      <w:r>
        <w:rPr>
          <w:sz w:val="18"/>
          <w:szCs w:val="18"/>
          <w:u w:val="single" w:color="auto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color w:val="231F20"/>
          <w:spacing w:val="-7"/>
        </w:rPr>
        <w:t>2021 </w:t>
      </w:r>
      <w:r>
        <w:rPr>
          <w:sz w:val="18"/>
          <w:szCs w:val="18"/>
          <w:u w:val="single" w:color="auto"/>
          <w:color w:val="231F20"/>
          <w:spacing w:val="-7"/>
        </w:rPr>
        <w:t>年</w:t>
      </w:r>
      <w:r>
        <w:rPr>
          <w:sz w:val="18"/>
          <w:szCs w:val="18"/>
          <w:u w:val="single" w:color="auto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color w:val="231F20"/>
          <w:spacing w:val="-7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color w:val="231F20"/>
          <w:spacing w:val="12"/>
        </w:rPr>
        <w:t xml:space="preserve"> </w:t>
      </w:r>
      <w:r>
        <w:rPr>
          <w:sz w:val="18"/>
          <w:szCs w:val="18"/>
          <w:u w:val="single" w:color="auto"/>
          <w:color w:val="231F20"/>
          <w:spacing w:val="-7"/>
        </w:rPr>
        <w:t>月第</w:t>
      </w:r>
      <w:r>
        <w:rPr>
          <w:sz w:val="18"/>
          <w:szCs w:val="18"/>
          <w:u w:val="single" w:color="auto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color w:val="231F20"/>
          <w:spacing w:val="-7"/>
        </w:rPr>
        <w:t>31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color w:val="231F20"/>
          <w:spacing w:val="8"/>
        </w:rPr>
        <w:t xml:space="preserve"> </w:t>
      </w:r>
      <w:r>
        <w:rPr>
          <w:sz w:val="18"/>
          <w:szCs w:val="18"/>
          <w:u w:val="single" w:color="auto"/>
          <w:color w:val="231F20"/>
          <w:spacing w:val="-8"/>
        </w:rPr>
        <w:t>卷第</w:t>
      </w:r>
      <w:r>
        <w:rPr>
          <w:sz w:val="18"/>
          <w:szCs w:val="18"/>
          <w:u w:val="single" w:color="auto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color w:val="231F20"/>
          <w:spacing w:val="-8"/>
        </w:rPr>
        <w:t>19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8"/>
        </w:rPr>
        <w:t>期</w:t>
      </w:r>
      <w:r>
        <w:rPr>
          <w:sz w:val="18"/>
          <w:szCs w:val="18"/>
          <w:color w:val="231F20"/>
        </w:rPr>
        <w:t xml:space="preserve">                                                               </w:t>
      </w:r>
      <w:r>
        <w:rPr>
          <w:color w:val="231F20"/>
          <w:spacing w:val="-8"/>
        </w:rPr>
        <w:t>· </w:t>
      </w:r>
      <w:r>
        <w:rPr>
          <w:rFonts w:ascii="Times New Roman" w:hAnsi="Times New Roman" w:eastAsia="Times New Roman" w:cs="Times New Roman"/>
          <w:color w:val="231F20"/>
          <w:spacing w:val="-8"/>
        </w:rPr>
        <w:t>87    </w:t>
      </w:r>
      <w:r>
        <w:rPr>
          <w:color w:val="231F20"/>
          <w:spacing w:val="-8"/>
        </w:rPr>
        <w:t>·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447" w:right="98" w:firstLine="6"/>
        <w:spacing w:before="55" w:line="30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acute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mesenteric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vascular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embolism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AMVO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).    </w:t>
      </w:r>
      <w:r>
        <w:rPr>
          <w:rFonts w:ascii="Arial" w:hAnsi="Arial" w:eastAsia="Arial" w:cs="Arial"/>
          <w:sz w:val="19"/>
          <w:szCs w:val="19"/>
          <w:color w:val="231F20"/>
        </w:rPr>
        <w:t>Methods</w:t>
      </w:r>
      <w:r>
        <w:rPr>
          <w:rFonts w:ascii="Arial" w:hAnsi="Arial" w:eastAsia="Arial" w:cs="Arial"/>
          <w:sz w:val="19"/>
          <w:szCs w:val="19"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>56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AMVO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Changsha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Taihe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Hospital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January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2019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December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2019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divided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=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28)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observation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1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=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28)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according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different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schemes. Abdominal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CT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observation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exploratory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>lapa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>rotomy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performed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group.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diagnostic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effects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groups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compared.    </w:t>
      </w:r>
      <w:r>
        <w:rPr>
          <w:rFonts w:ascii="Arial" w:hAnsi="Arial" w:eastAsia="Arial" w:cs="Arial"/>
          <w:sz w:val="19"/>
          <w:szCs w:val="19"/>
          <w:color w:val="231F20"/>
        </w:rPr>
        <w:t>Results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examination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ti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me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patients in the observation group 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lower than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group,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amount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blood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loss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cost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treatment in the observation group were le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ss than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group,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difference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statistically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significant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0.05).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accuracy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 diagnosis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observation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lower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group,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of adverse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reactions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observation group was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significantly lower than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control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&lt;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0.05).     </w:t>
      </w:r>
      <w:r>
        <w:rPr>
          <w:rFonts w:ascii="Arial" w:hAnsi="Arial" w:eastAsia="Arial" w:cs="Arial"/>
          <w:sz w:val="19"/>
          <w:szCs w:val="19"/>
          <w:color w:val="231F20"/>
          <w:spacing w:val="-1"/>
        </w:rPr>
        <w:t>Conclusion  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comprehensive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titer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emergency abdominal CT in clinical diagnosis 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AMVO patients is higher,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and the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adverse reactions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</w:rPr>
        <w:t>can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 xml:space="preserve"> be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1"/>
        </w:rPr>
        <w:t>reduced.</w:t>
      </w:r>
    </w:p>
    <w:p>
      <w:pPr>
        <w:pStyle w:val="BodyText"/>
        <w:ind w:left="476"/>
        <w:spacing w:before="18" w:line="207" w:lineRule="auto"/>
        <w:rPr>
          <w:rFonts w:ascii="Times New Roman" w:hAnsi="Times New Roman" w:eastAsia="Times New Roman" w:cs="Times New Roman"/>
        </w:rPr>
      </w:pPr>
      <w:r>
        <w:rPr>
          <w:color w:val="231F20"/>
        </w:rPr>
        <w:t>〔</w:t>
      </w:r>
      <w:r>
        <w:rPr>
          <w:rFonts w:ascii="Times New Roman" w:hAnsi="Times New Roman" w:eastAsia="Times New Roman" w:cs="Times New Roman"/>
          <w:b/>
          <w:bCs/>
          <w:color w:val="231F20"/>
        </w:rPr>
        <w:t>Key Words</w:t>
      </w:r>
      <w:r>
        <w:rPr>
          <w:color w:val="231F20"/>
        </w:rPr>
        <w:t>〕  </w:t>
      </w:r>
      <w:r>
        <w:rPr>
          <w:rFonts w:ascii="Times New Roman" w:hAnsi="Times New Roman" w:eastAsia="Times New Roman" w:cs="Times New Roman"/>
          <w:color w:val="231F20"/>
        </w:rPr>
        <w:t>Acute mesenteric vascular embolism; Emergenc</w:t>
      </w:r>
      <w:r>
        <w:rPr>
          <w:rFonts w:ascii="Times New Roman" w:hAnsi="Times New Roman" w:eastAsia="Times New Roman" w:cs="Times New Roman"/>
          <w:color w:val="231F20"/>
          <w:spacing w:val="-1"/>
        </w:rPr>
        <w:t>y abdominal computed tomography;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Abdominal emergency</w:t>
      </w:r>
    </w:p>
    <w:p>
      <w:pPr>
        <w:spacing w:line="221" w:lineRule="exact"/>
        <w:rPr/>
      </w:pPr>
      <w:r/>
    </w:p>
    <w:p>
      <w:pPr>
        <w:spacing w:line="221" w:lineRule="exact"/>
        <w:sectPr>
          <w:headerReference w:type="default" r:id="rId2"/>
          <w:pgSz w:w="11906" w:h="16838"/>
          <w:pgMar w:top="400" w:right="732" w:bottom="0" w:left="407" w:header="0" w:footer="0" w:gutter="0"/>
          <w:cols w:equalWidth="0" w:num="1">
            <w:col w:w="10766" w:space="0"/>
          </w:cols>
        </w:sectPr>
        <w:rPr/>
      </w:pPr>
    </w:p>
    <w:p>
      <w:pPr>
        <w:pStyle w:val="BodyText"/>
        <w:ind w:left="443" w:right="126" w:firstLine="391"/>
        <w:spacing w:before="37" w:line="308" w:lineRule="auto"/>
        <w:jc w:val="both"/>
        <w:rPr/>
      </w:pPr>
      <w:r>
        <w:rPr>
          <w:color w:val="231F20"/>
          <w:spacing w:val="-4"/>
        </w:rPr>
        <w:t>急性肠系膜血管栓塞（</w:t>
      </w:r>
      <w:r>
        <w:rPr>
          <w:rFonts w:ascii="Times New Roman" w:hAnsi="Times New Roman" w:eastAsia="Times New Roman" w:cs="Times New Roman"/>
          <w:color w:val="231F20"/>
          <w:spacing w:val="-4"/>
        </w:rPr>
        <w:t>acute mesenteric vasc</w:t>
      </w:r>
      <w:r>
        <w:rPr>
          <w:rFonts w:ascii="Times New Roman" w:hAnsi="Times New Roman" w:eastAsia="Times New Roman" w:cs="Times New Roman"/>
          <w:color w:val="231F20"/>
          <w:spacing w:val="-5"/>
        </w:rPr>
        <w:t>ular occlusion</w:t>
      </w:r>
      <w:r>
        <w:rPr>
          <w:color w:val="231F20"/>
          <w:spacing w:val="-5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AMVO</w:t>
      </w:r>
      <w:r>
        <w:rPr>
          <w:color w:val="231F20"/>
        </w:rPr>
        <w:t>）具有发病迅猛、病情进展快且较危急等特点。一旦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发病往往会引发肠梗阻、休克等不良症状，甚至致死，严重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威胁患者的身体健康安全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5"/>
          <w:position w:val="9"/>
        </w:rPr>
        <w:t>[1] </w:t>
      </w:r>
      <w:r>
        <w:rPr>
          <w:color w:val="231F20"/>
          <w:spacing w:val="5"/>
        </w:rPr>
        <w:t>。</w:t>
      </w:r>
      <w:r>
        <w:rPr>
          <w:rFonts w:ascii="Times New Roman" w:hAnsi="Times New Roman" w:eastAsia="Times New Roman" w:cs="Times New Roman"/>
          <w:color w:val="231F20"/>
        </w:rPr>
        <w:t>AMVO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诱因是</w:t>
      </w:r>
      <w:r>
        <w:rPr>
          <w:color w:val="231F20"/>
          <w:spacing w:val="4"/>
        </w:rPr>
        <w:t>栓子落入肠系</w:t>
      </w:r>
      <w:r>
        <w:rPr>
          <w:color w:val="231F20"/>
        </w:rPr>
        <w:t xml:space="preserve"> </w:t>
      </w:r>
      <w:r>
        <w:rPr>
          <w:color w:val="231F20"/>
        </w:rPr>
        <w:t>膜血管中导致急性安全性血管闭塞情况的发生，致使其肠系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膜血供应量明显下降，进一步诱发肠壁肌肉急性缺血、功能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障碍、组织缺血性坏死等严重不良反应。而早期诊断准确性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直接影响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AMVO</w:t>
      </w:r>
      <w:r>
        <w:rPr>
          <w:rFonts w:ascii="Times New Roman" w:hAnsi="Times New Roman" w:eastAsia="Times New Roman" w:cs="Times New Roman"/>
          <w:color w:val="231F20"/>
          <w:spacing w:val="18"/>
          <w:w w:val="102"/>
        </w:rPr>
        <w:t xml:space="preserve"> </w:t>
      </w:r>
      <w:r>
        <w:rPr>
          <w:color w:val="231F20"/>
          <w:spacing w:val="2"/>
        </w:rPr>
        <w:t>患者的后续治疗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2"/>
          <w:position w:val="9"/>
        </w:rPr>
        <w:t>[2] </w:t>
      </w:r>
      <w:r>
        <w:rPr>
          <w:color w:val="231F20"/>
          <w:spacing w:val="2"/>
        </w:rPr>
        <w:t>。近年来，</w:t>
      </w:r>
      <w:r>
        <w:rPr>
          <w:color w:val="231F20"/>
          <w:spacing w:val="1"/>
        </w:rPr>
        <w:t>随着我国医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疗器械技术的不断改进，发现腹部计算机断层扫描（</w:t>
      </w:r>
      <w:r>
        <w:rPr>
          <w:rFonts w:ascii="Times New Roman" w:hAnsi="Times New Roman" w:eastAsia="Times New Roman" w:cs="Times New Roman"/>
          <w:color w:val="231F20"/>
          <w:spacing w:val="-5"/>
        </w:rPr>
        <w:t>co</w:t>
      </w:r>
      <w:r>
        <w:rPr>
          <w:rFonts w:ascii="Times New Roman" w:hAnsi="Times New Roman" w:eastAsia="Times New Roman" w:cs="Times New Roman"/>
          <w:color w:val="231F20"/>
          <w:spacing w:val="-6"/>
        </w:rPr>
        <w:t>mputed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tomography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14"/>
        </w:rPr>
        <w:t>，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color w:val="231F20"/>
          <w:spacing w:val="14"/>
        </w:rPr>
        <w:t>）技术在临床诊断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AMVO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color w:val="231F20"/>
          <w:spacing w:val="14"/>
        </w:rPr>
        <w:t>疾病患者具有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重要价值意义。临床针对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AMVO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广泛应用急诊腹部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检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查，诊断准确度较高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9"/>
        </w:rPr>
        <w:t>[3] </w:t>
      </w:r>
      <w:r>
        <w:rPr>
          <w:color w:val="231F20"/>
          <w:spacing w:val="1"/>
        </w:rPr>
        <w:t>。本研究旨在改善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AMVO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color w:val="231F20"/>
          <w:spacing w:val="1"/>
        </w:rPr>
        <w:t>患者临床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诊断的准确度，为临床急诊救治患者的生命争取时间</w:t>
      </w:r>
      <w:r>
        <w:rPr>
          <w:color w:val="231F20"/>
          <w:spacing w:val="7"/>
        </w:rPr>
        <w:t>，对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AMVO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患者分别行急诊腹部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CT </w:t>
      </w:r>
      <w:r>
        <w:rPr>
          <w:color w:val="231F20"/>
          <w:spacing w:val="-1"/>
        </w:rPr>
        <w:t>和剖腹探查两种不同诊断方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式的临床诊断效果差异展开比较，并对准确度进行评估分析，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现报道如下。</w:t>
      </w:r>
    </w:p>
    <w:p>
      <w:pPr>
        <w:ind w:left="844"/>
        <w:spacing w:before="275" w:line="241" w:lineRule="auto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</w:rPr>
        <w:t>1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</w:rPr>
        <w:t xml:space="preserve">    </w:t>
      </w: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>资料与方法</w:t>
      </w:r>
    </w:p>
    <w:p>
      <w:pPr>
        <w:pStyle w:val="BodyText"/>
        <w:ind w:left="844"/>
        <w:spacing w:before="76" w:line="236" w:lineRule="auto"/>
        <w:rPr/>
      </w:pPr>
      <w:r>
        <w:rPr>
          <w:rFonts w:ascii="Times New Roman" w:hAnsi="Times New Roman" w:eastAsia="Times New Roman" w:cs="Times New Roman"/>
          <w:color w:val="231F20"/>
          <w:spacing w:val="-5"/>
        </w:rPr>
        <w:t>1.1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  </w:t>
      </w:r>
      <w:r>
        <w:rPr>
          <w:color w:val="231F20"/>
          <w:spacing w:val="-5"/>
        </w:rPr>
        <w:t>一般资料</w:t>
      </w:r>
    </w:p>
    <w:p>
      <w:pPr>
        <w:pStyle w:val="BodyText"/>
        <w:ind w:left="443" w:right="179" w:firstLine="385"/>
        <w:spacing w:before="74" w:line="308" w:lineRule="auto"/>
        <w:rPr/>
      </w:pPr>
      <w:r>
        <w:rPr>
          <w:color w:val="231F20"/>
          <w:spacing w:val="-3"/>
        </w:rPr>
        <w:t>选取本院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2019 </w:t>
      </w:r>
      <w:r>
        <w:rPr>
          <w:color w:val="231F20"/>
          <w:spacing w:val="-3"/>
        </w:rPr>
        <w:t>年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color w:val="231F20"/>
          <w:spacing w:val="-3"/>
        </w:rPr>
        <w:t>月至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2019 </w:t>
      </w:r>
      <w:r>
        <w:rPr>
          <w:color w:val="231F20"/>
          <w:spacing w:val="-3"/>
        </w:rPr>
        <w:t>年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12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月期间收治的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56 </w:t>
      </w:r>
      <w:r>
        <w:rPr>
          <w:color w:val="231F20"/>
          <w:spacing w:val="-3"/>
        </w:rPr>
        <w:t>例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AMVO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color w:val="231F20"/>
          <w:spacing w:val="3"/>
        </w:rPr>
        <w:t>患者，根据不同诊断方案将其分为对照组（</w:t>
      </w:r>
      <w:r>
        <w:rPr>
          <w:rFonts w:ascii="Times New Roman" w:hAnsi="Times New Roman" w:eastAsia="Times New Roman" w:cs="Times New Roman"/>
          <w:color w:val="231F20"/>
          <w:spacing w:val="3"/>
        </w:rPr>
        <w:t>28 </w:t>
      </w:r>
      <w:r>
        <w:rPr>
          <w:color w:val="231F20"/>
          <w:spacing w:val="3"/>
        </w:rPr>
        <w:t>例）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与观察组（</w:t>
      </w:r>
      <w:r>
        <w:rPr>
          <w:rFonts w:ascii="Times New Roman" w:hAnsi="Times New Roman" w:eastAsia="Times New Roman" w:cs="Times New Roman"/>
          <w:color w:val="231F20"/>
          <w:spacing w:val="-1"/>
        </w:rPr>
        <w:t>28 </w:t>
      </w:r>
      <w:r>
        <w:rPr>
          <w:color w:val="231F20"/>
          <w:spacing w:val="-1"/>
        </w:rPr>
        <w:t>例）。其中，对照组男女比例为 </w:t>
      </w:r>
      <w:r>
        <w:rPr>
          <w:rFonts w:ascii="Times New Roman" w:hAnsi="Times New Roman" w:eastAsia="Times New Roman" w:cs="Times New Roman"/>
          <w:color w:val="231F20"/>
          <w:spacing w:val="-1"/>
        </w:rPr>
        <w:t>13</w:t>
      </w:r>
      <w:r>
        <w:rPr>
          <w:color w:val="231F20"/>
          <w:spacing w:val="-2"/>
        </w:rPr>
        <w:t>:</w:t>
      </w:r>
      <w:r>
        <w:rPr>
          <w:rFonts w:ascii="Times New Roman" w:hAnsi="Times New Roman" w:eastAsia="Times New Roman" w:cs="Times New Roman"/>
          <w:color w:val="231F20"/>
          <w:spacing w:val="-2"/>
        </w:rPr>
        <w:t>15</w:t>
      </w:r>
      <w:r>
        <w:rPr>
          <w:color w:val="231F20"/>
          <w:spacing w:val="-2"/>
        </w:rPr>
        <w:t>；年龄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21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~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81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岁，平均年龄（</w:t>
      </w:r>
      <w:r>
        <w:rPr>
          <w:rFonts w:ascii="Times New Roman" w:hAnsi="Times New Roman" w:eastAsia="Times New Roman" w:cs="Times New Roman"/>
          <w:color w:val="231F20"/>
          <w:spacing w:val="1"/>
        </w:rPr>
        <w:t>59.51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±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3.45</w:t>
      </w:r>
      <w:r>
        <w:rPr>
          <w:color w:val="231F20"/>
          <w:spacing w:val="1"/>
        </w:rPr>
        <w:t>）岁。观察</w:t>
      </w:r>
      <w:r>
        <w:rPr>
          <w:color w:val="231F20"/>
        </w:rPr>
        <w:t>组男女比例 </w:t>
      </w:r>
      <w:r>
        <w:rPr>
          <w:color w:val="231F20"/>
        </w:rPr>
        <w:t>为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12</w:t>
      </w:r>
      <w:r>
        <w:rPr>
          <w:color w:val="231F20"/>
        </w:rPr>
        <w:t>:</w:t>
      </w:r>
      <w:r>
        <w:rPr>
          <w:rFonts w:ascii="Times New Roman" w:hAnsi="Times New Roman" w:eastAsia="Times New Roman" w:cs="Times New Roman"/>
          <w:color w:val="231F20"/>
        </w:rPr>
        <w:t>16</w:t>
      </w:r>
      <w:r>
        <w:rPr>
          <w:color w:val="231F20"/>
        </w:rPr>
        <w:t>；年龄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23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~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80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</w:rPr>
        <w:t>岁，平均年龄（</w:t>
      </w:r>
      <w:r>
        <w:rPr>
          <w:rFonts w:ascii="Times New Roman" w:hAnsi="Times New Roman" w:eastAsia="Times New Roman" w:cs="Times New Roman"/>
          <w:color w:val="231F20"/>
        </w:rPr>
        <w:t>59.73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±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3.45</w:t>
      </w:r>
      <w:r>
        <w:rPr>
          <w:color w:val="231F20"/>
        </w:rPr>
        <w:t>）岁。 </w:t>
      </w:r>
      <w:r>
        <w:rPr>
          <w:color w:val="231F20"/>
        </w:rPr>
        <w:t>两组患者性别、年龄等一般资料比较，差异均无统计学意义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4"/>
        </w:rPr>
        <w:t xml:space="preserve"> </w:t>
      </w:r>
      <w:r>
        <w:rPr>
          <w:color w:val="231F20"/>
          <w:spacing w:val="-4"/>
        </w:rPr>
        <w:t>＞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0.05</w:t>
      </w:r>
      <w:r>
        <w:rPr>
          <w:color w:val="231F20"/>
          <w:spacing w:val="-3"/>
        </w:rPr>
        <w:t>），</w:t>
      </w:r>
      <w:r>
        <w:rPr>
          <w:color w:val="231F20"/>
          <w:spacing w:val="-4"/>
        </w:rPr>
        <w:t>具有可比性。</w:t>
      </w:r>
    </w:p>
    <w:p>
      <w:pPr>
        <w:pStyle w:val="BodyText"/>
        <w:ind w:left="448" w:right="112" w:firstLine="395"/>
        <w:spacing w:before="1" w:line="278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1.1.1    </w:t>
      </w:r>
      <w:r>
        <w:rPr>
          <w:color w:val="231F20"/>
          <w:spacing w:val="2"/>
        </w:rPr>
        <w:t>纳入标准  （</w:t>
      </w:r>
      <w:r>
        <w:rPr>
          <w:rFonts w:ascii="Times New Roman" w:hAnsi="Times New Roman" w:eastAsia="Times New Roman" w:cs="Times New Roman"/>
          <w:color w:val="231F20"/>
          <w:spacing w:val="2"/>
        </w:rPr>
        <w:t>1</w:t>
      </w:r>
      <w:r>
        <w:rPr>
          <w:color w:val="231F20"/>
          <w:spacing w:val="2"/>
        </w:rPr>
        <w:t>）均经数字减影血管造影检查确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3"/>
        </w:rPr>
        <w:t>诊为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AMVO</w:t>
      </w:r>
      <w:r>
        <w:rPr>
          <w:color w:val="231F20"/>
          <w:spacing w:val="-13"/>
        </w:rPr>
        <w:t>；（</w:t>
      </w:r>
      <w:r>
        <w:rPr>
          <w:rFonts w:ascii="Times New Roman" w:hAnsi="Times New Roman" w:eastAsia="Times New Roman" w:cs="Times New Roman"/>
          <w:color w:val="231F20"/>
          <w:spacing w:val="13"/>
        </w:rPr>
        <w:t>2</w:t>
      </w:r>
      <w:r>
        <w:rPr>
          <w:color w:val="231F20"/>
          <w:spacing w:val="13"/>
        </w:rPr>
        <w:t>）临床表现为持续性腹痛或者间接性腹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痛</w:t>
      </w:r>
      <w:r>
        <w:rPr>
          <w:color w:val="231F20"/>
          <w:spacing w:val="-48"/>
          <w:w w:val="95"/>
        </w:rPr>
        <w:t>；（</w:t>
      </w:r>
      <w:r>
        <w:rPr>
          <w:rFonts w:ascii="Times New Roman" w:hAnsi="Times New Roman" w:eastAsia="Times New Roman" w:cs="Times New Roman"/>
          <w:color w:val="231F20"/>
          <w:spacing w:val="-3"/>
        </w:rPr>
        <w:t>3</w:t>
      </w:r>
      <w:r>
        <w:rPr>
          <w:color w:val="231F20"/>
          <w:spacing w:val="-3"/>
        </w:rPr>
        <w:t>）配合度较高者</w:t>
      </w:r>
      <w:r>
        <w:rPr>
          <w:color w:val="231F20"/>
          <w:spacing w:val="-48"/>
          <w:w w:val="95"/>
        </w:rPr>
        <w:t>；（</w:t>
      </w:r>
      <w:r>
        <w:rPr>
          <w:rFonts w:ascii="Times New Roman" w:hAnsi="Times New Roman" w:eastAsia="Times New Roman" w:cs="Times New Roman"/>
          <w:color w:val="231F20"/>
          <w:spacing w:val="-3"/>
        </w:rPr>
        <w:t>4</w:t>
      </w:r>
      <w:r>
        <w:rPr>
          <w:color w:val="231F20"/>
          <w:spacing w:val="-3"/>
        </w:rPr>
        <w:t>）患者及家属均知情同意本研究。</w:t>
      </w:r>
    </w:p>
    <w:p>
      <w:pPr>
        <w:pStyle w:val="BodyText"/>
        <w:ind w:left="451" w:right="189" w:firstLine="392"/>
        <w:spacing w:before="91" w:line="264" w:lineRule="auto"/>
        <w:rPr/>
      </w:pPr>
      <w:r>
        <w:rPr>
          <w:rFonts w:ascii="Times New Roman" w:hAnsi="Times New Roman" w:eastAsia="Times New Roman" w:cs="Times New Roman"/>
          <w:color w:val="231F20"/>
        </w:rPr>
        <w:t>1.1.2    </w:t>
      </w:r>
      <w:r>
        <w:rPr>
          <w:color w:val="231F20"/>
        </w:rPr>
        <w:t>排除标准  （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color w:val="231F20"/>
        </w:rPr>
        <w:t>）存在禁忌证者</w:t>
      </w:r>
      <w:r>
        <w:rPr>
          <w:color w:val="231F20"/>
          <w:spacing w:val="-7"/>
        </w:rPr>
        <w:t>；（</w:t>
      </w:r>
      <w:r>
        <w:rPr>
          <w:rFonts w:ascii="Times New Roman" w:hAnsi="Times New Roman" w:eastAsia="Times New Roman" w:cs="Times New Roman"/>
          <w:color w:val="231F20"/>
        </w:rPr>
        <w:t>2</w:t>
      </w:r>
      <w:r>
        <w:rPr>
          <w:color w:val="231F20"/>
        </w:rPr>
        <w:t>）合并有恶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性肿瘤疾病或神经系统疾病者</w:t>
      </w:r>
      <w:r>
        <w:rPr>
          <w:color w:val="231F20"/>
          <w:spacing w:val="-30"/>
        </w:rPr>
        <w:t>；（</w:t>
      </w:r>
      <w:r>
        <w:rPr>
          <w:rFonts w:ascii="Times New Roman" w:hAnsi="Times New Roman" w:eastAsia="Times New Roman" w:cs="Times New Roman"/>
          <w:color w:val="231F20"/>
          <w:spacing w:val="-2"/>
        </w:rPr>
        <w:t>3</w:t>
      </w:r>
      <w:r>
        <w:rPr>
          <w:color w:val="231F20"/>
          <w:spacing w:val="-2"/>
        </w:rPr>
        <w:t>）无法积极配合诊疗者。</w:t>
      </w:r>
    </w:p>
    <w:p>
      <w:pPr>
        <w:pStyle w:val="BodyText"/>
        <w:ind w:left="843"/>
        <w:spacing w:before="106" w:line="190" w:lineRule="auto"/>
        <w:rPr/>
      </w:pPr>
      <w:r>
        <w:rPr>
          <w:rFonts w:ascii="Times New Roman" w:hAnsi="Times New Roman" w:eastAsia="Times New Roman" w:cs="Times New Roman"/>
          <w:color w:val="231F20"/>
          <w:spacing w:val="-6"/>
        </w:rPr>
        <w:t>1.2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  </w:t>
      </w:r>
      <w:r>
        <w:rPr>
          <w:color w:val="231F20"/>
          <w:spacing w:val="-6"/>
        </w:rPr>
        <w:t>方法</w:t>
      </w:r>
    </w:p>
    <w:p>
      <w:pPr>
        <w:pStyle w:val="BodyText"/>
        <w:ind w:left="448" w:right="179" w:firstLine="395"/>
        <w:spacing w:before="107" w:line="278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1.2.1    </w:t>
      </w:r>
      <w:r>
        <w:rPr>
          <w:color w:val="231F20"/>
        </w:rPr>
        <w:t>对照组  实施剖腹探查</w:t>
      </w:r>
      <w:r>
        <w:rPr>
          <w:color w:val="231F20"/>
          <w:spacing w:val="-1"/>
        </w:rPr>
        <w:t>诊断，手术区域选定患者</w:t>
      </w:r>
      <w:r>
        <w:rPr>
          <w:color w:val="231F20"/>
        </w:rPr>
        <w:t xml:space="preserve"> </w:t>
      </w:r>
      <w:r>
        <w:rPr>
          <w:color w:val="231F20"/>
        </w:rPr>
        <w:t>病灶组织临近位置，使患者维持平卧位，予以常规麻醉，于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病灶组织附近常规行长度为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color w:val="231F20"/>
          <w:spacing w:val="1"/>
        </w:rPr>
        <w:t>的切口，将装有二氧化碳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气体的气腹针插入腹中形成气腹，后将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Trocar </w:t>
      </w:r>
      <w:r>
        <w:rPr>
          <w:color w:val="231F20"/>
          <w:spacing w:val="-1"/>
        </w:rPr>
        <w:t>于原切口中准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36" w:line="220" w:lineRule="auto"/>
        <w:rPr/>
      </w:pPr>
      <w:r>
        <w:rPr>
          <w:color w:val="231F20"/>
          <w:spacing w:val="-4"/>
        </w:rPr>
        <w:t>确置入，行腹腔检查。</w:t>
      </w:r>
    </w:p>
    <w:p>
      <w:pPr>
        <w:pStyle w:val="BodyText"/>
        <w:ind w:left="10" w:right="118" w:firstLine="395"/>
        <w:spacing w:before="92" w:line="304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1.2.2    </w:t>
      </w:r>
      <w:r>
        <w:rPr>
          <w:color w:val="231F20"/>
          <w:spacing w:val="7"/>
        </w:rPr>
        <w:t>观察组  实施腹部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诊断，检查仪器选</w:t>
      </w:r>
      <w:r>
        <w:rPr>
          <w:color w:val="231F20"/>
          <w:spacing w:val="6"/>
        </w:rPr>
        <w:t>择螺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旋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扫描仪，行腹部平扫与增强检查，患者卧位，即保持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仰卧位。由患者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T10 </w:t>
      </w:r>
      <w:r>
        <w:rPr>
          <w:color w:val="231F20"/>
          <w:spacing w:val="5"/>
        </w:rPr>
        <w:t>椎体扫描至髂嵴连线水平，扫描层厚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6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mm</w:t>
      </w:r>
      <w:r>
        <w:rPr>
          <w:color w:val="231F20"/>
          <w:spacing w:val="-1"/>
        </w:rPr>
        <w:t>，准直器宽度为 </w:t>
      </w:r>
      <w:r>
        <w:rPr>
          <w:rFonts w:ascii="Times New Roman" w:hAnsi="Times New Roman" w:eastAsia="Times New Roman" w:cs="Times New Roman"/>
          <w:color w:val="231F20"/>
          <w:spacing w:val="-1"/>
        </w:rPr>
        <w:t>1.5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mm</w:t>
      </w:r>
      <w:r>
        <w:rPr>
          <w:color w:val="231F20"/>
          <w:spacing w:val="-1"/>
        </w:rPr>
        <w:t>。对比剂（碘海醇注射液，湖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南金健药业有限责任公司，国药准字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H20084191</w:t>
      </w:r>
      <w:r>
        <w:rPr>
          <w:color w:val="231F20"/>
          <w:spacing w:val="6"/>
        </w:rPr>
        <w:t>）用量为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85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~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100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mm</w:t>
      </w:r>
      <w:r>
        <w:rPr>
          <w:color w:val="231F20"/>
          <w:spacing w:val="-4"/>
        </w:rPr>
        <w:t>，注射速率维持在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2.8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~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3.4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mL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color w:val="231F20"/>
          <w:spacing w:val="-4"/>
        </w:rPr>
        <w:t>·</w:t>
      </w:r>
      <w:r>
        <w:rPr>
          <w:rFonts w:ascii="Times New Roman" w:hAnsi="Times New Roman" w:eastAsia="Times New Roman" w:cs="Times New Roman"/>
          <w:color w:val="231F20"/>
          <w:spacing w:val="-4"/>
        </w:rPr>
        <w:t>s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4"/>
          <w:position w:val="9"/>
        </w:rPr>
        <w:t>-1</w:t>
      </w:r>
      <w:r>
        <w:rPr>
          <w:color w:val="231F20"/>
          <w:spacing w:val="-5"/>
        </w:rPr>
        <w:t>，所有检查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患者均行冠状面、矢状面、多平面建设血管图像。在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扫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描后，轴位重建层距、层厚均为 </w:t>
      </w:r>
      <w:r>
        <w:rPr>
          <w:rFonts w:ascii="Times New Roman" w:hAnsi="Times New Roman" w:eastAsia="Times New Roman" w:cs="Times New Roman"/>
          <w:color w:val="231F20"/>
          <w:spacing w:val="-2"/>
        </w:rPr>
        <w:t>1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mm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的原始数据，使用处</w:t>
      </w:r>
      <w:r>
        <w:rPr>
          <w:color w:val="231F20"/>
        </w:rPr>
        <w:t xml:space="preserve"> </w:t>
      </w:r>
      <w:r>
        <w:rPr>
          <w:color w:val="231F20"/>
        </w:rPr>
        <w:t>理软件并结合横断面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color w:val="231F20"/>
        </w:rPr>
        <w:t>图像诊断患者肠壁厚度、肠壁内积 </w:t>
      </w:r>
      <w:r>
        <w:rPr>
          <w:color w:val="231F20"/>
          <w:spacing w:val="-2"/>
        </w:rPr>
        <w:t>气与腹水、肠系膜管腔内等实际病情情况进行诊断。</w:t>
      </w:r>
    </w:p>
    <w:p>
      <w:pPr>
        <w:pStyle w:val="BodyText"/>
        <w:ind w:left="406"/>
        <w:spacing w:line="235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1.3    </w:t>
      </w:r>
      <w:r>
        <w:rPr>
          <w:color w:val="231F20"/>
          <w:spacing w:val="-2"/>
        </w:rPr>
        <w:t>观察指标</w:t>
      </w:r>
    </w:p>
    <w:p>
      <w:pPr>
        <w:pStyle w:val="BodyText"/>
        <w:ind w:left="12" w:right="117" w:firstLine="379"/>
        <w:spacing w:before="74" w:line="304" w:lineRule="auto"/>
        <w:rPr/>
      </w:pPr>
      <w:r>
        <w:rPr>
          <w:color w:val="231F20"/>
        </w:rPr>
        <w:t>观察并记录两组患者检查时间、失血量以及医疗费用等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诊断指标。由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 </w:t>
      </w:r>
      <w:r>
        <w:rPr>
          <w:color w:val="231F20"/>
          <w:spacing w:val="-1"/>
        </w:rPr>
        <w:t>名经验丰富的医师对病理学检查结果进行分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析，比较不同诊断方式的确诊率，以及评估患者在检查后出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现感染、发热、食欲缺乏、腹腔内出血、血栓等不良反应发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生情况。</w:t>
      </w:r>
    </w:p>
    <w:p>
      <w:pPr>
        <w:pStyle w:val="BodyText"/>
        <w:ind w:left="406"/>
        <w:spacing w:line="236" w:lineRule="auto"/>
        <w:outlineLvl w:val="0"/>
        <w:rPr/>
      </w:pPr>
      <w:r>
        <w:pict>
          <v:shape id="_x0000_s10" style="position:absolute;margin-left:220.27pt;margin-top:16.4803pt;mso-position-vertical-relative:text;mso-position-horizontal-relative:text;width:4.4pt;height:0.45pt;z-index:-251655168;" filled="false" strokecolor="#030303" strokeweight="0.39pt" coordsize="88,8" coordorigin="0,0" path="m3,4l83,4e">
            <v:stroke endcap="square" joinstyle="miter" miterlimit="10"/>
          </v:shape>
        </w:pict>
      </w:r>
      <w:r>
        <w:rPr>
          <w:rFonts w:ascii="Times New Roman" w:hAnsi="Times New Roman" w:eastAsia="Times New Roman" w:cs="Times New Roman"/>
          <w:color w:val="231F20"/>
          <w:spacing w:val="-4"/>
        </w:rPr>
        <w:t>1.4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   </w:t>
      </w:r>
      <w:r>
        <w:rPr>
          <w:color w:val="231F20"/>
          <w:spacing w:val="-4"/>
        </w:rPr>
        <w:t>统计学方法</w:t>
      </w:r>
    </w:p>
    <w:p>
      <w:pPr>
        <w:pStyle w:val="BodyText"/>
        <w:ind w:right="118" w:firstLine="390"/>
        <w:spacing w:before="83" w:line="293" w:lineRule="auto"/>
        <w:rPr/>
      </w:pPr>
      <w:r>
        <w:rPr>
          <w:color w:val="231F20"/>
          <w:spacing w:val="-2"/>
        </w:rPr>
        <w:t>采用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SPSS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22.0 </w:t>
      </w:r>
      <w:r>
        <w:rPr>
          <w:color w:val="231F20"/>
          <w:spacing w:val="-2"/>
        </w:rPr>
        <w:t>软件进行数据处理，计量资料以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030303"/>
          <w:spacing w:val="-2"/>
          <w:position w:val="-2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030303"/>
          <w:spacing w:val="-10"/>
          <w:position w:val="-2"/>
        </w:rPr>
        <w:t xml:space="preserve"> </w:t>
      </w:r>
      <w:r>
        <w:rPr>
          <w:rFonts w:ascii="Arial" w:hAnsi="Arial" w:eastAsia="Arial" w:cs="Arial"/>
          <w:sz w:val="20"/>
          <w:szCs w:val="20"/>
          <w:color w:val="030303"/>
          <w:spacing w:val="-2"/>
          <w:position w:val="-2"/>
        </w:rPr>
        <w:t>±</w:t>
      </w:r>
      <w:r>
        <w:rPr>
          <w:rFonts w:ascii="Arial" w:hAnsi="Arial" w:eastAsia="Arial" w:cs="Arial"/>
          <w:sz w:val="20"/>
          <w:szCs w:val="20"/>
          <w:color w:val="030303"/>
          <w:spacing w:val="-16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030303"/>
          <w:spacing w:val="-2"/>
          <w:position w:val="-2"/>
        </w:rPr>
        <w:t>s </w:t>
      </w:r>
      <w:r>
        <w:rPr>
          <w:color w:val="231F20"/>
          <w:spacing w:val="-2"/>
        </w:rPr>
        <w:t>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示，采用 </w:t>
      </w:r>
      <w:r>
        <w:rPr>
          <w:rFonts w:ascii="Times New Roman" w:hAnsi="Times New Roman" w:eastAsia="Times New Roman" w:cs="Times New Roman"/>
          <w:i/>
          <w:iCs/>
          <w:color w:val="231F20"/>
          <w:spacing w:val="3"/>
        </w:rPr>
        <w:t>t </w:t>
      </w:r>
      <w:r>
        <w:rPr>
          <w:color w:val="231F20"/>
          <w:spacing w:val="3"/>
        </w:rPr>
        <w:t>检验，计数资料用百分比表示，采用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3"/>
        </w:rPr>
        <w:t>χ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9"/>
        </w:rPr>
        <w:t>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2"/>
          <w:w w:val="103"/>
          <w:position w:val="9"/>
        </w:rPr>
        <w:t xml:space="preserve">  </w:t>
      </w:r>
      <w:r>
        <w:rPr>
          <w:color w:val="231F20"/>
          <w:spacing w:val="3"/>
        </w:rPr>
        <w:t>检验，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6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0.05 </w:t>
      </w:r>
      <w:r>
        <w:rPr>
          <w:color w:val="231F20"/>
          <w:spacing w:val="-3"/>
        </w:rPr>
        <w:t>为差异具有统计学意义。</w:t>
      </w:r>
    </w:p>
    <w:p>
      <w:pPr>
        <w:ind w:left="388"/>
        <w:spacing w:before="291" w:line="254" w:lineRule="exact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6"/>
          <w:position w:val="1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3"/>
          <w:position w:val="1"/>
        </w:rPr>
        <w:t xml:space="preserve">    </w:t>
      </w:r>
      <w:r>
        <w:rPr>
          <w:rFonts w:ascii="SimHei" w:hAnsi="SimHei" w:eastAsia="SimHei" w:cs="SimHei"/>
          <w:sz w:val="19"/>
          <w:szCs w:val="19"/>
          <w:color w:val="231F20"/>
          <w:spacing w:val="-6"/>
          <w:position w:val="1"/>
        </w:rPr>
        <w:t>结</w:t>
      </w:r>
      <w:r>
        <w:rPr>
          <w:rFonts w:ascii="SimHei" w:hAnsi="SimHei" w:eastAsia="SimHei" w:cs="SimHei"/>
          <w:sz w:val="19"/>
          <w:szCs w:val="19"/>
          <w:color w:val="231F20"/>
          <w:spacing w:val="4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-6"/>
          <w:position w:val="1"/>
        </w:rPr>
        <w:t>果</w:t>
      </w:r>
    </w:p>
    <w:p>
      <w:pPr>
        <w:pStyle w:val="BodyText"/>
        <w:ind w:left="388"/>
        <w:spacing w:before="67" w:line="235" w:lineRule="auto"/>
        <w:rPr/>
      </w:pPr>
      <w:r>
        <w:rPr>
          <w:rFonts w:ascii="Times New Roman" w:hAnsi="Times New Roman" w:eastAsia="Times New Roman" w:cs="Times New Roman"/>
          <w:color w:val="231F20"/>
        </w:rPr>
        <w:t>2.1    </w:t>
      </w:r>
      <w:r>
        <w:rPr>
          <w:color w:val="231F20"/>
        </w:rPr>
        <w:t>两组患者检查时间、失血量以及医疗</w:t>
      </w:r>
      <w:r>
        <w:rPr>
          <w:color w:val="231F20"/>
          <w:spacing w:val="-1"/>
        </w:rPr>
        <w:t>费用比较</w:t>
      </w:r>
    </w:p>
    <w:p>
      <w:pPr>
        <w:pStyle w:val="BodyText"/>
        <w:ind w:left="12" w:right="50" w:firstLine="379"/>
        <w:spacing w:before="72" w:line="306" w:lineRule="auto"/>
        <w:rPr/>
      </w:pPr>
      <w:r>
        <w:rPr>
          <w:color w:val="231F20"/>
          <w:spacing w:val="-1"/>
        </w:rPr>
        <w:t>观察组患者检查时间短于对照组，失血量以及医疗费用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均低于对照组，差异具有统计学意义（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＜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0.05</w:t>
      </w:r>
      <w:r>
        <w:rPr>
          <w:color w:val="231F20"/>
          <w:spacing w:val="11"/>
        </w:rPr>
        <w:t>），</w:t>
      </w:r>
      <w:r>
        <w:rPr>
          <w:color w:val="231F20"/>
          <w:spacing w:val="-4"/>
        </w:rPr>
        <w:t>见表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</w:t>
      </w:r>
      <w:r>
        <w:rPr>
          <w:color w:val="231F20"/>
          <w:spacing w:val="-4"/>
        </w:rPr>
        <w:t>。</w:t>
      </w:r>
    </w:p>
    <w:p>
      <w:pPr>
        <w:pStyle w:val="BodyText"/>
        <w:ind w:left="443"/>
        <w:spacing w:before="166" w:line="22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表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    </w:t>
      </w:r>
      <w:r>
        <w:rPr>
          <w:sz w:val="18"/>
          <w:szCs w:val="18"/>
          <w:color w:val="231F20"/>
          <w:spacing w:val="-1"/>
        </w:rPr>
        <w:t>两组患者检查时间、失血量以及医疗费用</w:t>
      </w:r>
      <w:r>
        <w:rPr>
          <w:sz w:val="18"/>
          <w:szCs w:val="18"/>
          <w:color w:val="231F20"/>
          <w:spacing w:val="-2"/>
        </w:rPr>
        <w:t>比较</w:t>
      </w:r>
    </w:p>
    <w:p>
      <w:pPr>
        <w:pStyle w:val="BodyText"/>
        <w:ind w:left="3578"/>
        <w:spacing w:before="39" w:line="283" w:lineRule="exact"/>
        <w:rPr>
          <w:sz w:val="18"/>
          <w:szCs w:val="18"/>
        </w:rPr>
      </w:pPr>
      <w:r>
        <w:pict>
          <v:shape id="_x0000_s12" style="position:absolute;margin-left:220.902pt;margin-top:3.61287pt;mso-position-vertical-relative:text;mso-position-horizontal-relative:text;width:4.4pt;height:0.45pt;z-index:-251656192;" filled="false" strokecolor="#030303" strokeweight="0.39pt" coordsize="88,8" coordorigin="0,0" path="m3,4l83,4e">
            <v:stroke endcap="square" joinstyle="miter" miterlimit="10"/>
          </v:shape>
        </w:pict>
      </w:r>
      <w:r>
        <w:rPr>
          <w:sz w:val="18"/>
          <w:szCs w:val="18"/>
          <w:color w:val="231F20"/>
          <w:spacing w:val="-4"/>
          <w:position w:val="3"/>
        </w:rPr>
        <w:t>（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4"/>
          <w:position w:val="3"/>
        </w:rPr>
        <w:t>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  <w:position w:val="3"/>
        </w:rPr>
        <w:t>= 28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color w:val="231F20"/>
          <w:spacing w:val="-4"/>
          <w:position w:val="3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030303"/>
          <w:spacing w:val="-4"/>
          <w:position w:val="1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030303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030303"/>
          <w:spacing w:val="-4"/>
          <w:position w:val="1"/>
        </w:rPr>
        <w:t>±</w:t>
      </w:r>
      <w:r>
        <w:rPr>
          <w:rFonts w:ascii="Arial" w:hAnsi="Arial" w:eastAsia="Arial" w:cs="Arial"/>
          <w:sz w:val="20"/>
          <w:szCs w:val="20"/>
          <w:color w:val="030303"/>
          <w:spacing w:val="-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030303"/>
          <w:spacing w:val="-4"/>
          <w:position w:val="1"/>
        </w:rPr>
        <w:t>s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030303"/>
          <w:spacing w:val="-11"/>
          <w:position w:val="1"/>
        </w:rPr>
        <w:t xml:space="preserve"> </w:t>
      </w:r>
      <w:r>
        <w:rPr>
          <w:sz w:val="18"/>
          <w:szCs w:val="18"/>
          <w:color w:val="231F20"/>
          <w:spacing w:val="-4"/>
          <w:position w:val="3"/>
        </w:rPr>
        <w:t>）</w:t>
      </w:r>
    </w:p>
    <w:p>
      <w:pPr>
        <w:spacing w:line="66" w:lineRule="exact"/>
        <w:rPr/>
      </w:pPr>
      <w:r/>
    </w:p>
    <w:tbl>
      <w:tblPr>
        <w:tblStyle w:val="TableNormal"/>
        <w:tblW w:w="4960" w:type="dxa"/>
        <w:tblInd w:w="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5"/>
        <w:gridCol w:w="1368"/>
        <w:gridCol w:w="1446"/>
        <w:gridCol w:w="1251"/>
      </w:tblGrid>
      <w:tr>
        <w:trPr>
          <w:trHeight w:val="224" w:hRule="atLeast"/>
        </w:trPr>
        <w:tc>
          <w:tcPr>
            <w:tcW w:w="89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04"/>
              <w:spacing w:before="20" w:line="198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5"/>
              </w:rPr>
              <w:t>组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5"/>
              </w:rPr>
              <w:t>别</w:t>
            </w:r>
          </w:p>
        </w:tc>
        <w:tc>
          <w:tcPr>
            <w:tcW w:w="136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6"/>
              <w:spacing w:before="20" w:line="198" w:lineRule="auto"/>
              <w:rPr/>
            </w:pPr>
            <w:r>
              <w:rPr>
                <w:rFonts w:ascii="SimSun" w:hAnsi="SimSun" w:eastAsia="SimSun" w:cs="SimSun"/>
                <w:color w:val="231F20"/>
                <w:spacing w:val="-1"/>
              </w:rPr>
              <w:t>检查时间</w:t>
            </w:r>
            <w:r>
              <w:rPr>
                <w:rFonts w:ascii="SimSun" w:hAnsi="SimSun" w:eastAsia="SimSun" w:cs="SimSun"/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1"/>
              </w:rPr>
              <w:t>/min</w:t>
            </w:r>
          </w:p>
        </w:tc>
        <w:tc>
          <w:tcPr>
            <w:tcW w:w="144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7"/>
              <w:spacing w:before="20" w:line="198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2"/>
              </w:rPr>
              <w:t>医疗费用</w:t>
            </w:r>
            <w:r>
              <w:rPr>
                <w:rFonts w:ascii="SimSun" w:hAnsi="SimSun" w:eastAsia="SimSun" w:cs="SimSun"/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2"/>
              </w:rPr>
              <w:t>/ 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元</w:t>
            </w:r>
          </w:p>
        </w:tc>
        <w:tc>
          <w:tcPr>
            <w:tcW w:w="125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1"/>
              <w:spacing w:before="20" w:line="198" w:lineRule="auto"/>
              <w:rPr/>
            </w:pPr>
            <w:r>
              <w:rPr>
                <w:rFonts w:ascii="SimSun" w:hAnsi="SimSun" w:eastAsia="SimSun" w:cs="SimSun"/>
                <w:color w:val="231F20"/>
                <w:spacing w:val="-2"/>
              </w:rPr>
              <w:t>失血量</w:t>
            </w:r>
            <w:r>
              <w:rPr>
                <w:rFonts w:ascii="SimSun" w:hAnsi="SimSun" w:eastAsia="SimSun" w:cs="SimSun"/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2"/>
              </w:rPr>
              <w:t>/mL</w:t>
            </w:r>
          </w:p>
        </w:tc>
      </w:tr>
      <w:tr>
        <w:trPr>
          <w:trHeight w:val="225" w:hRule="atLeast"/>
        </w:trPr>
        <w:tc>
          <w:tcPr>
            <w:tcW w:w="895" w:type="dxa"/>
            <w:vAlign w:val="top"/>
            <w:tcBorders>
              <w:top w:val="single" w:color="231F20" w:sz="2" w:space="0"/>
            </w:tcBorders>
          </w:tcPr>
          <w:p>
            <w:pPr>
              <w:ind w:left="201"/>
              <w:spacing w:before="28" w:line="191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2"/>
              </w:rPr>
              <w:t>对照组</w:t>
            </w:r>
          </w:p>
        </w:tc>
        <w:tc>
          <w:tcPr>
            <w:tcW w:w="13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0"/>
              <w:spacing w:before="56" w:line="184" w:lineRule="auto"/>
              <w:rPr/>
            </w:pPr>
            <w:r>
              <w:rPr>
                <w:color w:val="231F20"/>
                <w:spacing w:val="-2"/>
              </w:rPr>
              <w:t>54.57 ±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6.89</w:t>
            </w:r>
          </w:p>
        </w:tc>
        <w:tc>
          <w:tcPr>
            <w:tcW w:w="14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4"/>
              <w:spacing w:before="56" w:line="184" w:lineRule="auto"/>
              <w:rPr/>
            </w:pPr>
            <w:r>
              <w:rPr>
                <w:color w:val="231F20"/>
                <w:spacing w:val="-2"/>
              </w:rPr>
              <w:t>1315.42 ± 23.18</w:t>
            </w:r>
          </w:p>
        </w:tc>
        <w:tc>
          <w:tcPr>
            <w:tcW w:w="12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8"/>
              <w:spacing w:before="56" w:line="184" w:lineRule="auto"/>
              <w:rPr/>
            </w:pPr>
            <w:r>
              <w:rPr>
                <w:color w:val="231F20"/>
                <w:spacing w:val="-1"/>
              </w:rPr>
              <w:t>48.96 ±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8.26</w:t>
            </w:r>
          </w:p>
        </w:tc>
      </w:tr>
      <w:tr>
        <w:trPr>
          <w:trHeight w:val="241" w:hRule="atLeast"/>
        </w:trPr>
        <w:tc>
          <w:tcPr>
            <w:tcW w:w="895" w:type="dxa"/>
            <w:vAlign w:val="top"/>
            <w:tcBorders>
              <w:bottom w:val="single" w:color="231F20" w:sz="6" w:space="0"/>
            </w:tcBorders>
          </w:tcPr>
          <w:p>
            <w:pPr>
              <w:ind w:left="202"/>
              <w:spacing w:before="39" w:line="19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2"/>
              </w:rPr>
              <w:t>观察组</w:t>
            </w:r>
          </w:p>
        </w:tc>
        <w:tc>
          <w:tcPr>
            <w:tcW w:w="136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5"/>
              <w:spacing w:before="56" w:line="193" w:lineRule="auto"/>
              <w:rPr>
                <w:sz w:val="10"/>
                <w:szCs w:val="10"/>
              </w:rPr>
            </w:pPr>
            <w:r>
              <w:rPr>
                <w:color w:val="231F20"/>
                <w:spacing w:val="-1"/>
              </w:rPr>
              <w:t>27.59 ±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5.38</w:t>
            </w:r>
            <w:r>
              <w:rPr>
                <w:sz w:val="10"/>
                <w:szCs w:val="10"/>
                <w:color w:val="231F20"/>
                <w:spacing w:val="-1"/>
                <w:position w:val="8"/>
              </w:rPr>
              <w:t>a</w:t>
            </w:r>
          </w:p>
        </w:tc>
        <w:tc>
          <w:tcPr>
            <w:tcW w:w="14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9"/>
              <w:spacing w:before="56" w:line="193" w:lineRule="auto"/>
              <w:rPr>
                <w:sz w:val="10"/>
                <w:szCs w:val="10"/>
              </w:rPr>
            </w:pPr>
            <w:r>
              <w:rPr>
                <w:color w:val="231F20"/>
                <w:spacing w:val="-2"/>
              </w:rPr>
              <w:t>642.43 ±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12.28</w:t>
            </w:r>
            <w:r>
              <w:rPr>
                <w:sz w:val="10"/>
                <w:szCs w:val="10"/>
                <w:color w:val="231F20"/>
                <w:spacing w:val="-2"/>
                <w:position w:val="8"/>
              </w:rPr>
              <w:t>a</w:t>
            </w:r>
          </w:p>
        </w:tc>
        <w:tc>
          <w:tcPr>
            <w:tcW w:w="125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1"/>
              <w:spacing w:before="56" w:line="193" w:lineRule="auto"/>
              <w:rPr>
                <w:sz w:val="10"/>
                <w:szCs w:val="10"/>
              </w:rPr>
            </w:pPr>
            <w:r>
              <w:rPr>
                <w:color w:val="231F20"/>
                <w:spacing w:val="-1"/>
              </w:rPr>
              <w:t>0.00 ±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0.00</w:t>
            </w:r>
            <w:r>
              <w:rPr>
                <w:sz w:val="10"/>
                <w:szCs w:val="10"/>
                <w:color w:val="231F20"/>
                <w:spacing w:val="-1"/>
                <w:position w:val="8"/>
              </w:rPr>
              <w:t>a</w:t>
            </w:r>
          </w:p>
        </w:tc>
      </w:tr>
    </w:tbl>
    <w:p>
      <w:pPr>
        <w:pStyle w:val="BodyText"/>
        <w:ind w:left="374"/>
        <w:spacing w:before="57" w:line="22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与对照组比较，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＜</w:t>
      </w:r>
      <w:r>
        <w:rPr>
          <w:sz w:val="18"/>
          <w:szCs w:val="18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0.05</w:t>
      </w:r>
    </w:p>
    <w:p>
      <w:pPr>
        <w:pStyle w:val="BodyText"/>
        <w:ind w:left="388"/>
        <w:spacing w:before="216" w:line="235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2.2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   </w:t>
      </w:r>
      <w:r>
        <w:rPr>
          <w:color w:val="231F20"/>
          <w:spacing w:val="-2"/>
        </w:rPr>
        <w:t>两组患者的确诊率比较</w:t>
      </w:r>
    </w:p>
    <w:p>
      <w:pPr>
        <w:pStyle w:val="BodyText"/>
        <w:ind w:left="10" w:right="50" w:firstLine="380"/>
        <w:spacing w:before="78" w:line="269" w:lineRule="auto"/>
        <w:rPr/>
      </w:pPr>
      <w:r>
        <w:rPr>
          <w:color w:val="231F20"/>
          <w:spacing w:val="-6"/>
        </w:rPr>
        <w:t>观察组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21 </w:t>
      </w:r>
      <w:r>
        <w:rPr>
          <w:color w:val="231F20"/>
          <w:spacing w:val="-6"/>
        </w:rPr>
        <w:t>例患者确诊为</w:t>
      </w:r>
      <w:r>
        <w:rPr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AMVO</w:t>
      </w:r>
      <w:r>
        <w:rPr>
          <w:color w:val="231F20"/>
          <w:spacing w:val="-6"/>
        </w:rPr>
        <w:t>，诊断准确率为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75.00 %</w:t>
      </w:r>
      <w:r>
        <w:rPr>
          <w:color w:val="231F20"/>
          <w:spacing w:val="-6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对照组</w:t>
      </w:r>
      <w:r>
        <w:rPr>
          <w:rFonts w:ascii="Times New Roman" w:hAnsi="Times New Roman" w:eastAsia="Times New Roman" w:cs="Times New Roman"/>
          <w:color w:val="231F20"/>
          <w:spacing w:val="-7"/>
        </w:rPr>
        <w:t>28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-7"/>
        </w:rPr>
        <w:t>例患者确诊为</w:t>
      </w:r>
      <w:r>
        <w:rPr>
          <w:rFonts w:ascii="Times New Roman" w:hAnsi="Times New Roman" w:eastAsia="Times New Roman" w:cs="Times New Roman"/>
          <w:color w:val="231F20"/>
          <w:spacing w:val="-7"/>
        </w:rPr>
        <w:t>AMVO </w:t>
      </w:r>
      <w:r>
        <w:rPr>
          <w:color w:val="231F20"/>
          <w:spacing w:val="-7"/>
        </w:rPr>
        <w:t>患者，诊断准确率为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100.00 %</w:t>
      </w:r>
      <w:r>
        <w:rPr>
          <w:color w:val="231F20"/>
          <w:spacing w:val="-7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差异具有统计学意义（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7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＜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0.05</w:t>
      </w:r>
      <w:r>
        <w:rPr>
          <w:color w:val="231F20"/>
          <w:spacing w:val="-7"/>
        </w:rPr>
        <w:t>）。</w:t>
      </w:r>
    </w:p>
    <w:p>
      <w:pPr>
        <w:spacing w:line="269" w:lineRule="auto"/>
        <w:sectPr>
          <w:type w:val="continuous"/>
          <w:pgSz w:w="11906" w:h="16838"/>
          <w:pgMar w:top="400" w:right="732" w:bottom="0" w:left="407" w:header="0" w:footer="0" w:gutter="0"/>
          <w:cols w:equalWidth="0" w:num="2">
            <w:col w:w="5583" w:space="100"/>
            <w:col w:w="5084" w:space="0"/>
          </w:cols>
        </w:sectPr>
        <w:rPr/>
      </w:pPr>
    </w:p>
    <w:p>
      <w:pPr>
        <w:spacing w:before="37"/>
        <w:rPr/>
      </w:pPr>
      <w:r/>
    </w:p>
    <w:p>
      <w:pPr>
        <w:spacing w:before="36"/>
        <w:rPr/>
      </w:pPr>
      <w:r/>
    </w:p>
    <w:p>
      <w:pPr>
        <w:sectPr>
          <w:headerReference w:type="default" r:id="rId3"/>
          <w:pgSz w:w="11906" w:h="16838"/>
          <w:pgMar w:top="1101" w:right="718" w:bottom="0" w:left="407" w:header="794" w:footer="0" w:gutter="0"/>
          <w:cols w:equalWidth="0" w:num="1">
            <w:col w:w="10780" w:space="0"/>
          </w:cols>
        </w:sectPr>
        <w:rPr/>
      </w:pPr>
    </w:p>
    <w:p>
      <w:pPr>
        <w:pStyle w:val="BodyText"/>
        <w:ind w:left="826"/>
        <w:spacing w:before="42" w:line="235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2.3    </w:t>
      </w:r>
      <w:r>
        <w:rPr>
          <w:color w:val="231F20"/>
          <w:spacing w:val="-1"/>
        </w:rPr>
        <w:t>两组患者不良反应发生率比较</w:t>
      </w:r>
    </w:p>
    <w:p>
      <w:pPr>
        <w:pStyle w:val="BodyText"/>
        <w:ind w:left="446" w:right="191" w:firstLine="383"/>
        <w:spacing w:before="79" w:line="306" w:lineRule="auto"/>
        <w:rPr/>
      </w:pPr>
      <w:r>
        <w:rPr>
          <w:color w:val="231F20"/>
          <w:spacing w:val="5"/>
        </w:rPr>
        <w:t>观察组不良反应发生率为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3.57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%</w:t>
      </w:r>
      <w:r>
        <w:rPr>
          <w:color w:val="231F20"/>
          <w:spacing w:val="5"/>
        </w:rPr>
        <w:t>，明显低于对照组的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25.00 %</w:t>
      </w:r>
      <w:r>
        <w:rPr>
          <w:color w:val="231F20"/>
          <w:spacing w:val="-2"/>
        </w:rPr>
        <w:t>，差异具有统计学意义（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2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1"/>
        </w:rPr>
        <w:t xml:space="preserve"> </w:t>
      </w:r>
      <w:r>
        <w:rPr>
          <w:color w:val="231F20"/>
          <w:spacing w:val="-2"/>
        </w:rPr>
        <w:t>＜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0.05</w:t>
      </w:r>
      <w:r>
        <w:rPr>
          <w:color w:val="231F20"/>
          <w:spacing w:val="5"/>
        </w:rPr>
        <w:t>），</w:t>
      </w:r>
      <w:r>
        <w:rPr>
          <w:color w:val="231F20"/>
          <w:spacing w:val="-2"/>
        </w:rPr>
        <w:t>见表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2</w:t>
      </w:r>
      <w:r>
        <w:rPr>
          <w:color w:val="231F20"/>
          <w:spacing w:val="-2"/>
        </w:rPr>
        <w:t>。</w:t>
      </w:r>
    </w:p>
    <w:p>
      <w:pPr>
        <w:pStyle w:val="BodyText"/>
        <w:ind w:left="1302"/>
        <w:spacing w:before="128" w:line="243" w:lineRule="exact"/>
        <w:outlineLvl w:val="1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1"/>
        </w:rPr>
        <w:t>表</w:t>
      </w:r>
      <w:r>
        <w:rPr>
          <w:sz w:val="18"/>
          <w:szCs w:val="18"/>
          <w:color w:val="231F20"/>
          <w:spacing w:val="-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"/>
        </w:rPr>
        <w:t>2    </w:t>
      </w:r>
      <w:r>
        <w:rPr>
          <w:sz w:val="18"/>
          <w:szCs w:val="18"/>
          <w:color w:val="231F20"/>
          <w:spacing w:val="-1"/>
          <w:position w:val="1"/>
        </w:rPr>
        <w:t>两组患者不良反应发生率比较 （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"/>
          <w:position w:val="1"/>
        </w:rPr>
        <w:t>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"/>
        </w:rPr>
        <w:t>= 28</w:t>
      </w:r>
      <w:r>
        <w:rPr>
          <w:sz w:val="18"/>
          <w:szCs w:val="18"/>
          <w:color w:val="231F20"/>
          <w:spacing w:val="-1"/>
          <w:position w:val="1"/>
        </w:rPr>
        <w:t>，例）</w:t>
      </w:r>
    </w:p>
    <w:p>
      <w:pPr>
        <w:spacing w:line="88" w:lineRule="exact"/>
        <w:rPr/>
      </w:pPr>
      <w:r/>
    </w:p>
    <w:tbl>
      <w:tblPr>
        <w:tblStyle w:val="TableNormal"/>
        <w:tblW w:w="4960" w:type="dxa"/>
        <w:tblInd w:w="44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23"/>
        <w:gridCol w:w="572"/>
        <w:gridCol w:w="586"/>
        <w:gridCol w:w="937"/>
        <w:gridCol w:w="716"/>
        <w:gridCol w:w="521"/>
        <w:gridCol w:w="905"/>
      </w:tblGrid>
      <w:tr>
        <w:trPr>
          <w:trHeight w:val="438" w:hRule="atLeast"/>
        </w:trPr>
        <w:tc>
          <w:tcPr>
            <w:tcW w:w="72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93"/>
              <w:spacing w:before="12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5"/>
              </w:rPr>
              <w:t>组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5"/>
              </w:rPr>
              <w:t>别</w:t>
            </w:r>
          </w:p>
        </w:tc>
        <w:tc>
          <w:tcPr>
            <w:tcW w:w="57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05"/>
              <w:spacing w:before="12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2"/>
              </w:rPr>
              <w:t>感染</w:t>
            </w:r>
          </w:p>
        </w:tc>
        <w:tc>
          <w:tcPr>
            <w:tcW w:w="58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22"/>
              <w:spacing w:before="12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"/>
              </w:rPr>
              <w:t>发热</w:t>
            </w:r>
          </w:p>
        </w:tc>
        <w:tc>
          <w:tcPr>
            <w:tcW w:w="93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24"/>
              <w:spacing w:before="12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2"/>
              </w:rPr>
              <w:t>食欲不振</w:t>
            </w:r>
          </w:p>
        </w:tc>
        <w:tc>
          <w:tcPr>
            <w:tcW w:w="7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12" w:right="75" w:hanging="105"/>
              <w:spacing w:before="20" w:line="20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"/>
              </w:rPr>
              <w:t>腹腔内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6"/>
              </w:rPr>
              <w:t>出血</w:t>
            </w:r>
          </w:p>
        </w:tc>
        <w:tc>
          <w:tcPr>
            <w:tcW w:w="52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01"/>
              <w:spacing w:before="12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3"/>
              </w:rPr>
              <w:t>血栓</w:t>
            </w:r>
          </w:p>
        </w:tc>
        <w:tc>
          <w:tcPr>
            <w:tcW w:w="90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8"/>
              <w:spacing w:before="128" w:line="220" w:lineRule="auto"/>
              <w:rPr/>
            </w:pPr>
            <w:r>
              <w:rPr>
                <w:rFonts w:ascii="SimSun" w:hAnsi="SimSun" w:eastAsia="SimSun" w:cs="SimSun"/>
                <w:color w:val="231F20"/>
                <w:spacing w:val="-2"/>
              </w:rPr>
              <w:t>发生率</w:t>
            </w:r>
            <w:r>
              <w:rPr>
                <w:rFonts w:ascii="SimSun" w:hAnsi="SimSun" w:eastAsia="SimSun" w:cs="SimSun"/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2"/>
              </w:rPr>
              <w:t>/%</w:t>
            </w:r>
          </w:p>
        </w:tc>
      </w:tr>
      <w:tr>
        <w:trPr>
          <w:trHeight w:val="220" w:hRule="atLeast"/>
        </w:trPr>
        <w:tc>
          <w:tcPr>
            <w:tcW w:w="723" w:type="dxa"/>
            <w:vAlign w:val="top"/>
            <w:tcBorders>
              <w:top w:val="single" w:color="231F20" w:sz="2" w:space="0"/>
            </w:tcBorders>
          </w:tcPr>
          <w:p>
            <w:pPr>
              <w:ind w:left="90"/>
              <w:spacing w:before="30" w:line="184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2"/>
              </w:rPr>
              <w:t>对照组</w:t>
            </w:r>
          </w:p>
        </w:tc>
        <w:tc>
          <w:tcPr>
            <w:tcW w:w="5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3"/>
              <w:spacing w:before="58" w:line="176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5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1"/>
              <w:spacing w:before="58" w:line="176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9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6"/>
              <w:spacing w:before="58" w:line="176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7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7"/>
              <w:spacing w:before="58" w:line="176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5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8"/>
              <w:spacing w:before="58" w:line="176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9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1"/>
              <w:spacing w:before="58" w:line="176" w:lineRule="auto"/>
              <w:rPr/>
            </w:pPr>
            <w:r>
              <w:rPr>
                <w:color w:val="231F20"/>
                <w:spacing w:val="-1"/>
              </w:rPr>
              <w:t>25.00</w:t>
            </w:r>
          </w:p>
        </w:tc>
      </w:tr>
      <w:tr>
        <w:trPr>
          <w:trHeight w:val="248" w:hRule="atLeast"/>
        </w:trPr>
        <w:tc>
          <w:tcPr>
            <w:tcW w:w="723" w:type="dxa"/>
            <w:vAlign w:val="top"/>
            <w:tcBorders>
              <w:bottom w:val="single" w:color="231F20" w:sz="6" w:space="0"/>
            </w:tcBorders>
          </w:tcPr>
          <w:p>
            <w:pPr>
              <w:ind w:left="91"/>
              <w:spacing w:before="46" w:line="196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color w:val="231F20"/>
                <w:spacing w:val="-2"/>
              </w:rPr>
              <w:t>观察组</w:t>
            </w:r>
          </w:p>
        </w:tc>
        <w:tc>
          <w:tcPr>
            <w:tcW w:w="57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3"/>
              <w:spacing w:before="75" w:line="186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58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53"/>
              <w:spacing w:before="75" w:line="186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9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38"/>
              <w:spacing w:before="75" w:line="186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7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2"/>
              <w:spacing w:before="75" w:line="186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52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4"/>
              <w:spacing w:before="75" w:line="186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90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51"/>
              <w:spacing w:before="39" w:line="228" w:lineRule="auto"/>
              <w:rPr>
                <w:sz w:val="10"/>
                <w:szCs w:val="10"/>
              </w:rPr>
            </w:pPr>
            <w:r>
              <w:rPr>
                <w:color w:val="231F20"/>
                <w:spacing w:val="-1"/>
              </w:rPr>
              <w:t>3.57</w:t>
            </w:r>
            <w:r>
              <w:rPr>
                <w:sz w:val="10"/>
                <w:szCs w:val="10"/>
                <w:color w:val="231F20"/>
                <w:spacing w:val="-1"/>
                <w:position w:val="7"/>
              </w:rPr>
              <w:t>b</w:t>
            </w:r>
          </w:p>
        </w:tc>
      </w:tr>
    </w:tbl>
    <w:p>
      <w:pPr>
        <w:pStyle w:val="BodyText"/>
        <w:ind w:left="813"/>
        <w:spacing w:before="48" w:line="22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与对照组比较，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3"/>
        </w:rPr>
        <w:t>＜</w:t>
      </w:r>
      <w:r>
        <w:rPr>
          <w:sz w:val="18"/>
          <w:szCs w:val="18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0.05</w:t>
      </w:r>
    </w:p>
    <w:p>
      <w:pPr>
        <w:ind w:left="830"/>
        <w:spacing w:before="277" w:line="251" w:lineRule="exact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-5"/>
          <w:position w:val="1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color w:val="231F20"/>
          <w:spacing w:val="1"/>
          <w:position w:val="1"/>
        </w:rPr>
        <w:t xml:space="preserve">    </w:t>
      </w:r>
      <w:r>
        <w:rPr>
          <w:rFonts w:ascii="SimHei" w:hAnsi="SimHei" w:eastAsia="SimHei" w:cs="SimHei"/>
          <w:sz w:val="19"/>
          <w:szCs w:val="19"/>
          <w:color w:val="231F20"/>
          <w:spacing w:val="-5"/>
          <w:position w:val="1"/>
        </w:rPr>
        <w:t>讨</w:t>
      </w:r>
      <w:r>
        <w:rPr>
          <w:rFonts w:ascii="SimHei" w:hAnsi="SimHei" w:eastAsia="SimHei" w:cs="SimHei"/>
          <w:sz w:val="19"/>
          <w:szCs w:val="19"/>
          <w:color w:val="231F20"/>
          <w:spacing w:val="5"/>
          <w:position w:val="1"/>
        </w:rPr>
        <w:t xml:space="preserve">  </w:t>
      </w:r>
      <w:r>
        <w:rPr>
          <w:rFonts w:ascii="SimHei" w:hAnsi="SimHei" w:eastAsia="SimHei" w:cs="SimHei"/>
          <w:sz w:val="19"/>
          <w:szCs w:val="19"/>
          <w:color w:val="231F20"/>
          <w:spacing w:val="-5"/>
          <w:position w:val="1"/>
        </w:rPr>
        <w:t>论</w:t>
      </w:r>
    </w:p>
    <w:p>
      <w:pPr>
        <w:pStyle w:val="BodyText"/>
        <w:ind w:left="443" w:right="125" w:firstLine="379"/>
        <w:spacing w:before="74" w:line="30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AMNO </w:t>
      </w:r>
      <w:r>
        <w:rPr>
          <w:color w:val="231F20"/>
          <w:spacing w:val="-1"/>
        </w:rPr>
        <w:t>分为动脉栓塞及肠系膜上静脉血栓</w:t>
      </w:r>
      <w:r>
        <w:rPr>
          <w:color w:val="231F20"/>
          <w:spacing w:val="-2"/>
        </w:rPr>
        <w:t>形成，其中，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AMNO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</w:rPr>
        <w:t>病理为肠系膜上动脉栓塞后肠组织出现缺</w:t>
      </w:r>
      <w:r>
        <w:rPr>
          <w:color w:val="231F20"/>
          <w:spacing w:val="-1"/>
        </w:rPr>
        <w:t>血性干瘪，</w:t>
      </w:r>
      <w:r>
        <w:rPr>
          <w:color w:val="231F20"/>
        </w:rPr>
        <w:t xml:space="preserve"> </w:t>
      </w:r>
      <w:r>
        <w:rPr>
          <w:color w:val="231F20"/>
        </w:rPr>
        <w:t>累及肠黏膜。此时，患者肠痉挛收缩明显，腹痛症状严重，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同时伴有呕吐、腹泻症状。肠系膜上静脉血栓形成病理为原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发性无明确病因，继发性多在腹腔内感染患者中发生。门静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脉高压症往往会导致静脉瘀血，血流速度相对缓慢，手术所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致的肠系膜上静脉损伤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3"/>
          <w:position w:val="9"/>
        </w:rPr>
        <w:t>[4-5]</w:t>
      </w:r>
      <w:r>
        <w:rPr>
          <w:color w:val="231F20"/>
          <w:spacing w:val="-3"/>
        </w:rPr>
        <w:t>。由于</w:t>
      </w:r>
      <w:r>
        <w:rPr>
          <w:color w:val="231F20"/>
          <w:spacing w:val="-5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AMVO </w:t>
      </w:r>
      <w:r>
        <w:rPr>
          <w:color w:val="231F20"/>
          <w:spacing w:val="-3"/>
        </w:rPr>
        <w:t>是</w:t>
      </w:r>
      <w:r>
        <w:rPr>
          <w:color w:val="231F20"/>
          <w:spacing w:val="-4"/>
        </w:rPr>
        <w:t>一种严重急腹症，</w:t>
      </w:r>
      <w:r>
        <w:rPr>
          <w:color w:val="231F20"/>
        </w:rPr>
        <w:t xml:space="preserve"> </w:t>
      </w:r>
      <w:r>
        <w:rPr>
          <w:color w:val="231F20"/>
        </w:rPr>
        <w:t>临床应鼓励患者早期诊断并积极配合临床治疗。由于治疗时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间较紧张，在确诊后及时展开有效治疗干预，将坏死血管和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栓塞血管的肠系膜有效清除，有利于患者血液循环功能的改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善，提升其预后生活质量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8"/>
        </w:rPr>
        <w:t>[6-7]</w:t>
      </w:r>
      <w:r>
        <w:rPr>
          <w:color w:val="231F20"/>
          <w:spacing w:val="-1"/>
        </w:rPr>
        <w:t>。</w:t>
      </w:r>
    </w:p>
    <w:p>
      <w:pPr>
        <w:pStyle w:val="BodyText"/>
        <w:ind w:left="443" w:right="177" w:firstLine="396"/>
        <w:spacing w:before="8" w:line="304" w:lineRule="auto"/>
        <w:jc w:val="both"/>
        <w:rPr/>
      </w:pPr>
      <w:r>
        <w:rPr>
          <w:color w:val="231F20"/>
          <w:spacing w:val="5"/>
        </w:rPr>
        <w:t>临床上针对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AMVO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患者一般采用多螺旋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扫描仪检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查，具有分辨率高、检查快速等优势。急诊腹部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诊断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AMVO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时显示，该病患者血栓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值相比正常人的血液密</w:t>
      </w:r>
      <w:r>
        <w:rPr>
          <w:color w:val="231F20"/>
        </w:rPr>
        <w:t xml:space="preserve"> </w:t>
      </w:r>
      <w:r>
        <w:rPr>
          <w:color w:val="231F20"/>
        </w:rPr>
        <w:t>度呈较高显示的直接征象对患者血管充盈状态进行评估，通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过对病变部分的判断对患者发病诱因进一步确定。或参考肠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壁纸样改变、肠管扩张、肠系膜积气积液、肠壁增厚、门静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脉强化不均匀、揽绳征为主的间接征象，结合患者既往病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史、临床症状等进行确诊，明确具体病变部位，并针对患者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个体化情况采取有效治疗干预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9"/>
        </w:rPr>
        <w:t>[8] </w:t>
      </w:r>
      <w:r>
        <w:rPr>
          <w:color w:val="231F20"/>
          <w:spacing w:val="-1"/>
        </w:rPr>
        <w:t>。由于肠壁状态的改变，患</w:t>
      </w:r>
      <w:r>
        <w:rPr>
          <w:color w:val="231F20"/>
        </w:rPr>
        <w:t xml:space="preserve"> </w:t>
      </w:r>
      <w:r>
        <w:rPr>
          <w:color w:val="231F20"/>
        </w:rPr>
        <w:t>者早期往往会出现肠壁薄纸样改变，疾病进展至中后期主要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表现为肠壁水肿、增厚等现象。大多数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AMVO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color w:val="231F20"/>
          <w:spacing w:val="3"/>
        </w:rPr>
        <w:t>患者均伴有</w:t>
      </w:r>
      <w:r>
        <w:rPr>
          <w:color w:val="231F20"/>
        </w:rPr>
        <w:t xml:space="preserve"> </w:t>
      </w:r>
      <w:r>
        <w:rPr>
          <w:color w:val="231F20"/>
        </w:rPr>
        <w:t>肠管扩张、积气积液征象性、静脉强化不均匀等症状，主要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是由于机体血流量下降诱发的血流量供应不足或不均匀现象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等原因导致的，血管揽绳征临床发生率不高，临床主要表现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为病变血管增粗、毛躁、血管充血等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[9-10]</w:t>
      </w:r>
      <w:r>
        <w:rPr>
          <w:color w:val="231F20"/>
          <w:spacing w:val="1"/>
        </w:rPr>
        <w:t>。因此临床上对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AMVO </w:t>
      </w:r>
      <w:r>
        <w:rPr>
          <w:color w:val="231F20"/>
          <w:spacing w:val="-2"/>
        </w:rPr>
        <w:t>患者实施诊断期间需加强辨别直接征象与间接征象，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进而有效提升疾病检出准确性，缩短检查时间，进而改善治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疗效果。</w:t>
      </w:r>
    </w:p>
    <w:p>
      <w:pPr>
        <w:pStyle w:val="BodyText"/>
        <w:ind w:left="448" w:right="176" w:firstLine="379"/>
        <w:spacing w:before="3" w:line="284" w:lineRule="auto"/>
        <w:jc w:val="both"/>
        <w:rPr/>
      </w:pPr>
      <w:r>
        <w:rPr>
          <w:color w:val="231F20"/>
        </w:rPr>
        <w:t>传统开腹探查与肠系膜血管造影会对患者机体造成不同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程度损伤，临床治疗上腹部病情危急者多通过开腹手术探查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7"/>
        </w:rPr>
        <w:t>方式对患者腹部病变情况进行确认，但开腹探查的风险较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高，对患者的预后也会造成一定的影响。而急诊腹部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可</w:t>
      </w:r>
      <w:r>
        <w:rPr>
          <w:color w:val="231F20"/>
        </w:rPr>
        <w:t xml:space="preserve"> </w:t>
      </w:r>
      <w:r>
        <w:rPr>
          <w:color w:val="231F20"/>
        </w:rPr>
        <w:t>明确判定患者缺血病因，并清晰观察其肠缺血并发症情况及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其他障碍，排除其他急腹症。虽然本研究结</w:t>
      </w:r>
      <w:r>
        <w:rPr>
          <w:color w:val="231F20"/>
          <w:spacing w:val="7"/>
        </w:rPr>
        <w:t>果显示，观察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132" w:firstLine="2"/>
        <w:spacing w:before="41" w:line="304" w:lineRule="auto"/>
        <w:jc w:val="both"/>
        <w:rPr/>
      </w:pPr>
      <w:r>
        <w:rPr>
          <w:color w:val="231F20"/>
          <w:spacing w:val="7"/>
        </w:rPr>
        <w:t>组患者诊断准确率相比对照组更低，差异具有统计学意义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＜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0.05</w:t>
      </w:r>
      <w:r>
        <w:rPr>
          <w:color w:val="231F20"/>
          <w:spacing w:val="11"/>
        </w:rPr>
        <w:t>），</w:t>
      </w:r>
      <w:r>
        <w:rPr>
          <w:color w:val="231F20"/>
          <w:spacing w:val="-1"/>
        </w:rPr>
        <w:t>但准确率也出于较高的水平，笔</w:t>
      </w:r>
      <w:r>
        <w:rPr>
          <w:color w:val="231F20"/>
          <w:spacing w:val="-2"/>
        </w:rPr>
        <w:t>者认为可以</w:t>
      </w:r>
      <w:r>
        <w:rPr>
          <w:color w:val="231F20"/>
        </w:rPr>
        <w:t xml:space="preserve"> </w:t>
      </w:r>
      <w:r>
        <w:rPr>
          <w:color w:val="231F20"/>
        </w:rPr>
        <w:t>通过二维多平面创建和三维血管重建，使患者肠缺血状况得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以清晰显示，从而可提升诊断准确率。</w:t>
      </w:r>
    </w:p>
    <w:p>
      <w:pPr>
        <w:pStyle w:val="BodyText"/>
        <w:ind w:left="12" w:right="133" w:firstLine="380"/>
        <w:spacing w:before="5" w:line="304" w:lineRule="auto"/>
        <w:rPr/>
      </w:pPr>
      <w:r>
        <w:rPr>
          <w:color w:val="231F20"/>
          <w:spacing w:val="8"/>
        </w:rPr>
        <w:t>本研究结果显示，观察组患者的检查时间相比对照组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6"/>
        </w:rPr>
        <w:t>较低，患者失血量及诊疗费用相比对照组较少</w:t>
      </w:r>
      <w:r>
        <w:rPr>
          <w:color w:val="231F20"/>
          <w:spacing w:val="15"/>
        </w:rPr>
        <w:t>，差异具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6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40"/>
        </w:rPr>
        <w:t xml:space="preserve"> </w:t>
      </w:r>
      <w:r>
        <w:rPr>
          <w:color w:val="231F20"/>
          <w:spacing w:val="6"/>
        </w:rPr>
        <w:t>＜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0.05</w:t>
      </w:r>
      <w:r>
        <w:rPr>
          <w:color w:val="231F20"/>
          <w:spacing w:val="6"/>
        </w:rPr>
        <w:t>）。可见与剖腹探查诊断方式相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比，腹部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可有效缩短患者检查时间，减少患者出血情况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的发生，同时可降低医疗费用。观察组患者的不良反应率</w:t>
      </w:r>
      <w:r>
        <w:rPr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3.57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% </w:t>
      </w:r>
      <w:r>
        <w:rPr>
          <w:color w:val="231F20"/>
          <w:spacing w:val="-2"/>
        </w:rPr>
        <w:t>相比对照组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25.00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%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明显较低，差异具有统计学意义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6"/>
        </w:rPr>
        <w:t xml:space="preserve"> </w:t>
      </w:r>
      <w:r>
        <w:rPr>
          <w:color w:val="231F20"/>
          <w:spacing w:val="1"/>
        </w:rPr>
        <w:t>＜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0.05</w:t>
      </w:r>
      <w:r>
        <w:rPr>
          <w:color w:val="231F20"/>
          <w:spacing w:val="1"/>
        </w:rPr>
        <w:t>）。可见，腹部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对临床有效鉴别诊断肠系膜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血管有无栓子或肿瘤，早期确定疾病诱因均具有重要作用。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此外，可对患者并发症情况与其他脏器的情况进行了解，有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助于排除急腹症。虽然诊断准确率低于开腹探查，但检查用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时短，且患者失血量较少，诊疗费用低，临床诊疗中的综合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效价更高。</w:t>
      </w:r>
    </w:p>
    <w:p>
      <w:pPr>
        <w:pStyle w:val="BodyText"/>
        <w:ind w:left="13" w:right="140" w:firstLine="381"/>
        <w:spacing w:before="2" w:line="305" w:lineRule="auto"/>
        <w:jc w:val="both"/>
        <w:rPr/>
      </w:pPr>
      <w:r>
        <w:rPr>
          <w:color w:val="231F20"/>
          <w:spacing w:val="1"/>
        </w:rPr>
        <w:t>综上所述，急诊腹部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诊断的综合效价更高，同时可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有效预防和减少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AMVO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患者诊断过程中感染、发烧、食欲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不振、腹腔内出血、血栓等不良反应的发生。</w:t>
      </w:r>
    </w:p>
    <w:p>
      <w:pPr>
        <w:spacing w:before="302" w:line="24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〔参考文献〕</w:t>
      </w:r>
    </w:p>
    <w:p>
      <w:pPr>
        <w:pStyle w:val="BodyText"/>
        <w:ind w:left="602" w:right="132" w:hanging="571"/>
        <w:spacing w:before="76" w:line="30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1</w:t>
      </w:r>
      <w:r>
        <w:rPr>
          <w:sz w:val="17"/>
          <w:szCs w:val="17"/>
          <w:color w:val="231F20"/>
          <w:spacing w:val="4"/>
        </w:rPr>
        <w:t>〕  刘术昌．急诊腹部</w:t>
      </w:r>
      <w:r>
        <w:rPr>
          <w:sz w:val="17"/>
          <w:szCs w:val="17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4"/>
        </w:rPr>
        <w:t>对急性肠系膜血管栓塞的临床诊断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价值分析〔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J</w:t>
      </w:r>
      <w:r>
        <w:rPr>
          <w:sz w:val="17"/>
          <w:szCs w:val="17"/>
          <w:color w:val="231F20"/>
          <w:spacing w:val="3"/>
        </w:rPr>
        <w:t>〕．影像研究与医学应用，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2019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3(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7)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155-</w:t>
      </w:r>
    </w:p>
    <w:p>
      <w:pPr>
        <w:pStyle w:val="BodyText"/>
        <w:ind w:left="615"/>
        <w:spacing w:before="33" w:line="179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156</w:t>
      </w:r>
      <w:r>
        <w:rPr>
          <w:sz w:val="17"/>
          <w:szCs w:val="17"/>
          <w:color w:val="231F20"/>
          <w:spacing w:val="-5"/>
        </w:rPr>
        <w:t>．</w:t>
      </w:r>
    </w:p>
    <w:p>
      <w:pPr>
        <w:pStyle w:val="BodyText"/>
        <w:ind w:left="600" w:hanging="569"/>
        <w:spacing w:before="88" w:line="30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2</w:t>
      </w:r>
      <w:r>
        <w:rPr>
          <w:sz w:val="17"/>
          <w:szCs w:val="17"/>
          <w:color w:val="231F20"/>
          <w:spacing w:val="4"/>
        </w:rPr>
        <w:t>〕  张荣恒，苗丽媛，王国庆，等．急诊腹部</w:t>
      </w:r>
      <w:r>
        <w:rPr>
          <w:sz w:val="17"/>
          <w:szCs w:val="17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4"/>
        </w:rPr>
        <w:t>对急性肠系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</w:rPr>
        <w:t>膜血管栓塞的临床诊断分析〔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J</w:t>
      </w:r>
      <w:r>
        <w:rPr>
          <w:sz w:val="17"/>
          <w:szCs w:val="17"/>
          <w:color w:val="231F20"/>
        </w:rPr>
        <w:t>〕．内蒙古医学杂志，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2018</w:t>
      </w:r>
      <w:r>
        <w:rPr>
          <w:sz w:val="17"/>
          <w:szCs w:val="17"/>
          <w:color w:val="231F20"/>
        </w:rPr>
        <w:t>，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50(5)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559-560</w:t>
      </w:r>
      <w:r>
        <w:rPr>
          <w:sz w:val="17"/>
          <w:szCs w:val="17"/>
          <w:color w:val="231F20"/>
          <w:spacing w:val="-2"/>
        </w:rPr>
        <w:t>．</w:t>
      </w:r>
    </w:p>
    <w:p>
      <w:pPr>
        <w:pStyle w:val="BodyText"/>
        <w:ind w:left="601" w:hanging="570"/>
        <w:spacing w:before="6" w:line="30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3</w:t>
      </w:r>
      <w:r>
        <w:rPr>
          <w:sz w:val="17"/>
          <w:szCs w:val="17"/>
          <w:color w:val="231F20"/>
          <w:spacing w:val="-2"/>
        </w:rPr>
        <w:t>〕  李伟，于澜，王刚，等．探究急诊腹部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CT </w:t>
      </w:r>
      <w:r>
        <w:rPr>
          <w:sz w:val="17"/>
          <w:szCs w:val="17"/>
          <w:color w:val="231F20"/>
          <w:spacing w:val="-2"/>
        </w:rPr>
        <w:t>对急性肠系膜血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</w:rPr>
        <w:t>管栓塞的临床诊断价值〔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J</w:t>
      </w:r>
      <w:r>
        <w:rPr>
          <w:sz w:val="17"/>
          <w:szCs w:val="17"/>
          <w:color w:val="231F20"/>
        </w:rPr>
        <w:t>〕．影像研究与医学应用，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2019</w:t>
      </w:r>
      <w:r>
        <w:rPr>
          <w:sz w:val="17"/>
          <w:szCs w:val="17"/>
          <w:color w:val="231F20"/>
        </w:rPr>
        <w:t>，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3(4)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177-178</w:t>
      </w:r>
      <w:r>
        <w:rPr>
          <w:sz w:val="17"/>
          <w:szCs w:val="17"/>
          <w:color w:val="231F20"/>
          <w:spacing w:val="-3"/>
        </w:rPr>
        <w:t>．</w:t>
      </w:r>
    </w:p>
    <w:p>
      <w:pPr>
        <w:pStyle w:val="BodyText"/>
        <w:ind w:left="31"/>
        <w:spacing w:before="6" w:line="22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4</w:t>
      </w:r>
      <w:r>
        <w:rPr>
          <w:sz w:val="17"/>
          <w:szCs w:val="17"/>
          <w:color w:val="231F20"/>
          <w:spacing w:val="4"/>
        </w:rPr>
        <w:t>〕  温中炎．分析急诊腹部</w:t>
      </w:r>
      <w:r>
        <w:rPr>
          <w:sz w:val="17"/>
          <w:szCs w:val="17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4"/>
        </w:rPr>
        <w:t>对急性肠系膜血管栓塞的诊断</w:t>
      </w:r>
    </w:p>
    <w:p>
      <w:pPr>
        <w:pStyle w:val="BodyText"/>
        <w:ind w:left="602"/>
        <w:spacing w:before="77" w:line="20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作用〔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J</w:t>
      </w:r>
      <w:r>
        <w:rPr>
          <w:sz w:val="17"/>
          <w:szCs w:val="17"/>
          <w:color w:val="231F20"/>
          <w:spacing w:val="-2"/>
        </w:rPr>
        <w:t>〕．现代医用影像学，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2017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26(1)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58-60</w:t>
      </w:r>
      <w:r>
        <w:rPr>
          <w:sz w:val="17"/>
          <w:szCs w:val="17"/>
          <w:color w:val="231F20"/>
          <w:spacing w:val="-2"/>
        </w:rPr>
        <w:t>．</w:t>
      </w:r>
    </w:p>
    <w:p>
      <w:pPr>
        <w:pStyle w:val="BodyText"/>
        <w:ind w:left="598" w:right="133" w:hanging="567"/>
        <w:spacing w:before="89" w:line="30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5</w:t>
      </w:r>
      <w:r>
        <w:rPr>
          <w:sz w:val="17"/>
          <w:szCs w:val="17"/>
          <w:color w:val="231F20"/>
          <w:spacing w:val="3"/>
        </w:rPr>
        <w:t>〕  秦绍岚，俞旻皓，慕逸飞，等．全结肠系膜切除术</w:t>
      </w:r>
      <w:r>
        <w:rPr>
          <w:sz w:val="17"/>
          <w:szCs w:val="17"/>
          <w:color w:val="231F20"/>
          <w:spacing w:val="2"/>
        </w:rPr>
        <w:t>在右半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结肠癌根治术中应用的疗效〔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J</w:t>
      </w:r>
      <w:r>
        <w:rPr>
          <w:sz w:val="17"/>
          <w:szCs w:val="17"/>
          <w:color w:val="231F20"/>
          <w:spacing w:val="7"/>
        </w:rPr>
        <w:t>〕．</w:t>
      </w:r>
      <w:r>
        <w:rPr>
          <w:sz w:val="17"/>
          <w:szCs w:val="17"/>
          <w:color w:val="231F20"/>
          <w:spacing w:val="-42"/>
        </w:rPr>
        <w:t xml:space="preserve"> </w:t>
      </w:r>
      <w:r>
        <w:rPr>
          <w:sz w:val="17"/>
          <w:szCs w:val="17"/>
          <w:color w:val="231F20"/>
          <w:spacing w:val="7"/>
        </w:rPr>
        <w:t>中华胃肠外科杂志，</w:t>
      </w:r>
      <w:r>
        <w:rPr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2016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19(10)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1101-1106</w:t>
      </w:r>
      <w:r>
        <w:rPr>
          <w:sz w:val="17"/>
          <w:szCs w:val="17"/>
          <w:color w:val="231F20"/>
          <w:spacing w:val="-3"/>
        </w:rPr>
        <w:t>．</w:t>
      </w:r>
    </w:p>
    <w:p>
      <w:pPr>
        <w:pStyle w:val="BodyText"/>
        <w:ind w:left="598" w:right="133" w:hanging="567"/>
        <w:spacing w:before="6" w:line="30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6</w:t>
      </w:r>
      <w:r>
        <w:rPr>
          <w:sz w:val="17"/>
          <w:szCs w:val="17"/>
          <w:color w:val="231F20"/>
          <w:spacing w:val="3"/>
        </w:rPr>
        <w:t>〕  李敏哲，沈荐，杜燕夫，等．完整结肠系膜切除在</w:t>
      </w:r>
      <w:r>
        <w:rPr>
          <w:sz w:val="17"/>
          <w:szCs w:val="17"/>
          <w:color w:val="231F20"/>
          <w:spacing w:val="2"/>
        </w:rPr>
        <w:t>腹腔镜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右半结肠癌根治术中的应用〔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J</w:t>
      </w:r>
      <w:r>
        <w:rPr>
          <w:sz w:val="17"/>
          <w:szCs w:val="17"/>
          <w:color w:val="231F20"/>
          <w:spacing w:val="7"/>
        </w:rPr>
        <w:t>〕．</w:t>
      </w:r>
      <w:r>
        <w:rPr>
          <w:sz w:val="17"/>
          <w:szCs w:val="17"/>
          <w:color w:val="231F20"/>
          <w:spacing w:val="-42"/>
        </w:rPr>
        <w:t xml:space="preserve"> </w:t>
      </w:r>
      <w:r>
        <w:rPr>
          <w:sz w:val="17"/>
          <w:szCs w:val="17"/>
          <w:color w:val="231F20"/>
          <w:spacing w:val="7"/>
        </w:rPr>
        <w:t>中国微创外科杂志，</w:t>
      </w:r>
      <w:r>
        <w:rPr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2016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16(8)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698-701</w:t>
      </w:r>
      <w:r>
        <w:rPr>
          <w:sz w:val="17"/>
          <w:szCs w:val="17"/>
          <w:color w:val="231F20"/>
          <w:spacing w:val="-3"/>
        </w:rPr>
        <w:t>．</w:t>
      </w:r>
    </w:p>
    <w:p>
      <w:pPr>
        <w:pStyle w:val="BodyText"/>
        <w:ind w:left="31"/>
        <w:spacing w:before="6" w:line="219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7</w:t>
      </w:r>
      <w:r>
        <w:rPr>
          <w:sz w:val="17"/>
          <w:szCs w:val="17"/>
          <w:color w:val="231F20"/>
        </w:rPr>
        <w:t>〕  房杰，陈学明，李晨宇，等．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Rotarex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</w:rPr>
        <w:t>治疗急性肠系膜上动</w:t>
      </w:r>
    </w:p>
    <w:p>
      <w:pPr>
        <w:pStyle w:val="BodyText"/>
        <w:ind w:left="603"/>
        <w:spacing w:before="79" w:line="20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脉栓塞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4 </w:t>
      </w:r>
      <w:r>
        <w:rPr>
          <w:sz w:val="17"/>
          <w:szCs w:val="17"/>
          <w:color w:val="231F20"/>
          <w:spacing w:val="2"/>
        </w:rPr>
        <w:t>例报道〔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J</w:t>
      </w:r>
      <w:r>
        <w:rPr>
          <w:sz w:val="17"/>
          <w:szCs w:val="17"/>
          <w:color w:val="231F20"/>
          <w:spacing w:val="2"/>
        </w:rPr>
        <w:t>〕．中国血管外科杂志，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2017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>9(2)</w:t>
      </w:r>
      <w:r>
        <w:rPr>
          <w:sz w:val="17"/>
          <w:szCs w:val="17"/>
          <w:color w:val="231F20"/>
          <w:spacing w:val="2"/>
        </w:rPr>
        <w:t>：</w:t>
      </w:r>
    </w:p>
    <w:p>
      <w:pPr>
        <w:pStyle w:val="BodyText"/>
        <w:ind w:left="614"/>
        <w:spacing w:before="116" w:line="179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114-116</w:t>
      </w:r>
      <w:r>
        <w:rPr>
          <w:sz w:val="17"/>
          <w:szCs w:val="17"/>
          <w:color w:val="231F20"/>
          <w:spacing w:val="-5"/>
        </w:rPr>
        <w:t>．</w:t>
      </w:r>
    </w:p>
    <w:p>
      <w:pPr>
        <w:pStyle w:val="BodyText"/>
        <w:ind w:left="598" w:right="133" w:hanging="567"/>
        <w:spacing w:before="88" w:line="30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8</w:t>
      </w:r>
      <w:r>
        <w:rPr>
          <w:sz w:val="17"/>
          <w:szCs w:val="17"/>
          <w:color w:val="231F20"/>
          <w:spacing w:val="3"/>
        </w:rPr>
        <w:t>〕  臧金林，张鹏，周东风，等．急性肠系膜上动脉栓</w:t>
      </w:r>
      <w:r>
        <w:rPr>
          <w:sz w:val="17"/>
          <w:szCs w:val="17"/>
          <w:color w:val="231F20"/>
          <w:spacing w:val="2"/>
        </w:rPr>
        <w:t>塞的微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2"/>
        </w:rPr>
        <w:t>创介入治疗〔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J</w:t>
      </w:r>
      <w:r>
        <w:rPr>
          <w:sz w:val="17"/>
          <w:szCs w:val="17"/>
          <w:color w:val="231F20"/>
          <w:spacing w:val="12"/>
        </w:rPr>
        <w:t>〕．</w:t>
      </w:r>
      <w:r>
        <w:rPr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12"/>
        </w:rPr>
        <w:t>中国中西医结合外科杂志，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2016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12"/>
        </w:rPr>
        <w:t>，</w:t>
      </w:r>
      <w:r>
        <w:rPr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22(6)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591-593</w:t>
      </w:r>
      <w:r>
        <w:rPr>
          <w:sz w:val="17"/>
          <w:szCs w:val="17"/>
          <w:color w:val="231F20"/>
          <w:spacing w:val="-2"/>
        </w:rPr>
        <w:t>．</w:t>
      </w:r>
    </w:p>
    <w:p>
      <w:pPr>
        <w:pStyle w:val="BodyText"/>
        <w:ind w:left="31"/>
        <w:spacing w:before="6" w:line="21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>9</w:t>
      </w:r>
      <w:r>
        <w:rPr>
          <w:sz w:val="17"/>
          <w:szCs w:val="17"/>
          <w:color w:val="231F20"/>
          <w:spacing w:val="4"/>
        </w:rPr>
        <w:t>〕  胡迪聪．腹部</w:t>
      </w:r>
      <w:r>
        <w:rPr>
          <w:sz w:val="17"/>
          <w:szCs w:val="17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4"/>
        </w:rPr>
        <w:t>对急性肠系膜血管栓塞的诊断价值分析</w:t>
      </w:r>
    </w:p>
    <w:p>
      <w:pPr>
        <w:pStyle w:val="BodyText"/>
        <w:ind w:left="620"/>
        <w:spacing w:before="79" w:line="20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J</w:t>
      </w:r>
      <w:r>
        <w:rPr>
          <w:sz w:val="17"/>
          <w:szCs w:val="17"/>
          <w:color w:val="231F20"/>
          <w:spacing w:val="-2"/>
        </w:rPr>
        <w:t>〕．现代诊断与治疗，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2018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29(12)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1955-1957</w:t>
      </w:r>
      <w:r>
        <w:rPr>
          <w:sz w:val="17"/>
          <w:szCs w:val="17"/>
          <w:color w:val="231F20"/>
          <w:spacing w:val="-2"/>
        </w:rPr>
        <w:t>．</w:t>
      </w:r>
    </w:p>
    <w:p>
      <w:pPr>
        <w:pStyle w:val="BodyText"/>
        <w:ind w:left="31"/>
        <w:spacing w:before="89" w:line="22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10</w:t>
      </w:r>
      <w:r>
        <w:rPr>
          <w:sz w:val="17"/>
          <w:szCs w:val="17"/>
          <w:color w:val="231F20"/>
          <w:spacing w:val="1"/>
        </w:rPr>
        <w:t>〕  刘德姝．探讨急诊腹部</w:t>
      </w:r>
      <w:r>
        <w:rPr>
          <w:sz w:val="17"/>
          <w:szCs w:val="17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CT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1"/>
        </w:rPr>
        <w:t>对急性肠系膜血管栓塞的诊断</w:t>
      </w:r>
    </w:p>
    <w:p>
      <w:pPr>
        <w:pStyle w:val="BodyText"/>
        <w:ind w:left="692"/>
        <w:spacing w:before="78" w:line="20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价值〔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J</w:t>
      </w:r>
      <w:r>
        <w:rPr>
          <w:sz w:val="17"/>
          <w:szCs w:val="17"/>
          <w:color w:val="231F20"/>
          <w:spacing w:val="-2"/>
        </w:rPr>
        <w:t>〕．影像与介入，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2019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5(8)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131-133</w:t>
      </w:r>
      <w:r>
        <w:rPr>
          <w:sz w:val="17"/>
          <w:szCs w:val="17"/>
          <w:color w:val="231F20"/>
          <w:spacing w:val="-2"/>
        </w:rPr>
        <w:t>．</w:t>
      </w:r>
    </w:p>
    <w:sectPr>
      <w:type w:val="continuous"/>
      <w:pgSz w:w="11906" w:h="16838"/>
      <w:pgMar w:top="1101" w:right="718" w:bottom="0" w:left="407" w:header="794" w:footer="0" w:gutter="0"/>
      <w:cols w:equalWidth="0" w:num="2">
        <w:col w:w="5581" w:space="100"/>
        <w:col w:w="509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6"/>
      <w:spacing w:before="42" w:line="219" w:lineRule="auto"/>
      <w:rPr>
        <w:rFonts w:ascii="Times New Roman" w:hAnsi="Times New Roman" w:eastAsia="Times New Roman" w:cs="Times New Roman"/>
        <w:sz w:val="20"/>
        <w:szCs w:val="20"/>
      </w:rPr>
    </w:pPr>
    <w:r>
      <w:pict>
        <v:shape id="WordPictureWatermark14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color w:val="231F20"/>
        <w:spacing w:val="17"/>
        <w:position w:val="1"/>
      </w:rPr>
      <w:t>· </w:t>
    </w:r>
    <w:r>
      <w:rPr>
        <w:rFonts w:ascii="Times New Roman" w:hAnsi="Times New Roman" w:eastAsia="Times New Roman" w:cs="Times New Roman"/>
        <w:color w:val="231F20"/>
        <w:spacing w:val="17"/>
        <w:position w:val="2"/>
      </w:rPr>
      <w:t>88   </w:t>
    </w:r>
    <w:r>
      <w:rPr>
        <w:color w:val="231F20"/>
        <w:spacing w:val="17"/>
        <w:position w:val="1"/>
      </w:rPr>
      <w:t>·  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17"/>
      </w:rPr>
      <w:t xml:space="preserve">     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</w:rPr>
      <w:t>Shenzhen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22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</w:rPr>
      <w:t>Journal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</w:rPr>
      <w:t>of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17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</w:rPr>
      <w:t>Integrated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20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</w:rPr>
      <w:t>Traditional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25"/>
        <w:w w:val="101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</w:rPr>
      <w:t>Chinese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25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</w:rPr>
      <w:t>and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16"/>
        <w:w w:val="101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</w:rPr>
      <w:t>Western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21"/>
        <w:w w:val="101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</w:rPr>
      <w:t>Medicine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25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</w:rPr>
      <w:t>October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21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17"/>
      </w:rPr>
      <w:t>2021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16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</w:rPr>
      <w:t>Vol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17"/>
      </w:rPr>
      <w:t>.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26"/>
        <w:w w:val="101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17"/>
      </w:rPr>
      <w:t>31.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</w:rPr>
      <w:t>No</w:t>
    </w:r>
    <w:r>
      <w:rPr>
        <w:rFonts w:ascii="Times New Roman" w:hAnsi="Times New Roman" w:eastAsia="Times New Roman" w:cs="Times New Roman"/>
        <w:sz w:val="20"/>
        <w:szCs w:val="20"/>
        <w:u w:val="single" w:color="auto"/>
        <w:color w:val="231F20"/>
        <w:spacing w:val="17"/>
      </w:rPr>
      <w:t>.19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2023-03-01T04:35:54Z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2025-10-28T21:25:46</vt:filetime>
  </property>
</Properties>
</file>