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225"/>
        <w:spacing w:before="243" w:line="221" w:lineRule="auto"/>
        <w:outlineLvl w:val="0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color w:val="231F20"/>
          <w:spacing w:val="-3"/>
        </w:rPr>
        <w:t>急诊腹部</w:t>
      </w:r>
      <w:r>
        <w:rPr>
          <w:rFonts w:ascii="SimHei" w:hAnsi="SimHei" w:eastAsia="SimHei" w:cs="SimHei"/>
          <w:sz w:val="44"/>
          <w:szCs w:val="44"/>
          <w:color w:val="231F20"/>
          <w:spacing w:val="-82"/>
        </w:rPr>
        <w:t xml:space="preserve"> </w:t>
      </w:r>
      <w:r>
        <w:rPr>
          <w:rFonts w:ascii="SimHei" w:hAnsi="SimHei" w:eastAsia="SimHei" w:cs="SimHei"/>
          <w:sz w:val="44"/>
          <w:szCs w:val="44"/>
          <w:color w:val="231F20"/>
          <w:spacing w:val="-3"/>
        </w:rPr>
        <w:t>CT</w:t>
      </w:r>
      <w:r>
        <w:rPr>
          <w:rFonts w:ascii="SimHei" w:hAnsi="SimHei" w:eastAsia="SimHei" w:cs="SimHei"/>
          <w:sz w:val="44"/>
          <w:szCs w:val="44"/>
          <w:color w:val="231F20"/>
          <w:spacing w:val="-96"/>
        </w:rPr>
        <w:t xml:space="preserve"> </w:t>
      </w:r>
      <w:r>
        <w:rPr>
          <w:rFonts w:ascii="SimHei" w:hAnsi="SimHei" w:eastAsia="SimHei" w:cs="SimHei"/>
          <w:sz w:val="44"/>
          <w:szCs w:val="44"/>
          <w:color w:val="231F20"/>
          <w:spacing w:val="-3"/>
        </w:rPr>
        <w:t>对急性肠系膜血管栓塞的诊断作用</w:t>
      </w:r>
    </w:p>
    <w:p>
      <w:pPr>
        <w:pStyle w:val="BodyText"/>
        <w:ind w:left="4224"/>
        <w:spacing w:before="130" w:line="220" w:lineRule="auto"/>
        <w:rPr/>
      </w:pPr>
      <w:r>
        <w:rPr>
          <w:color w:val="231F20"/>
          <w:spacing w:val="-1"/>
        </w:rPr>
        <w:t>路  瑶，张晓旭，张丽娟，齐  琦</w:t>
      </w:r>
    </w:p>
    <w:p>
      <w:pPr>
        <w:pStyle w:val="BodyText"/>
        <w:ind w:left="1828"/>
        <w:spacing w:before="41" w:line="219" w:lineRule="auto"/>
        <w:rPr/>
      </w:pPr>
      <w:r>
        <w:rPr>
          <w:color w:val="231F20"/>
          <w:spacing w:val="-2"/>
        </w:rPr>
        <w:t>（大庆龙南医院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&lt;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2"/>
        </w:rPr>
        <w:t>齐齐哈尔医学院第五附属医院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2"/>
        </w:rPr>
        <w:t>&gt;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2"/>
        </w:rPr>
        <w:t>腔镜诊疗科  黑龙江  大庆  163453）</w:t>
      </w:r>
    </w:p>
    <w:p>
      <w:pPr>
        <w:pStyle w:val="BodyText"/>
        <w:ind w:left="619" w:right="4" w:hanging="8"/>
        <w:spacing w:before="290" w:line="287" w:lineRule="auto"/>
        <w:jc w:val="both"/>
        <w:rPr>
          <w:sz w:val="16"/>
          <w:szCs w:val="16"/>
        </w:rPr>
      </w:pPr>
      <w:r>
        <w:pict>
          <v:shape id="_x0000_s4" style="position:absolute;margin-left:216.882pt;margin-top:15.2665pt;mso-position-vertical-relative:text;mso-position-horizontal-relative:text;width:291.3pt;height:7.15pt;z-index:-251654144;" filled="false" strokecolor="#231F20" strokeweight="0.09pt" coordsize="5825,143" coordorigin="0,0" path="m87,82l58,82l58,68l87,68l87,82xm120,38c126,31,133,28,138,27l129,17l124,22l24,22l23,15l21,15c20,24,17,30,13,34c12,36,11,38,11,39c11,40,13,41,16,41c19,42,22,40,23,37c25,34,26,31,25,26l125,26l118,37l120,38xm72,17c73,21,74,22,75,22c76,22,77,21,78,19c80,17,80,15,80,13c80,12,80,10,78,8c77,6,72,4,62,0l61,2c67,8,71,13,72,17m25,50c29,49,34,48,40,48l50,48l50,64l23,64l28,70c33,68,38,68,43,68l50,68l50,82l4,82l10,88c14,87,19,86,25,86l47,86c43,93,38,100,30,107c22,114,12,121,0,128l2,130c13,125,24,119,34,112c44,104,51,96,57,86l90,86c95,95,101,102,109,108c116,114,125,119,133,123c136,118,140,116,145,115l145,113c137,112,129,110,119,106c109,101,101,95,93,86l143,86l130,73l122,82l95,82l95,68l126,68l115,57l107,64l95,64l95,48l125,48l114,37l107,45l95,45l95,38l101,33l87,28c87,34,87,39,87,45l58,45l58,37l63,33l49,28c50,34,50,39,50,45l19,45l25,50xm87,64l58,64l58,48l87,48l87,64xm44,114c49,113,54,112,59,112l69,112l69,136l16,136l22,142c26,140,31,140,37,140l129,140l117,127l108,136l78,136l78,112l110,112l99,102l92,108l78,108l78,101l83,97l68,90c69,97,69,103,69,108l38,108l44,114xm5766,82l5736,82l5736,68l5766,68l5766,82xm5798,38c5805,31,5811,28,5817,27l5808,17l5803,22l5703,22l5702,15l5700,15c5698,24,5696,30,5692,34c5690,36,5690,38,5690,39c5690,40,5691,41,5695,41c5698,42,5700,40,5702,37c5704,34,5704,31,5703,26l5803,26l5796,37l5798,38xm5751,17c5752,21,5753,22,5754,22c5754,22,5755,21,5757,19c5758,17,5759,15,5759,13c5759,12,5758,10,5757,8c5756,6,5750,4,5741,0l5740,2c5745,8,5749,13,5751,17m5703,50c5708,49,5713,48,5718,48l5728,48l5728,64l5701,64l5707,70c5712,68,5717,68,5722,68l5728,68l5728,82l5683,82l5688,88c5693,87,5698,86,5703,86l5725,86c5722,93,5716,100,5709,107c5701,114,5691,121,5679,128l5680,130c5692,125,5703,119,5712,112c5722,104,5730,96,5735,86l5768,86c5773,95,5780,102,5787,108c5795,114,5803,119,5812,123c5814,118,5818,116,5824,115l5824,113c5816,112,5807,110,5797,106c5788,101,5779,95,5772,86l5821,86l5809,73l5800,82l5774,82l5774,68l5805,68l5793,57l5786,64l5774,64l5774,48l5804,48l5793,37l5785,45l5774,45l5774,38l5780,33l5765,28c5766,34,5766,39,5766,45l5736,45l5736,37l5741,33l5728,28c5728,34,5728,39,5728,45l5698,45l5703,50xm5766,64l5736,64l5736,48l5766,48l5766,64xm5723,114c5727,113,5732,112,5738,112l5748,112l5748,136l5695,136l5700,142c5705,140,5710,140,5715,140l5808,140l5795,127l5786,136l5756,136l5756,112l5788,112l5778,102l5771,108l5756,108l5756,101l5761,97l5747,90c5748,97,5748,103,5748,108l5717,108l5723,114xe">
            <v:stroke joinstyle="miter" miterlimit="4"/>
          </v:shape>
        </w:pict>
      </w:r>
      <w:r>
        <w:pict>
          <v:shape id="_x0000_s6" style="position:absolute;margin-left:151.234pt;margin-top:41.2665pt;mso-position-vertical-relative:text;mso-position-horizontal-relative:text;width:252.95pt;height:7.25pt;z-index:-251658240;" filled="false" strokecolor="#231F20" strokeweight="0.09pt" coordsize="5058,145" coordorigin="0,0" path="m70,85l37,85l37,72l70,72l70,85xm110,85l78,85l78,72l110,72l110,85xm70,101l37,101l37,88l70,88l70,101xm110,101l78,101l78,88l110,88l110,101xm122,70l113,63l109,68l37,68l28,63c28,71,28,79,28,87c28,95,28,103,28,112l37,108l37,105l70,105l70,118l17,118l22,124c27,123,32,122,37,122l70,122l70,137l3,137l8,143c13,142,18,141,23,141l146,141l135,128l126,137l78,137l78,122l130,122l120,111l112,118l78,118l78,105l110,105l110,110l118,106c118,101,118,90,118,73l122,70xm108,22l38,22l38,12l108,12l108,22xm108,37l38,37l38,26l108,26l108,37xm120,9l110,2l107,8l39,8l30,3c30,8,30,15,30,25c30,35,30,44,30,50l38,47l38,41l108,41l108,47l117,43c116,38,116,28,116,13l120,9xm6,59c11,58,15,57,18,57l148,57l137,45l128,53l0,53l6,59xm4999,82l4970,82l4970,68l4999,68l4999,82xm5032,38c5039,31,5045,28,5051,27l5041,17l5036,22l4936,22l4936,15l4933,15c4932,24,4929,30,4926,34c4924,36,4923,38,4923,39c4923,40,4925,41,4928,41c4932,42,4934,40,4936,37c4937,34,4938,31,4937,26l5037,26l5030,37l5032,38xm4984,17c4985,21,4986,22,4988,22c4988,22,4989,21,4990,19c4992,17,4993,15,4993,13c4993,12,4992,10,4991,8c4989,6,4984,4,4974,0l4973,2c4979,8,4983,13,4984,17m4937,50c4942,49,4947,48,4952,48l4962,48l4962,64l4935,64l4941,70c4945,68,4950,68,4956,68l4962,68l4962,82l4916,82l4922,88c4927,87,4932,86,4937,86l4959,86c4955,93,4950,100,4942,107c4935,114,4925,121,4913,128l4914,130c4925,125,4936,119,4946,112c4956,104,4963,96,4969,86l5002,86c5007,95,5013,102,5021,108c5029,114,5037,119,5046,123c5048,118,5052,116,5058,115l5058,113c5050,112,5041,110,5031,106c5021,101,5013,95,5006,86l5055,86l5043,73l5034,82l5008,82l5008,68l5038,68l5027,57l5019,64l5008,64l5008,48l5038,48l5026,37l5019,45l5008,45l5008,38l5013,33l4999,28c4999,34,4999,39,4999,45l4970,45l4970,37l4975,33l4961,28c4962,34,4962,39,4962,45l4931,45l4937,50xm4999,64l4970,64l4970,48l4999,48l4999,64xm4956,114c4961,113,4966,112,4971,112l4981,112l4981,136l4928,136l4934,142c4938,140,4943,140,4949,140l5041,140l5029,127l5020,136l4990,136l4990,112l5022,112l5011,102l5004,108l4990,108l4990,101l4995,97l4981,90c4981,97,4981,103,4981,108l4951,108l4956,114xe">
            <v:stroke joinstyle="miter" miterlimit="4"/>
          </v:shape>
        </w:pict>
      </w:r>
      <w:r>
        <w:pict>
          <v:shape id="_x0000_s8" style="position:absolute;margin-left:453.089pt;margin-top:54.3605pt;mso-position-vertical-relative:text;mso-position-horizontal-relative:text;width:7.5pt;height:7.15pt;z-index:-251656192;" filled="false" strokecolor="#231F20" strokeweight="0.09pt" coordsize="150,143" coordorigin="0,0" path="m70,83l37,83l37,70l70,70l70,83xm110,83l78,83l78,70l110,70l110,83xm70,99l37,99l37,87l70,87l70,99xm110,99l78,99l78,87l110,87l110,99xm122,68l113,61l109,66l37,66l28,61c28,69,28,77,28,85c28,93,28,101,28,110l37,107l37,103l70,103l70,117l17,117l22,122c27,121,32,120,37,120l70,120l70,135l3,135l8,141c13,140,18,139,23,139l146,139l135,127l126,135l78,135l78,120l130,120l120,109l112,117l78,117l78,103l110,103l110,108l118,104c118,99,118,88,118,72l122,68xm108,20l38,20l38,10l108,10l108,20xm108,35l38,35l38,24l108,24l108,35xm120,7l110,0l107,6l39,6l30,2c30,6,30,13,30,23c30,33,30,42,30,48l38,45l38,39l108,39l108,45l117,42c116,37,116,26,116,11l120,7xm6,57c11,56,15,55,18,55l148,55l137,43l128,52l0,52l6,57xe">
            <v:stroke joinstyle="miter" miterlimit="4"/>
          </v:shape>
        </w:pict>
      </w:r>
      <w:r>
        <w:pict>
          <v:shape id="_x0000_s10" style="position:absolute;margin-left:399.81pt;margin-top:67.2665pt;mso-position-vertical-relative:text;mso-position-horizontal-relative:text;width:7.35pt;height:7.15pt;z-index:-251657216;" filled="false" strokecolor="#231F20" strokeweight="0.09pt" coordsize="146,143" coordorigin="0,0" path="m87,82l58,82l58,68l87,68l87,82xm120,38c126,31,133,28,138,27l129,17l124,22l24,22l23,15l21,15c20,24,17,30,13,34c12,36,11,38,11,39c11,40,13,41,16,41c19,42,22,40,23,37c25,34,26,31,25,26l125,26l118,37l120,38xm72,17c73,21,74,22,75,22c76,22,77,21,78,19c80,17,80,15,80,13c80,12,80,10,78,8c77,6,72,4,62,0l61,2c67,8,71,13,72,17m25,50c29,49,34,48,40,48l50,48l50,64l23,64l28,70c33,68,38,68,43,68l50,68l50,82l4,82l10,88c14,87,19,86,25,86l47,86c43,93,38,100,30,107c22,114,12,121,0,128l2,130c13,125,24,119,34,112c44,104,51,96,57,86l90,86c95,95,101,102,109,108c116,114,125,119,133,123c136,118,140,116,145,115l145,113c137,112,129,110,119,106c109,101,101,95,93,86l143,86l130,73l122,82l95,82l95,68l126,68l115,57l107,64l95,64l95,48l125,48l114,37l107,45l95,45l95,38l101,33l87,28c87,34,87,39,87,45l58,45l58,37l63,33l49,28c50,34,50,39,50,45l19,45l25,50xm87,64l58,64l58,48l87,48l87,64xm44,114c49,113,54,112,59,112l69,112l69,136l16,136l22,142c26,140,31,140,37,140l129,140l117,127l108,136l78,136l78,112l110,112l99,102l92,108l78,108l78,101l83,97l68,90c69,97,69,103,69,108l38,108l44,114xe">
            <v:stroke joinstyle="miter" miterlimit="4"/>
          </v:shape>
        </w:pict>
      </w:r>
      <w:r>
        <w:pict>
          <v:shape id="_x0000_s12" style="position:absolute;margin-left:198.894pt;margin-top:80.2355pt;mso-position-vertical-relative:text;mso-position-horizontal-relative:text;width:127.4pt;height:7.5pt;z-index:-251655168;" filled="false" strokecolor="#231F20" strokeweight="0.09pt" coordsize="2548,150" coordorigin="0,0" path="m78,46l62,46l62,20l78,20l78,46xm78,75l62,75l62,50l78,50l78,75xm62,78l78,78l78,83l86,78c86,67,85,48,85,22l91,19l83,11l78,16l62,16l53,12c54,26,54,37,54,45l54,108c54,114,53,118,52,120l58,128c64,121,71,113,81,105c82,108,83,111,85,114c85,116,86,117,87,117c87,117,88,116,89,113c90,111,91,109,91,107c91,105,90,102,87,99c84,96,79,91,70,86l70,88c75,95,78,99,80,102l62,114l62,78xm147,72l136,62l129,68l120,68c121,59,122,43,123,20l145,20l135,10l129,16l94,16l99,21l105,20l115,20c115,43,113,59,112,68l99,68c102,56,104,47,105,43c106,39,107,37,109,36l100,30c98,43,96,52,94,58c93,64,91,67,88,68l95,76l100,72l112,72c105,106,87,131,60,147l60,148c89,136,107,116,116,87l116,132c116,139,119,142,125,142l135,142c138,142,141,142,143,140c145,139,147,137,148,134c146,133,144,130,143,127c142,123,142,118,142,112l138,112c138,118,138,123,138,128c138,133,136,135,132,135l128,135c125,135,123,133,123,130l123,90l128,86l118,80l120,72l147,72xm33,61c38,66,42,71,44,77c46,81,47,83,48,83c49,83,50,82,51,80c52,77,52,75,52,73c52,71,51,68,48,66c46,63,41,61,33,57l33,43l52,43l42,33l36,39l33,39l33,11l38,7l25,0c25,15,25,28,25,39l3,39l8,44l13,43l25,43c22,57,19,70,15,81c11,92,6,102,0,112l2,113c12,101,20,87,25,72c25,98,25,123,25,148l33,143c33,129,33,119,33,113l33,61xm2488,83l2458,83l2458,68l2488,68l2488,83xm2520,39c2527,32,2533,28,2539,28l2530,17l2525,23l2425,23l2424,16l2422,16c2420,24,2418,31,2414,35c2412,37,2412,38,2412,40c2412,41,2413,42,2417,42c2420,42,2422,41,2424,38c2426,35,2426,31,2425,27l2525,27l2518,38l2520,39xm2473,18c2474,21,2475,23,2476,23c2476,23,2477,22,2479,20c2480,18,2481,16,2481,13c2481,12,2480,11,2479,9c2478,7,2472,4,2463,1l2462,3c2467,8,2471,13,2473,18m2425,51c2430,50,2435,49,2440,49l2450,49l2450,65l2423,65l2429,70c2434,69,2439,68,2444,68l2450,68l2450,83l2405,83l2410,88c2415,87,2420,87,2425,87l2447,87c2444,93,2438,100,2431,108c2423,115,2413,122,2401,128l2402,130c2414,126,2425,120,2434,112c2444,105,2452,96,2457,87l2490,87c2495,95,2502,103,2509,109c2517,115,2525,120,2534,123c2536,119,2540,116,2546,116l2546,113c2538,113,2529,111,2519,106c2510,102,2501,95,2494,87l2543,87l2531,74l2522,83l2496,83l2496,68l2527,68l2515,57l2508,65l2496,65l2496,49l2526,49l2515,38l2507,45l2496,45l2496,38l2502,34l2487,28c2488,34,2488,40,2488,45l2458,45l2458,38l2463,34l2450,28c2450,34,2450,40,2450,45l2420,45l2425,51xm2488,65l2458,65l2458,49l2488,49l2488,65xm2445,115c2449,113,2454,113,2460,113l2470,113l2470,137l2417,137l2422,142c2427,141,2432,140,2437,140l2530,140l2517,128l2508,137l2478,137l2478,113l2510,113l2500,102l2493,109l2478,109l2478,102l2483,97l2469,91c2470,97,2470,103,2470,109l2439,109l2445,115xe">
            <v:stroke joinstyle="miter" miterlimit="4"/>
          </v:shape>
        </w:pict>
      </w:r>
      <w:r>
        <w:rPr>
          <w:sz w:val="18"/>
          <w:szCs w:val="18"/>
          <w:color w:val="231F20"/>
        </w:rPr>
        <w:t>【摘要】</w:t>
      </w:r>
      <w:r>
        <w:rPr>
          <w:sz w:val="16"/>
          <w:szCs w:val="16"/>
          <w:color w:val="231F20"/>
        </w:rPr>
        <w:t>目的：分析急诊腹部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</w:rPr>
        <w:t>CT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</w:rPr>
        <w:t>对急性肠系膜管栓塞的诊断作用。方法：选取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</w:rPr>
        <w:t>2019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</w:rPr>
        <w:t>年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</w:rPr>
        <w:t>6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</w:rPr>
        <w:t>月—2020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</w:rPr>
        <w:t>年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</w:rPr>
        <w:t>5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</w:rPr>
        <w:t>月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</w:rPr>
        <w:t>80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</w:rPr>
        <w:t>例因急性肠系膜血管栓塞来</w:t>
      </w:r>
      <w:r>
        <w:rPr>
          <w:sz w:val="16"/>
          <w:szCs w:val="16"/>
          <w:color w:val="231F20"/>
          <w:spacing w:val="-1"/>
        </w:rPr>
        <w:t>我院就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b/>
          <w:bCs/>
          <w:color w:val="231F20"/>
        </w:rPr>
        <w:t>诊的患者，以摸球法为客观依据将患者分为研究组与对照组，各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b/>
          <w:bCs/>
          <w:color w:val="231F20"/>
        </w:rPr>
        <w:t>40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b/>
          <w:bCs/>
          <w:color w:val="231F20"/>
        </w:rPr>
        <w:t>例。对照组患者进行剖腹探查术</w:t>
      </w:r>
      <w:r>
        <w:rPr>
          <w:sz w:val="16"/>
          <w:szCs w:val="16"/>
          <w:b/>
          <w:bCs/>
          <w:color w:val="231F20"/>
          <w:spacing w:val="-1"/>
        </w:rPr>
        <w:t>诊断，研究组患者进行急诊腹部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CT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诊断，对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"/>
        </w:rPr>
        <w:t>比两组患者并发症发生率以及失血量、诊断时间、诊断费用</w:t>
      </w:r>
      <w:r>
        <w:rPr>
          <w:sz w:val="16"/>
          <w:szCs w:val="16"/>
          <w:color w:val="231F20"/>
        </w:rPr>
        <w:t>等指标，分析急诊腹部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color w:val="231F20"/>
        </w:rPr>
        <w:t>CT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</w:rPr>
        <w:t>对急性肠系膜管栓塞的诊断作用。结果：对比研究发现，研 </w:t>
      </w:r>
      <w:r>
        <w:rPr>
          <w:sz w:val="16"/>
          <w:szCs w:val="16"/>
          <w:b/>
          <w:bCs/>
          <w:color w:val="231F20"/>
          <w:spacing w:val="-2"/>
        </w:rPr>
        <w:t>究组与对照组的检出率均高于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b/>
          <w:bCs/>
          <w:color w:val="231F20"/>
          <w:spacing w:val="-2"/>
        </w:rPr>
        <w:t>90%，差异不具有统计学意义（</w:t>
      </w:r>
      <w:r>
        <w:rPr>
          <w:sz w:val="16"/>
          <w:szCs w:val="16"/>
          <w:b/>
          <w:bCs/>
          <w:i/>
          <w:iCs/>
          <w:color w:val="231F20"/>
          <w:spacing w:val="-2"/>
        </w:rPr>
        <w:t>P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b/>
          <w:bCs/>
          <w:color w:val="231F20"/>
          <w:spacing w:val="-2"/>
        </w:rPr>
        <w:t>＞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b/>
          <w:bCs/>
          <w:color w:val="231F20"/>
          <w:spacing w:val="-2"/>
        </w:rPr>
        <w:t>0.05）。研究组患者并发症发生率低于对照</w:t>
      </w:r>
      <w:r>
        <w:rPr>
          <w:sz w:val="16"/>
          <w:szCs w:val="16"/>
          <w:b/>
          <w:bCs/>
          <w:color w:val="231F20"/>
          <w:spacing w:val="-3"/>
        </w:rPr>
        <w:t>组，且失血量少于对照组，诊断时间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</w:rPr>
        <w:t>短于对照组，诊断费用低于对照组，组间差异具有统计学意义（</w:t>
      </w:r>
      <w:r>
        <w:rPr>
          <w:sz w:val="16"/>
          <w:szCs w:val="16"/>
          <w:i/>
          <w:iCs/>
          <w:color w:val="231F20"/>
        </w:rPr>
        <w:t>P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</w:rPr>
        <w:t>＜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</w:rPr>
        <w:t>0.05）。结论：在急性肠系膜血管栓塞患者的临床诊断实践中急诊腹</w:t>
      </w:r>
      <w:r>
        <w:rPr>
          <w:sz w:val="16"/>
          <w:szCs w:val="16"/>
          <w:color w:val="231F20"/>
          <w:spacing w:val="-1"/>
        </w:rPr>
        <w:t>部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color w:val="231F20"/>
          <w:spacing w:val="-1"/>
        </w:rPr>
        <w:t>CT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1"/>
        </w:rPr>
        <w:t>效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果显著，可在很大程度上降低患者出现并发症的概率。故应当在急性肠系膜血管栓塞患者临床诊断实</w:t>
      </w:r>
      <w:r>
        <w:rPr>
          <w:sz w:val="16"/>
          <w:szCs w:val="16"/>
          <w:color w:val="231F20"/>
          <w:spacing w:val="-1"/>
        </w:rPr>
        <w:t>践中更多运用急诊腹部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color w:val="231F20"/>
          <w:spacing w:val="-1"/>
        </w:rPr>
        <w:t>CT。</w:t>
      </w:r>
    </w:p>
    <w:p>
      <w:pPr>
        <w:spacing w:line="287" w:lineRule="auto"/>
        <w:sectPr>
          <w:headerReference w:type="default" r:id="rId1"/>
          <w:footerReference w:type="default" r:id="rId2"/>
          <w:pgSz w:w="12246" w:h="16498"/>
          <w:pgMar w:top="1173" w:right="1015" w:bottom="547" w:left="407" w:header="812" w:footer="354" w:gutter="0"/>
          <w:cols w:equalWidth="0" w:num="1">
            <w:col w:w="10823" w:space="0"/>
          </w:cols>
        </w:sectPr>
        <w:rPr>
          <w:sz w:val="16"/>
          <w:szCs w:val="16"/>
        </w:rPr>
      </w:pPr>
    </w:p>
    <w:p>
      <w:pPr>
        <w:pStyle w:val="BodyText"/>
        <w:ind w:left="611"/>
        <w:spacing w:before="36" w:line="220" w:lineRule="auto"/>
        <w:rPr>
          <w:sz w:val="16"/>
          <w:szCs w:val="16"/>
        </w:rPr>
      </w:pPr>
      <w:r>
        <w:pict>
          <v:shape id="_x0000_s14" style="position:absolute;margin-left:186.625pt;margin-top:2.57788pt;mso-position-vertical-relative:text;mso-position-horizontal-relative:text;width:7.35pt;height:7.15pt;z-index:-251653120;" filled="false" strokecolor="#231F20" strokeweight="0.09pt" coordsize="146,143" coordorigin="0,0" path="m87,82l58,82l58,68l87,68l87,82xm120,38c126,31,133,28,138,27l129,17l124,22l24,22l23,15l21,15c20,24,17,30,13,34c12,36,11,38,11,39c11,40,13,41,16,41c19,42,22,40,23,37c25,34,26,31,25,26l125,26l118,37l120,38xm72,17c73,21,74,22,75,22c76,22,77,21,78,19c80,17,80,15,80,13c80,12,80,10,78,8c77,6,72,4,62,0l61,2c67,8,71,13,72,17m25,50c29,49,34,48,40,48l50,48l50,64l23,64l28,70c33,68,38,68,43,68l50,68l50,82l4,82l10,88c14,87,19,86,25,86l47,86c43,93,38,100,30,107c22,114,12,121,0,128l2,130c13,125,24,119,34,112c44,104,51,96,57,86l90,86c95,95,101,102,109,108c116,114,125,119,133,123c136,118,140,116,145,115l145,113c137,112,129,110,119,106c109,101,101,95,93,86l143,86l130,73l122,82l95,82l95,68l126,68l115,57l107,64l95,64l95,48l125,48l114,37l107,45l95,45l95,38l101,33l87,28c87,34,87,39,87,45l58,45l58,37l63,33l49,28c50,34,50,39,50,45l19,45l25,50xm87,64l58,64l58,48l87,48l87,64xm44,114c49,113,54,112,59,112l69,112l69,136l16,136l22,142c26,140,31,140,37,140l129,140l117,127l108,136l78,136l78,112l110,112l99,102l92,108l78,108l78,101l83,97l68,90c69,97,69,103,69,108l38,108l44,114xe">
            <v:stroke joinstyle="miter" miterlimit="4"/>
          </v:shape>
        </w:pict>
      </w:r>
      <w:r>
        <w:rPr>
          <w:sz w:val="18"/>
          <w:szCs w:val="18"/>
          <w:color w:val="231F20"/>
          <w:spacing w:val="-3"/>
        </w:rPr>
        <w:t>【关键词】</w:t>
      </w:r>
      <w:r>
        <w:rPr>
          <w:sz w:val="16"/>
          <w:szCs w:val="16"/>
          <w:color w:val="231F20"/>
          <w:spacing w:val="-3"/>
        </w:rPr>
        <w:t>急诊腹部</w:t>
      </w:r>
      <w:r>
        <w:rPr>
          <w:sz w:val="16"/>
          <w:szCs w:val="16"/>
          <w:color w:val="231F20"/>
          <w:spacing w:val="-39"/>
        </w:rPr>
        <w:t xml:space="preserve"> </w:t>
      </w:r>
      <w:r>
        <w:rPr>
          <w:sz w:val="16"/>
          <w:szCs w:val="16"/>
          <w:color w:val="231F20"/>
          <w:spacing w:val="-3"/>
        </w:rPr>
        <w:t>CT；急性肠系膜血管栓塞；并</w:t>
      </w:r>
      <w:r>
        <w:rPr>
          <w:sz w:val="16"/>
          <w:szCs w:val="16"/>
          <w:color w:val="231F20"/>
          <w:spacing w:val="-4"/>
        </w:rPr>
        <w:t>发症</w:t>
      </w:r>
    </w:p>
    <w:p>
      <w:pPr>
        <w:pStyle w:val="BodyText"/>
        <w:ind w:left="611"/>
        <w:spacing w:before="44" w:line="220" w:lineRule="auto"/>
        <w:rPr>
          <w:sz w:val="16"/>
          <w:szCs w:val="16"/>
        </w:rPr>
      </w:pPr>
      <w:r>
        <w:rPr>
          <w:sz w:val="18"/>
          <w:szCs w:val="18"/>
          <w:b/>
          <w:bCs/>
          <w:color w:val="231F20"/>
          <w:spacing w:val="-8"/>
        </w:rPr>
        <w:t>【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b/>
          <w:bCs/>
          <w:color w:val="231F20"/>
          <w:spacing w:val="-8"/>
        </w:rPr>
        <w:t>中图分类号】</w:t>
      </w:r>
      <w:r>
        <w:rPr>
          <w:sz w:val="16"/>
          <w:szCs w:val="16"/>
          <w:b/>
          <w:bCs/>
          <w:color w:val="231F20"/>
          <w:spacing w:val="-8"/>
        </w:rPr>
        <w:t>R445.1</w:t>
      </w:r>
      <w:r>
        <w:rPr>
          <w:sz w:val="16"/>
          <w:szCs w:val="16"/>
          <w:color w:val="231F20"/>
          <w:spacing w:val="3"/>
        </w:rPr>
        <w:t xml:space="preserve">                       </w:t>
      </w:r>
      <w:r>
        <w:rPr>
          <w:sz w:val="18"/>
          <w:szCs w:val="18"/>
          <w:b/>
          <w:bCs/>
          <w:color w:val="231F20"/>
          <w:spacing w:val="-8"/>
        </w:rPr>
        <w:t>【文献标识码】</w:t>
      </w:r>
      <w:r>
        <w:rPr>
          <w:sz w:val="16"/>
          <w:szCs w:val="16"/>
          <w:b/>
          <w:bCs/>
          <w:color w:val="231F20"/>
          <w:spacing w:val="-8"/>
        </w:rPr>
        <w:t>A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618" w:right="243" w:firstLine="404"/>
        <w:spacing w:before="65" w:line="277" w:lineRule="auto"/>
        <w:rPr/>
      </w:pPr>
      <w:r>
        <w:rPr>
          <w:color w:val="231F20"/>
          <w:spacing w:val="5"/>
        </w:rPr>
        <w:t>急性肠系膜管栓塞在临床上指的是一种极为常见的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急腹症。这一疾病主要的临床表现为腹部绞痛、</w:t>
      </w:r>
      <w:r>
        <w:rPr>
          <w:color w:val="231F20"/>
          <w:spacing w:val="-5"/>
        </w:rPr>
        <w:t>呕吐等。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急性肠系膜管栓塞极为显著的特征就是病情进展快且较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为危急。这一疾病如若未得到及时的诊断和治疗则会对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患者的生命健康产生极为严重的威胁。伴随</w:t>
      </w:r>
      <w:r>
        <w:rPr>
          <w:color w:val="231F20"/>
          <w:spacing w:val="4"/>
        </w:rPr>
        <w:t>着我国经济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水平的日益提升，关于许多疾病的诊断方式也日渐丰富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起来，急性肠系膜管栓塞也不例外</w:t>
      </w:r>
      <w:r>
        <w:rPr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[1]</w:t>
      </w:r>
      <w:r>
        <w:rPr>
          <w:color w:val="231F20"/>
          <w:spacing w:val="3"/>
        </w:rPr>
        <w:t>。且临床上对于这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一疾病主要遵循的原则为早发现、早治疗。急诊腹部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CT </w:t>
      </w:r>
      <w:r>
        <w:rPr>
          <w:color w:val="231F20"/>
          <w:spacing w:val="5"/>
        </w:rPr>
        <w:t>最近几年在急性肠系膜管栓塞患者的临床诊断实践中得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到了较为广泛的应用。基于此，笔者对急诊腹部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对急 </w:t>
      </w:r>
      <w:r>
        <w:rPr>
          <w:color w:val="231F20"/>
          <w:spacing w:val="5"/>
        </w:rPr>
        <w:t>性肠系膜管栓塞的诊断作用进行了全面且深入的探究，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报道如下。</w:t>
      </w:r>
    </w:p>
    <w:p>
      <w:pPr>
        <w:ind w:left="631"/>
        <w:spacing w:before="292" w:line="264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color w:val="231F20"/>
          <w:spacing w:val="-5"/>
          <w:position w:val="1"/>
        </w:rPr>
        <w:t>1</w:t>
      </w:r>
      <w:r>
        <w:rPr>
          <w:rFonts w:ascii="SimHei" w:hAnsi="SimHei" w:eastAsia="SimHei" w:cs="SimHei"/>
          <w:sz w:val="20"/>
          <w:szCs w:val="20"/>
          <w:color w:val="231F20"/>
          <w:spacing w:val="22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color w:val="231F20"/>
          <w:spacing w:val="-5"/>
          <w:position w:val="1"/>
        </w:rPr>
        <w:t>资料与方法</w:t>
      </w:r>
    </w:p>
    <w:p>
      <w:pPr>
        <w:pStyle w:val="BodyText"/>
        <w:ind w:left="1031"/>
        <w:spacing w:before="44" w:line="220" w:lineRule="auto"/>
        <w:rPr/>
      </w:pPr>
      <w:r>
        <w:rPr>
          <w:color w:val="231F20"/>
          <w:spacing w:val="-5"/>
        </w:rPr>
        <w:t>1.1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一般资料</w:t>
      </w:r>
    </w:p>
    <w:p>
      <w:pPr>
        <w:pStyle w:val="BodyText"/>
        <w:ind w:left="525" w:right="189" w:firstLine="490"/>
        <w:spacing w:before="60" w:line="277" w:lineRule="auto"/>
        <w:rPr/>
      </w:pPr>
      <w:r>
        <w:rPr>
          <w:color w:val="231F20"/>
          <w:spacing w:val="3"/>
        </w:rPr>
        <w:t>选取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3"/>
        </w:rPr>
        <w:t>2019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3"/>
        </w:rPr>
        <w:t>年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3"/>
        </w:rPr>
        <w:t>6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3"/>
        </w:rPr>
        <w:t>月—2020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3"/>
        </w:rPr>
        <w:t>年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5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3"/>
        </w:rPr>
        <w:t>月我院收治的急性肠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系膜血管栓塞患者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4"/>
        </w:rPr>
        <w:t>80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4"/>
        </w:rPr>
        <w:t>例，按照摸球法将患</w:t>
      </w:r>
      <w:r>
        <w:rPr>
          <w:color w:val="231F20"/>
          <w:spacing w:val="3"/>
        </w:rPr>
        <w:t>者分为研究组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（40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9"/>
        </w:rPr>
        <w:t>例）与对照组（40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9"/>
        </w:rPr>
        <w:t>例）。研究组患者年龄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9"/>
        </w:rPr>
        <w:t>3</w:t>
      </w:r>
      <w:r>
        <w:rPr>
          <w:color w:val="231F20"/>
          <w:spacing w:val="-10"/>
        </w:rPr>
        <w:t>2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0"/>
        </w:rPr>
        <w:t>～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10"/>
        </w:rPr>
        <w:t>69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0"/>
        </w:rPr>
        <w:t>岁，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平均（52.82±3.19）岁；男女患者数量比为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5"/>
        </w:rPr>
        <w:t>23:17；受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过大专及以上教育患者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1"/>
        </w:rPr>
        <w:t>18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1"/>
        </w:rPr>
        <w:t>例，受过大专以下教育患者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22例。对照组患者年龄31～68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8"/>
        </w:rPr>
        <w:t>岁，平均（52.45±3.23）岁；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男女患者数量比为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24:16；受过大专及以上教育患者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19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例，受过大专以下教育患者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21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3"/>
        </w:rPr>
        <w:t>例。两组患者组间一般资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料差异不显著（</w:t>
      </w:r>
      <w:r>
        <w:rPr>
          <w:i/>
          <w:iCs/>
          <w:color w:val="231F20"/>
          <w:spacing w:val="2"/>
        </w:rPr>
        <w:t>P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＞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2"/>
        </w:rPr>
        <w:t>0.05</w:t>
      </w:r>
      <w:r>
        <w:rPr>
          <w:color w:val="231F20"/>
          <w:spacing w:val="-5"/>
        </w:rPr>
        <w:t>），</w:t>
      </w:r>
      <w:r>
        <w:rPr>
          <w:color w:val="231F20"/>
          <w:spacing w:val="2"/>
        </w:rPr>
        <w:t>有可比性。</w:t>
      </w:r>
    </w:p>
    <w:p>
      <w:pPr>
        <w:pStyle w:val="BodyText"/>
        <w:ind w:left="618" w:right="240" w:firstLine="400"/>
        <w:spacing w:before="5" w:line="276" w:lineRule="auto"/>
        <w:jc w:val="both"/>
        <w:rPr/>
      </w:pPr>
      <w:r>
        <w:rPr>
          <w:color w:val="231F20"/>
          <w:spacing w:val="5"/>
        </w:rPr>
        <w:t>纳入标准：①患者病历完整真实；②符合急</w:t>
      </w:r>
      <w:r>
        <w:rPr>
          <w:color w:val="231F20"/>
          <w:spacing w:val="4"/>
        </w:rPr>
        <w:t>性肠系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膜血管栓塞诊断标准者；③患者为完全民事行为能力人；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④本试验已经过本院医学伦理委员会批准（伦理审批号：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2021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审字第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79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号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A3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次）且患者自愿签署知情同意书参 </w:t>
      </w:r>
      <w:r>
        <w:rPr>
          <w:color w:val="231F20"/>
          <w:spacing w:val="-5"/>
        </w:rPr>
        <w:t>与本次试验。</w:t>
      </w:r>
    </w:p>
    <w:p>
      <w:pPr>
        <w:pStyle w:val="BodyText"/>
        <w:ind w:left="622" w:right="255" w:firstLine="394"/>
        <w:spacing w:before="3" w:line="276" w:lineRule="auto"/>
        <w:jc w:val="both"/>
        <w:rPr/>
      </w:pPr>
      <w:r>
        <w:rPr>
          <w:color w:val="231F20"/>
          <w:spacing w:val="5"/>
        </w:rPr>
        <w:t>排除标准：①患者患有其他原发性疾病；②患者病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历缺失；③患者为部分民事行为能力人或无民事行为能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力人。</w:t>
      </w:r>
    </w:p>
    <w:p>
      <w:pPr>
        <w:pStyle w:val="BodyText"/>
        <w:ind w:left="1031"/>
        <w:spacing w:before="1" w:line="220" w:lineRule="auto"/>
        <w:rPr/>
      </w:pPr>
      <w:r>
        <w:rPr>
          <w:color w:val="231F20"/>
          <w:spacing w:val="-6"/>
        </w:rPr>
        <w:t>1.2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方法</w:t>
      </w:r>
    </w:p>
    <w:p>
      <w:pPr>
        <w:pStyle w:val="BodyText"/>
        <w:ind w:left="1016"/>
        <w:spacing w:before="60" w:line="220" w:lineRule="auto"/>
        <w:rPr/>
      </w:pPr>
      <w:r>
        <w:rPr>
          <w:color w:val="231F20"/>
          <w:spacing w:val="14"/>
        </w:rPr>
        <w:t>对照组患者进行剖腹探查术。应使患者保持平卧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64"/>
        <w:spacing w:before="294" w:line="219" w:lineRule="auto"/>
        <w:rPr>
          <w:sz w:val="16"/>
          <w:szCs w:val="16"/>
        </w:rPr>
      </w:pPr>
      <w:r>
        <w:rPr>
          <w:sz w:val="18"/>
          <w:szCs w:val="18"/>
          <w:color w:val="231F20"/>
          <w:spacing w:val="-3"/>
        </w:rPr>
        <w:t>【文章编号】</w:t>
      </w:r>
      <w:r>
        <w:rPr>
          <w:sz w:val="16"/>
          <w:szCs w:val="16"/>
          <w:color w:val="231F20"/>
          <w:spacing w:val="-3"/>
        </w:rPr>
        <w:t>2096-3807（2021）23-0177-</w:t>
      </w:r>
      <w:r>
        <w:rPr>
          <w:sz w:val="16"/>
          <w:szCs w:val="16"/>
          <w:color w:val="231F20"/>
          <w:spacing w:val="-4"/>
        </w:rPr>
        <w:t>02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" w:right="13"/>
        <w:spacing w:before="65" w:line="277" w:lineRule="auto"/>
        <w:rPr/>
      </w:pPr>
      <w:r>
        <w:rPr>
          <w:color w:val="231F20"/>
          <w:spacing w:val="13"/>
        </w:rPr>
        <w:t>位的体位，并将切口设置在患者病变部位，而后通过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1"/>
        </w:rPr>
        <w:t>对切口情况的观察实现对患者病情的分析与</w:t>
      </w:r>
      <w:r>
        <w:rPr>
          <w:color w:val="231F20"/>
          <w:spacing w:val="10"/>
        </w:rPr>
        <w:t>判断</w:t>
      </w:r>
      <w:r>
        <w:rPr>
          <w:color w:val="231F20"/>
          <w:spacing w:val="-18"/>
        </w:rPr>
        <w:t xml:space="preserve"> </w:t>
      </w:r>
      <w:r>
        <w:rPr>
          <w:sz w:val="11"/>
          <w:szCs w:val="11"/>
          <w:color w:val="231F20"/>
          <w:spacing w:val="10"/>
          <w:position w:val="9"/>
        </w:rPr>
        <w:t>[2]</w:t>
      </w:r>
      <w:r>
        <w:rPr>
          <w:color w:val="231F20"/>
          <w:spacing w:val="10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医生应率先对患者切口处腹膜状态进行观察，有效清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洁切口腹腔中的残留物进行，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"/>
        </w:rPr>
        <w:t>而后全面检查病变部位，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对其具体位置进行观察，并对病变发生的原因进行全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面分析。</w:t>
      </w:r>
    </w:p>
    <w:p>
      <w:pPr>
        <w:pStyle w:val="BodyText"/>
        <w:ind w:left="3" w:right="4" w:firstLine="396"/>
        <w:spacing w:before="1" w:line="277" w:lineRule="auto"/>
        <w:jc w:val="both"/>
        <w:rPr/>
      </w:pPr>
      <w:r>
        <w:rPr>
          <w:color w:val="231F20"/>
        </w:rPr>
        <w:t>研究组患者进行急诊腹部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诊断。使患者</w:t>
      </w:r>
      <w:r>
        <w:rPr>
          <w:color w:val="231F20"/>
          <w:spacing w:val="-1"/>
        </w:rPr>
        <w:t>保持仰卧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位的体位，而后运用 64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2"/>
        </w:rPr>
        <w:t>层螺旋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2"/>
        </w:rPr>
        <w:t>对患者的腹部进行平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扫以及增强扫描。在腹部平扫检查前应使患者口服对比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6"/>
        </w:rPr>
        <w:t>剂，剂量为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350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mL</w:t>
      </w:r>
      <w:r>
        <w:rPr>
          <w:color w:val="231F20"/>
          <w:spacing w:val="6"/>
        </w:rPr>
        <w:t>，对比剂由甘露醇溶液以及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0.9%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6"/>
        </w:rPr>
        <w:t>氯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化钠溶液组成。</w:t>
      </w:r>
      <w:r>
        <w:rPr>
          <w:color w:val="231F20"/>
        </w:rPr>
        <w:t>CT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参数设置为厚层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"/>
        </w:rPr>
        <w:t>5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mm</w:t>
      </w:r>
      <w:r>
        <w:rPr>
          <w:color w:val="231F20"/>
          <w:spacing w:val="1"/>
        </w:rPr>
        <w:t>，准直器宽度为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mm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"/>
        </w:rPr>
        <w:t>与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"/>
        </w:rPr>
        <w:t>0.625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mm</w:t>
      </w:r>
      <w:r>
        <w:rPr>
          <w:color w:val="231F20"/>
          <w:spacing w:val="2"/>
        </w:rPr>
        <w:t>，而后从患者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T10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"/>
        </w:rPr>
        <w:t>椎体水平直至髂嵴连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线水平对其进行扫描。然后运用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100</w:t>
      </w:r>
      <w:r>
        <w:rPr>
          <w:color w:val="231F20"/>
          <w:spacing w:val="-46"/>
        </w:rPr>
        <w:t xml:space="preserve"> </w:t>
      </w:r>
      <w:r>
        <w:rPr>
          <w:color w:val="231F20"/>
        </w:rPr>
        <w:t>mL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"/>
        </w:rPr>
        <w:t>碘比醇造影剂对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患者进行经肘动脉注射，注射速率为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4</w:t>
      </w:r>
      <w:r>
        <w:rPr>
          <w:color w:val="231F20"/>
          <w:spacing w:val="-49"/>
        </w:rPr>
        <w:t xml:space="preserve"> </w:t>
      </w:r>
      <w:r>
        <w:rPr>
          <w:color w:val="231F20"/>
        </w:rPr>
        <w:t>mL</w:t>
      </w:r>
      <w:r>
        <w:rPr>
          <w:color w:val="231F20"/>
          <w:spacing w:val="1"/>
        </w:rPr>
        <w:t>/</w:t>
      </w:r>
      <w:r>
        <w:rPr>
          <w:color w:val="231F20"/>
          <w:spacing w:val="-58"/>
        </w:rPr>
        <w:t xml:space="preserve"> </w:t>
      </w:r>
      <w:r>
        <w:rPr>
          <w:color w:val="231F20"/>
          <w:spacing w:val="1"/>
        </w:rPr>
        <w:t>s，而后对患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者进行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3"/>
        </w:rPr>
        <w:t>0.9%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3"/>
        </w:rPr>
        <w:t>氯化钠溶液注射，剂量为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3"/>
        </w:rPr>
        <w:t>40</w:t>
      </w:r>
      <w:r>
        <w:rPr>
          <w:color w:val="231F20"/>
          <w:spacing w:val="-48"/>
        </w:rPr>
        <w:t xml:space="preserve"> </w:t>
      </w:r>
      <w:r>
        <w:rPr>
          <w:color w:val="231F20"/>
        </w:rPr>
        <w:t>mL</w:t>
      </w:r>
      <w:r>
        <w:rPr>
          <w:color w:val="231F20"/>
          <w:spacing w:val="2"/>
        </w:rPr>
        <w:t>，最终呈现</w:t>
      </w:r>
      <w:r>
        <w:rPr>
          <w:color w:val="231F20"/>
        </w:rPr>
        <w:t xml:space="preserve"> </w:t>
      </w:r>
      <w:r>
        <w:rPr>
          <w:color w:val="231F20"/>
        </w:rPr>
        <w:t>出患者冠状面等多平面的血管成像。待完成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扫描</w:t>
      </w:r>
      <w:r>
        <w:rPr>
          <w:color w:val="231F20"/>
          <w:spacing w:val="-1"/>
        </w:rPr>
        <w:t>后应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轴位重建扫描原始数据，并在诊断时充分参考患者的横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断面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4"/>
        </w:rPr>
        <w:t>CT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图像实现对患者疾病的判断。</w:t>
      </w:r>
    </w:p>
    <w:p>
      <w:pPr>
        <w:pStyle w:val="BodyText"/>
        <w:ind w:left="414"/>
        <w:spacing w:line="219" w:lineRule="auto"/>
        <w:rPr/>
      </w:pPr>
      <w:r>
        <w:rPr>
          <w:color w:val="231F20"/>
          <w:spacing w:val="-3"/>
        </w:rPr>
        <w:t>1.3 观察指标</w:t>
      </w:r>
    </w:p>
    <w:p>
      <w:pPr>
        <w:pStyle w:val="BodyText"/>
        <w:ind w:left="8" w:right="5" w:firstLine="396"/>
        <w:spacing w:before="62" w:line="277" w:lineRule="auto"/>
        <w:rPr/>
      </w:pPr>
      <w:r>
        <w:rPr>
          <w:color w:val="231F20"/>
          <w:spacing w:val="6"/>
        </w:rPr>
        <w:t>统计不同检测方法的检出率，检出率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=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6"/>
        </w:rPr>
        <w:t>检出例数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6"/>
        </w:rPr>
        <w:t>/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总例数 ×100%。</w:t>
      </w:r>
    </w:p>
    <w:p>
      <w:pPr>
        <w:pStyle w:val="BodyText"/>
        <w:ind w:left="3" w:right="12" w:firstLine="396"/>
        <w:spacing w:before="3" w:line="276" w:lineRule="auto"/>
        <w:rPr/>
      </w:pPr>
      <w:r>
        <w:rPr>
          <w:color w:val="231F20"/>
          <w:spacing w:val="4"/>
        </w:rPr>
        <w:t>评估患者并发症发生情况，包括感染、腹腔出血、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食欲下降、血栓等。评估患者失血量、诊断</w:t>
      </w:r>
      <w:r>
        <w:rPr>
          <w:color w:val="231F20"/>
          <w:spacing w:val="4"/>
        </w:rPr>
        <w:t>时间、诊断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费用，数值越低，则说明该种诊断方式效果越好。</w:t>
      </w:r>
    </w:p>
    <w:p>
      <w:pPr>
        <w:pStyle w:val="BodyText"/>
        <w:ind w:left="414"/>
        <w:spacing w:before="1" w:line="220" w:lineRule="auto"/>
        <w:rPr/>
      </w:pPr>
      <w:r>
        <w:rPr>
          <w:color w:val="231F20"/>
          <w:spacing w:val="-5"/>
        </w:rPr>
        <w:t>1.4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统计学方法</w:t>
      </w:r>
    </w:p>
    <w:p>
      <w:pPr>
        <w:pStyle w:val="BodyText"/>
        <w:ind w:left="3" w:right="5" w:firstLine="396"/>
        <w:spacing w:before="62" w:line="278" w:lineRule="auto"/>
        <w:rPr/>
      </w:pPr>
      <w:r>
        <w:rPr>
          <w:color w:val="231F20"/>
          <w:spacing w:val="-1"/>
        </w:rPr>
        <w:t>使用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SP</w:t>
      </w:r>
      <w:r>
        <w:rPr>
          <w:color w:val="231F20"/>
          <w:spacing w:val="-67"/>
        </w:rPr>
        <w:t xml:space="preserve"> </w:t>
      </w:r>
      <w:r>
        <w:rPr>
          <w:color w:val="231F20"/>
          <w:spacing w:val="-1"/>
        </w:rPr>
        <w:t>SS</w:t>
      </w:r>
      <w:r>
        <w:rPr>
          <w:color w:val="231F20"/>
          <w:spacing w:val="73"/>
        </w:rPr>
        <w:t xml:space="preserve"> </w:t>
      </w:r>
      <w:r>
        <w:rPr>
          <w:color w:val="231F20"/>
          <w:spacing w:val="-1"/>
        </w:rPr>
        <w:t>13.0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"/>
        </w:rPr>
        <w:t>统计软件进行数据处理。组间计量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资料采用（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x</w:t>
      </w:r>
      <w:r>
        <w:rPr>
          <w:sz w:val="11"/>
          <w:szCs w:val="11"/>
          <w:color w:val="231F20"/>
          <w:spacing w:val="-1"/>
          <w:position w:val="9"/>
        </w:rPr>
        <w:t>-</w:t>
      </w:r>
      <w:r>
        <w:rPr>
          <w:sz w:val="11"/>
          <w:szCs w:val="11"/>
          <w:color w:val="231F20"/>
          <w:spacing w:val="35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±</w:t>
      </w:r>
      <w:r>
        <w:rPr>
          <w:rFonts w:ascii="Times New Roman" w:hAnsi="Times New Roman" w:eastAsia="Times New Roman" w:cs="Times New Roman"/>
          <w:i/>
          <w:iCs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s</w:t>
      </w:r>
      <w:r>
        <w:rPr>
          <w:color w:val="231F20"/>
          <w:spacing w:val="-1"/>
        </w:rPr>
        <w:t>）表示，行</w:t>
      </w:r>
      <w:r>
        <w:rPr>
          <w:color w:val="231F20"/>
          <w:spacing w:val="-30"/>
        </w:rPr>
        <w:t xml:space="preserve"> </w:t>
      </w:r>
      <w:r>
        <w:rPr>
          <w:i/>
          <w:iCs/>
          <w:color w:val="231F20"/>
          <w:spacing w:val="-1"/>
        </w:rPr>
        <w:t>t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"/>
        </w:rPr>
        <w:t>检验；组间计</w:t>
      </w:r>
      <w:r>
        <w:rPr>
          <w:color w:val="231F20"/>
          <w:spacing w:val="-2"/>
        </w:rPr>
        <w:t>数资料采用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百分比（%）表示，行卡方检验。</w:t>
      </w:r>
      <w:r>
        <w:rPr>
          <w:i/>
          <w:iCs/>
          <w:color w:val="231F20"/>
          <w:spacing w:val="5"/>
        </w:rPr>
        <w:t>P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＜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5"/>
        </w:rPr>
        <w:t>0.05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4"/>
        </w:rPr>
        <w:t>表示差异具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有统计学意义。</w:t>
      </w:r>
    </w:p>
    <w:p>
      <w:pPr>
        <w:spacing w:before="287" w:line="269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color w:val="231F20"/>
          <w:spacing w:val="-2"/>
          <w:position w:val="1"/>
        </w:rPr>
        <w:t>2</w:t>
      </w:r>
      <w:r>
        <w:rPr>
          <w:rFonts w:ascii="SimHei" w:hAnsi="SimHei" w:eastAsia="SimHei" w:cs="SimHei"/>
          <w:sz w:val="20"/>
          <w:szCs w:val="20"/>
          <w:color w:val="231F20"/>
          <w:spacing w:val="2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color w:val="231F20"/>
          <w:spacing w:val="-2"/>
          <w:position w:val="1"/>
        </w:rPr>
        <w:t>结果</w:t>
      </w:r>
    </w:p>
    <w:p>
      <w:pPr>
        <w:pStyle w:val="BodyText"/>
        <w:ind w:left="402"/>
        <w:spacing w:before="38" w:line="220" w:lineRule="auto"/>
        <w:rPr/>
      </w:pPr>
      <w:r>
        <w:rPr>
          <w:color w:val="231F20"/>
          <w:spacing w:val="-1"/>
        </w:rPr>
        <w:t>2.1 两组检出率比较</w:t>
      </w:r>
    </w:p>
    <w:p>
      <w:pPr>
        <w:pStyle w:val="BodyText"/>
        <w:ind w:left="3" w:right="15" w:firstLine="396"/>
        <w:spacing w:before="62" w:line="277" w:lineRule="auto"/>
        <w:rPr/>
      </w:pPr>
      <w:r>
        <w:rPr>
          <w:color w:val="231F20"/>
          <w:spacing w:val="6"/>
        </w:rPr>
        <w:t>研究组与对照组的检出率均高于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90%，且差异不具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有统计学意义（</w:t>
      </w:r>
      <w:r>
        <w:rPr>
          <w:i/>
          <w:iCs/>
          <w:color w:val="231F20"/>
          <w:spacing w:val="-4"/>
        </w:rPr>
        <w:t>P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＞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4"/>
        </w:rPr>
        <w:t>0.05</w:t>
      </w:r>
      <w:r>
        <w:rPr>
          <w:color w:val="231F20"/>
          <w:spacing w:val="3"/>
        </w:rPr>
        <w:t>），</w:t>
      </w:r>
      <w:r>
        <w:rPr>
          <w:color w:val="231F20"/>
          <w:spacing w:val="-4"/>
        </w:rPr>
        <w:t>见表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1。</w:t>
      </w:r>
    </w:p>
    <w:p>
      <w:pPr>
        <w:spacing w:line="277" w:lineRule="auto"/>
        <w:sectPr>
          <w:type w:val="continuous"/>
          <w:pgSz w:w="12246" w:h="16498"/>
          <w:pgMar w:top="1173" w:right="1015" w:bottom="547" w:left="407" w:header="812" w:footer="354" w:gutter="0"/>
          <w:cols w:equalWidth="0" w:num="2">
            <w:col w:w="5790" w:space="100"/>
            <w:col w:w="4933" w:space="0"/>
          </w:cols>
        </w:sectPr>
        <w:rPr/>
      </w:pPr>
    </w:p>
    <w:p>
      <w:pPr>
        <w:spacing w:before="199" w:line="232" w:lineRule="auto"/>
        <w:jc w:val="righ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-7"/>
        </w:rPr>
        <w:t>177</w:t>
      </w:r>
    </w:p>
    <w:p>
      <w:pPr>
        <w:spacing w:line="232" w:lineRule="auto"/>
        <w:sectPr>
          <w:type w:val="continuous"/>
          <w:pgSz w:w="12246" w:h="16498"/>
          <w:pgMar w:top="1173" w:right="1015" w:bottom="547" w:left="407" w:header="812" w:footer="354" w:gutter="0"/>
          <w:cols w:equalWidth="0" w:num="1">
            <w:col w:w="10823" w:space="0"/>
          </w:cols>
        </w:sectPr>
        <w:rPr>
          <w:rFonts w:ascii="Times New Roman" w:hAnsi="Times New Roman" w:eastAsia="Times New Roman" w:cs="Times New Roman"/>
          <w:sz w:val="26"/>
          <w:szCs w:val="26"/>
        </w:rPr>
      </w:pPr>
    </w:p>
    <w:p>
      <w:pPr>
        <w:spacing w:line="160" w:lineRule="exact"/>
        <w:rPr/>
      </w:pPr>
      <w:r/>
    </w:p>
    <w:p>
      <w:pPr>
        <w:spacing w:line="160" w:lineRule="exact"/>
        <w:sectPr>
          <w:headerReference w:type="default" r:id="rId3"/>
          <w:footerReference w:type="default" r:id="rId4"/>
          <w:pgSz w:w="12246" w:h="16498"/>
          <w:pgMar w:top="1216" w:right="949" w:bottom="868" w:left="407" w:header="788" w:footer="354" w:gutter="0"/>
          <w:cols w:equalWidth="0" w:num="1">
            <w:col w:w="10889" w:space="0"/>
          </w:cols>
        </w:sectPr>
        <w:rPr/>
      </w:pPr>
    </w:p>
    <w:p>
      <w:pPr>
        <w:pStyle w:val="BodyText"/>
        <w:ind w:left="2224"/>
        <w:spacing w:before="59" w:line="220" w:lineRule="auto"/>
        <w:outlineLvl w:val="1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表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2"/>
        </w:rPr>
        <w:t>1  检出率情况统计表</w:t>
      </w:r>
    </w:p>
    <w:p>
      <w:pPr>
        <w:spacing w:line="46" w:lineRule="exact"/>
        <w:rPr/>
      </w:pPr>
      <w:r/>
    </w:p>
    <w:tbl>
      <w:tblPr>
        <w:tblStyle w:val="TableNormal"/>
        <w:tblW w:w="4932" w:type="dxa"/>
        <w:tblInd w:w="6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73"/>
        <w:gridCol w:w="1113"/>
        <w:gridCol w:w="1353"/>
        <w:gridCol w:w="1193"/>
      </w:tblGrid>
      <w:tr>
        <w:trPr>
          <w:trHeight w:val="252" w:hRule="atLeast"/>
        </w:trPr>
        <w:tc>
          <w:tcPr>
            <w:tcW w:w="127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64"/>
              <w:spacing w:before="45" w:line="220" w:lineRule="auto"/>
              <w:rPr/>
            </w:pPr>
            <w:r>
              <w:rPr>
                <w:color w:val="231F20"/>
                <w:spacing w:val="-3"/>
              </w:rPr>
              <w:t>分组</w:t>
            </w:r>
          </w:p>
        </w:tc>
        <w:tc>
          <w:tcPr>
            <w:tcW w:w="111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22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135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82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检出例数</w:t>
            </w:r>
          </w:p>
        </w:tc>
        <w:tc>
          <w:tcPr>
            <w:tcW w:w="119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42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检出率</w:t>
            </w:r>
          </w:p>
        </w:tc>
      </w:tr>
      <w:tr>
        <w:trPr>
          <w:trHeight w:val="245" w:hRule="atLeast"/>
        </w:trPr>
        <w:tc>
          <w:tcPr>
            <w:tcW w:w="127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82"/>
              <w:spacing w:before="40" w:line="219" w:lineRule="auto"/>
              <w:rPr/>
            </w:pPr>
            <w:r>
              <w:rPr>
                <w:color w:val="231F20"/>
                <w:spacing w:val="-2"/>
              </w:rPr>
              <w:t>研究组</w:t>
            </w:r>
          </w:p>
        </w:tc>
        <w:tc>
          <w:tcPr>
            <w:tcW w:w="111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02"/>
              <w:spacing w:before="40" w:line="225" w:lineRule="auto"/>
              <w:rPr/>
            </w:pPr>
            <w:r>
              <w:rPr>
                <w:color w:val="231F20"/>
                <w:spacing w:val="-2"/>
              </w:rPr>
              <w:t>40</w:t>
            </w:r>
          </w:p>
        </w:tc>
        <w:tc>
          <w:tcPr>
            <w:tcW w:w="135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626"/>
              <w:spacing w:before="40" w:line="225" w:lineRule="auto"/>
              <w:rPr/>
            </w:pPr>
            <w:r>
              <w:rPr>
                <w:color w:val="231F20"/>
                <w:spacing w:val="-3"/>
              </w:rPr>
              <w:t>38</w:t>
            </w:r>
          </w:p>
        </w:tc>
        <w:tc>
          <w:tcPr>
            <w:tcW w:w="119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43"/>
              <w:spacing w:before="40" w:line="225" w:lineRule="auto"/>
              <w:rPr/>
            </w:pPr>
            <w:r>
              <w:rPr>
                <w:color w:val="231F20"/>
                <w:spacing w:val="-1"/>
              </w:rPr>
              <w:t>95.00%</w:t>
            </w:r>
          </w:p>
        </w:tc>
      </w:tr>
      <w:tr>
        <w:trPr>
          <w:trHeight w:val="248" w:hRule="atLeast"/>
        </w:trPr>
        <w:tc>
          <w:tcPr>
            <w:tcW w:w="1273" w:type="dxa"/>
            <w:vAlign w:val="top"/>
          </w:tcPr>
          <w:p>
            <w:pPr>
              <w:pStyle w:val="TableText"/>
              <w:ind w:left="382"/>
              <w:spacing w:before="51" w:line="215" w:lineRule="auto"/>
              <w:rPr/>
            </w:pPr>
            <w:r>
              <w:rPr>
                <w:color w:val="231F20"/>
                <w:spacing w:val="-2"/>
              </w:rPr>
              <w:t>对照组</w:t>
            </w:r>
          </w:p>
        </w:tc>
        <w:tc>
          <w:tcPr>
            <w:tcW w:w="1113" w:type="dxa"/>
            <w:vAlign w:val="top"/>
          </w:tcPr>
          <w:p>
            <w:pPr>
              <w:pStyle w:val="TableText"/>
              <w:ind w:left="502"/>
              <w:spacing w:before="51" w:line="215" w:lineRule="auto"/>
              <w:rPr/>
            </w:pPr>
            <w:r>
              <w:rPr>
                <w:color w:val="231F20"/>
                <w:spacing w:val="-2"/>
              </w:rPr>
              <w:t>40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626"/>
              <w:spacing w:before="51" w:line="215" w:lineRule="auto"/>
              <w:rPr/>
            </w:pPr>
            <w:r>
              <w:rPr>
                <w:color w:val="231F20"/>
                <w:spacing w:val="-3"/>
              </w:rPr>
              <w:t>39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343"/>
              <w:spacing w:before="51" w:line="215" w:lineRule="auto"/>
              <w:rPr/>
            </w:pPr>
            <w:r>
              <w:rPr>
                <w:color w:val="231F20"/>
                <w:spacing w:val="-1"/>
              </w:rPr>
              <w:t>97.50%</w:t>
            </w:r>
          </w:p>
        </w:tc>
      </w:tr>
      <w:tr>
        <w:trPr>
          <w:trHeight w:val="262" w:hRule="atLeast"/>
        </w:trPr>
        <w:tc>
          <w:tcPr>
            <w:tcW w:w="1273" w:type="dxa"/>
            <w:vAlign w:val="top"/>
          </w:tcPr>
          <w:p>
            <w:pPr>
              <w:pStyle w:val="TableText"/>
              <w:ind w:left="558"/>
              <w:spacing w:before="40" w:line="211" w:lineRule="exact"/>
              <w:rPr>
                <w:sz w:val="9"/>
                <w:szCs w:val="9"/>
              </w:rPr>
            </w:pPr>
            <w:r>
              <w:rPr>
                <w:color w:val="231F20"/>
                <w:spacing w:val="-46"/>
              </w:rPr>
              <w:t>χ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2</w:t>
            </w:r>
          </w:p>
        </w:tc>
        <w:tc>
          <w:tcPr>
            <w:tcW w:w="11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3" w:type="dxa"/>
            <w:vAlign w:val="top"/>
          </w:tcPr>
          <w:p>
            <w:pPr>
              <w:pStyle w:val="TableText"/>
              <w:ind w:left="384"/>
              <w:spacing w:before="60" w:line="221" w:lineRule="auto"/>
              <w:rPr/>
            </w:pPr>
            <w:r>
              <w:rPr>
                <w:color w:val="231F20"/>
                <w:spacing w:val="-2"/>
              </w:rPr>
              <w:t>0.346</w:t>
            </w:r>
          </w:p>
        </w:tc>
      </w:tr>
      <w:tr>
        <w:trPr>
          <w:trHeight w:val="260" w:hRule="atLeast"/>
        </w:trPr>
        <w:tc>
          <w:tcPr>
            <w:tcW w:w="127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78"/>
              <w:spacing w:before="83" w:line="180" w:lineRule="auto"/>
              <w:rPr/>
            </w:pPr>
            <w:r>
              <w:rPr>
                <w:i/>
                <w:iCs/>
                <w:color w:val="231F20"/>
              </w:rPr>
              <w:t>P</w:t>
            </w:r>
          </w:p>
        </w:tc>
        <w:tc>
          <w:tcPr>
            <w:tcW w:w="1113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3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84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0.556</w:t>
            </w:r>
          </w:p>
        </w:tc>
      </w:tr>
    </w:tbl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019"/>
        <w:spacing w:before="65" w:line="220" w:lineRule="auto"/>
        <w:rPr/>
      </w:pPr>
      <w:r>
        <w:rPr>
          <w:color w:val="231F20"/>
          <w:spacing w:val="-1"/>
        </w:rPr>
        <w:t>2.2 两组并发症发生情况对比</w:t>
      </w:r>
    </w:p>
    <w:p>
      <w:pPr>
        <w:pStyle w:val="BodyText"/>
        <w:ind w:left="619" w:right="175" w:firstLine="396"/>
        <w:spacing w:before="61" w:line="278" w:lineRule="auto"/>
        <w:rPr/>
      </w:pPr>
      <w:r>
        <w:rPr>
          <w:color w:val="231F20"/>
          <w:spacing w:val="4"/>
        </w:rPr>
        <w:t>对比发现，研究组患者并发症发生例数为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2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4"/>
        </w:rPr>
        <w:t>例，并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发症发生率为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5.0%；对照组患者并发症发生例数为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4"/>
        </w:rPr>
        <w:t>9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4"/>
        </w:rPr>
        <w:t>例，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并发症发生率为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22.5%，研究组患者并发症发生率显著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低于对照组患者（</w:t>
      </w:r>
      <w:r>
        <w:rPr>
          <w:i/>
          <w:iCs/>
          <w:color w:val="231F20"/>
          <w:spacing w:val="-3"/>
        </w:rPr>
        <w:t>P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＜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0.05</w:t>
      </w:r>
      <w:r>
        <w:rPr>
          <w:color w:val="231F20"/>
          <w:spacing w:val="1"/>
        </w:rPr>
        <w:t>），</w:t>
      </w:r>
      <w:r>
        <w:rPr>
          <w:color w:val="231F20"/>
          <w:spacing w:val="-3"/>
        </w:rPr>
        <w:t>见表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3"/>
        </w:rPr>
        <w:t>2。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644"/>
        <w:spacing w:before="53" w:line="220" w:lineRule="auto"/>
        <w:outlineLvl w:val="1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表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3"/>
        </w:rPr>
        <w:t>2  两组患者并发症发生情况 [n（%）]</w:t>
      </w:r>
    </w:p>
    <w:p>
      <w:pPr>
        <w:spacing w:line="46" w:lineRule="exact"/>
        <w:rPr/>
      </w:pPr>
      <w:r/>
    </w:p>
    <w:tbl>
      <w:tblPr>
        <w:tblStyle w:val="TableNormal"/>
        <w:tblW w:w="4932" w:type="dxa"/>
        <w:tblInd w:w="6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21"/>
        <w:gridCol w:w="439"/>
        <w:gridCol w:w="679"/>
        <w:gridCol w:w="1451"/>
        <w:gridCol w:w="668"/>
        <w:gridCol w:w="1074"/>
      </w:tblGrid>
      <w:tr>
        <w:trPr>
          <w:trHeight w:val="252" w:hRule="atLeast"/>
        </w:trPr>
        <w:tc>
          <w:tcPr>
            <w:tcW w:w="62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9"/>
              <w:spacing w:before="45" w:line="220" w:lineRule="auto"/>
              <w:rPr/>
            </w:pPr>
            <w:r>
              <w:rPr>
                <w:color w:val="231F20"/>
                <w:spacing w:val="-3"/>
              </w:rPr>
              <w:t>组别</w:t>
            </w:r>
          </w:p>
        </w:tc>
        <w:tc>
          <w:tcPr>
            <w:tcW w:w="43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5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67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6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感染</w:t>
            </w:r>
          </w:p>
        </w:tc>
        <w:tc>
          <w:tcPr>
            <w:tcW w:w="145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1"/>
              <w:spacing w:before="45" w:line="220" w:lineRule="auto"/>
              <w:rPr/>
            </w:pPr>
            <w:r>
              <w:rPr>
                <w:color w:val="231F20"/>
                <w:spacing w:val="-3"/>
              </w:rPr>
              <w:t>腹腔出血 食欲下降</w:t>
            </w:r>
          </w:p>
        </w:tc>
        <w:tc>
          <w:tcPr>
            <w:tcW w:w="66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00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血栓</w:t>
            </w:r>
          </w:p>
        </w:tc>
        <w:tc>
          <w:tcPr>
            <w:tcW w:w="107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6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并发症发生率</w:t>
            </w:r>
          </w:p>
        </w:tc>
      </w:tr>
      <w:tr>
        <w:trPr>
          <w:trHeight w:val="245" w:hRule="atLeast"/>
        </w:trPr>
        <w:tc>
          <w:tcPr>
            <w:tcW w:w="62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78"/>
              <w:spacing w:before="40" w:line="219" w:lineRule="auto"/>
              <w:rPr/>
            </w:pPr>
            <w:r>
              <w:rPr>
                <w:color w:val="231F20"/>
                <w:spacing w:val="-2"/>
              </w:rPr>
              <w:t>研究组</w:t>
            </w:r>
          </w:p>
        </w:tc>
        <w:tc>
          <w:tcPr>
            <w:tcW w:w="43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54"/>
              <w:spacing w:before="40" w:line="225" w:lineRule="auto"/>
              <w:rPr/>
            </w:pPr>
            <w:r>
              <w:rPr>
                <w:color w:val="231F20"/>
                <w:spacing w:val="-2"/>
              </w:rPr>
              <w:t>40</w:t>
            </w:r>
          </w:p>
        </w:tc>
        <w:tc>
          <w:tcPr>
            <w:tcW w:w="67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before="40" w:line="225" w:lineRule="auto"/>
              <w:jc w:val="right"/>
              <w:rPr/>
            </w:pPr>
            <w:r>
              <w:rPr>
                <w:color w:val="231F20"/>
                <w:spacing w:val="-4"/>
              </w:rPr>
              <w:t>0（0.0）</w:t>
            </w:r>
          </w:p>
        </w:tc>
        <w:tc>
          <w:tcPr>
            <w:tcW w:w="145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82"/>
              <w:spacing w:before="40" w:line="225" w:lineRule="auto"/>
              <w:rPr/>
            </w:pPr>
            <w:r>
              <w:rPr>
                <w:color w:val="231F20"/>
                <w:spacing w:val="-2"/>
              </w:rPr>
              <w:t>0（0.0） 2（5.0）</w:t>
            </w:r>
          </w:p>
        </w:tc>
        <w:tc>
          <w:tcPr>
            <w:tcW w:w="66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before="40" w:line="225" w:lineRule="auto"/>
              <w:jc w:val="right"/>
              <w:rPr/>
            </w:pPr>
            <w:r>
              <w:rPr>
                <w:color w:val="231F20"/>
                <w:spacing w:val="-4"/>
              </w:rPr>
              <w:t>0（0.0）</w:t>
            </w:r>
          </w:p>
        </w:tc>
        <w:tc>
          <w:tcPr>
            <w:tcW w:w="107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44"/>
              <w:spacing w:before="40" w:line="225" w:lineRule="auto"/>
              <w:rPr/>
            </w:pPr>
            <w:r>
              <w:rPr>
                <w:color w:val="231F20"/>
                <w:spacing w:val="-2"/>
              </w:rPr>
              <w:t>2（5.0）</w:t>
            </w:r>
          </w:p>
        </w:tc>
      </w:tr>
      <w:tr>
        <w:trPr>
          <w:trHeight w:val="248" w:hRule="atLeast"/>
        </w:trPr>
        <w:tc>
          <w:tcPr>
            <w:tcW w:w="621" w:type="dxa"/>
            <w:vAlign w:val="top"/>
          </w:tcPr>
          <w:p>
            <w:pPr>
              <w:pStyle w:val="TableText"/>
              <w:ind w:left="77"/>
              <w:spacing w:before="51" w:line="215" w:lineRule="auto"/>
              <w:rPr/>
            </w:pPr>
            <w:r>
              <w:rPr>
                <w:color w:val="231F20"/>
                <w:spacing w:val="-2"/>
              </w:rPr>
              <w:t>对照组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54"/>
              <w:spacing w:before="51" w:line="215" w:lineRule="auto"/>
              <w:rPr/>
            </w:pPr>
            <w:r>
              <w:rPr>
                <w:color w:val="231F20"/>
                <w:spacing w:val="-2"/>
              </w:rPr>
              <w:t>40</w:t>
            </w:r>
          </w:p>
        </w:tc>
        <w:tc>
          <w:tcPr>
            <w:tcW w:w="679" w:type="dxa"/>
            <w:vAlign w:val="top"/>
          </w:tcPr>
          <w:p>
            <w:pPr>
              <w:pStyle w:val="TableText"/>
              <w:spacing w:before="51" w:line="215" w:lineRule="auto"/>
              <w:jc w:val="right"/>
              <w:rPr/>
            </w:pPr>
            <w:r>
              <w:rPr>
                <w:color w:val="231F20"/>
                <w:spacing w:val="-4"/>
              </w:rPr>
              <w:t>3（7.5）</w:t>
            </w:r>
          </w:p>
        </w:tc>
        <w:tc>
          <w:tcPr>
            <w:tcW w:w="1451" w:type="dxa"/>
            <w:vAlign w:val="top"/>
          </w:tcPr>
          <w:p>
            <w:pPr>
              <w:pStyle w:val="TableText"/>
              <w:ind w:left="83"/>
              <w:spacing w:before="51" w:line="215" w:lineRule="auto"/>
              <w:rPr/>
            </w:pPr>
            <w:r>
              <w:rPr>
                <w:color w:val="231F20"/>
                <w:spacing w:val="-2"/>
              </w:rPr>
              <w:t>2（5.0） 3（7.7）</w:t>
            </w:r>
          </w:p>
        </w:tc>
        <w:tc>
          <w:tcPr>
            <w:tcW w:w="668" w:type="dxa"/>
            <w:vAlign w:val="top"/>
          </w:tcPr>
          <w:p>
            <w:pPr>
              <w:pStyle w:val="TableText"/>
              <w:spacing w:before="51" w:line="215" w:lineRule="auto"/>
              <w:jc w:val="right"/>
              <w:rPr/>
            </w:pPr>
            <w:r>
              <w:rPr>
                <w:color w:val="231F20"/>
                <w:spacing w:val="-5"/>
              </w:rPr>
              <w:t>1（2.5）</w:t>
            </w:r>
          </w:p>
        </w:tc>
        <w:tc>
          <w:tcPr>
            <w:tcW w:w="1074" w:type="dxa"/>
            <w:vAlign w:val="top"/>
          </w:tcPr>
          <w:p>
            <w:pPr>
              <w:pStyle w:val="TableText"/>
              <w:ind w:left="202"/>
              <w:spacing w:before="51" w:line="215" w:lineRule="auto"/>
              <w:rPr/>
            </w:pPr>
            <w:r>
              <w:rPr>
                <w:color w:val="231F20"/>
                <w:spacing w:val="-1"/>
              </w:rPr>
              <w:t>9（22.5）</w:t>
            </w:r>
          </w:p>
        </w:tc>
      </w:tr>
      <w:tr>
        <w:trPr>
          <w:trHeight w:val="262" w:hRule="atLeast"/>
        </w:trPr>
        <w:tc>
          <w:tcPr>
            <w:tcW w:w="621" w:type="dxa"/>
            <w:vAlign w:val="top"/>
          </w:tcPr>
          <w:p>
            <w:pPr>
              <w:pStyle w:val="TableText"/>
              <w:ind w:left="254"/>
              <w:spacing w:before="40" w:line="212" w:lineRule="exact"/>
              <w:rPr>
                <w:sz w:val="9"/>
                <w:szCs w:val="9"/>
              </w:rPr>
            </w:pPr>
            <w:r>
              <w:rPr>
                <w:color w:val="231F20"/>
                <w:spacing w:val="-46"/>
              </w:rPr>
              <w:t>χ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2</w:t>
            </w:r>
          </w:p>
        </w:tc>
        <w:tc>
          <w:tcPr>
            <w:tcW w:w="4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ind w:left="334"/>
              <w:spacing w:before="135" w:line="109" w:lineRule="exact"/>
              <w:rPr/>
            </w:pPr>
            <w:r>
              <w:rPr>
                <w:color w:val="231F20"/>
                <w:position w:val="-3"/>
              </w:rPr>
              <w:t>-</w:t>
            </w:r>
          </w:p>
        </w:tc>
        <w:tc>
          <w:tcPr>
            <w:tcW w:w="1451" w:type="dxa"/>
            <w:vAlign w:val="top"/>
          </w:tcPr>
          <w:p>
            <w:pPr>
              <w:pStyle w:val="TableText"/>
              <w:ind w:left="360"/>
              <w:spacing w:before="135" w:line="109" w:lineRule="exact"/>
              <w:rPr/>
            </w:pPr>
            <w:r>
              <w:rPr>
                <w:color w:val="231F20"/>
                <w:spacing w:val="-3"/>
                <w:position w:val="-3"/>
              </w:rPr>
              <w:t>-</w:t>
            </w:r>
            <w:r>
              <w:rPr>
                <w:color w:val="231F20"/>
                <w:spacing w:val="9"/>
                <w:position w:val="-3"/>
              </w:rPr>
              <w:t xml:space="preserve">       </w:t>
            </w:r>
            <w:r>
              <w:rPr>
                <w:color w:val="231F20"/>
                <w:spacing w:val="-3"/>
                <w:position w:val="-3"/>
              </w:rPr>
              <w:t>-</w:t>
            </w:r>
          </w:p>
        </w:tc>
        <w:tc>
          <w:tcPr>
            <w:tcW w:w="668" w:type="dxa"/>
            <w:vAlign w:val="top"/>
          </w:tcPr>
          <w:p>
            <w:pPr>
              <w:pStyle w:val="TableText"/>
              <w:ind w:left="318"/>
              <w:spacing w:before="135" w:line="109" w:lineRule="exact"/>
              <w:rPr/>
            </w:pPr>
            <w:r>
              <w:rPr>
                <w:color w:val="231F20"/>
                <w:position w:val="-3"/>
              </w:rPr>
              <w:t>-</w:t>
            </w:r>
          </w:p>
        </w:tc>
        <w:tc>
          <w:tcPr>
            <w:tcW w:w="1074" w:type="dxa"/>
            <w:vAlign w:val="top"/>
          </w:tcPr>
          <w:p>
            <w:pPr>
              <w:pStyle w:val="TableText"/>
              <w:ind w:left="365"/>
              <w:spacing w:before="60" w:line="221" w:lineRule="auto"/>
              <w:rPr/>
            </w:pPr>
            <w:r>
              <w:rPr>
                <w:color w:val="231F20"/>
                <w:spacing w:val="-2"/>
              </w:rPr>
              <w:t>5.164</w:t>
            </w:r>
          </w:p>
        </w:tc>
      </w:tr>
      <w:tr>
        <w:trPr>
          <w:trHeight w:val="260" w:hRule="atLeast"/>
        </w:trPr>
        <w:tc>
          <w:tcPr>
            <w:tcW w:w="62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73"/>
              <w:spacing w:before="83" w:line="180" w:lineRule="auto"/>
              <w:rPr/>
            </w:pPr>
            <w:r>
              <w:rPr>
                <w:i/>
                <w:iCs/>
                <w:color w:val="231F20"/>
              </w:rPr>
              <w:t>P</w:t>
            </w:r>
          </w:p>
        </w:tc>
        <w:tc>
          <w:tcPr>
            <w:tcW w:w="439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34"/>
              <w:spacing w:before="130" w:line="109" w:lineRule="exact"/>
              <w:rPr/>
            </w:pPr>
            <w:r>
              <w:rPr>
                <w:color w:val="231F20"/>
                <w:position w:val="-3"/>
              </w:rPr>
              <w:t>-</w:t>
            </w:r>
          </w:p>
        </w:tc>
        <w:tc>
          <w:tcPr>
            <w:tcW w:w="145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60"/>
              <w:spacing w:before="130" w:line="109" w:lineRule="exact"/>
              <w:rPr/>
            </w:pPr>
            <w:r>
              <w:rPr>
                <w:color w:val="231F20"/>
                <w:spacing w:val="-3"/>
                <w:position w:val="-3"/>
              </w:rPr>
              <w:t>-</w:t>
            </w:r>
            <w:r>
              <w:rPr>
                <w:color w:val="231F20"/>
                <w:spacing w:val="9"/>
                <w:position w:val="-3"/>
              </w:rPr>
              <w:t xml:space="preserve">       </w:t>
            </w:r>
            <w:r>
              <w:rPr>
                <w:color w:val="231F20"/>
                <w:spacing w:val="-3"/>
                <w:position w:val="-3"/>
              </w:rPr>
              <w:t>-</w:t>
            </w:r>
          </w:p>
        </w:tc>
        <w:tc>
          <w:tcPr>
            <w:tcW w:w="66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18"/>
              <w:spacing w:before="130" w:line="109" w:lineRule="exact"/>
              <w:rPr/>
            </w:pPr>
            <w:r>
              <w:rPr>
                <w:color w:val="231F20"/>
                <w:position w:val="-3"/>
              </w:rPr>
              <w:t>-</w:t>
            </w:r>
          </w:p>
        </w:tc>
        <w:tc>
          <w:tcPr>
            <w:tcW w:w="107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63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0.023</w:t>
            </w:r>
          </w:p>
        </w:tc>
      </w:tr>
    </w:tbl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019"/>
        <w:spacing w:before="66" w:line="220" w:lineRule="auto"/>
        <w:rPr/>
      </w:pPr>
      <w:r>
        <w:rPr>
          <w:color w:val="231F20"/>
          <w:spacing w:val="-1"/>
        </w:rPr>
        <w:t>2.3 失血量、诊断时间、诊断费用对比</w:t>
      </w:r>
    </w:p>
    <w:p>
      <w:pPr>
        <w:pStyle w:val="BodyText"/>
        <w:ind w:left="625" w:right="232" w:firstLine="390"/>
        <w:spacing w:before="63" w:line="278" w:lineRule="auto"/>
        <w:rPr/>
      </w:pPr>
      <w:r>
        <w:rPr>
          <w:color w:val="231F20"/>
          <w:spacing w:val="5"/>
        </w:rPr>
        <w:t>对比发现，研究组患者失血量少于对照组，诊断时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间短于对照组，诊断费用低于对照组，差异</w:t>
      </w:r>
      <w:r>
        <w:rPr>
          <w:color w:val="231F20"/>
          <w:spacing w:val="4"/>
        </w:rPr>
        <w:t>均有统计学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意义（</w:t>
      </w:r>
      <w:r>
        <w:rPr>
          <w:i/>
          <w:iCs/>
          <w:color w:val="231F20"/>
          <w:spacing w:val="-5"/>
        </w:rPr>
        <w:t>P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＜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5"/>
        </w:rPr>
        <w:t>0.05</w:t>
      </w:r>
      <w:r>
        <w:rPr>
          <w:color w:val="231F20"/>
          <w:spacing w:val="3"/>
        </w:rPr>
        <w:t>），</w:t>
      </w:r>
      <w:r>
        <w:rPr>
          <w:color w:val="231F20"/>
          <w:spacing w:val="-5"/>
        </w:rPr>
        <w:t>见表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5"/>
        </w:rPr>
        <w:t>3。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025"/>
        <w:spacing w:before="52" w:line="220" w:lineRule="auto"/>
        <w:outlineLvl w:val="2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表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2"/>
        </w:rPr>
        <w:t>3  两组患者失血量、诊断时间、诊断费用情况（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2"/>
        </w:rPr>
        <w:t>x</w:t>
      </w:r>
      <w:r>
        <w:rPr>
          <w:sz w:val="9"/>
          <w:szCs w:val="9"/>
          <w:color w:val="231F20"/>
          <w:spacing w:val="-2"/>
          <w:position w:val="7"/>
        </w:rPr>
        <w:t>-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2"/>
        </w:rPr>
        <w:t>± s</w:t>
      </w:r>
      <w:r>
        <w:rPr>
          <w:sz w:val="16"/>
          <w:szCs w:val="16"/>
          <w:color w:val="231F20"/>
          <w:spacing w:val="-2"/>
        </w:rPr>
        <w:t>）</w:t>
      </w:r>
    </w:p>
    <w:p>
      <w:pPr>
        <w:spacing w:line="47" w:lineRule="exact"/>
        <w:rPr/>
      </w:pPr>
      <w:r/>
    </w:p>
    <w:tbl>
      <w:tblPr>
        <w:tblStyle w:val="TableNormal"/>
        <w:tblW w:w="4932" w:type="dxa"/>
        <w:tblInd w:w="6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72"/>
        <w:gridCol w:w="508"/>
        <w:gridCol w:w="1079"/>
        <w:gridCol w:w="1226"/>
        <w:gridCol w:w="1447"/>
      </w:tblGrid>
      <w:tr>
        <w:trPr>
          <w:trHeight w:val="252" w:hRule="atLeast"/>
        </w:trPr>
        <w:tc>
          <w:tcPr>
            <w:tcW w:w="67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8"/>
              <w:spacing w:before="45" w:line="220" w:lineRule="auto"/>
              <w:rPr/>
            </w:pPr>
            <w:r>
              <w:rPr>
                <w:color w:val="231F20"/>
                <w:spacing w:val="-3"/>
              </w:rPr>
              <w:t>组别</w:t>
            </w:r>
          </w:p>
        </w:tc>
        <w:tc>
          <w:tcPr>
            <w:tcW w:w="50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98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107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67"/>
              <w:spacing w:before="45" w:line="221" w:lineRule="auto"/>
              <w:rPr/>
            </w:pPr>
            <w:r>
              <w:rPr>
                <w:color w:val="231F20"/>
                <w:spacing w:val="-3"/>
              </w:rPr>
              <w:t>失血量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/mL</w:t>
            </w:r>
          </w:p>
        </w:tc>
        <w:tc>
          <w:tcPr>
            <w:tcW w:w="122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10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诊断时间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2"/>
              </w:rPr>
              <w:t>/min</w:t>
            </w:r>
          </w:p>
        </w:tc>
        <w:tc>
          <w:tcPr>
            <w:tcW w:w="144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37"/>
              <w:spacing w:before="45" w:line="220" w:lineRule="auto"/>
              <w:rPr/>
            </w:pPr>
            <w:r>
              <w:rPr>
                <w:color w:val="231F20"/>
                <w:spacing w:val="-3"/>
              </w:rPr>
              <w:t>诊断费用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3"/>
              </w:rPr>
              <w:t>元</w:t>
            </w:r>
          </w:p>
        </w:tc>
      </w:tr>
      <w:tr>
        <w:trPr>
          <w:trHeight w:val="245" w:hRule="atLeast"/>
        </w:trPr>
        <w:tc>
          <w:tcPr>
            <w:tcW w:w="67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06"/>
              <w:spacing w:before="40" w:line="219" w:lineRule="auto"/>
              <w:rPr/>
            </w:pPr>
            <w:r>
              <w:rPr>
                <w:color w:val="231F20"/>
                <w:spacing w:val="-2"/>
              </w:rPr>
              <w:t>研究组</w:t>
            </w:r>
          </w:p>
        </w:tc>
        <w:tc>
          <w:tcPr>
            <w:tcW w:w="50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77"/>
              <w:spacing w:before="40" w:line="225" w:lineRule="auto"/>
              <w:rPr/>
            </w:pPr>
            <w:r>
              <w:rPr>
                <w:color w:val="231F20"/>
                <w:spacing w:val="-2"/>
              </w:rPr>
              <w:t>40</w:t>
            </w:r>
          </w:p>
        </w:tc>
        <w:tc>
          <w:tcPr>
            <w:tcW w:w="107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85"/>
              <w:spacing w:before="40" w:line="225" w:lineRule="auto"/>
              <w:rPr/>
            </w:pPr>
            <w:r>
              <w:rPr>
                <w:color w:val="231F20"/>
                <w:spacing w:val="-2"/>
              </w:rPr>
              <w:t>0.00</w:t>
            </w:r>
          </w:p>
        </w:tc>
        <w:tc>
          <w:tcPr>
            <w:tcW w:w="122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72"/>
              <w:spacing w:before="40" w:line="225" w:lineRule="auto"/>
              <w:rPr/>
            </w:pPr>
            <w:r>
              <w:rPr>
                <w:color w:val="231F20"/>
                <w:spacing w:val="-1"/>
              </w:rPr>
              <w:t>23.82±5.90</w:t>
            </w:r>
          </w:p>
        </w:tc>
        <w:tc>
          <w:tcPr>
            <w:tcW w:w="144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60"/>
              <w:spacing w:before="40" w:line="225" w:lineRule="auto"/>
              <w:rPr/>
            </w:pPr>
            <w:r>
              <w:rPr>
                <w:color w:val="231F20"/>
                <w:spacing w:val="-1"/>
              </w:rPr>
              <w:t>732.76±102.23</w:t>
            </w:r>
          </w:p>
        </w:tc>
      </w:tr>
      <w:tr>
        <w:trPr>
          <w:trHeight w:val="263" w:hRule="atLeast"/>
        </w:trPr>
        <w:tc>
          <w:tcPr>
            <w:tcW w:w="672" w:type="dxa"/>
            <w:vAlign w:val="top"/>
          </w:tcPr>
          <w:p>
            <w:pPr>
              <w:pStyle w:val="TableText"/>
              <w:ind w:left="105"/>
              <w:spacing w:before="51" w:line="221" w:lineRule="auto"/>
              <w:rPr/>
            </w:pPr>
            <w:r>
              <w:rPr>
                <w:color w:val="231F20"/>
                <w:spacing w:val="-2"/>
              </w:rPr>
              <w:t>对照组</w:t>
            </w:r>
          </w:p>
        </w:tc>
        <w:tc>
          <w:tcPr>
            <w:tcW w:w="508" w:type="dxa"/>
            <w:vAlign w:val="top"/>
          </w:tcPr>
          <w:p>
            <w:pPr>
              <w:pStyle w:val="TableText"/>
              <w:ind w:left="177"/>
              <w:spacing w:before="51" w:line="232" w:lineRule="auto"/>
              <w:rPr/>
            </w:pPr>
            <w:r>
              <w:rPr>
                <w:color w:val="231F20"/>
                <w:spacing w:val="-2"/>
              </w:rPr>
              <w:t>40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03"/>
              <w:spacing w:before="51" w:line="232" w:lineRule="auto"/>
              <w:rPr/>
            </w:pPr>
            <w:r>
              <w:rPr>
                <w:color w:val="231F20"/>
                <w:spacing w:val="-1"/>
              </w:rPr>
              <w:t>47.38±9.28</w:t>
            </w:r>
          </w:p>
        </w:tc>
        <w:tc>
          <w:tcPr>
            <w:tcW w:w="1226" w:type="dxa"/>
            <w:vAlign w:val="top"/>
          </w:tcPr>
          <w:p>
            <w:pPr>
              <w:pStyle w:val="TableText"/>
              <w:ind w:left="133"/>
              <w:spacing w:before="51" w:line="232" w:lineRule="auto"/>
              <w:rPr/>
            </w:pPr>
            <w:r>
              <w:rPr>
                <w:color w:val="231F20"/>
                <w:spacing w:val="-1"/>
              </w:rPr>
              <w:t>56.82±12.01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128"/>
              <w:spacing w:before="51" w:line="232" w:lineRule="auto"/>
              <w:rPr/>
            </w:pPr>
            <w:r>
              <w:rPr>
                <w:color w:val="231F20"/>
                <w:spacing w:val="-2"/>
              </w:rPr>
              <w:t>1894.76±321.38</w:t>
            </w:r>
          </w:p>
        </w:tc>
      </w:tr>
      <w:tr>
        <w:trPr>
          <w:trHeight w:val="247" w:hRule="atLeast"/>
        </w:trPr>
        <w:tc>
          <w:tcPr>
            <w:tcW w:w="672" w:type="dxa"/>
            <w:vAlign w:val="top"/>
          </w:tcPr>
          <w:p>
            <w:pPr>
              <w:pStyle w:val="TableText"/>
              <w:ind w:left="307"/>
              <w:spacing w:before="45" w:line="221" w:lineRule="auto"/>
              <w:rPr/>
            </w:pPr>
            <w:r>
              <w:rPr>
                <w:i/>
                <w:iCs/>
                <w:color w:val="231F20"/>
              </w:rPr>
              <w:t>t</w:t>
            </w:r>
          </w:p>
        </w:tc>
        <w:tc>
          <w:tcPr>
            <w:tcW w:w="508" w:type="dxa"/>
            <w:vAlign w:val="top"/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07"/>
              <w:spacing w:before="45" w:line="221" w:lineRule="auto"/>
              <w:rPr/>
            </w:pPr>
            <w:r>
              <w:rPr>
                <w:color w:val="231F20"/>
                <w:spacing w:val="-2"/>
              </w:rPr>
              <w:t>32.291</w:t>
            </w:r>
          </w:p>
        </w:tc>
        <w:tc>
          <w:tcPr>
            <w:tcW w:w="1226" w:type="dxa"/>
            <w:vAlign w:val="top"/>
          </w:tcPr>
          <w:p>
            <w:pPr>
              <w:pStyle w:val="TableText"/>
              <w:ind w:left="382"/>
              <w:spacing w:before="45" w:line="221" w:lineRule="auto"/>
              <w:rPr/>
            </w:pPr>
            <w:r>
              <w:rPr>
                <w:color w:val="231F20"/>
                <w:spacing w:val="-3"/>
              </w:rPr>
              <w:t>15.598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78"/>
              <w:spacing w:before="45" w:line="221" w:lineRule="auto"/>
              <w:rPr/>
            </w:pPr>
            <w:r>
              <w:rPr>
                <w:color w:val="231F20"/>
                <w:spacing w:val="-2"/>
              </w:rPr>
              <w:t>21.791</w:t>
            </w:r>
          </w:p>
        </w:tc>
      </w:tr>
      <w:tr>
        <w:trPr>
          <w:trHeight w:val="260" w:hRule="atLeast"/>
        </w:trPr>
        <w:tc>
          <w:tcPr>
            <w:tcW w:w="67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01"/>
              <w:spacing w:before="83" w:line="180" w:lineRule="auto"/>
              <w:rPr/>
            </w:pPr>
            <w:r>
              <w:rPr>
                <w:i/>
                <w:iCs/>
                <w:color w:val="231F20"/>
              </w:rPr>
              <w:t>P</w:t>
            </w:r>
          </w:p>
        </w:tc>
        <w:tc>
          <w:tcPr>
            <w:tcW w:w="508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45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0.000</w:t>
            </w:r>
          </w:p>
        </w:tc>
        <w:tc>
          <w:tcPr>
            <w:tcW w:w="122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11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0.000</w:t>
            </w:r>
          </w:p>
        </w:tc>
        <w:tc>
          <w:tcPr>
            <w:tcW w:w="144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17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0.000</w:t>
            </w:r>
          </w:p>
        </w:tc>
      </w:tr>
    </w:tbl>
    <w:p>
      <w:pPr>
        <w:spacing w:line="282" w:lineRule="auto"/>
        <w:rPr>
          <w:rFonts w:ascii="Arial"/>
          <w:sz w:val="21"/>
        </w:rPr>
      </w:pPr>
      <w:r/>
    </w:p>
    <w:p>
      <w:pPr>
        <w:ind w:left="616"/>
        <w:spacing w:before="66" w:line="266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color w:val="231F20"/>
          <w:spacing w:val="-2"/>
          <w:position w:val="1"/>
        </w:rPr>
        <w:t>3</w:t>
      </w:r>
      <w:r>
        <w:rPr>
          <w:rFonts w:ascii="SimHei" w:hAnsi="SimHei" w:eastAsia="SimHei" w:cs="SimHei"/>
          <w:sz w:val="20"/>
          <w:szCs w:val="20"/>
          <w:color w:val="231F20"/>
          <w:spacing w:val="2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color w:val="231F20"/>
          <w:spacing w:val="-2"/>
          <w:position w:val="1"/>
        </w:rPr>
        <w:t>讨论</w:t>
      </w:r>
    </w:p>
    <w:p>
      <w:pPr>
        <w:pStyle w:val="BodyText"/>
        <w:ind w:left="619" w:right="231" w:firstLine="408"/>
        <w:spacing w:before="16" w:line="279" w:lineRule="auto"/>
        <w:jc w:val="both"/>
        <w:rPr/>
      </w:pPr>
      <w:r>
        <w:rPr>
          <w:color w:val="231F20"/>
          <w:spacing w:val="1"/>
        </w:rPr>
        <w:t>临床研究提示</w:t>
      </w:r>
      <w:r>
        <w:rPr>
          <w:color w:val="231F20"/>
          <w:spacing w:val="-10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[2]</w:t>
      </w:r>
      <w:r>
        <w:rPr>
          <w:sz w:val="11"/>
          <w:szCs w:val="11"/>
          <w:color w:val="231F20"/>
          <w:spacing w:val="-30"/>
          <w:position w:val="9"/>
        </w:rPr>
        <w:t xml:space="preserve"> </w:t>
      </w:r>
      <w:r>
        <w:rPr>
          <w:color w:val="231F20"/>
          <w:spacing w:val="1"/>
        </w:rPr>
        <w:t>：急性肠系膜血管栓塞患者在入院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之初医生需要立即采取措施实现对患者的诊断，而后以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患者的病情为客观依据实现对患者的治疗，</w:t>
      </w:r>
      <w:r>
        <w:rPr>
          <w:color w:val="231F20"/>
          <w:spacing w:val="4"/>
        </w:rPr>
        <w:t>进而降低疾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病对患者生命安全的威胁性。但急性肠系膜血管栓塞在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发病初期并无显著临床症状，一经确诊大多已经处于疾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病的中后期。患者在患病伊始会出现一定的腹部绞痛症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状，但随着病程的不断推进会出现明显的呕吐甚至中毒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性休克。且此前由于对于这一疾病的认知程度不深，所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以这一疾病的误诊率较高，进而对患者的身体恢复产生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不利的影响。临床上诊断急性肠系膜血管栓塞</w:t>
      </w:r>
      <w:r>
        <w:rPr>
          <w:color w:val="231F20"/>
          <w:spacing w:val="4"/>
        </w:rPr>
        <w:t>的主要方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式为剖腹探查术与急诊腹部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CT</w:t>
      </w:r>
      <w:r>
        <w:rPr>
          <w:sz w:val="11"/>
          <w:szCs w:val="11"/>
          <w:color w:val="231F20"/>
          <w:spacing w:val="-1"/>
          <w:position w:val="9"/>
        </w:rPr>
        <w:t>[3]</w:t>
      </w:r>
      <w:r>
        <w:rPr>
          <w:color w:val="231F20"/>
          <w:spacing w:val="-1"/>
        </w:rPr>
        <w:t>。</w:t>
      </w:r>
    </w:p>
    <w:p>
      <w:pPr>
        <w:pStyle w:val="BodyText"/>
        <w:ind w:left="619" w:right="231" w:firstLine="397"/>
        <w:spacing w:before="4" w:line="253" w:lineRule="auto"/>
        <w:jc w:val="both"/>
        <w:rPr/>
      </w:pPr>
      <w:r>
        <w:rPr>
          <w:color w:val="231F20"/>
          <w:spacing w:val="5"/>
        </w:rPr>
        <w:t>腹部探查术是诊断急性肠系膜血管栓塞较为传统的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方式，这一诊断方式具有较高的准确度，但操作过程中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会对患者身体造成一定的创伤，且患者在术</w:t>
      </w:r>
      <w:r>
        <w:rPr>
          <w:color w:val="231F20"/>
          <w:spacing w:val="4"/>
        </w:rPr>
        <w:t>后会出现较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为明显的痛感。如若患者为免疫力较差的老年群体，则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" w:right="70" w:firstLine="1"/>
        <w:spacing w:before="36" w:line="277" w:lineRule="auto"/>
        <w:jc w:val="both"/>
        <w:rPr/>
      </w:pPr>
      <w:r>
        <w:rPr>
          <w:color w:val="231F20"/>
          <w:spacing w:val="4"/>
        </w:rPr>
        <w:t>腹部探查术会对其身体造成更为严重的损伤。因而剖腹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探查术在急性肠系膜血管栓塞诊断过程中患者接受度较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低。随着诊疗技术的日益发展，急诊腹部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在各类疾病 </w:t>
      </w:r>
      <w:r>
        <w:rPr>
          <w:color w:val="231F20"/>
          <w:spacing w:val="5"/>
        </w:rPr>
        <w:t>的临床诊断实践中得到了更为广泛的应用，这一诊断方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式极为显著的特征为无创且快速</w:t>
      </w:r>
      <w:r>
        <w:rPr>
          <w:color w:val="231F20"/>
          <w:spacing w:val="-11"/>
        </w:rPr>
        <w:t xml:space="preserve"> </w:t>
      </w:r>
      <w:r>
        <w:rPr>
          <w:sz w:val="11"/>
          <w:szCs w:val="11"/>
          <w:color w:val="231F20"/>
          <w:spacing w:val="-2"/>
          <w:position w:val="9"/>
        </w:rPr>
        <w:t>[4]</w:t>
      </w:r>
      <w:r>
        <w:rPr>
          <w:color w:val="231F20"/>
          <w:spacing w:val="-2"/>
        </w:rPr>
        <w:t>。运用急诊腹部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"/>
        </w:rPr>
        <w:t>CT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2"/>
        </w:rPr>
        <w:t>对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急性肠系膜血管栓塞患者进行诊断可在一定程度上提高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诊断准确率。急诊腹部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可清晰观察患者肠系膜血管中 </w:t>
      </w:r>
      <w:r>
        <w:rPr>
          <w:color w:val="231F20"/>
          <w:spacing w:val="5"/>
        </w:rPr>
        <w:t>有无出现栓子、病灶侵袭情况。同时在检查过程中还能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够对其他脏器情况进行密切观察，进而排除其</w:t>
      </w:r>
      <w:r>
        <w:rPr>
          <w:color w:val="231F20"/>
          <w:spacing w:val="4"/>
        </w:rPr>
        <w:t>他脏器疾</w:t>
      </w:r>
      <w:r>
        <w:rPr>
          <w:color w:val="231F20"/>
        </w:rPr>
        <w:t xml:space="preserve"> </w:t>
      </w:r>
      <w:r>
        <w:rPr>
          <w:color w:val="231F20"/>
        </w:rPr>
        <w:t>病引发的急腹症，最终实现鉴别诊断。腹部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42"/>
        </w:rPr>
        <w:t xml:space="preserve"> </w:t>
      </w:r>
      <w:r>
        <w:rPr>
          <w:color w:val="231F20"/>
        </w:rPr>
        <w:t>诊断的主 </w:t>
      </w:r>
      <w:r>
        <w:rPr>
          <w:color w:val="231F20"/>
          <w:spacing w:val="5"/>
        </w:rPr>
        <w:t>要原理是通过对二维多平面重建和三维血管重建技术的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应用，进而使得肠缺血情况充分显示出来，而后实现诊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断准确度的提高。急性肠系膜血管栓塞患者其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主要表 </w:t>
      </w:r>
      <w:r>
        <w:rPr>
          <w:color w:val="231F20"/>
          <w:spacing w:val="5"/>
        </w:rPr>
        <w:t>现分为两种类型，即间接征象与直接征象。急性肠系膜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血管栓塞患者普遍会出现肠壁气肿、肠系膜静脉内积气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等症状。如若患者经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检查后出现肠壁和门静脉积气症 </w:t>
      </w:r>
      <w:r>
        <w:rPr>
          <w:color w:val="231F20"/>
          <w:spacing w:val="5"/>
        </w:rPr>
        <w:t>状，则其产生原因是肠壁部分出现缺血情况。急诊腹部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3"/>
        </w:rPr>
        <w:t>诊断急性肠系膜血管栓塞患者的准确性以及安</w:t>
      </w:r>
      <w:r>
        <w:rPr>
          <w:color w:val="231F20"/>
          <w:spacing w:val="2"/>
        </w:rPr>
        <w:t>全性不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断的在临床实践当中得以证明，现阶段该诊断方式得到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了患者及家属广泛的认可</w:t>
      </w:r>
      <w:r>
        <w:rPr>
          <w:color w:val="231F20"/>
          <w:spacing w:val="-18"/>
        </w:rPr>
        <w:t xml:space="preserve"> </w:t>
      </w:r>
      <w:r>
        <w:rPr>
          <w:sz w:val="11"/>
          <w:szCs w:val="11"/>
          <w:color w:val="231F20"/>
          <w:spacing w:val="-2"/>
          <w:position w:val="8"/>
        </w:rPr>
        <w:t>[5]</w:t>
      </w:r>
      <w:r>
        <w:rPr>
          <w:color w:val="231F20"/>
          <w:spacing w:val="-2"/>
        </w:rPr>
        <w:t>。</w:t>
      </w:r>
    </w:p>
    <w:p>
      <w:pPr>
        <w:pStyle w:val="BodyText"/>
        <w:ind w:left="16" w:firstLine="398"/>
        <w:spacing w:before="3" w:line="277" w:lineRule="auto"/>
        <w:rPr/>
      </w:pPr>
      <w:r>
        <w:rPr>
          <w:color w:val="231F20"/>
          <w:spacing w:val="-2"/>
        </w:rPr>
        <w:t>本试验中研究组与对照组的检出率均高于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2"/>
        </w:rPr>
        <w:t>90%，且差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异不具有统计学意义（</w:t>
      </w:r>
      <w:r>
        <w:rPr>
          <w:i/>
          <w:iCs/>
          <w:color w:val="231F20"/>
          <w:spacing w:val="-4"/>
        </w:rPr>
        <w:t>P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＞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4"/>
        </w:rPr>
        <w:t>0.05）。这一结果与临床研究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提示的结果相似，均提示了腹部探查具有的较高</w:t>
      </w:r>
      <w:r>
        <w:rPr>
          <w:color w:val="231F20"/>
          <w:spacing w:val="3"/>
        </w:rPr>
        <w:t>检出。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而急诊腹部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9"/>
        </w:rPr>
        <w:t>检查与腹部探查术的临床检出率较为接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近，均具有较高的检出率，可以有效应用于临床</w:t>
      </w:r>
      <w:r>
        <w:rPr>
          <w:color w:val="231F20"/>
          <w:spacing w:val="-5"/>
        </w:rPr>
        <w:t>检查中。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同时本次研究还分析了并发症的发生情况，研究数据表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明，研究组患者并发症发生例数为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2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5"/>
        </w:rPr>
        <w:t>例，并发症发生率为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5.0%；对照组患者并发症发生例数为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4"/>
        </w:rPr>
        <w:t>9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4"/>
        </w:rPr>
        <w:t>例，并发症发生率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为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6"/>
        </w:rPr>
        <w:t>22.5%，研究组患者并发症发生率显著低于对照组患者；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研究组患者失血量少于对照组，诊断时间短于对照组，诊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3"/>
        </w:rPr>
        <w:t>断费用低于对照组，组间差异具有统计学意义（</w:t>
      </w:r>
      <w:r>
        <w:rPr>
          <w:i/>
          <w:iCs/>
          <w:color w:val="231F20"/>
          <w:spacing w:val="-13"/>
        </w:rPr>
        <w:t>P</w:t>
      </w:r>
      <w:r>
        <w:rPr>
          <w:color w:val="231F20"/>
          <w:spacing w:val="-13"/>
        </w:rPr>
        <w:t>＜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0.05）。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故应当在急性肠系膜血管栓塞患者的临床诊断实践中加大</w:t>
      </w:r>
      <w:r>
        <w:rPr>
          <w:color w:val="231F20"/>
        </w:rPr>
        <w:t xml:space="preserve"> </w:t>
      </w:r>
      <w:r>
        <w:rPr>
          <w:color w:val="231F20"/>
        </w:rPr>
        <w:t>力度推广急诊腹部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方式，帮助患者尽早确诊疾病，进 </w:t>
      </w:r>
      <w:r>
        <w:rPr>
          <w:color w:val="231F20"/>
          <w:spacing w:val="-8"/>
        </w:rPr>
        <w:t>而制定治疗方案，缓解临床症状，实现对身体健康的维护。</w:t>
      </w:r>
    </w:p>
    <w:p>
      <w:pPr>
        <w:spacing w:before="288" w:line="264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color w:val="231F20"/>
          <w:spacing w:val="1"/>
          <w:position w:val="1"/>
        </w:rPr>
        <w:t>【参考文献】</w:t>
      </w:r>
    </w:p>
    <w:p>
      <w:pPr>
        <w:ind w:left="49"/>
        <w:spacing w:before="44" w:line="214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[1]</w:t>
      </w:r>
      <w:r>
        <w:rPr>
          <w:rFonts w:ascii="KaiTi" w:hAnsi="KaiTi" w:eastAsia="KaiTi" w:cs="KaiTi"/>
          <w:sz w:val="16"/>
          <w:szCs w:val="16"/>
          <w:color w:val="231F20"/>
          <w:spacing w:val="5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范杰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急诊腹部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CT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用于诊断急性肠系膜血管栓塞的临床探究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</w:p>
    <w:p>
      <w:pPr>
        <w:ind w:left="349"/>
        <w:spacing w:before="118" w:line="21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饮食保健，2021，29(3):258.</w:t>
      </w:r>
    </w:p>
    <w:p>
      <w:pPr>
        <w:ind w:left="351" w:right="72" w:hanging="302"/>
        <w:spacing w:before="121" w:line="281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2"/>
        </w:rPr>
        <w:t>[2]</w:t>
      </w:r>
      <w:r>
        <w:rPr>
          <w:rFonts w:ascii="KaiTi" w:hAnsi="KaiTi" w:eastAsia="KaiTi" w:cs="KaiTi"/>
          <w:sz w:val="16"/>
          <w:szCs w:val="16"/>
          <w:color w:val="231F20"/>
          <w:spacing w:val="5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王海波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急诊腹部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CT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对急性肠系膜血管栓塞的诊断作用及价值分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析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中国保健营养，2021，31(1):265-266.</w:t>
      </w:r>
    </w:p>
    <w:p>
      <w:pPr>
        <w:ind w:left="49"/>
        <w:spacing w:before="121" w:line="214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[3]</w:t>
      </w:r>
      <w:r>
        <w:rPr>
          <w:rFonts w:ascii="KaiTi" w:hAnsi="KaiTi" w:eastAsia="KaiTi" w:cs="KaiTi"/>
          <w:sz w:val="16"/>
          <w:szCs w:val="16"/>
          <w:color w:val="231F20"/>
          <w:spacing w:val="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董丽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急诊腹部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CT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在诊断急性肠系膜血管栓塞中的价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值研究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</w:p>
    <w:p>
      <w:pPr>
        <w:ind w:left="355"/>
        <w:spacing w:before="117" w:line="21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影像研究与医学应用，2020，4(6):20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0-201.</w:t>
      </w:r>
    </w:p>
    <w:p>
      <w:pPr>
        <w:ind w:left="364" w:right="69" w:hanging="315"/>
        <w:spacing w:before="121" w:line="281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6"/>
        </w:rPr>
        <w:t>[4]</w:t>
      </w:r>
      <w:r>
        <w:rPr>
          <w:rFonts w:ascii="KaiTi" w:hAnsi="KaiTi" w:eastAsia="KaiTi" w:cs="KaiTi"/>
          <w:sz w:val="16"/>
          <w:szCs w:val="16"/>
          <w:color w:val="231F20"/>
          <w:spacing w:val="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潘金万，李棠华，王世英，等</w:t>
      </w:r>
      <w:r>
        <w:rPr>
          <w:rFonts w:ascii="KaiTi" w:hAnsi="KaiTi" w:eastAsia="KaiTi" w:cs="KaiTi"/>
          <w:sz w:val="16"/>
          <w:szCs w:val="16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急诊腹部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CT</w:t>
      </w:r>
      <w:r>
        <w:rPr>
          <w:rFonts w:ascii="KaiTi" w:hAnsi="KaiTi" w:eastAsia="KaiTi" w:cs="KaiTi"/>
          <w:sz w:val="16"/>
          <w:szCs w:val="16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对急性肠系膜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血管栓塞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的诊断作用分析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现代医用影像学，2020，29(11):2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012-2015.</w:t>
      </w:r>
    </w:p>
    <w:p>
      <w:pPr>
        <w:ind w:left="49"/>
        <w:spacing w:before="121" w:line="214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[5]</w:t>
      </w:r>
      <w:r>
        <w:rPr>
          <w:rFonts w:ascii="KaiTi" w:hAnsi="KaiTi" w:eastAsia="KaiTi" w:cs="KaiTi"/>
          <w:sz w:val="16"/>
          <w:szCs w:val="16"/>
          <w:color w:val="231F20"/>
          <w:spacing w:val="5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汝斌.</w:t>
      </w:r>
      <w:r>
        <w:rPr>
          <w:rFonts w:ascii="KaiTi" w:hAnsi="KaiTi" w:eastAsia="KaiTi" w:cs="KaiTi"/>
          <w:sz w:val="16"/>
          <w:szCs w:val="16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急诊腹部CT对急性肠系膜血管栓塞的临床诊断价值分析</w:t>
      </w:r>
      <w:r>
        <w:rPr>
          <w:rFonts w:ascii="KaiTi" w:hAnsi="KaiTi" w:eastAsia="KaiTi" w:cs="KaiTi"/>
          <w:sz w:val="16"/>
          <w:szCs w:val="16"/>
          <w:color w:val="231F20"/>
          <w:spacing w:val="-1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</w:p>
    <w:p>
      <w:pPr>
        <w:ind w:left="350"/>
        <w:spacing w:before="118" w:line="21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健康大视野，2020，10(11):230-23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1.</w:t>
      </w:r>
    </w:p>
    <w:sectPr>
      <w:type w:val="continuous"/>
      <w:pgSz w:w="12246" w:h="16498"/>
      <w:pgMar w:top="1216" w:right="949" w:bottom="868" w:left="407" w:header="788" w:footer="354" w:gutter="0"/>
      <w:cols w:equalWidth="0" w:num="2">
        <w:col w:w="5776" w:space="100"/>
        <w:col w:w="501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8"/>
      </w:rPr>
      <w:t>(c)1994-2022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-31"/>
      </w:rPr>
      <w:t xml:space="preserve"> </w:t>
    </w:r>
    <w:r>
      <w:rPr>
        <w:rFonts w:ascii="Arial" w:hAnsi="Arial" w:eastAsia="Arial" w:cs="Arial"/>
        <w:sz w:val="19"/>
        <w:szCs w:val="19"/>
        <w:color w:val="B2B2B2"/>
        <w:spacing w:val="8"/>
      </w:rPr>
      <w:t>·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5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8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8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8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0"/>
      <w:spacing w:line="320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178</w:t>
    </w:r>
  </w:p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7"/>
      </w:rPr>
      <w:t>(c)1994-2022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7"/>
      </w:rPr>
      <w:t>.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  <w:spacing w:val="7"/>
      </w:rPr>
      <w:t>A1</w:t>
    </w:r>
    <w:r>
      <w:rPr>
        <w:rFonts w:ascii="Arial" w:hAnsi="Arial" w:eastAsia="Arial" w:cs="Arial"/>
        <w:sz w:val="19"/>
        <w:szCs w:val="19"/>
        <w:color w:val="B2B2B2"/>
      </w:rPr>
      <w:t>l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7"/>
      </w:rPr>
      <w:t>.</w:t>
    </w:r>
    <w:r>
      <w:rPr>
        <w:rFonts w:ascii="Arial" w:hAnsi="Arial" w:eastAsia="Arial" w:cs="Arial"/>
        <w:sz w:val="19"/>
        <w:szCs w:val="19"/>
        <w:color w:val="B2B2B2"/>
        <w:spacing w:val="7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7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7"/>
      </w:rPr>
      <w:t>.</w:t>
    </w:r>
    <w:r>
      <w:rPr>
        <w:rFonts w:ascii="Arial" w:hAnsi="Arial" w:eastAsia="Arial" w:cs="Arial"/>
        <w:sz w:val="19"/>
        <w:szCs w:val="19"/>
        <w:color w:val="B2B2B2"/>
        <w:spacing w:val="-34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7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1"/>
      <w:spacing w:before="46" w:line="203" w:lineRule="auto"/>
      <w:tabs>
        <w:tab w:val="left" w:pos="4795"/>
      </w:tabs>
      <w:rPr>
        <w:rFonts w:ascii="Microsoft YaHei" w:hAnsi="Microsoft YaHei" w:eastAsia="Microsoft YaHei" w:cs="Microsoft YaHei"/>
        <w:sz w:val="21"/>
        <w:szCs w:val="21"/>
      </w:rPr>
    </w:pPr>
    <w:r>
      <w:pict>
        <v:shape id="_x0000_s2" style="position:absolute;margin-left:503.008pt;margin-top:42.2698pt;mso-position-vertical-relative:page;mso-position-horizontal-relative:page;width:58.55pt;height:14.8pt;z-index:-251658240;" o:allowincell="f" filled="false" strokecolor="#231F20" strokeweight="0.50pt" coordsize="1170,296" coordorigin="0,0" path="m90,5c90,5,5,5,5,90l5,205c5,205,5,290,90,290l1080,290c1080,290,1165,290,1165,205l1165,90c1165,90,1165,5,1080,5l90,5xe">
          <v:stroke joinstyle="miter" miterlimit="4"/>
        </v:shape>
      </w:pict>
    </w:r>
    <w:r>
      <w:rPr>
        <w:rFonts w:ascii="KaiTi" w:hAnsi="KaiTi" w:eastAsia="KaiTi" w:cs="KaiTi"/>
        <w:sz w:val="21"/>
        <w:szCs w:val="21"/>
        <w:u w:val="single" w:color="auto"/>
        <w:color w:val="231F20"/>
      </w:rPr>
      <w:tab/>
    </w:r>
    <w:r>
      <w:rPr>
        <w:rFonts w:ascii="KaiTi" w:hAnsi="KaiTi" w:eastAsia="KaiTi" w:cs="KaiTi"/>
        <w:sz w:val="21"/>
        <w:szCs w:val="21"/>
        <w:u w:val="single" w:color="auto"/>
        <w:color w:val="231F20"/>
        <w:spacing w:val="12"/>
      </w:rPr>
      <w:t>影像研究与医学应用</w:t>
    </w:r>
    <w:r>
      <w:rPr>
        <w:rFonts w:ascii="KaiTi" w:hAnsi="KaiTi" w:eastAsia="KaiTi" w:cs="KaiTi"/>
        <w:sz w:val="21"/>
        <w:szCs w:val="21"/>
        <w:u w:val="single" w:color="auto"/>
        <w:color w:val="231F20"/>
        <w:spacing w:val="64"/>
      </w:rPr>
      <w:t xml:space="preserve"> </w:t>
    </w:r>
    <w:r>
      <w:rPr>
        <w:rFonts w:ascii="KaiTi" w:hAnsi="KaiTi" w:eastAsia="KaiTi" w:cs="KaiTi"/>
        <w:sz w:val="21"/>
        <w:szCs w:val="21"/>
        <w:u w:val="single" w:color="auto"/>
        <w:color w:val="231F20"/>
        <w:spacing w:val="12"/>
      </w:rPr>
      <w:t>2021年12月</w:t>
    </w:r>
    <w:r>
      <w:rPr>
        <w:rFonts w:ascii="KaiTi" w:hAnsi="KaiTi" w:eastAsia="KaiTi" w:cs="KaiTi"/>
        <w:sz w:val="21"/>
        <w:szCs w:val="21"/>
        <w:u w:val="single" w:color="auto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u w:val="single" w:color="auto"/>
        <w:color w:val="231F20"/>
        <w:spacing w:val="12"/>
      </w:rPr>
      <w:t>第5卷第23期</w:t>
    </w:r>
    <w:r>
      <w:rPr>
        <w:rFonts w:ascii="KaiTi" w:hAnsi="KaiTi" w:eastAsia="KaiTi" w:cs="KaiTi"/>
        <w:sz w:val="21"/>
        <w:szCs w:val="21"/>
        <w:color w:val="231F20"/>
        <w:spacing w:val="31"/>
      </w:rPr>
      <w:t xml:space="preserve">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12"/>
        <w:position w:val="-1"/>
      </w:rPr>
      <w:t>医学影像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54"/>
      <w:spacing w:before="87" w:line="214" w:lineRule="auto"/>
      <w:rPr>
        <w:rFonts w:ascii="KaiTi" w:hAnsi="KaiTi" w:eastAsia="KaiTi" w:cs="KaiTi"/>
        <w:sz w:val="21"/>
        <w:szCs w:val="21"/>
      </w:rPr>
    </w:pPr>
    <w:r>
      <w:pict>
        <v:shape id="_x0000_s16" style="position:absolute;margin-left:112.774pt;margin-top:57.2844pt;mso-position-vertical-relative:page;mso-position-horizontal-relative:page;width:451pt;height:0.75pt;z-index:251660288;" o:allowincell="f" filled="false" strokecolor="#231F20" strokeweight="0.71pt" coordsize="9020,15" coordorigin="0,0" path="m0,7l9019,7e">
          <v:stroke joinstyle="miter" miterlimit="4"/>
        </v:shape>
      </w:pict>
    </w:r>
    <w:r>
      <w:pict>
        <v:shape id="_x0000_s18" style="position:absolute;margin-left:29.3736pt;margin-top:1.87372pt;mso-position-vertical-relative:text;mso-position-horizontal-relative:text;width:59.1pt;height:16.8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line="20" w:lineRule="exact"/>
                  <w:rPr/>
                </w:pPr>
                <w:r/>
              </w:p>
              <w:tbl>
                <w:tblPr>
                  <w:tblStyle w:val="TableNormal"/>
                  <w:tblW w:w="1131" w:type="dxa"/>
                  <w:tblInd w:w="25" w:type="dxa"/>
                  <w:shd w:val="clear" w:fill="FFFFFF"/>
                  <w:tblLayout w:type="fixed"/>
                  <w:tblBorders>
                    <w:left w:val="single" w:color="231F20" w:sz="4" w:space="0"/>
                    <w:bottom w:val="single" w:color="231F20" w:sz="4" w:space="0"/>
                    <w:right w:val="single" w:color="231F20" w:sz="4" w:space="0"/>
                    <w:top w:val="single" w:color="231F20" w:sz="4" w:space="0"/>
                  </w:tblBorders>
                </w:tblPr>
                <w:tblGrid>
                  <w:gridCol w:w="1131"/>
                </w:tblGrid>
                <w:tr>
                  <w:trPr>
                    <w:trHeight w:val="275" w:hRule="atLeast"/>
                  </w:trPr>
                  <w:tc>
                    <w:tcPr>
                      <w:shd w:val="clear" w:fill="FFFFFF"/>
                      <w:tcW w:w="1131" w:type="dxa"/>
                      <w:vAlign w:val="top"/>
                    </w:tcPr>
                    <w:p>
                      <w:pPr>
                        <w:ind w:left="150"/>
                        <w:spacing w:before="3" w:line="174" w:lineRule="auto"/>
                        <w:rPr>
                          <w:rFonts w:ascii="Microsoft YaHei" w:hAnsi="Microsoft YaHei" w:eastAsia="Microsoft YaHei" w:cs="Microsoft YaHei"/>
                          <w:sz w:val="21"/>
                          <w:szCs w:val="21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21"/>
                          <w:szCs w:val="21"/>
                          <w:color w:val="231F20"/>
                          <w:spacing w:val="-3"/>
                        </w:rPr>
                        <w:t>医学影像</w:t>
                      </w:r>
                    </w:p>
                  </w:tc>
                </w:tr>
              </w:tbl>
              <w:p>
                <w:pPr>
                  <w:rPr>
                    <w:rFonts w:ascii="Arial"/>
                    <w:sz w:val="21"/>
                  </w:rPr>
                </w:pPr>
                <w:r/>
              </w:p>
            </w:txbxContent>
          </v:textbox>
        </v:shape>
      </w:pict>
    </w:r>
    <w:r>
      <w:rPr>
        <w:rFonts w:ascii="KaiTi" w:hAnsi="KaiTi" w:eastAsia="KaiTi" w:cs="KaiTi"/>
        <w:sz w:val="21"/>
        <w:szCs w:val="21"/>
        <w:color w:val="231F20"/>
        <w:spacing w:val="15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54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5"/>
      </w:rPr>
      <w:t>2021年12月</w:t>
    </w:r>
    <w:r>
      <w:rPr>
        <w:rFonts w:ascii="KaiTi" w:hAnsi="KaiTi" w:eastAsia="KaiTi" w:cs="KaiTi"/>
        <w:sz w:val="21"/>
        <w:szCs w:val="21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5"/>
      </w:rPr>
      <w:t>第5卷第2</w:t>
    </w:r>
    <w:r>
      <w:rPr>
        <w:rFonts w:ascii="KaiTi" w:hAnsi="KaiTi" w:eastAsia="KaiTi" w:cs="KaiTi"/>
        <w:sz w:val="21"/>
        <w:szCs w:val="21"/>
        <w:color w:val="231F20"/>
        <w:spacing w:val="14"/>
      </w:rPr>
      <w:t>3期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2022-10-30T15:21:55Z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2025-10-28T21:25:46</vt:filetime>
  </property>
</Properties>
</file>