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773"/>
        <w:spacing w:before="269" w:line="214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43"/>
          <w:w w:val="125"/>
        </w:rPr>
        <w:t>指南与共识</w:t>
      </w:r>
    </w:p>
    <w:p>
      <w:pPr>
        <w:ind w:left="739"/>
        <w:spacing w:before="69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DOI：10.19538/j.nk2018100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109</w:t>
      </w:r>
    </w:p>
    <w:p>
      <w:pPr>
        <w:ind w:left="1177"/>
        <w:spacing w:before="287" w:line="20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231F20"/>
          <w:spacing w:val="-15"/>
          <w:w w:val="99"/>
        </w:rPr>
        <w:t>内镜下逆行胰胆管造影术围手术期用药专家共识意见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1695"/>
        <w:spacing w:before="68" w:line="22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2"/>
        </w:rPr>
        <w:t>中国医师协会内镜医师分会消化内镜专业委员会，中国医师协会胰腺病专业委员会，</w:t>
      </w:r>
    </w:p>
    <w:p>
      <w:pPr>
        <w:ind w:left="1433"/>
        <w:spacing w:before="1" w:line="22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</w:rPr>
        <w:t>《中华消化杂志》编辑部，《中华消化内镜杂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志》编辑部，《中华胰腺病杂志》编辑部，</w:t>
      </w:r>
    </w:p>
    <w:p>
      <w:pPr>
        <w:ind w:left="2903"/>
        <w:spacing w:line="22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</w:rPr>
        <w:t>《胃肠病学杂志》编辑部，《中国实用内科杂志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》编辑部</w:t>
      </w:r>
    </w:p>
    <w:p>
      <w:pPr>
        <w:ind w:left="1100"/>
        <w:spacing w:before="245" w:line="204" w:lineRule="auto"/>
        <w:rPr>
          <w:rFonts w:ascii="KaiTi" w:hAnsi="KaiTi" w:eastAsia="KaiTi" w:cs="KaiT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关键词 ：</w:t>
      </w:r>
      <w:r>
        <w:rPr>
          <w:rFonts w:ascii="KaiTi" w:hAnsi="KaiTi" w:eastAsia="KaiTi" w:cs="KaiTi"/>
          <w:sz w:val="18"/>
          <w:szCs w:val="18"/>
          <w:color w:val="231F20"/>
          <w:spacing w:val="-13"/>
        </w:rPr>
        <w:t>内镜下逆行胰胆管造影术</w:t>
      </w:r>
      <w:r>
        <w:rPr>
          <w:rFonts w:ascii="KaiTi" w:hAnsi="KaiTi" w:eastAsia="KaiTi" w:cs="KaiTi"/>
          <w:sz w:val="18"/>
          <w:szCs w:val="18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13"/>
        </w:rPr>
        <w:t>；术后胰腺炎</w:t>
      </w:r>
      <w:r>
        <w:rPr>
          <w:rFonts w:ascii="KaiTi" w:hAnsi="KaiTi" w:eastAsia="KaiTi" w:cs="KaiTi"/>
          <w:sz w:val="18"/>
          <w:szCs w:val="18"/>
          <w:color w:val="231F20"/>
          <w:spacing w:val="-53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13"/>
        </w:rPr>
        <w:t>；出血</w:t>
      </w:r>
      <w:r>
        <w:rPr>
          <w:rFonts w:ascii="KaiTi" w:hAnsi="KaiTi" w:eastAsia="KaiTi" w:cs="KaiTi"/>
          <w:sz w:val="18"/>
          <w:szCs w:val="18"/>
          <w:color w:val="231F20"/>
          <w:spacing w:val="-52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13"/>
        </w:rPr>
        <w:t>；感染</w:t>
      </w:r>
      <w:r>
        <w:rPr>
          <w:rFonts w:ascii="KaiTi" w:hAnsi="KaiTi" w:eastAsia="KaiTi" w:cs="KaiTi"/>
          <w:sz w:val="18"/>
          <w:szCs w:val="18"/>
          <w:color w:val="231F20"/>
          <w:spacing w:val="-53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13"/>
        </w:rPr>
        <w:t>；穿孔</w:t>
      </w:r>
    </w:p>
    <w:p>
      <w:pPr>
        <w:ind w:left="1116"/>
        <w:spacing w:before="18"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中图分类号：R45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文献标识码：A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1092" w:right="444" w:firstLine="3"/>
        <w:spacing w:before="52" w:line="32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4"/>
        </w:rPr>
        <w:t>Expert consensus on perioperative medication for endoscop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5"/>
        </w:rPr>
        <w:t>ic retrograde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5"/>
        </w:rPr>
        <w:t>cholangiopancreatography.       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5"/>
        </w:rPr>
        <w:t>Chinese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5"/>
        </w:rPr>
        <w:t>Digestive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5"/>
          <w:w w:val="98"/>
        </w:rPr>
        <w:t>Endoscopist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5"/>
          <w:w w:val="98"/>
        </w:rPr>
        <w:t>Committee,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5"/>
          <w:w w:val="98"/>
        </w:rPr>
        <w:t>Chinese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5"/>
          <w:w w:val="98"/>
        </w:rPr>
        <w:t>Endoscopist Association,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5"/>
          <w:w w:val="98"/>
        </w:rPr>
        <w:t>Chinese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5"/>
          <w:w w:val="98"/>
        </w:rPr>
        <w:t>Physicians'Asso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  <w:w w:val="98"/>
        </w:rPr>
        <w:t>ciation,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  <w:w w:val="98"/>
        </w:rPr>
        <w:t>Pancreatic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  <w:w w:val="98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  <w:w w:val="98"/>
        </w:rPr>
        <w:t>Committee,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  <w:w w:val="98"/>
        </w:rPr>
        <w:t>Chinese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  <w:w w:val="88"/>
        </w:rPr>
        <w:t>Physicians'Association, Editorial Depart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w w:val="88"/>
        </w:rPr>
        <w:t>ment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w w:val="88"/>
        </w:rPr>
        <w:t>Chinese Journal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w w:val="88"/>
        </w:rPr>
        <w:t>of Digestion, Editorial Department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w w:val="88"/>
        </w:rPr>
        <w:t>Chinese Journal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w w:val="8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w w:val="88"/>
        </w:rPr>
        <w:t>digestive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w w:val="88"/>
        </w:rPr>
        <w:t>endoscopy;</w:t>
      </w:r>
    </w:p>
    <w:p>
      <w:pPr>
        <w:ind w:left="1083" w:right="442" w:firstLine="8"/>
        <w:spacing w:before="2" w:line="30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w w:val="91"/>
        </w:rPr>
        <w:t>Editorial Department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w w:val="91"/>
        </w:rPr>
        <w:t>Chinese Journal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  <w:w w:val="91"/>
        </w:rPr>
        <w:t>of pancreati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4"/>
          <w:w w:val="91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4"/>
          <w:w w:val="91"/>
        </w:rPr>
        <w:t>diseases; Editorial Department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4"/>
          <w:w w:val="91"/>
        </w:rPr>
        <w:t>Gastroenterology, Editorial Department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4"/>
          <w:w w:val="91"/>
        </w:rPr>
        <w:t>Chinese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  <w:w w:val="87"/>
        </w:rPr>
        <w:t>Journal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  <w:w w:val="87"/>
        </w:rPr>
        <w:t>Practical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  <w:w w:val="87"/>
        </w:rPr>
        <w:t>Internal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  <w:w w:val="87"/>
        </w:rPr>
        <w:t>Medicine</w:t>
      </w:r>
    </w:p>
    <w:p>
      <w:pPr>
        <w:ind w:left="1098"/>
        <w:spacing w:before="38" w:line="224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6"/>
          <w:position w:val="2"/>
        </w:rPr>
        <w:t>Keywords: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  <w:position w:val="2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  <w:position w:val="2"/>
        </w:rPr>
        <w:t>retrograde cholangiopancreatography;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  <w:position w:val="2"/>
        </w:rPr>
        <w:t>post-ERCP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  <w:position w:val="2"/>
        </w:rPr>
        <w:t>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  <w:position w:val="2"/>
        </w:rPr>
        <w:t>creatitis;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  <w:position w:val="2"/>
        </w:rPr>
        <w:t>hemorrhage;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  <w:position w:val="2"/>
        </w:rPr>
        <w:t>infection;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  <w:position w:val="2"/>
        </w:rPr>
        <w:t>perforation</w:t>
      </w:r>
    </w:p>
    <w:p>
      <w:pPr>
        <w:spacing w:before="199"/>
        <w:rPr/>
      </w:pPr>
      <w:r/>
    </w:p>
    <w:p>
      <w:pPr>
        <w:sectPr>
          <w:headerReference w:type="default" r:id="rId1"/>
          <w:pgSz w:w="11906" w:h="16782"/>
          <w:pgMar w:top="1199" w:right="1057" w:bottom="0" w:left="407" w:header="953" w:footer="0" w:gutter="0"/>
          <w:cols w:equalWidth="0" w:num="1">
            <w:col w:w="10440" w:space="0"/>
          </w:cols>
        </w:sectPr>
        <w:rPr/>
      </w:pPr>
    </w:p>
    <w:p>
      <w:pPr>
        <w:pStyle w:val="BodyText"/>
        <w:ind w:left="727" w:right="291" w:firstLine="449"/>
        <w:spacing w:before="44" w:line="300" w:lineRule="auto"/>
        <w:jc w:val="both"/>
        <w:rPr/>
      </w:pPr>
      <w:r>
        <w:rPr>
          <w:color w:val="231F20"/>
          <w:spacing w:val="-7"/>
        </w:rPr>
        <w:t>内镜下逆行胰胆管造影术(endoscopic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7"/>
        </w:rPr>
        <w:t>retrograde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cholangiopancreatography，ERCP)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已广泛应用于胆胰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疾病的诊治，但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3"/>
        </w:rPr>
        <w:t>操作有一定并发症发生率，主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要包括术后胰腺炎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9"/>
        </w:rPr>
        <w:t>(post-ERCP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9"/>
        </w:rPr>
        <w:t>pancreatitis，PEP</w:t>
      </w:r>
      <w:r>
        <w:rPr>
          <w:color w:val="231F20"/>
          <w:spacing w:val="-10"/>
        </w:rPr>
        <w:t>)、出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血、感染，穿孔等。围手术期合理应用药物可有效降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0"/>
        </w:rPr>
        <w:t>低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0"/>
        </w:rPr>
        <w:t>术后并发症，然而目前对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0"/>
        </w:rPr>
        <w:t>的围手术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期合理用药认识存在明显不足，围手术期合理使用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1"/>
        </w:rPr>
        <w:t>预防药物的比例较低</w:t>
      </w:r>
      <w:r>
        <w:rPr>
          <w:color w:val="231F20"/>
          <w:spacing w:val="-26"/>
        </w:rPr>
        <w:t xml:space="preserve"> </w:t>
      </w:r>
      <w:r>
        <w:rPr>
          <w:sz w:val="12"/>
          <w:szCs w:val="12"/>
          <w:color w:val="231F20"/>
          <w:spacing w:val="11"/>
          <w:position w:val="9"/>
        </w:rPr>
        <w:t>[1-2]</w:t>
      </w:r>
      <w:r>
        <w:rPr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color w:val="231F20"/>
          <w:spacing w:val="11"/>
        </w:rPr>
        <w:t>。目前关于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围手术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期用药的研究繁多，但结论不一，2015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年我国制定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了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围手术期用药专家共识意见</w:t>
      </w:r>
      <w:r>
        <w:rPr>
          <w:color w:val="231F20"/>
          <w:spacing w:val="-39"/>
        </w:rPr>
        <w:t xml:space="preserve"> </w:t>
      </w:r>
      <w:r>
        <w:rPr>
          <w:sz w:val="12"/>
          <w:szCs w:val="12"/>
          <w:color w:val="231F20"/>
          <w:spacing w:val="5"/>
          <w:position w:val="9"/>
        </w:rPr>
        <w:t>[3]</w:t>
      </w:r>
      <w:r>
        <w:rPr>
          <w:color w:val="231F20"/>
          <w:spacing w:val="5"/>
        </w:rPr>
        <w:t>，近年来随着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对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围手术期用药研究的报道数量不断增加，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其中来自中国的临床研究占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30%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以上，中国医师协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会内镜医师分会消化内镜专业委员会及中国医师协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0"/>
        </w:rPr>
        <w:t>会胰腺病专业委员会于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2018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0"/>
        </w:rPr>
        <w:t>年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0"/>
        </w:rPr>
        <w:t>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0"/>
        </w:rPr>
        <w:t>月在南昌组织召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开了“</w:t>
      </w:r>
      <w:r>
        <w:rPr>
          <w:color w:val="231F20"/>
        </w:rPr>
        <w:t>ERCP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围手术期用药专家共识意见研讨会”，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经与会专家充分讨论后形成了本共识意见，供广大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临床医师参考借鉴。</w:t>
      </w:r>
    </w:p>
    <w:p>
      <w:pPr>
        <w:ind w:left="746"/>
        <w:spacing w:before="161" w:line="20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基本定义</w:t>
      </w:r>
    </w:p>
    <w:p>
      <w:pPr>
        <w:pStyle w:val="BodyText"/>
        <w:ind w:left="732" w:right="292" w:firstLine="16"/>
        <w:spacing w:before="197" w:line="288" w:lineRule="auto"/>
        <w:rPr/>
      </w:pPr>
      <w:r>
        <w:rPr>
          <w:color w:val="231F20"/>
          <w:spacing w:val="11"/>
        </w:rPr>
        <w:t>1.1  </w:t>
      </w:r>
      <w:r>
        <w:rPr>
          <w:color w:val="231F20"/>
        </w:rPr>
        <w:t>ERCP</w:t>
      </w:r>
      <w:r>
        <w:rPr>
          <w:color w:val="231F20"/>
          <w:spacing w:val="11"/>
        </w:rPr>
        <w:t xml:space="preserve">  是指将内镜插至十二指肠的降部，并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1"/>
        </w:rPr>
        <w:t>经十二指肠乳头开口或瘘口等部位插入相关器械，</w:t>
      </w:r>
    </w:p>
    <w:p>
      <w:pPr>
        <w:spacing w:line="283" w:lineRule="auto"/>
        <w:rPr>
          <w:rFonts w:ascii="Arial"/>
          <w:sz w:val="21"/>
        </w:rPr>
      </w:pPr>
      <w:r>
        <w:pict>
          <v:shape id="_x0000_s4" style="position:absolute;margin-left:36.4344pt;margin-top:11.0527pt;mso-position-vertical-relative:text;mso-position-horizontal-relative:text;width:99.6pt;height:0.35pt;z-index:251658240;" filled="false" strokecolor="#231F20" strokeweight="0.28pt" coordsize="1991,6" coordorigin="0,0" path="m0,2l1991,4e">
            <v:stroke joinstyle="miter" miterlimit="4"/>
          </v:shape>
        </w:pict>
      </w:r>
      <w:r/>
    </w:p>
    <w:p>
      <w:pPr>
        <w:pStyle w:val="BodyText"/>
        <w:ind w:left="727" w:right="357" w:firstLine="313"/>
        <w:spacing w:before="52" w:line="26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通信作者：麻树人(北方战区总医院消化内科)，电子信箱： </w:t>
      </w:r>
      <w:r>
        <w:rPr>
          <w:sz w:val="16"/>
          <w:szCs w:val="16"/>
          <w:color w:val="231F20"/>
        </w:rPr>
        <w:t>shuren</w:t>
      </w:r>
      <w:r>
        <w:rPr>
          <w:sz w:val="16"/>
          <w:szCs w:val="16"/>
          <w:color w:val="231F20"/>
          <w:spacing w:val="7"/>
        </w:rPr>
        <w:t>_</w:t>
      </w:r>
      <w:r>
        <w:rPr>
          <w:sz w:val="16"/>
          <w:szCs w:val="16"/>
          <w:color w:val="231F20"/>
        </w:rPr>
        <w:t>ma</w:t>
      </w:r>
      <w:r>
        <w:rPr>
          <w:sz w:val="16"/>
          <w:szCs w:val="16"/>
          <w:color w:val="231F20"/>
          <w:spacing w:val="7"/>
        </w:rPr>
        <w:t>@163.</w:t>
      </w:r>
      <w:r>
        <w:rPr>
          <w:sz w:val="16"/>
          <w:szCs w:val="16"/>
          <w:color w:val="231F20"/>
        </w:rPr>
        <w:t>com</w:t>
      </w:r>
      <w:r>
        <w:rPr>
          <w:sz w:val="16"/>
          <w:szCs w:val="16"/>
          <w:color w:val="231F20"/>
          <w:spacing w:val="7"/>
        </w:rPr>
        <w:t>；张澍田(北京友谊医院消化内科)，电子信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"/>
        </w:rPr>
        <w:t>箱：zhangst@ccmu.edu.cn；李兆申</w:t>
      </w:r>
      <w:r>
        <w:rPr>
          <w:sz w:val="16"/>
          <w:szCs w:val="16"/>
          <w:color w:val="231F20"/>
          <w:spacing w:val="-2"/>
        </w:rPr>
        <w:t>(海军军医大学长海医院消化内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科)，电子信箱：zhsli@81890.net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4" w:firstLine="22"/>
        <w:spacing w:before="51" w:line="294" w:lineRule="auto"/>
        <w:jc w:val="both"/>
        <w:rPr/>
      </w:pPr>
      <w:r>
        <w:rPr>
          <w:color w:val="231F20"/>
          <w:spacing w:val="7"/>
        </w:rPr>
        <w:t>向胰胆管内注入造影剂。若仅注入造影剂显示胰胆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管或进行细胞刷检、活检取材或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Oddi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"/>
        </w:rPr>
        <w:t>括约肌测压等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诊断目的称诊断性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4"/>
        </w:rPr>
        <w:t>；若通过各种器械对胰胆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管病变进行治疗性操作则称治疗性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12"/>
        </w:rPr>
        <w:t>。</w:t>
      </w:r>
    </w:p>
    <w:p>
      <w:pPr>
        <w:pStyle w:val="BodyText"/>
        <w:ind w:right="13" w:firstLine="19"/>
        <w:spacing w:before="2" w:line="296" w:lineRule="auto"/>
        <w:rPr/>
      </w:pPr>
      <w:r>
        <w:rPr>
          <w:color w:val="231F20"/>
          <w:spacing w:val="2"/>
        </w:rPr>
        <w:t>1.2  </w:t>
      </w:r>
      <w:r>
        <w:rPr>
          <w:color w:val="231F20"/>
        </w:rPr>
        <w:t>PEP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2"/>
        </w:rPr>
        <w:t>1991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年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Cotton</w:t>
      </w:r>
      <w:r>
        <w:rPr>
          <w:sz w:val="12"/>
          <w:szCs w:val="12"/>
          <w:color w:val="231F20"/>
          <w:spacing w:val="2"/>
          <w:position w:val="9"/>
        </w:rPr>
        <w:t>[4] </w:t>
      </w:r>
      <w:r>
        <w:rPr>
          <w:color w:val="231F20"/>
          <w:spacing w:val="2"/>
        </w:rPr>
        <w:t>制定了关于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2"/>
        </w:rPr>
        <w:t>术后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并发症的共识意见，将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4"/>
        </w:rPr>
        <w:t>定义为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4"/>
        </w:rPr>
        <w:t>术后出现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胰腺炎相关的临床症状持续超过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24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h，同时伴有血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淀粉酶超过正常值上限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4"/>
        </w:rPr>
        <w:t>3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24"/>
        </w:rPr>
        <w:t>倍。若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4"/>
        </w:rPr>
        <w:t>术后仅有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血淀粉酶升高，而无胰腺炎的临床表现则称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ERCP </w:t>
      </w:r>
      <w:r>
        <w:rPr>
          <w:color w:val="231F20"/>
          <w:spacing w:val="-3"/>
        </w:rPr>
        <w:t>术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3"/>
        </w:rPr>
        <w:t>后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3"/>
        </w:rPr>
        <w:t>高</w:t>
      </w:r>
      <w:r>
        <w:rPr>
          <w:color w:val="231F20"/>
          <w:spacing w:val="-57"/>
        </w:rPr>
        <w:t xml:space="preserve"> </w:t>
      </w:r>
      <w:r>
        <w:rPr>
          <w:color w:val="231F20"/>
          <w:spacing w:val="-3"/>
        </w:rPr>
        <w:t>淀</w:t>
      </w:r>
      <w:r>
        <w:rPr>
          <w:color w:val="231F20"/>
          <w:spacing w:val="-57"/>
        </w:rPr>
        <w:t xml:space="preserve"> </w:t>
      </w:r>
      <w:r>
        <w:rPr>
          <w:color w:val="231F20"/>
          <w:spacing w:val="-3"/>
        </w:rPr>
        <w:t>粉</w:t>
      </w:r>
      <w:r>
        <w:rPr>
          <w:color w:val="231F20"/>
          <w:spacing w:val="-56"/>
        </w:rPr>
        <w:t xml:space="preserve"> </w:t>
      </w:r>
      <w:r>
        <w:rPr>
          <w:color w:val="231F20"/>
          <w:spacing w:val="-3"/>
        </w:rPr>
        <w:t>酶</w:t>
      </w:r>
      <w:r>
        <w:rPr>
          <w:color w:val="231F20"/>
          <w:spacing w:val="-58"/>
        </w:rPr>
        <w:t xml:space="preserve"> </w:t>
      </w:r>
      <w:r>
        <w:rPr>
          <w:color w:val="231F20"/>
          <w:spacing w:val="-3"/>
        </w:rPr>
        <w:t>血</w:t>
      </w:r>
      <w:r>
        <w:rPr>
          <w:color w:val="231F20"/>
          <w:spacing w:val="-59"/>
        </w:rPr>
        <w:t xml:space="preserve"> </w:t>
      </w:r>
      <w:r>
        <w:rPr>
          <w:color w:val="231F20"/>
          <w:spacing w:val="-3"/>
        </w:rPr>
        <w:t>症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(post-ERCP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hyperamylasemia，</w:t>
      </w:r>
      <w:r>
        <w:rPr>
          <w:color w:val="231F20"/>
        </w:rPr>
        <w:t xml:space="preserve"> </w:t>
      </w:r>
      <w:r>
        <w:rPr>
          <w:color w:val="231F20"/>
        </w:rPr>
        <w:t>PEH</w:t>
      </w:r>
      <w:r>
        <w:rPr>
          <w:color w:val="231F20"/>
          <w:spacing w:val="22"/>
        </w:rPr>
        <w:t>)。</w:t>
      </w:r>
      <w:r>
        <w:rPr>
          <w:color w:val="231F20"/>
        </w:rPr>
        <w:t>PEP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2"/>
        </w:rPr>
        <w:t>的诊断也可参考最近发布的中国急性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胰腺炎多学科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MDT</w:t>
      </w:r>
      <w:r>
        <w:rPr>
          <w:color w:val="231F20"/>
          <w:spacing w:val="4"/>
        </w:rPr>
        <w:t>)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4"/>
        </w:rPr>
        <w:t>诊治共识意见</w:t>
      </w:r>
      <w:r>
        <w:rPr>
          <w:color w:val="231F20"/>
          <w:spacing w:val="-38"/>
        </w:rPr>
        <w:t xml:space="preserve"> </w:t>
      </w:r>
      <w:r>
        <w:rPr>
          <w:sz w:val="12"/>
          <w:szCs w:val="12"/>
          <w:color w:val="231F20"/>
          <w:spacing w:val="4"/>
          <w:position w:val="9"/>
        </w:rPr>
        <w:t>[5]</w:t>
      </w:r>
      <w:r>
        <w:rPr>
          <w:color w:val="231F20"/>
          <w:spacing w:val="4"/>
        </w:rPr>
        <w:t>，根据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的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病情严重程度可以分为轻、中、重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3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9"/>
        </w:rPr>
        <w:t>级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9"/>
        </w:rPr>
        <w:t>(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9"/>
        </w:rPr>
        <w:t>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1)。</w:t>
      </w:r>
    </w:p>
    <w:p>
      <w:pPr>
        <w:pStyle w:val="BodyText"/>
        <w:ind w:right="75" w:firstLine="19"/>
        <w:spacing w:before="51" w:line="275" w:lineRule="auto"/>
        <w:rPr/>
      </w:pPr>
      <w:r>
        <w:rPr>
          <w:color w:val="231F20"/>
          <w:spacing w:val="13"/>
        </w:rPr>
        <w:t>1.3  </w:t>
      </w:r>
      <w:r>
        <w:rPr>
          <w:color w:val="231F20"/>
        </w:rPr>
        <w:t>ERCP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3"/>
        </w:rPr>
        <w:t>围手术期  指从确定行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3"/>
        </w:rPr>
        <w:t>操作至本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次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3"/>
        </w:rPr>
        <w:t>诊疗结束的一段时间，包括术前准备、术中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操作、术后恢复的全过程。</w:t>
      </w:r>
    </w:p>
    <w:p>
      <w:pPr>
        <w:ind w:left="3"/>
        <w:spacing w:before="244" w:line="20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ERCP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的适应证与禁忌证</w:t>
      </w:r>
    </w:p>
    <w:p>
      <w:pPr>
        <w:pStyle w:val="BodyText"/>
        <w:spacing w:before="171" w:line="238" w:lineRule="auto"/>
        <w:jc w:val="right"/>
        <w:rPr/>
      </w:pPr>
      <w:r>
        <w:rPr>
          <w:color w:val="231F20"/>
          <w:spacing w:val="-2"/>
        </w:rPr>
        <w:t>ERCP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2"/>
        </w:rPr>
        <w:t>适应证与禁忌证详见《ERCP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2"/>
        </w:rPr>
        <w:t>诊治指南》</w:t>
      </w:r>
      <w:r>
        <w:rPr>
          <w:sz w:val="12"/>
          <w:szCs w:val="12"/>
          <w:color w:val="231F20"/>
          <w:spacing w:val="-2"/>
          <w:position w:val="9"/>
        </w:rPr>
        <w:t>[6]</w:t>
      </w:r>
      <w:r>
        <w:rPr>
          <w:color w:val="231F20"/>
          <w:spacing w:val="-2"/>
        </w:rPr>
        <w:t>。</w:t>
      </w:r>
    </w:p>
    <w:p>
      <w:pPr>
        <w:ind w:left="4"/>
        <w:spacing w:before="243" w:line="20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ERCP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常见并发症</w:t>
      </w:r>
    </w:p>
    <w:p>
      <w:pPr>
        <w:pStyle w:val="BodyText"/>
        <w:ind w:right="12" w:firstLine="6"/>
        <w:spacing w:before="197" w:line="276" w:lineRule="auto"/>
        <w:jc w:val="both"/>
        <w:rPr/>
      </w:pPr>
      <w:r>
        <w:rPr>
          <w:color w:val="231F20"/>
          <w:spacing w:val="10"/>
        </w:rPr>
        <w:t>3.1  </w:t>
      </w:r>
      <w:r>
        <w:rPr>
          <w:color w:val="231F20"/>
        </w:rPr>
        <w:t>PEP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PEP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是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最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常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见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并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症，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总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16"/>
        </w:rPr>
        <w:t>体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16"/>
        </w:rPr>
        <w:t>发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16"/>
        </w:rPr>
        <w:t>生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16"/>
        </w:rPr>
        <w:t>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6"/>
        </w:rPr>
        <w:t>3%~10%</w:t>
      </w:r>
      <w:r>
        <w:rPr>
          <w:sz w:val="12"/>
          <w:szCs w:val="12"/>
          <w:color w:val="231F20"/>
          <w:spacing w:val="16"/>
          <w:position w:val="9"/>
        </w:rPr>
        <w:t>[7-8]</w:t>
      </w:r>
      <w:r>
        <w:rPr>
          <w:color w:val="231F20"/>
          <w:spacing w:val="16"/>
        </w:rPr>
        <w:t>，高危患者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6"/>
        </w:rPr>
        <w:t>发生率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15%~20%</w:t>
      </w:r>
      <w:r>
        <w:rPr>
          <w:sz w:val="12"/>
          <w:szCs w:val="12"/>
          <w:color w:val="231F20"/>
          <w:spacing w:val="6"/>
          <w:position w:val="9"/>
        </w:rPr>
        <w:t>[9]</w:t>
      </w:r>
      <w:r>
        <w:rPr>
          <w:sz w:val="12"/>
          <w:szCs w:val="12"/>
          <w:color w:val="231F20"/>
          <w:spacing w:val="-20"/>
          <w:position w:val="9"/>
        </w:rPr>
        <w:t xml:space="preserve"> </w:t>
      </w:r>
      <w:r>
        <w:rPr>
          <w:color w:val="231F20"/>
          <w:spacing w:val="6"/>
        </w:rPr>
        <w:t>。一项纳入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13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6"/>
        </w:rPr>
        <w:t>296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6"/>
        </w:rPr>
        <w:t>例患者的荟萃分析显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示，</w:t>
      </w:r>
      <w:r>
        <w:rPr>
          <w:color w:val="231F20"/>
        </w:rPr>
        <w:t>PEP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总体发生率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9.7%，高危患者发生率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1</w:t>
      </w:r>
      <w:r>
        <w:rPr>
          <w:color w:val="231F20"/>
          <w:spacing w:val="1"/>
        </w:rPr>
        <w:t>4.7%，</w:t>
      </w:r>
    </w:p>
    <w:p>
      <w:pPr>
        <w:spacing w:line="276" w:lineRule="auto"/>
        <w:sectPr>
          <w:type w:val="continuous"/>
          <w:pgSz w:w="11906" w:h="16782"/>
          <w:pgMar w:top="1199" w:right="1057" w:bottom="0" w:left="407" w:header="953" w:footer="0" w:gutter="0"/>
          <w:cols w:equalWidth="0" w:num="2">
            <w:col w:w="5675" w:space="100"/>
            <w:col w:w="4666" w:space="0"/>
          </w:cols>
        </w:sectPr>
        <w:rPr/>
      </w:pPr>
    </w:p>
    <w:p>
      <w:pPr>
        <w:pStyle w:val="BodyText"/>
        <w:ind w:left="4581"/>
        <w:spacing w:before="210" w:line="190" w:lineRule="auto"/>
        <w:outlineLvl w:val="0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表 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PEP</w:t>
      </w:r>
      <w:r>
        <w:rPr>
          <w:sz w:val="18"/>
          <w:szCs w:val="18"/>
          <w:color w:val="231F20"/>
          <w:spacing w:val="-43"/>
        </w:rPr>
        <w:t xml:space="preserve"> </w:t>
      </w:r>
      <w:r>
        <w:rPr>
          <w:sz w:val="18"/>
          <w:szCs w:val="18"/>
          <w:color w:val="231F20"/>
          <w:spacing w:val="1"/>
        </w:rPr>
        <w:t>严重程度分级</w:t>
      </w:r>
    </w:p>
    <w:tbl>
      <w:tblPr>
        <w:tblStyle w:val="TableNormal"/>
        <w:tblW w:w="9637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52"/>
        <w:gridCol w:w="1839"/>
        <w:gridCol w:w="3546"/>
      </w:tblGrid>
      <w:tr>
        <w:trPr>
          <w:trHeight w:val="278" w:hRule="atLeast"/>
        </w:trPr>
        <w:tc>
          <w:tcPr>
            <w:tcW w:w="425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32"/>
              <w:spacing w:before="27" w:line="212" w:lineRule="auto"/>
              <w:rPr/>
            </w:pPr>
            <w:r>
              <w:rPr>
                <w:color w:val="231F20"/>
                <w:spacing w:val="-1"/>
              </w:rPr>
              <w:t>轻度</w:t>
            </w:r>
          </w:p>
        </w:tc>
        <w:tc>
          <w:tcPr>
            <w:tcW w:w="183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18"/>
              <w:spacing w:before="29" w:line="209" w:lineRule="auto"/>
              <w:rPr/>
            </w:pPr>
            <w:r>
              <w:rPr>
                <w:color w:val="231F20"/>
                <w:spacing w:val="-5"/>
              </w:rPr>
              <w:t>中度</w:t>
            </w:r>
          </w:p>
        </w:tc>
        <w:tc>
          <w:tcPr>
            <w:tcW w:w="354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88"/>
              <w:spacing w:before="29" w:line="209" w:lineRule="auto"/>
              <w:rPr/>
            </w:pPr>
            <w:r>
              <w:rPr>
                <w:color w:val="231F20"/>
                <w:spacing w:val="-2"/>
              </w:rPr>
              <w:t>重度</w:t>
            </w:r>
          </w:p>
        </w:tc>
      </w:tr>
      <w:tr>
        <w:trPr>
          <w:trHeight w:val="243" w:hRule="atLeast"/>
        </w:trPr>
        <w:tc>
          <w:tcPr>
            <w:tcW w:w="42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24" w:line="241" w:lineRule="auto"/>
              <w:rPr/>
            </w:pPr>
            <w:r>
              <w:rPr>
                <w:color w:val="231F20"/>
                <w:spacing w:val="-3"/>
              </w:rPr>
              <w:t>急性胰腺炎临床症状；</w:t>
            </w:r>
          </w:p>
        </w:tc>
        <w:tc>
          <w:tcPr>
            <w:tcW w:w="18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8"/>
              <w:spacing w:before="29" w:line="211" w:lineRule="auto"/>
              <w:rPr/>
            </w:pPr>
            <w:r>
              <w:rPr>
                <w:color w:val="231F20"/>
                <w:spacing w:val="-1"/>
              </w:rPr>
              <w:t>需要4~10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"/>
              </w:rPr>
              <w:t>d住院治疗</w:t>
            </w:r>
          </w:p>
        </w:tc>
        <w:tc>
          <w:tcPr>
            <w:tcW w:w="35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4"/>
              <w:spacing w:before="24" w:line="241" w:lineRule="auto"/>
              <w:rPr/>
            </w:pPr>
            <w:r>
              <w:rPr>
                <w:color w:val="231F20"/>
                <w:spacing w:val="-1"/>
              </w:rPr>
              <w:t>需要住院治疗至少10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d</w:t>
            </w:r>
          </w:p>
        </w:tc>
      </w:tr>
      <w:tr>
        <w:trPr>
          <w:trHeight w:val="288" w:hRule="atLeast"/>
        </w:trPr>
        <w:tc>
          <w:tcPr>
            <w:tcW w:w="4252" w:type="dxa"/>
            <w:vAlign w:val="top"/>
          </w:tcPr>
          <w:p>
            <w:pPr>
              <w:pStyle w:val="TableText"/>
              <w:ind w:left="61"/>
              <w:spacing w:before="64" w:line="214" w:lineRule="exact"/>
              <w:rPr/>
            </w:pPr>
            <w:r>
              <w:rPr>
                <w:color w:val="231F20"/>
                <w:position w:val="1"/>
              </w:rPr>
              <w:t>血淀粉酶升高超过正常值上限3倍或以上(ERCP术后</w:t>
            </w:r>
            <w:r>
              <w:rPr>
                <w:color w:val="231F20"/>
                <w:spacing w:val="-1"/>
                <w:position w:val="1"/>
              </w:rPr>
              <w:t>24</w:t>
            </w:r>
            <w:r>
              <w:rPr>
                <w:color w:val="231F20"/>
                <w:spacing w:val="-37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h内)</w:t>
            </w:r>
          </w:p>
        </w:tc>
        <w:tc>
          <w:tcPr>
            <w:tcW w:w="1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6" w:type="dxa"/>
            <w:vAlign w:val="top"/>
          </w:tcPr>
          <w:p>
            <w:pPr>
              <w:pStyle w:val="TableText"/>
              <w:ind w:left="281"/>
              <w:spacing w:before="68" w:line="211" w:lineRule="auto"/>
              <w:rPr/>
            </w:pPr>
            <w:r>
              <w:rPr>
                <w:color w:val="231F20"/>
                <w:spacing w:val="-1"/>
              </w:rPr>
              <w:t>引起出血性胰腺炎、胰腺坏死或假性囊肿形成</w:t>
            </w:r>
          </w:p>
        </w:tc>
      </w:tr>
      <w:tr>
        <w:trPr>
          <w:trHeight w:val="314" w:hRule="atLeast"/>
        </w:trPr>
        <w:tc>
          <w:tcPr>
            <w:tcW w:w="425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8"/>
              <w:spacing w:before="60" w:line="214" w:lineRule="exact"/>
              <w:rPr/>
            </w:pPr>
            <w:r>
              <w:rPr>
                <w:color w:val="231F20"/>
              </w:rPr>
              <w:t>需要住院或延长住院时间2~3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</w:rPr>
              <w:t>d</w:t>
            </w:r>
          </w:p>
        </w:tc>
        <w:tc>
          <w:tcPr>
            <w:tcW w:w="183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74"/>
              <w:spacing w:before="65" w:line="210" w:lineRule="auto"/>
              <w:rPr/>
            </w:pPr>
            <w:r>
              <w:rPr>
                <w:color w:val="231F20"/>
                <w:spacing w:val="-1"/>
              </w:rPr>
              <w:t>需要经皮引流或手术</w:t>
            </w:r>
          </w:p>
        </w:tc>
      </w:tr>
    </w:tbl>
    <w:p>
      <w:pPr>
        <w:pStyle w:val="BodyText"/>
        <w:ind w:left="1044"/>
        <w:spacing w:before="55" w:line="214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4"/>
          <w:position w:val="1"/>
        </w:rPr>
        <w:t>注：</w:t>
      </w:r>
      <w:r>
        <w:rPr>
          <w:sz w:val="16"/>
          <w:szCs w:val="16"/>
          <w:color w:val="231F20"/>
          <w:position w:val="1"/>
        </w:rPr>
        <w:t>PEP</w:t>
      </w:r>
      <w:r>
        <w:rPr>
          <w:sz w:val="16"/>
          <w:szCs w:val="16"/>
          <w:color w:val="231F20"/>
          <w:spacing w:val="4"/>
          <w:position w:val="1"/>
        </w:rPr>
        <w:t>：术后胰腺炎；</w:t>
      </w:r>
      <w:r>
        <w:rPr>
          <w:sz w:val="16"/>
          <w:szCs w:val="16"/>
          <w:color w:val="231F20"/>
          <w:position w:val="1"/>
        </w:rPr>
        <w:t>ERCP</w:t>
      </w:r>
      <w:r>
        <w:rPr>
          <w:sz w:val="16"/>
          <w:szCs w:val="16"/>
          <w:color w:val="231F20"/>
          <w:spacing w:val="4"/>
          <w:position w:val="1"/>
        </w:rPr>
        <w:t>：内镜下逆行胰胆管造影</w:t>
      </w:r>
    </w:p>
    <w:p>
      <w:pPr>
        <w:spacing w:line="223" w:lineRule="exact"/>
        <w:rPr/>
      </w:pPr>
      <w:r/>
    </w:p>
    <w:p>
      <w:pPr>
        <w:spacing w:line="223" w:lineRule="exact"/>
        <w:sectPr>
          <w:headerReference w:type="default" r:id="rId2"/>
          <w:pgSz w:w="11906" w:h="16782"/>
          <w:pgMar w:top="1199" w:right="1054" w:bottom="0" w:left="407" w:header="953" w:footer="0" w:gutter="0"/>
          <w:cols w:equalWidth="0" w:num="1">
            <w:col w:w="10444" w:space="0"/>
          </w:cols>
        </w:sectPr>
        <w:rPr/>
      </w:pPr>
    </w:p>
    <w:p>
      <w:pPr>
        <w:pStyle w:val="BodyText"/>
        <w:ind w:left="728" w:right="288" w:firstLine="1"/>
        <w:spacing w:before="51" w:line="300" w:lineRule="auto"/>
        <w:jc w:val="both"/>
        <w:rPr/>
      </w:pPr>
      <w:r>
        <w:rPr>
          <w:color w:val="231F20"/>
          <w:spacing w:val="2"/>
          <w:position w:val="-1"/>
        </w:rPr>
        <w:t>绝大多数为轻症胰腺炎，总体病死率</w:t>
      </w:r>
      <w:r>
        <w:rPr>
          <w:color w:val="231F20"/>
          <w:spacing w:val="-27"/>
          <w:position w:val="-1"/>
        </w:rPr>
        <w:t xml:space="preserve"> </w:t>
      </w:r>
      <w:r>
        <w:rPr>
          <w:color w:val="231F20"/>
          <w:spacing w:val="2"/>
          <w:position w:val="-1"/>
        </w:rPr>
        <w:t>0.7%</w:t>
      </w:r>
      <w:r>
        <w:rPr>
          <w:sz w:val="12"/>
          <w:szCs w:val="12"/>
          <w:color w:val="231F20"/>
          <w:spacing w:val="2"/>
          <w:position w:val="8"/>
        </w:rPr>
        <w:t>[10-11]</w:t>
      </w:r>
      <w:r>
        <w:rPr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color w:val="231F20"/>
          <w:spacing w:val="2"/>
          <w:position w:val="-1"/>
        </w:rPr>
        <w:t>。南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27"/>
        </w:rPr>
        <w:t>京鼓楼医院回顾性分析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7"/>
        </w:rPr>
        <w:t>4234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7"/>
        </w:rPr>
        <w:t>例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7"/>
        </w:rPr>
        <w:t>患者发现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PEP</w:t>
      </w:r>
      <w:r>
        <w:rPr>
          <w:color w:val="231F20"/>
          <w:spacing w:val="-34"/>
          <w:position w:val="-1"/>
        </w:rPr>
        <w:t xml:space="preserve"> </w:t>
      </w:r>
      <w:r>
        <w:rPr>
          <w:color w:val="231F20"/>
          <w:spacing w:val="8"/>
          <w:position w:val="-1"/>
        </w:rPr>
        <w:t>发生率</w:t>
      </w:r>
      <w:r>
        <w:rPr>
          <w:color w:val="231F20"/>
          <w:spacing w:val="-57"/>
          <w:position w:val="-1"/>
        </w:rPr>
        <w:t xml:space="preserve"> </w:t>
      </w:r>
      <w:r>
        <w:rPr>
          <w:color w:val="231F20"/>
          <w:spacing w:val="8"/>
          <w:position w:val="-1"/>
        </w:rPr>
        <w:t>为</w:t>
      </w:r>
      <w:r>
        <w:rPr>
          <w:color w:val="231F20"/>
          <w:spacing w:val="-33"/>
          <w:position w:val="-1"/>
        </w:rPr>
        <w:t xml:space="preserve"> </w:t>
      </w:r>
      <w:r>
        <w:rPr>
          <w:color w:val="231F20"/>
          <w:spacing w:val="8"/>
          <w:position w:val="-1"/>
        </w:rPr>
        <w:t>5.3%</w:t>
      </w:r>
      <w:r>
        <w:rPr>
          <w:sz w:val="12"/>
          <w:szCs w:val="12"/>
          <w:color w:val="231F20"/>
          <w:spacing w:val="8"/>
          <w:position w:val="8"/>
        </w:rPr>
        <w:t>[12]</w:t>
      </w:r>
      <w:r>
        <w:rPr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color w:val="231F20"/>
          <w:spacing w:val="8"/>
          <w:position w:val="-1"/>
        </w:rPr>
        <w:t>。</w:t>
      </w:r>
      <w:r>
        <w:rPr>
          <w:color w:val="231F20"/>
          <w:position w:val="-1"/>
        </w:rPr>
        <w:t>Sumant</w:t>
      </w:r>
      <w:r>
        <w:rPr>
          <w:color w:val="231F20"/>
          <w:spacing w:val="-32"/>
          <w:position w:val="-1"/>
        </w:rPr>
        <w:t xml:space="preserve"> </w:t>
      </w:r>
      <w:r>
        <w:rPr>
          <w:color w:val="231F20"/>
          <w:spacing w:val="8"/>
          <w:position w:val="-1"/>
        </w:rPr>
        <w:t>等</w:t>
      </w:r>
      <w:r>
        <w:rPr>
          <w:color w:val="231F20"/>
          <w:spacing w:val="-33"/>
          <w:position w:val="-1"/>
        </w:rPr>
        <w:t xml:space="preserve"> </w:t>
      </w:r>
      <w:r>
        <w:rPr>
          <w:sz w:val="12"/>
          <w:szCs w:val="12"/>
          <w:color w:val="231F20"/>
          <w:spacing w:val="8"/>
          <w:position w:val="8"/>
        </w:rPr>
        <w:t>[13]</w:t>
      </w:r>
      <w:r>
        <w:rPr>
          <w:sz w:val="12"/>
          <w:szCs w:val="12"/>
          <w:color w:val="231F20"/>
          <w:spacing w:val="29"/>
          <w:w w:val="101"/>
          <w:position w:val="8"/>
        </w:rPr>
        <w:t xml:space="preserve"> </w:t>
      </w:r>
      <w:r>
        <w:rPr>
          <w:color w:val="231F20"/>
          <w:spacing w:val="8"/>
          <w:position w:val="-1"/>
        </w:rPr>
        <w:t>回顾性分析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9"/>
        </w:rPr>
        <w:t>3628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9"/>
        </w:rPr>
        <w:t>例育龄期女性的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9"/>
        </w:rPr>
        <w:t>术后并发症，其中妊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娠患者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907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6"/>
        </w:rPr>
        <w:t>例，结果发现妊娠患者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6"/>
        </w:rPr>
        <w:t>发生率为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15%，明显高于非妊娠患者。</w:t>
      </w:r>
      <w:r>
        <w:rPr>
          <w:color w:val="231F20"/>
        </w:rPr>
        <w:t>Koksal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等</w:t>
      </w:r>
      <w:r>
        <w:rPr>
          <w:color w:val="231F20"/>
          <w:spacing w:val="-39"/>
        </w:rPr>
        <w:t xml:space="preserve"> </w:t>
      </w:r>
      <w:r>
        <w:rPr>
          <w:sz w:val="12"/>
          <w:szCs w:val="12"/>
          <w:color w:val="231F20"/>
          <w:spacing w:val="2"/>
          <w:position w:val="9"/>
        </w:rPr>
        <w:t>[14] </w:t>
      </w:r>
      <w:r>
        <w:rPr>
          <w:color w:val="231F20"/>
          <w:spacing w:val="2"/>
        </w:rPr>
        <w:t>一项小样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本研究认为，胰岛素抵抗是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的独立危险因素，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但是需要大样本研究证实。既往研究认为慢性胰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腺炎可能是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的保护因素，但近期长海医院研究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显示慢性胰腺炎患者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9"/>
        </w:rPr>
        <w:t>发生率与胆管疾病相当</w:t>
      </w:r>
      <w:r>
        <w:rPr>
          <w:color w:val="231F20"/>
        </w:rPr>
        <w:t xml:space="preserve"> </w:t>
      </w:r>
      <w:r>
        <w:rPr>
          <w:color w:val="231F20"/>
          <w:spacing w:val="-6"/>
          <w:position w:val="-1"/>
        </w:rPr>
        <w:t>(4.5%</w:t>
      </w:r>
      <w:r>
        <w:rPr>
          <w:color w:val="231F20"/>
          <w:spacing w:val="-17"/>
          <w:position w:val="-1"/>
        </w:rPr>
        <w:t xml:space="preserve"> </w:t>
      </w:r>
      <w:r>
        <w:rPr>
          <w:color w:val="231F20"/>
          <w:spacing w:val="-6"/>
          <w:position w:val="-1"/>
        </w:rPr>
        <w:t>比</w:t>
      </w:r>
      <w:r>
        <w:rPr>
          <w:color w:val="231F20"/>
          <w:spacing w:val="-43"/>
          <w:position w:val="-1"/>
        </w:rPr>
        <w:t xml:space="preserve"> </w:t>
      </w:r>
      <w:r>
        <w:rPr>
          <w:color w:val="231F20"/>
          <w:spacing w:val="-6"/>
          <w:position w:val="-1"/>
        </w:rPr>
        <w:t>4.8%)</w:t>
      </w:r>
      <w:r>
        <w:rPr>
          <w:sz w:val="12"/>
          <w:szCs w:val="12"/>
          <w:color w:val="231F20"/>
          <w:spacing w:val="-6"/>
          <w:position w:val="8"/>
        </w:rPr>
        <w:t>[15]</w:t>
      </w:r>
      <w:r>
        <w:rPr>
          <w:color w:val="231F20"/>
          <w:spacing w:val="-6"/>
          <w:position w:val="-1"/>
        </w:rPr>
        <w:t>。</w:t>
      </w:r>
    </w:p>
    <w:p>
      <w:pPr>
        <w:pStyle w:val="BodyText"/>
        <w:ind w:left="729" w:right="352" w:firstLine="5"/>
        <w:spacing w:before="6" w:line="291" w:lineRule="auto"/>
        <w:rPr/>
      </w:pPr>
      <w:r>
        <w:rPr>
          <w:color w:val="231F20"/>
          <w:spacing w:val="19"/>
        </w:rPr>
        <w:t>3.2  消化道出血</w:t>
      </w:r>
      <w:r>
        <w:rPr>
          <w:color w:val="231F20"/>
          <w:spacing w:val="30"/>
        </w:rPr>
        <w:t xml:space="preserve">  </w:t>
      </w:r>
      <w:r>
        <w:rPr>
          <w:color w:val="231F20"/>
          <w:spacing w:val="19"/>
        </w:rPr>
        <w:t>消化道出血发生率为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9"/>
        </w:rPr>
        <w:t>0.3%~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2.0%，主要原因是括约肌切开术引起，</w:t>
      </w:r>
      <w:r>
        <w:rPr>
          <w:color w:val="231F20"/>
          <w:spacing w:val="7"/>
        </w:rPr>
        <w:t>少见原因包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括胆道狭窄扩张、胆道活检等</w:t>
      </w:r>
      <w:r>
        <w:rPr>
          <w:color w:val="231F20"/>
          <w:spacing w:val="-34"/>
        </w:rPr>
        <w:t xml:space="preserve"> </w:t>
      </w:r>
      <w:r>
        <w:rPr>
          <w:sz w:val="12"/>
          <w:szCs w:val="12"/>
          <w:color w:val="231F20"/>
          <w:spacing w:val="2"/>
          <w:position w:val="9"/>
        </w:rPr>
        <w:t>[16]</w:t>
      </w:r>
      <w:r>
        <w:rPr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color w:val="231F20"/>
          <w:spacing w:val="2"/>
        </w:rPr>
        <w:t>。可分为术中出血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和迟发性出血，迟发性出血可以发生在术后数小时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  <w:position w:val="-1"/>
        </w:rPr>
        <w:t>甚至数周</w:t>
      </w:r>
      <w:r>
        <w:rPr>
          <w:color w:val="231F20"/>
          <w:spacing w:val="-35"/>
          <w:position w:val="-1"/>
        </w:rPr>
        <w:t xml:space="preserve"> </w:t>
      </w:r>
      <w:r>
        <w:rPr>
          <w:sz w:val="12"/>
          <w:szCs w:val="12"/>
          <w:color w:val="231F20"/>
          <w:spacing w:val="6"/>
          <w:position w:val="8"/>
        </w:rPr>
        <w:t>[4]</w:t>
      </w:r>
      <w:r>
        <w:rPr>
          <w:sz w:val="12"/>
          <w:szCs w:val="12"/>
          <w:color w:val="231F20"/>
          <w:spacing w:val="-35"/>
          <w:position w:val="8"/>
        </w:rPr>
        <w:t xml:space="preserve"> </w:t>
      </w:r>
      <w:r>
        <w:rPr>
          <w:color w:val="231F20"/>
          <w:spacing w:val="6"/>
          <w:position w:val="-1"/>
        </w:rPr>
        <w:t>。</w:t>
      </w:r>
      <w:r>
        <w:rPr>
          <w:color w:val="231F20"/>
          <w:position w:val="-1"/>
        </w:rPr>
        <w:t>Freeman</w:t>
      </w:r>
      <w:r>
        <w:rPr>
          <w:color w:val="231F20"/>
          <w:spacing w:val="-35"/>
          <w:position w:val="-1"/>
        </w:rPr>
        <w:t xml:space="preserve"> </w:t>
      </w:r>
      <w:r>
        <w:rPr>
          <w:color w:val="231F20"/>
          <w:spacing w:val="6"/>
          <w:position w:val="-1"/>
        </w:rPr>
        <w:t>等</w:t>
      </w:r>
      <w:r>
        <w:rPr>
          <w:color w:val="231F20"/>
          <w:spacing w:val="-35"/>
          <w:position w:val="-1"/>
        </w:rPr>
        <w:t xml:space="preserve"> </w:t>
      </w:r>
      <w:r>
        <w:rPr>
          <w:sz w:val="12"/>
          <w:szCs w:val="12"/>
          <w:color w:val="231F20"/>
          <w:spacing w:val="6"/>
          <w:position w:val="8"/>
        </w:rPr>
        <w:t>[17] </w:t>
      </w:r>
      <w:r>
        <w:rPr>
          <w:color w:val="231F20"/>
          <w:spacing w:val="6"/>
          <w:position w:val="-1"/>
        </w:rPr>
        <w:t>分析</w:t>
      </w:r>
      <w:r>
        <w:rPr>
          <w:color w:val="231F20"/>
          <w:spacing w:val="-35"/>
          <w:position w:val="-1"/>
        </w:rPr>
        <w:t xml:space="preserve"> </w:t>
      </w:r>
      <w:r>
        <w:rPr>
          <w:color w:val="231F20"/>
          <w:spacing w:val="6"/>
          <w:position w:val="-1"/>
        </w:rPr>
        <w:t>2347</w:t>
      </w:r>
      <w:r>
        <w:rPr>
          <w:color w:val="231F20"/>
          <w:spacing w:val="-35"/>
          <w:position w:val="-1"/>
        </w:rPr>
        <w:t xml:space="preserve"> </w:t>
      </w:r>
      <w:r>
        <w:rPr>
          <w:color w:val="231F20"/>
          <w:spacing w:val="5"/>
          <w:position w:val="-1"/>
        </w:rPr>
        <w:t>例</w:t>
      </w:r>
      <w:r>
        <w:rPr>
          <w:color w:val="231F20"/>
          <w:spacing w:val="-35"/>
          <w:position w:val="-1"/>
        </w:rPr>
        <w:t xml:space="preserve"> </w:t>
      </w:r>
      <w:r>
        <w:rPr>
          <w:color w:val="231F20"/>
          <w:position w:val="-1"/>
        </w:rPr>
        <w:t>ERCP</w:t>
      </w:r>
      <w:r>
        <w:rPr>
          <w:color w:val="231F20"/>
          <w:spacing w:val="-38"/>
          <w:position w:val="-1"/>
        </w:rPr>
        <w:t xml:space="preserve"> </w:t>
      </w:r>
      <w:r>
        <w:rPr>
          <w:color w:val="231F20"/>
          <w:spacing w:val="5"/>
          <w:position w:val="-1"/>
        </w:rPr>
        <w:t>术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3"/>
        </w:rPr>
        <w:t>后患者，发现消化道出血发生率约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3"/>
        </w:rPr>
        <w:t>2%，其中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3"/>
        </w:rPr>
        <w:t>2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3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迟发性出血患者死亡。</w:t>
      </w:r>
      <w:r>
        <w:rPr>
          <w:color w:val="231F20"/>
        </w:rPr>
        <w:t>Masci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2"/>
        </w:rPr>
        <w:t>等</w:t>
      </w:r>
      <w:r>
        <w:rPr>
          <w:color w:val="231F20"/>
          <w:spacing w:val="-33"/>
        </w:rPr>
        <w:t xml:space="preserve"> </w:t>
      </w:r>
      <w:r>
        <w:rPr>
          <w:sz w:val="12"/>
          <w:szCs w:val="12"/>
          <w:color w:val="231F20"/>
          <w:spacing w:val="12"/>
          <w:position w:val="9"/>
        </w:rPr>
        <w:t>[18] </w:t>
      </w:r>
      <w:r>
        <w:rPr>
          <w:color w:val="231F20"/>
          <w:spacing w:val="12"/>
        </w:rPr>
        <w:t>分</w:t>
      </w:r>
      <w:r>
        <w:rPr>
          <w:color w:val="231F20"/>
          <w:spacing w:val="-59"/>
        </w:rPr>
        <w:t xml:space="preserve"> </w:t>
      </w:r>
      <w:r>
        <w:rPr>
          <w:color w:val="231F20"/>
          <w:spacing w:val="12"/>
        </w:rPr>
        <w:t>析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2"/>
        </w:rPr>
        <w:t>2444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2"/>
        </w:rPr>
        <w:t>例</w:t>
      </w:r>
      <w:r>
        <w:rPr>
          <w:color w:val="231F20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0"/>
        </w:rPr>
        <w:t>术后患者的消化道出血发生率为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1.2%。</w:t>
      </w:r>
    </w:p>
    <w:p>
      <w:pPr>
        <w:pStyle w:val="BodyText"/>
        <w:ind w:left="725" w:right="277" w:firstLine="8"/>
        <w:spacing w:before="50" w:line="285" w:lineRule="auto"/>
        <w:rPr/>
      </w:pPr>
      <w:r>
        <w:rPr>
          <w:color w:val="231F20"/>
          <w:spacing w:val="10"/>
        </w:rPr>
        <w:t>3.3  胆系感染</w:t>
      </w:r>
      <w:r>
        <w:rPr>
          <w:color w:val="231F20"/>
          <w:spacing w:val="25"/>
        </w:rPr>
        <w:t xml:space="preserve">  </w:t>
      </w:r>
      <w:r>
        <w:rPr>
          <w:color w:val="231F20"/>
          <w:spacing w:val="10"/>
        </w:rPr>
        <w:t>主要包括急性胆管炎、急性胆囊</w:t>
      </w:r>
      <w:r>
        <w:rPr>
          <w:color w:val="231F20"/>
        </w:rPr>
        <w:t xml:space="preserve"> </w:t>
      </w:r>
      <w:r>
        <w:rPr>
          <w:color w:val="231F20"/>
          <w:spacing w:val="3"/>
          <w:position w:val="-1"/>
        </w:rPr>
        <w:t>炎，其中前者最常见，其发生率为</w:t>
      </w:r>
      <w:r>
        <w:rPr>
          <w:color w:val="231F20"/>
          <w:spacing w:val="-38"/>
          <w:position w:val="-1"/>
        </w:rPr>
        <w:t xml:space="preserve"> </w:t>
      </w:r>
      <w:r>
        <w:rPr>
          <w:color w:val="231F20"/>
          <w:spacing w:val="3"/>
          <w:position w:val="-1"/>
        </w:rPr>
        <w:t>0.5%~3</w:t>
      </w:r>
      <w:r>
        <w:rPr>
          <w:color w:val="231F20"/>
          <w:spacing w:val="2"/>
          <w:position w:val="-1"/>
        </w:rPr>
        <w:t>.0%</w:t>
      </w:r>
      <w:r>
        <w:rPr>
          <w:sz w:val="12"/>
          <w:szCs w:val="12"/>
          <w:color w:val="231F20"/>
          <w:spacing w:val="2"/>
          <w:position w:val="8"/>
        </w:rPr>
        <w:t>[19-21]</w:t>
      </w:r>
      <w:r>
        <w:rPr>
          <w:color w:val="231F20"/>
          <w:spacing w:val="2"/>
          <w:position w:val="-1"/>
        </w:rPr>
        <w:t>。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7"/>
        </w:rPr>
        <w:t>主要临床表现包括腹痛、发热及黄疸。鼓楼医院回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顾性分析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6"/>
        </w:rPr>
        <w:t>4234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6"/>
        </w:rPr>
        <w:t>例</w:t>
      </w:r>
      <w:r>
        <w:rPr>
          <w:color w:val="231F20"/>
          <w:spacing w:val="-46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6"/>
        </w:rPr>
        <w:t>发现感染发生率为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6"/>
        </w:rPr>
        <w:t>2.4%</w:t>
      </w:r>
      <w:r>
        <w:rPr>
          <w:sz w:val="12"/>
          <w:szCs w:val="12"/>
          <w:color w:val="231F20"/>
          <w:spacing w:val="6"/>
          <w:position w:val="9"/>
        </w:rPr>
        <w:t>[22]</w:t>
      </w:r>
      <w:r>
        <w:rPr>
          <w:color w:val="231F20"/>
          <w:spacing w:val="6"/>
        </w:rPr>
        <w:t>。</w:t>
      </w:r>
    </w:p>
    <w:p>
      <w:pPr>
        <w:pStyle w:val="BodyText"/>
        <w:ind w:left="728" w:right="272" w:firstLine="6"/>
        <w:spacing w:before="25" w:line="289" w:lineRule="auto"/>
        <w:rPr/>
      </w:pPr>
      <w:r>
        <w:rPr>
          <w:color w:val="231F20"/>
          <w:spacing w:val="5"/>
        </w:rPr>
        <w:t>3.4  消化道穿孔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5"/>
        </w:rPr>
        <w:t>其发生率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5"/>
        </w:rPr>
        <w:t>0.08%~0.6%</w:t>
      </w:r>
      <w:r>
        <w:rPr>
          <w:sz w:val="12"/>
          <w:szCs w:val="12"/>
          <w:color w:val="231F20"/>
          <w:spacing w:val="5"/>
          <w:position w:val="8"/>
        </w:rPr>
        <w:t>[23-24]</w:t>
      </w:r>
      <w:r>
        <w:rPr>
          <w:color w:val="231F20"/>
          <w:spacing w:val="5"/>
        </w:rPr>
        <w:t>，以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十二指肠最为常见。主要原因包括内镜粗暴操作、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  <w:position w:val="-1"/>
        </w:rPr>
        <w:t>括约肌切口过长、导丝穿透及支架移位</w:t>
      </w:r>
      <w:r>
        <w:rPr>
          <w:color w:val="231F20"/>
          <w:spacing w:val="-40"/>
          <w:position w:val="-1"/>
        </w:rPr>
        <w:t xml:space="preserve"> </w:t>
      </w:r>
      <w:r>
        <w:rPr>
          <w:sz w:val="12"/>
          <w:szCs w:val="12"/>
          <w:color w:val="231F20"/>
          <w:spacing w:val="-3"/>
          <w:position w:val="8"/>
        </w:rPr>
        <w:t>[25</w:t>
      </w:r>
      <w:r>
        <w:rPr>
          <w:sz w:val="12"/>
          <w:szCs w:val="12"/>
          <w:color w:val="231F20"/>
          <w:spacing w:val="-4"/>
          <w:position w:val="8"/>
        </w:rPr>
        <w:t>-26]</w:t>
      </w:r>
      <w:r>
        <w:rPr>
          <w:color w:val="231F20"/>
          <w:spacing w:val="-4"/>
          <w:position w:val="-1"/>
        </w:rPr>
        <w:t>，拉直内</w:t>
      </w:r>
      <w:r>
        <w:rPr>
          <w:color w:val="231F20"/>
          <w:position w:val="-1"/>
        </w:rPr>
        <w:t xml:space="preserve">  </w:t>
      </w:r>
      <w:r>
        <w:rPr>
          <w:color w:val="231F20"/>
          <w:spacing w:val="8"/>
        </w:rPr>
        <w:t>镜过程偶尔也可发生穿孔。穿孔需要及时诊断及治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疗，否则将导致严重后果，延迟诊断可导致患者败血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  <w:position w:val="-1"/>
        </w:rPr>
        <w:t>症及多器官功能衰竭，病死率</w:t>
      </w:r>
      <w:r>
        <w:rPr>
          <w:color w:val="231F20"/>
          <w:spacing w:val="-39"/>
          <w:position w:val="-1"/>
        </w:rPr>
        <w:t xml:space="preserve"> </w:t>
      </w:r>
      <w:r>
        <w:rPr>
          <w:color w:val="231F20"/>
          <w:spacing w:val="2"/>
          <w:position w:val="-1"/>
        </w:rPr>
        <w:t>8%~23%</w:t>
      </w:r>
      <w:r>
        <w:rPr>
          <w:sz w:val="12"/>
          <w:szCs w:val="12"/>
          <w:color w:val="231F20"/>
          <w:spacing w:val="2"/>
          <w:position w:val="8"/>
        </w:rPr>
        <w:t>[27，28]</w:t>
      </w:r>
      <w:r>
        <w:rPr>
          <w:color w:val="231F20"/>
          <w:spacing w:val="2"/>
          <w:position w:val="-1"/>
        </w:rPr>
        <w:t>。</w:t>
      </w:r>
    </w:p>
    <w:p>
      <w:pPr>
        <w:ind w:left="730"/>
        <w:spacing w:before="244" w:line="20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ERCP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术后并发症的危险因素</w:t>
      </w:r>
    </w:p>
    <w:p>
      <w:pPr>
        <w:pStyle w:val="BodyText"/>
        <w:ind w:left="728" w:right="277" w:firstLine="443"/>
        <w:spacing w:before="199" w:line="284" w:lineRule="auto"/>
        <w:jc w:val="both"/>
        <w:rPr/>
      </w:pPr>
      <w:r>
        <w:rPr>
          <w:color w:val="231F20"/>
          <w:spacing w:val="13"/>
        </w:rPr>
        <w:t>明确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3"/>
        </w:rPr>
        <w:t>术后并发症高危因素对选择合适的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预防对象有重要意义</w:t>
      </w:r>
      <w:r>
        <w:rPr>
          <w:color w:val="231F20"/>
          <w:spacing w:val="-27"/>
        </w:rPr>
        <w:t xml:space="preserve"> </w:t>
      </w:r>
      <w:r>
        <w:rPr>
          <w:sz w:val="12"/>
          <w:szCs w:val="12"/>
          <w:color w:val="231F20"/>
          <w:spacing w:val="2"/>
          <w:position w:val="9"/>
        </w:rPr>
        <w:t>[29]</w:t>
      </w:r>
      <w:r>
        <w:rPr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color w:val="231F20"/>
          <w:spacing w:val="2"/>
        </w:rPr>
        <w:t>。对大样本量、高质量临床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研究综合分析，认为术后并发症的危险因素主要包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4"/>
        </w:rPr>
        <w:t>括患者相关因素及</w:t>
      </w:r>
      <w:r>
        <w:rPr>
          <w:color w:val="231F20"/>
        </w:rPr>
        <w:t>ERCP</w:t>
      </w:r>
      <w:r>
        <w:rPr>
          <w:color w:val="231F20"/>
          <w:spacing w:val="14"/>
        </w:rPr>
        <w:t>操作相关因素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4"/>
        </w:rPr>
        <w:t>(表2~表5)。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这些危险因素间存在协同作用，即存在的危险因素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越多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,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"/>
        </w:rPr>
        <w:t>术后并发症的风险也越高</w:t>
      </w:r>
      <w:r>
        <w:rPr>
          <w:color w:val="231F20"/>
          <w:spacing w:val="-38"/>
        </w:rPr>
        <w:t xml:space="preserve"> </w:t>
      </w:r>
      <w:r>
        <w:rPr>
          <w:sz w:val="12"/>
          <w:szCs w:val="12"/>
          <w:color w:val="231F20"/>
          <w:spacing w:val="1"/>
          <w:position w:val="9"/>
        </w:rPr>
        <w:t>[30]</w:t>
      </w:r>
      <w:r>
        <w:rPr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color w:val="231F20"/>
          <w:spacing w:val="1"/>
        </w:rPr>
        <w:t>。因此，预防术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7"/>
        <w:spacing w:before="81" w:line="302" w:lineRule="auto"/>
        <w:rPr/>
      </w:pPr>
      <w:r>
        <w:rPr>
          <w:color w:val="231F20"/>
          <w:spacing w:val="16"/>
        </w:rPr>
        <w:t>后并发症的首要措施是严格掌握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的适应证，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减少不必要的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5"/>
        </w:rPr>
        <w:t>操作。</w:t>
      </w:r>
    </w:p>
    <w:p>
      <w:pPr>
        <w:pStyle w:val="BodyText"/>
        <w:ind w:left="1332"/>
        <w:spacing w:before="197" w:line="190" w:lineRule="auto"/>
        <w:outlineLvl w:val="0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表 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PEP</w:t>
      </w:r>
      <w:r>
        <w:rPr>
          <w:sz w:val="18"/>
          <w:szCs w:val="18"/>
          <w:color w:val="231F20"/>
          <w:spacing w:val="-40"/>
        </w:rPr>
        <w:t xml:space="preserve"> </w:t>
      </w:r>
      <w:r>
        <w:rPr>
          <w:sz w:val="18"/>
          <w:szCs w:val="18"/>
          <w:color w:val="231F20"/>
          <w:spacing w:val="1"/>
        </w:rPr>
        <w:t>相关危险因素</w:t>
      </w:r>
    </w:p>
    <w:tbl>
      <w:tblPr>
        <w:tblStyle w:val="TableNormal"/>
        <w:tblW w:w="459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80"/>
        <w:gridCol w:w="2412"/>
      </w:tblGrid>
      <w:tr>
        <w:trPr>
          <w:trHeight w:val="279" w:hRule="atLeast"/>
        </w:trPr>
        <w:tc>
          <w:tcPr>
            <w:tcW w:w="218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1"/>
              <w:spacing w:before="61" w:line="211" w:lineRule="auto"/>
              <w:rPr/>
            </w:pPr>
            <w:r>
              <w:rPr>
                <w:color w:val="231F20"/>
                <w:spacing w:val="-2"/>
              </w:rPr>
              <w:t>患者相关</w:t>
            </w:r>
          </w:p>
        </w:tc>
        <w:tc>
          <w:tcPr>
            <w:tcW w:w="241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96"/>
              <w:spacing w:before="62" w:line="209" w:lineRule="auto"/>
              <w:rPr/>
            </w:pPr>
            <w:r>
              <w:rPr>
                <w:color w:val="231F20"/>
                <w:spacing w:val="-1"/>
              </w:rPr>
              <w:t>手术相关</w:t>
            </w:r>
          </w:p>
        </w:tc>
      </w:tr>
      <w:tr>
        <w:trPr>
          <w:trHeight w:val="283" w:hRule="atLeast"/>
        </w:trPr>
        <w:tc>
          <w:tcPr>
            <w:tcW w:w="218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7"/>
              <w:spacing w:before="56" w:line="214" w:lineRule="exact"/>
              <w:rPr/>
            </w:pPr>
            <w:r>
              <w:rPr>
                <w:color w:val="231F20"/>
                <w:spacing w:val="-5"/>
                <w:position w:val="1"/>
              </w:rPr>
              <w:t>青年(&lt;60岁)</w:t>
            </w:r>
          </w:p>
        </w:tc>
        <w:tc>
          <w:tcPr>
            <w:tcW w:w="24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9"/>
              <w:spacing w:before="56" w:line="214" w:lineRule="exact"/>
              <w:rPr/>
            </w:pPr>
            <w:r>
              <w:rPr>
                <w:color w:val="231F20"/>
                <w:spacing w:val="-5"/>
                <w:position w:val="1"/>
              </w:rPr>
              <w:t>困难插管(&gt;10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min)</w:t>
            </w:r>
          </w:p>
        </w:tc>
      </w:tr>
      <w:tr>
        <w:trPr>
          <w:trHeight w:val="275" w:hRule="atLeast"/>
        </w:trPr>
        <w:tc>
          <w:tcPr>
            <w:tcW w:w="2180" w:type="dxa"/>
            <w:vAlign w:val="top"/>
          </w:tcPr>
          <w:p>
            <w:pPr>
              <w:pStyle w:val="TableText"/>
              <w:ind w:left="89"/>
              <w:spacing w:before="63" w:line="206" w:lineRule="auto"/>
              <w:rPr/>
            </w:pPr>
            <w:r>
              <w:rPr>
                <w:color w:val="231F20"/>
                <w:spacing w:val="-2"/>
              </w:rPr>
              <w:t>女性</w:t>
            </w:r>
          </w:p>
        </w:tc>
        <w:tc>
          <w:tcPr>
            <w:tcW w:w="2412" w:type="dxa"/>
            <w:vAlign w:val="top"/>
          </w:tcPr>
          <w:p>
            <w:pPr>
              <w:pStyle w:val="TableText"/>
              <w:ind w:left="294"/>
              <w:spacing w:before="60" w:line="212" w:lineRule="auto"/>
              <w:rPr/>
            </w:pPr>
            <w:r>
              <w:rPr>
                <w:color w:val="231F20"/>
                <w:spacing w:val="-1"/>
              </w:rPr>
              <w:t>胰管内反复注射造影剂</w:t>
            </w:r>
          </w:p>
        </w:tc>
      </w:tr>
      <w:tr>
        <w:trPr>
          <w:trHeight w:val="281" w:hRule="atLeast"/>
        </w:trPr>
        <w:tc>
          <w:tcPr>
            <w:tcW w:w="2180" w:type="dxa"/>
            <w:vAlign w:val="top"/>
          </w:tcPr>
          <w:p>
            <w:pPr>
              <w:pStyle w:val="TableText"/>
              <w:ind w:left="89"/>
              <w:spacing w:before="69" w:line="211" w:lineRule="auto"/>
              <w:rPr/>
            </w:pPr>
            <w:r>
              <w:rPr>
                <w:color w:val="231F20"/>
                <w:spacing w:val="-1"/>
              </w:rPr>
              <w:t>胆管不扩张</w:t>
            </w:r>
          </w:p>
        </w:tc>
        <w:tc>
          <w:tcPr>
            <w:tcW w:w="2412" w:type="dxa"/>
            <w:vAlign w:val="top"/>
          </w:tcPr>
          <w:p>
            <w:pPr>
              <w:pStyle w:val="TableText"/>
              <w:ind w:left="295"/>
              <w:spacing w:before="70" w:line="210" w:lineRule="auto"/>
              <w:rPr/>
            </w:pPr>
            <w:r>
              <w:rPr>
                <w:color w:val="231F20"/>
                <w:spacing w:val="-1"/>
              </w:rPr>
              <w:t>乳头括约肌预切开术</w:t>
            </w:r>
          </w:p>
        </w:tc>
      </w:tr>
      <w:tr>
        <w:trPr>
          <w:trHeight w:val="291" w:hRule="atLeast"/>
        </w:trPr>
        <w:tc>
          <w:tcPr>
            <w:tcW w:w="2180" w:type="dxa"/>
            <w:vAlign w:val="top"/>
          </w:tcPr>
          <w:p>
            <w:pPr>
              <w:pStyle w:val="TableText"/>
              <w:ind w:left="92"/>
              <w:spacing w:before="68" w:line="212" w:lineRule="exact"/>
              <w:rPr/>
            </w:pPr>
            <w:r>
              <w:rPr>
                <w:color w:val="231F20"/>
                <w:spacing w:val="-3"/>
                <w:position w:val="1"/>
              </w:rPr>
              <w:t>Oddi括约肌功能障碍(SOD)</w:t>
            </w:r>
          </w:p>
        </w:tc>
        <w:tc>
          <w:tcPr>
            <w:tcW w:w="2412" w:type="dxa"/>
            <w:vAlign w:val="top"/>
          </w:tcPr>
          <w:p>
            <w:pPr>
              <w:pStyle w:val="TableText"/>
              <w:ind w:left="297"/>
              <w:spacing w:before="72" w:line="210" w:lineRule="auto"/>
              <w:rPr/>
            </w:pPr>
            <w:r>
              <w:rPr>
                <w:color w:val="231F20"/>
                <w:spacing w:val="-1"/>
              </w:rPr>
              <w:t>腔内超声术</w:t>
            </w:r>
          </w:p>
        </w:tc>
      </w:tr>
      <w:tr>
        <w:trPr>
          <w:trHeight w:val="564" w:hRule="atLeast"/>
        </w:trPr>
        <w:tc>
          <w:tcPr>
            <w:tcW w:w="218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7" w:right="1385" w:firstLine="1"/>
              <w:spacing w:before="65" w:line="282" w:lineRule="auto"/>
              <w:rPr/>
            </w:pPr>
            <w:r>
              <w:rPr>
                <w:color w:val="231F20"/>
              </w:rPr>
              <w:t>PEP</w:t>
            </w:r>
            <w:r>
              <w:rPr>
                <w:color w:val="231F20"/>
                <w:spacing w:val="15"/>
              </w:rPr>
              <w:t>病史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3"/>
              </w:rPr>
              <w:t>初次</w:t>
            </w:r>
            <w:r>
              <w:rPr>
                <w:color w:val="231F20"/>
              </w:rPr>
              <w:t>ERCP</w:t>
            </w:r>
          </w:p>
        </w:tc>
        <w:tc>
          <w:tcPr>
            <w:tcW w:w="241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6"/>
              <w:spacing w:before="63" w:line="214" w:lineRule="auto"/>
              <w:rPr/>
            </w:pPr>
            <w:r>
              <w:rPr>
                <w:color w:val="231F20"/>
                <w:spacing w:val="-1"/>
              </w:rPr>
              <w:t>胆管括约肌气囊扩张术</w:t>
            </w:r>
          </w:p>
        </w:tc>
      </w:tr>
    </w:tbl>
    <w:p>
      <w:pPr>
        <w:pStyle w:val="BodyText"/>
        <w:ind w:left="318"/>
        <w:spacing w:before="55" w:line="214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4"/>
          <w:position w:val="1"/>
        </w:rPr>
        <w:t>注：</w:t>
      </w:r>
      <w:r>
        <w:rPr>
          <w:sz w:val="16"/>
          <w:szCs w:val="16"/>
          <w:color w:val="231F20"/>
          <w:position w:val="1"/>
        </w:rPr>
        <w:t>PEP</w:t>
      </w:r>
      <w:r>
        <w:rPr>
          <w:sz w:val="16"/>
          <w:szCs w:val="16"/>
          <w:color w:val="231F20"/>
          <w:spacing w:val="4"/>
          <w:position w:val="1"/>
        </w:rPr>
        <w:t>：术后胰腺炎；</w:t>
      </w:r>
      <w:r>
        <w:rPr>
          <w:sz w:val="16"/>
          <w:szCs w:val="16"/>
          <w:color w:val="231F20"/>
          <w:position w:val="1"/>
        </w:rPr>
        <w:t>ERCP</w:t>
      </w:r>
      <w:r>
        <w:rPr>
          <w:sz w:val="16"/>
          <w:szCs w:val="16"/>
          <w:color w:val="231F20"/>
          <w:spacing w:val="4"/>
          <w:position w:val="1"/>
        </w:rPr>
        <w:t>：内镜下逆行胰胆管造影</w:t>
      </w:r>
    </w:p>
    <w:p>
      <w:pPr>
        <w:pStyle w:val="BodyText"/>
        <w:ind w:left="1059"/>
        <w:spacing w:before="253" w:line="190" w:lineRule="auto"/>
        <w:outlineLvl w:val="0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表 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  </w:t>
      </w:r>
      <w:r>
        <w:rPr>
          <w:sz w:val="18"/>
          <w:szCs w:val="18"/>
          <w:color w:val="231F20"/>
          <w:spacing w:val="-3"/>
        </w:rPr>
        <w:t>消化道出血相关危险因素</w:t>
      </w:r>
    </w:p>
    <w:tbl>
      <w:tblPr>
        <w:tblStyle w:val="TableNormal"/>
        <w:tblW w:w="459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78"/>
        <w:gridCol w:w="2714"/>
      </w:tblGrid>
      <w:tr>
        <w:trPr>
          <w:trHeight w:val="278" w:hRule="atLeast"/>
        </w:trPr>
        <w:tc>
          <w:tcPr>
            <w:tcW w:w="187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1"/>
              <w:spacing w:before="60" w:line="213" w:lineRule="auto"/>
              <w:rPr/>
            </w:pPr>
            <w:r>
              <w:rPr>
                <w:color w:val="231F20"/>
                <w:spacing w:val="-2"/>
              </w:rPr>
              <w:t>患者因素</w:t>
            </w:r>
          </w:p>
        </w:tc>
        <w:tc>
          <w:tcPr>
            <w:tcW w:w="271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28"/>
              <w:spacing w:before="60" w:line="213" w:lineRule="auto"/>
              <w:rPr/>
            </w:pPr>
            <w:r>
              <w:rPr>
                <w:color w:val="231F20"/>
                <w:spacing w:val="-1"/>
              </w:rPr>
              <w:t>操作因素</w:t>
            </w:r>
          </w:p>
        </w:tc>
      </w:tr>
      <w:tr>
        <w:trPr>
          <w:trHeight w:val="283" w:hRule="atLeast"/>
        </w:trPr>
        <w:tc>
          <w:tcPr>
            <w:tcW w:w="18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6"/>
              <w:spacing w:before="60" w:line="214" w:lineRule="auto"/>
              <w:rPr/>
            </w:pPr>
            <w:r>
              <w:rPr>
                <w:color w:val="231F20"/>
                <w:spacing w:val="-1"/>
              </w:rPr>
              <w:t>凝血功能障碍</w:t>
            </w:r>
          </w:p>
        </w:tc>
        <w:tc>
          <w:tcPr>
            <w:tcW w:w="27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8"/>
              <w:spacing w:before="57" w:line="214" w:lineRule="exact"/>
              <w:rPr/>
            </w:pPr>
            <w:r>
              <w:rPr>
                <w:color w:val="231F20"/>
                <w:spacing w:val="-3"/>
                <w:position w:val="1"/>
              </w:rPr>
              <w:t>术者经验(≤1台ERCP手术/周)</w:t>
            </w:r>
          </w:p>
        </w:tc>
      </w:tr>
      <w:tr>
        <w:trPr>
          <w:trHeight w:val="273" w:hRule="atLeast"/>
        </w:trPr>
        <w:tc>
          <w:tcPr>
            <w:tcW w:w="1878" w:type="dxa"/>
            <w:vAlign w:val="top"/>
          </w:tcPr>
          <w:p>
            <w:pPr>
              <w:pStyle w:val="TableText"/>
              <w:ind w:left="90"/>
              <w:spacing w:before="62" w:line="211" w:lineRule="auto"/>
              <w:rPr/>
            </w:pPr>
            <w:r>
              <w:rPr>
                <w:color w:val="231F20"/>
                <w:spacing w:val="-1"/>
              </w:rPr>
              <w:t>急性胆管炎</w:t>
            </w:r>
          </w:p>
        </w:tc>
        <w:tc>
          <w:tcPr>
            <w:tcW w:w="2714" w:type="dxa"/>
            <w:vAlign w:val="top"/>
          </w:tcPr>
          <w:p>
            <w:pPr>
              <w:pStyle w:val="TableText"/>
              <w:ind w:left="328"/>
              <w:spacing w:before="63" w:line="208" w:lineRule="auto"/>
              <w:rPr/>
            </w:pPr>
            <w:r>
              <w:rPr>
                <w:color w:val="231F20"/>
                <w:spacing w:val="-1"/>
              </w:rPr>
              <w:t>术中出血</w:t>
            </w:r>
          </w:p>
        </w:tc>
      </w:tr>
      <w:tr>
        <w:trPr>
          <w:trHeight w:val="572" w:hRule="atLeast"/>
        </w:trPr>
        <w:tc>
          <w:tcPr>
            <w:tcW w:w="187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7"/>
              <w:spacing w:before="71" w:line="213" w:lineRule="auto"/>
              <w:rPr/>
            </w:pPr>
            <w:r>
              <w:rPr>
                <w:color w:val="231F20"/>
                <w:spacing w:val="-1"/>
              </w:rPr>
              <w:t>术后3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1"/>
              </w:rPr>
              <w:t>d内使用抗凝剂</w:t>
            </w:r>
          </w:p>
        </w:tc>
        <w:tc>
          <w:tcPr>
            <w:tcW w:w="271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9" w:right="1108"/>
              <w:spacing w:before="74" w:line="281" w:lineRule="auto"/>
              <w:rPr/>
            </w:pPr>
            <w:r>
              <w:rPr>
                <w:color w:val="231F20"/>
                <w:spacing w:val="-1"/>
              </w:rPr>
              <w:t>乳头括约肌预切开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乳头口狭窄</w:t>
            </w:r>
          </w:p>
        </w:tc>
      </w:tr>
    </w:tbl>
    <w:p>
      <w:pPr>
        <w:pStyle w:val="BodyText"/>
        <w:ind w:left="318"/>
        <w:spacing w:before="59" w:line="21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注：</w:t>
      </w:r>
      <w:r>
        <w:rPr>
          <w:sz w:val="16"/>
          <w:szCs w:val="16"/>
          <w:color w:val="231F20"/>
        </w:rPr>
        <w:t>ERCP</w:t>
      </w:r>
      <w:r>
        <w:rPr>
          <w:sz w:val="16"/>
          <w:szCs w:val="16"/>
          <w:color w:val="231F20"/>
          <w:spacing w:val="4"/>
        </w:rPr>
        <w:t>：内镜下逆行胰胆管造影</w:t>
      </w:r>
    </w:p>
    <w:p>
      <w:pPr>
        <w:pStyle w:val="BodyText"/>
        <w:ind w:left="1149"/>
        <w:spacing w:before="292" w:line="190" w:lineRule="auto"/>
        <w:outlineLvl w:val="0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表 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  <w:spacing w:val="-2"/>
        </w:rPr>
        <w:t>胆系感染相关危险因素</w:t>
      </w:r>
    </w:p>
    <w:tbl>
      <w:tblPr>
        <w:tblStyle w:val="TableNormal"/>
        <w:tblW w:w="459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24"/>
        <w:gridCol w:w="2168"/>
      </w:tblGrid>
      <w:tr>
        <w:trPr>
          <w:trHeight w:val="279" w:hRule="atLeast"/>
        </w:trPr>
        <w:tc>
          <w:tcPr>
            <w:tcW w:w="242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3"/>
              <w:spacing w:before="60" w:line="213" w:lineRule="auto"/>
              <w:rPr/>
            </w:pPr>
            <w:r>
              <w:rPr>
                <w:color w:val="231F20"/>
                <w:spacing w:val="-2"/>
              </w:rPr>
              <w:t>患者因素</w:t>
            </w:r>
          </w:p>
        </w:tc>
        <w:tc>
          <w:tcPr>
            <w:tcW w:w="216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1"/>
              <w:spacing w:before="60" w:line="213" w:lineRule="auto"/>
              <w:rPr/>
            </w:pPr>
            <w:r>
              <w:rPr>
                <w:color w:val="231F20"/>
                <w:spacing w:val="-1"/>
              </w:rPr>
              <w:t>操作因素</w:t>
            </w:r>
          </w:p>
        </w:tc>
      </w:tr>
      <w:tr>
        <w:trPr>
          <w:trHeight w:val="276" w:hRule="atLeast"/>
        </w:trPr>
        <w:tc>
          <w:tcPr>
            <w:tcW w:w="24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60" w:line="214" w:lineRule="auto"/>
              <w:rPr/>
            </w:pPr>
            <w:r>
              <w:rPr>
                <w:color w:val="231F20"/>
                <w:spacing w:val="7"/>
              </w:rPr>
              <w:t>高龄，既往</w:t>
            </w:r>
            <w:r>
              <w:rPr>
                <w:color w:val="231F20"/>
              </w:rPr>
              <w:t>ERCP</w:t>
            </w:r>
            <w:r>
              <w:rPr>
                <w:color w:val="231F20"/>
                <w:spacing w:val="7"/>
              </w:rPr>
              <w:t>治疗史</w:t>
            </w:r>
          </w:p>
        </w:tc>
        <w:tc>
          <w:tcPr>
            <w:tcW w:w="21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3"/>
              <w:spacing w:before="61" w:line="211" w:lineRule="auto"/>
              <w:rPr/>
            </w:pPr>
            <w:r>
              <w:rPr>
                <w:color w:val="231F20"/>
                <w:spacing w:val="-1"/>
              </w:rPr>
              <w:t>胆管引流不充分</w:t>
            </w:r>
          </w:p>
        </w:tc>
      </w:tr>
      <w:tr>
        <w:trPr>
          <w:trHeight w:val="280" w:hRule="atLeast"/>
        </w:trPr>
        <w:tc>
          <w:tcPr>
            <w:tcW w:w="2424" w:type="dxa"/>
            <w:vAlign w:val="top"/>
          </w:tcPr>
          <w:p>
            <w:pPr>
              <w:pStyle w:val="TableText"/>
              <w:ind w:left="60"/>
              <w:spacing w:before="68" w:line="211" w:lineRule="auto"/>
              <w:rPr/>
            </w:pPr>
            <w:r>
              <w:rPr>
                <w:color w:val="231F20"/>
                <w:spacing w:val="-1"/>
              </w:rPr>
              <w:t>原发性硬化性胆管炎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91"/>
              <w:spacing w:before="68" w:line="211" w:lineRule="auto"/>
              <w:rPr/>
            </w:pPr>
            <w:r>
              <w:rPr>
                <w:color w:val="231F20"/>
                <w:spacing w:val="-1"/>
              </w:rPr>
              <w:t>术者缺乏经验</w:t>
            </w:r>
          </w:p>
        </w:tc>
      </w:tr>
      <w:tr>
        <w:trPr>
          <w:trHeight w:val="265" w:hRule="atLeast"/>
        </w:trPr>
        <w:tc>
          <w:tcPr>
            <w:tcW w:w="2424" w:type="dxa"/>
            <w:vAlign w:val="top"/>
          </w:tcPr>
          <w:p>
            <w:pPr>
              <w:pStyle w:val="TableText"/>
              <w:ind w:left="60"/>
              <w:spacing w:before="71" w:line="211" w:lineRule="auto"/>
              <w:rPr/>
            </w:pPr>
            <w:r>
              <w:rPr>
                <w:color w:val="231F20"/>
                <w:spacing w:val="-1"/>
              </w:rPr>
              <w:t>肝门部恶性狭窄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94"/>
              <w:spacing w:before="71" w:line="211" w:lineRule="auto"/>
              <w:rPr/>
            </w:pPr>
            <w:r>
              <w:rPr>
                <w:color w:val="231F20"/>
                <w:spacing w:val="-1"/>
              </w:rPr>
              <w:t>恶性狭窄支架置入</w:t>
            </w:r>
          </w:p>
        </w:tc>
      </w:tr>
      <w:tr>
        <w:trPr>
          <w:trHeight w:val="439" w:hRule="atLeast"/>
        </w:trPr>
        <w:tc>
          <w:tcPr>
            <w:tcW w:w="242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1" w:right="83"/>
              <w:spacing w:before="52" w:line="217" w:lineRule="auto"/>
              <w:rPr/>
            </w:pPr>
            <w:r>
              <w:rPr>
                <w:color w:val="231F20"/>
                <w:spacing w:val="-3"/>
              </w:rPr>
              <w:t>免疫力低下(化疗、肝移植、接受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免疫抑制剂治疗等)</w:t>
            </w:r>
          </w:p>
        </w:tc>
        <w:tc>
          <w:tcPr>
            <w:tcW w:w="2168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318"/>
        <w:spacing w:before="59" w:line="21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注：</w:t>
      </w:r>
      <w:r>
        <w:rPr>
          <w:sz w:val="16"/>
          <w:szCs w:val="16"/>
          <w:color w:val="231F20"/>
        </w:rPr>
        <w:t>ERCP</w:t>
      </w:r>
      <w:r>
        <w:rPr>
          <w:sz w:val="16"/>
          <w:szCs w:val="16"/>
          <w:color w:val="231F20"/>
          <w:spacing w:val="4"/>
        </w:rPr>
        <w:t>：内镜下逆行胰胆管造影</w:t>
      </w:r>
    </w:p>
    <w:p>
      <w:pPr>
        <w:pStyle w:val="BodyText"/>
        <w:ind w:left="1329"/>
        <w:spacing w:before="293" w:line="190" w:lineRule="auto"/>
        <w:outlineLvl w:val="0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表 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  <w:spacing w:val="-3"/>
        </w:rPr>
        <w:t>穿孔相关危险因素</w:t>
      </w:r>
    </w:p>
    <w:tbl>
      <w:tblPr>
        <w:tblStyle w:val="TableNormal"/>
        <w:tblW w:w="459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96"/>
        <w:gridCol w:w="2496"/>
      </w:tblGrid>
      <w:tr>
        <w:trPr>
          <w:trHeight w:val="279" w:hRule="atLeast"/>
        </w:trPr>
        <w:tc>
          <w:tcPr>
            <w:tcW w:w="209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1"/>
              <w:spacing w:before="60" w:line="213" w:lineRule="auto"/>
              <w:rPr/>
            </w:pPr>
            <w:r>
              <w:rPr>
                <w:color w:val="231F20"/>
                <w:spacing w:val="-2"/>
              </w:rPr>
              <w:t>患者因素</w:t>
            </w:r>
          </w:p>
        </w:tc>
        <w:tc>
          <w:tcPr>
            <w:tcW w:w="249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78"/>
              <w:spacing w:before="60" w:line="213" w:lineRule="auto"/>
              <w:rPr/>
            </w:pPr>
            <w:r>
              <w:rPr>
                <w:color w:val="231F20"/>
                <w:spacing w:val="-1"/>
              </w:rPr>
              <w:t>操作因素</w:t>
            </w:r>
          </w:p>
        </w:tc>
      </w:tr>
      <w:tr>
        <w:trPr>
          <w:trHeight w:val="1677" w:hRule="atLeast"/>
        </w:trPr>
        <w:tc>
          <w:tcPr>
            <w:tcW w:w="2096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91" w:right="570" w:firstLine="1"/>
              <w:spacing w:before="27" w:line="253" w:lineRule="auto"/>
              <w:jc w:val="both"/>
              <w:rPr/>
            </w:pPr>
            <w:r>
              <w:rPr>
                <w:color w:val="231F20"/>
                <w:spacing w:val="-1"/>
              </w:rPr>
              <w:t>消化道术后解剖改变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(如：毕Ⅱ氏术后等)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高龄</w:t>
            </w:r>
          </w:p>
        </w:tc>
        <w:tc>
          <w:tcPr>
            <w:tcW w:w="2496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595"/>
              <w:spacing w:before="127" w:line="211" w:lineRule="auto"/>
              <w:rPr/>
            </w:pPr>
            <w:r>
              <w:rPr>
                <w:color w:val="231F20"/>
                <w:spacing w:val="-3"/>
              </w:rPr>
              <w:t>内镜粗暴操作</w:t>
            </w:r>
          </w:p>
          <w:p>
            <w:pPr>
              <w:pStyle w:val="TableText"/>
              <w:ind w:left="580"/>
              <w:spacing w:before="169" w:line="206" w:lineRule="auto"/>
              <w:rPr/>
            </w:pPr>
            <w:r>
              <w:rPr>
                <w:color w:val="231F20"/>
                <w:spacing w:val="-1"/>
              </w:rPr>
              <w:t>针状刀预切开</w:t>
            </w:r>
          </w:p>
          <w:p>
            <w:pPr>
              <w:pStyle w:val="TableText"/>
              <w:ind w:left="580"/>
              <w:spacing w:before="104" w:line="211" w:lineRule="auto"/>
              <w:rPr/>
            </w:pPr>
            <w:r>
              <w:rPr>
                <w:color w:val="231F20"/>
                <w:spacing w:val="-1"/>
              </w:rPr>
              <w:t>括约肌切口过长</w:t>
            </w:r>
          </w:p>
          <w:p>
            <w:pPr>
              <w:pStyle w:val="TableText"/>
              <w:ind w:left="578" w:right="960" w:firstLine="1"/>
              <w:spacing w:before="97" w:line="260" w:lineRule="auto"/>
              <w:rPr/>
            </w:pPr>
            <w:r>
              <w:rPr>
                <w:color w:val="231F20"/>
                <w:spacing w:val="-1"/>
              </w:rPr>
              <w:t>胆管狭窄扩张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操作时间过长</w:t>
            </w:r>
          </w:p>
          <w:p>
            <w:pPr>
              <w:pStyle w:val="TableText"/>
              <w:ind w:left="584"/>
              <w:spacing w:line="199" w:lineRule="auto"/>
              <w:rPr/>
            </w:pPr>
            <w:r>
              <w:rPr>
                <w:color w:val="231F20"/>
                <w:spacing w:val="-1"/>
              </w:rPr>
              <w:t>十二指肠狭窄扩张术</w:t>
            </w:r>
          </w:p>
        </w:tc>
      </w:tr>
    </w:tbl>
    <w:p>
      <w:pPr>
        <w:pStyle w:val="BodyText"/>
        <w:ind w:left="318"/>
        <w:spacing w:before="55" w:line="214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4"/>
          <w:position w:val="1"/>
        </w:rPr>
        <w:t>注：</w:t>
      </w:r>
      <w:r>
        <w:rPr>
          <w:sz w:val="16"/>
          <w:szCs w:val="16"/>
          <w:color w:val="231F20"/>
          <w:position w:val="1"/>
        </w:rPr>
        <w:t>PEP</w:t>
      </w:r>
      <w:r>
        <w:rPr>
          <w:sz w:val="16"/>
          <w:szCs w:val="16"/>
          <w:color w:val="231F20"/>
          <w:spacing w:val="4"/>
          <w:position w:val="1"/>
        </w:rPr>
        <w:t>：术后胰腺炎；</w:t>
      </w:r>
      <w:r>
        <w:rPr>
          <w:sz w:val="16"/>
          <w:szCs w:val="16"/>
          <w:color w:val="231F20"/>
          <w:position w:val="1"/>
        </w:rPr>
        <w:t>ERCP</w:t>
      </w:r>
      <w:r>
        <w:rPr>
          <w:sz w:val="16"/>
          <w:szCs w:val="16"/>
          <w:color w:val="231F20"/>
          <w:spacing w:val="4"/>
          <w:position w:val="1"/>
        </w:rPr>
        <w:t>：内镜下逆行胰胆管造影</w:t>
      </w:r>
    </w:p>
    <w:p>
      <w:pPr>
        <w:ind w:left="6"/>
        <w:spacing w:before="269" w:line="20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ERCP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术后并发症的药物预防</w:t>
      </w:r>
    </w:p>
    <w:p>
      <w:pPr>
        <w:pStyle w:val="BodyText"/>
        <w:ind w:left="6" w:hanging="1"/>
        <w:spacing w:before="198" w:line="248" w:lineRule="auto"/>
        <w:rPr/>
      </w:pPr>
      <w:r>
        <w:rPr>
          <w:color w:val="231F20"/>
          <w:spacing w:val="9"/>
        </w:rPr>
        <w:t>5.1  </w:t>
      </w:r>
      <w:r>
        <w:rPr>
          <w:color w:val="231F20"/>
        </w:rPr>
        <w:t>ERCP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围手术期合理用药的目标  为内镜医师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提供良好的操作环境、保障操作安全、预防并发症、</w:t>
      </w:r>
    </w:p>
    <w:p>
      <w:pPr>
        <w:spacing w:line="248" w:lineRule="auto"/>
        <w:sectPr>
          <w:type w:val="continuous"/>
          <w:pgSz w:w="11906" w:h="16782"/>
          <w:pgMar w:top="1199" w:right="1054" w:bottom="0" w:left="407" w:header="953" w:footer="0" w:gutter="0"/>
          <w:cols w:equalWidth="0" w:num="2">
            <w:col w:w="5672" w:space="100"/>
            <w:col w:w="4672" w:space="0"/>
          </w:cols>
        </w:sectPr>
        <w:rPr/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3"/>
          <w:pgSz w:w="11906" w:h="16782"/>
          <w:pgMar w:top="1199" w:right="1067" w:bottom="0" w:left="407" w:header="953" w:footer="0" w:gutter="0"/>
          <w:cols w:equalWidth="0" w:num="1">
            <w:col w:w="10430" w:space="0"/>
          </w:cols>
        </w:sectPr>
        <w:rPr/>
      </w:pPr>
    </w:p>
    <w:p>
      <w:pPr>
        <w:pStyle w:val="BodyText"/>
        <w:ind w:left="728" w:right="275"/>
        <w:spacing w:before="49" w:line="300" w:lineRule="auto"/>
        <w:rPr/>
      </w:pPr>
      <w:r>
        <w:rPr>
          <w:color w:val="231F20"/>
          <w:spacing w:val="3"/>
        </w:rPr>
        <w:t>促进患者康复。用药种类主要包括解痉药、抑酶药、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抗生素、镇静止痛剂等。</w:t>
      </w:r>
    </w:p>
    <w:p>
      <w:pPr>
        <w:pStyle w:val="BodyText"/>
        <w:ind w:left="731"/>
        <w:spacing w:line="274" w:lineRule="exact"/>
        <w:rPr/>
      </w:pPr>
      <w:r>
        <w:rPr>
          <w:color w:val="231F20"/>
          <w:spacing w:val="8"/>
          <w:position w:val="1"/>
        </w:rPr>
        <w:t>5.2  </w:t>
      </w:r>
      <w:r>
        <w:rPr>
          <w:color w:val="231F20"/>
          <w:position w:val="1"/>
        </w:rPr>
        <w:t>ERCP</w:t>
      </w:r>
      <w:r>
        <w:rPr>
          <w:color w:val="231F20"/>
          <w:spacing w:val="-18"/>
          <w:position w:val="1"/>
        </w:rPr>
        <w:t xml:space="preserve"> </w:t>
      </w:r>
      <w:r>
        <w:rPr>
          <w:color w:val="231F20"/>
          <w:spacing w:val="8"/>
          <w:position w:val="1"/>
        </w:rPr>
        <w:t>围手术期用药建议</w:t>
      </w:r>
    </w:p>
    <w:p>
      <w:pPr>
        <w:pStyle w:val="BodyText"/>
        <w:ind w:left="746" w:right="356" w:hanging="15"/>
        <w:spacing w:before="51" w:line="262" w:lineRule="auto"/>
        <w:rPr/>
      </w:pPr>
      <w:r>
        <w:rPr>
          <w:color w:val="231F20"/>
          <w:spacing w:val="4"/>
        </w:rPr>
        <w:t>5.2.1  维生素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K  合并梗阻性黄疸或凝血功能障碍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的患者建议术前使用维生素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K。</w:t>
      </w:r>
    </w:p>
    <w:p>
      <w:pPr>
        <w:pStyle w:val="BodyText"/>
        <w:ind w:left="729" w:right="277" w:firstLine="2"/>
        <w:spacing w:before="84" w:line="291" w:lineRule="auto"/>
        <w:rPr/>
      </w:pPr>
      <w:r>
        <w:rPr>
          <w:color w:val="231F20"/>
          <w:spacing w:val="6"/>
        </w:rPr>
        <w:t>5.2.2  镇静止痛、解痉药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6"/>
        </w:rPr>
        <w:t>为减轻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6"/>
        </w:rPr>
        <w:t>患</w:t>
      </w:r>
      <w:r>
        <w:rPr>
          <w:color w:val="231F20"/>
          <w:spacing w:val="5"/>
        </w:rPr>
        <w:t>者术中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疼痛不适，可在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9"/>
        </w:rPr>
        <w:t>术前静脉注射地西泮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9"/>
        </w:rPr>
        <w:t>5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9"/>
        </w:rPr>
        <w:t>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(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或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3"/>
        </w:rPr>
        <w:t>)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3"/>
        </w:rPr>
        <w:t>盐酸哌替啶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3"/>
        </w:rPr>
        <w:t>50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3"/>
        </w:rPr>
        <w:t>。有条件的单位也可由麻醉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医师采用镇静或麻醉行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16"/>
        </w:rPr>
        <w:t>。建议在术前使用解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痉药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(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山莨菪碱，丁溴东莨菪碱等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4"/>
        </w:rPr>
        <w:t>)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以有效抑制十二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指肠蠕动，保持相对稳定的操作环境，需注意合并严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重心脏病、消化道机械性梗阻、重症肌无力、青光眼、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前列腺增生的患者禁用。</w:t>
      </w:r>
    </w:p>
    <w:p>
      <w:pPr>
        <w:pStyle w:val="BodyText"/>
        <w:ind w:left="728" w:right="354" w:firstLine="3"/>
        <w:spacing w:before="85" w:line="288" w:lineRule="auto"/>
        <w:rPr/>
      </w:pPr>
      <w:r>
        <w:rPr>
          <w:color w:val="231F20"/>
          <w:spacing w:val="15"/>
        </w:rPr>
        <w:t>5.2.3  祛泡剂  祛泡剂是否能缩短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5"/>
        </w:rPr>
        <w:t>操作时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间、减少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4"/>
        </w:rPr>
        <w:t>术后腹胀等不良事件发生率目前尚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无相关研究，但临床经验表明祛泡剂能改善消化道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8"/>
        </w:rPr>
        <w:t>内镜操作视野，有利于内镜操作顺利完成，因此今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4"/>
        </w:rPr>
        <w:t>后有必要进一步研究其是否在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4"/>
        </w:rPr>
        <w:t>术前有应用价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值。</w:t>
      </w:r>
    </w:p>
    <w:p>
      <w:pPr>
        <w:pStyle w:val="BodyText"/>
        <w:ind w:left="729" w:right="356" w:firstLine="1"/>
        <w:spacing w:before="85" w:line="301" w:lineRule="auto"/>
        <w:jc w:val="both"/>
        <w:rPr/>
      </w:pPr>
      <w:r>
        <w:rPr>
          <w:color w:val="231F20"/>
          <w:spacing w:val="12"/>
        </w:rPr>
        <w:t>5.3  预防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的药物  </w:t>
      </w:r>
      <w:r>
        <w:rPr>
          <w:color w:val="231F20"/>
        </w:rPr>
        <w:t>PEP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的药物预防一直是临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床研究的热点，最佳的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8"/>
        </w:rPr>
        <w:t>预防药物应该同时具备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有效、副反应小、成本效益比高、便于获取、给药方便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等特点。</w:t>
      </w:r>
    </w:p>
    <w:p>
      <w:pPr>
        <w:pStyle w:val="BodyText"/>
        <w:ind w:left="731"/>
        <w:spacing w:line="274" w:lineRule="exact"/>
        <w:rPr/>
      </w:pPr>
      <w:r>
        <w:rPr>
          <w:color w:val="231F20"/>
          <w:spacing w:val="-1"/>
          <w:position w:val="1"/>
        </w:rPr>
        <w:t>5.3.1  有明确预防效果药物</w:t>
      </w:r>
    </w:p>
    <w:p>
      <w:pPr>
        <w:pStyle w:val="BodyText"/>
        <w:ind w:left="728" w:right="354" w:firstLine="3"/>
        <w:spacing w:before="42" w:line="292" w:lineRule="auto"/>
        <w:jc w:val="both"/>
        <w:rPr/>
      </w:pPr>
      <w:r>
        <w:rPr>
          <w:color w:val="231F20"/>
          <w:spacing w:val="5"/>
        </w:rPr>
        <w:t>5.3.1.1  非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5"/>
        </w:rPr>
        <w:t>甾体类抗炎药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NSAIDs</w:t>
      </w:r>
      <w:r>
        <w:rPr>
          <w:color w:val="231F20"/>
          <w:spacing w:val="5"/>
        </w:rPr>
        <w:t>)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5"/>
        </w:rPr>
        <w:t>大量研究显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示，</w:t>
      </w:r>
      <w:r>
        <w:rPr>
          <w:color w:val="231F20"/>
        </w:rPr>
        <w:t>NSAIDs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可有效抑制磷酸酯酶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4"/>
        </w:rPr>
        <w:t>A</w:t>
      </w:r>
      <w:r>
        <w:rPr>
          <w:sz w:val="12"/>
          <w:szCs w:val="12"/>
          <w:color w:val="231F20"/>
          <w:spacing w:val="4"/>
          <w:position w:val="-3"/>
        </w:rPr>
        <w:t>2 </w:t>
      </w:r>
      <w:r>
        <w:rPr>
          <w:color w:val="231F20"/>
          <w:spacing w:val="4"/>
        </w:rPr>
        <w:t>活性，降低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PEP </w:t>
      </w:r>
      <w:r>
        <w:rPr>
          <w:color w:val="231F20"/>
          <w:spacing w:val="7"/>
        </w:rPr>
        <w:t>的发生率</w:t>
      </w:r>
      <w:r>
        <w:rPr>
          <w:color w:val="231F20"/>
          <w:spacing w:val="-37"/>
        </w:rPr>
        <w:t xml:space="preserve"> </w:t>
      </w:r>
      <w:r>
        <w:rPr>
          <w:sz w:val="12"/>
          <w:szCs w:val="12"/>
          <w:color w:val="231F20"/>
          <w:spacing w:val="7"/>
          <w:position w:val="9"/>
        </w:rPr>
        <w:t>[31]</w:t>
      </w:r>
      <w:r>
        <w:rPr>
          <w:color w:val="231F20"/>
          <w:spacing w:val="7"/>
        </w:rPr>
        <w:t>。2014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7"/>
        </w:rPr>
        <w:t>年欧洲消化内镜协会推荐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ERCP </w:t>
      </w:r>
      <w:r>
        <w:rPr>
          <w:color w:val="231F20"/>
          <w:spacing w:val="8"/>
        </w:rPr>
        <w:t>患者常规使用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100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NSAIDs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8"/>
        </w:rPr>
        <w:t>纳肛预防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PEP</w:t>
      </w:r>
      <w:r>
        <w:rPr>
          <w:sz w:val="12"/>
          <w:szCs w:val="12"/>
          <w:color w:val="231F20"/>
          <w:spacing w:val="8"/>
          <w:position w:val="9"/>
        </w:rPr>
        <w:t>[30]</w:t>
      </w:r>
      <w:r>
        <w:rPr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color w:val="231F20"/>
          <w:spacing w:val="8"/>
        </w:rPr>
        <w:t>。最</w:t>
      </w:r>
      <w:r>
        <w:rPr>
          <w:color w:val="231F20"/>
        </w:rPr>
        <w:t xml:space="preserve"> </w:t>
      </w:r>
      <w:r>
        <w:rPr>
          <w:color w:val="231F20"/>
          <w:spacing w:val="28"/>
        </w:rPr>
        <w:t>近的大多数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8"/>
        </w:rPr>
        <w:t>及荟萃分析认为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NSAIDs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8"/>
        </w:rPr>
        <w:t>可以明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显降低高危患者的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3"/>
        </w:rPr>
        <w:t>发生率，术前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3"/>
        </w:rPr>
        <w:t>30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min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3"/>
        </w:rPr>
        <w:t>内或</w:t>
      </w:r>
      <w:r>
        <w:rPr>
          <w:color w:val="231F20"/>
        </w:rPr>
        <w:t xml:space="preserve"> </w:t>
      </w:r>
      <w:r>
        <w:rPr>
          <w:color w:val="231F20"/>
          <w:spacing w:val="26"/>
        </w:rPr>
        <w:t>术后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NSAIDs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6"/>
        </w:rPr>
        <w:t>纳肛的效果明显，而口服或肌注无</w:t>
      </w:r>
      <w:r>
        <w:rPr>
          <w:color w:val="231F20"/>
        </w:rPr>
        <w:t xml:space="preserve"> </w:t>
      </w:r>
      <w:r>
        <w:rPr>
          <w:color w:val="231F20"/>
          <w:spacing w:val="18"/>
          <w:position w:val="-1"/>
        </w:rPr>
        <w:t>效</w:t>
      </w:r>
      <w:r>
        <w:rPr>
          <w:color w:val="231F20"/>
          <w:spacing w:val="-23"/>
          <w:position w:val="-1"/>
        </w:rPr>
        <w:t xml:space="preserve"> </w:t>
      </w:r>
      <w:r>
        <w:rPr>
          <w:sz w:val="12"/>
          <w:szCs w:val="12"/>
          <w:color w:val="231F20"/>
          <w:spacing w:val="18"/>
          <w:position w:val="8"/>
        </w:rPr>
        <w:t>[32-35]</w:t>
      </w:r>
      <w:r>
        <w:rPr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color w:val="231F20"/>
          <w:spacing w:val="18"/>
          <w:position w:val="-1"/>
        </w:rPr>
        <w:t>。近期一项</w:t>
      </w:r>
      <w:r>
        <w:rPr>
          <w:color w:val="231F20"/>
          <w:spacing w:val="-34"/>
          <w:position w:val="-1"/>
        </w:rPr>
        <w:t xml:space="preserve"> </w:t>
      </w:r>
      <w:r>
        <w:rPr>
          <w:color w:val="231F20"/>
          <w:position w:val="-1"/>
        </w:rPr>
        <w:t>RCT</w:t>
      </w:r>
      <w:r>
        <w:rPr>
          <w:color w:val="231F20"/>
          <w:spacing w:val="-40"/>
          <w:position w:val="-1"/>
        </w:rPr>
        <w:t xml:space="preserve"> </w:t>
      </w:r>
      <w:r>
        <w:rPr>
          <w:color w:val="231F20"/>
          <w:spacing w:val="18"/>
          <w:position w:val="-1"/>
        </w:rPr>
        <w:t>研究认为非选择性</w:t>
      </w:r>
      <w:r>
        <w:rPr>
          <w:color w:val="231F20"/>
          <w:spacing w:val="-36"/>
          <w:position w:val="-1"/>
        </w:rPr>
        <w:t xml:space="preserve"> </w:t>
      </w:r>
      <w:r>
        <w:rPr>
          <w:color w:val="231F20"/>
          <w:position w:val="-1"/>
        </w:rPr>
        <w:t>ERCP </w:t>
      </w:r>
      <w:r>
        <w:rPr>
          <w:color w:val="231F20"/>
          <w:spacing w:val="5"/>
        </w:rPr>
        <w:t>患者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100</w:t>
      </w:r>
      <w:r>
        <w:rPr>
          <w:color w:val="231F20"/>
          <w:spacing w:val="-51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5"/>
        </w:rPr>
        <w:t xml:space="preserve"> 吲哚美辛纳肛与安慰剂组比较</w:t>
      </w:r>
      <w:r>
        <w:rPr>
          <w:color w:val="231F20"/>
          <w:spacing w:val="4"/>
        </w:rPr>
        <w:t>，</w:t>
      </w:r>
      <w:r>
        <w:rPr>
          <w:color w:val="231F20"/>
        </w:rPr>
        <w:t>PEP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4"/>
        </w:rPr>
        <w:t>发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生率差异无统计学意义，因此不推荐所有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3"/>
        </w:rPr>
        <w:t>患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者使用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NSAIDs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3"/>
        </w:rPr>
        <w:t>预</w:t>
      </w:r>
      <w:r>
        <w:rPr>
          <w:color w:val="231F20"/>
          <w:spacing w:val="-60"/>
        </w:rPr>
        <w:t xml:space="preserve"> </w:t>
      </w:r>
      <w:r>
        <w:rPr>
          <w:color w:val="231F20"/>
          <w:spacing w:val="13"/>
        </w:rPr>
        <w:t>防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PEP</w:t>
      </w:r>
      <w:r>
        <w:rPr>
          <w:sz w:val="12"/>
          <w:szCs w:val="12"/>
          <w:color w:val="231F20"/>
          <w:spacing w:val="13"/>
          <w:position w:val="9"/>
        </w:rPr>
        <w:t>[36]</w:t>
      </w:r>
      <w:r>
        <w:rPr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color w:val="231F20"/>
          <w:spacing w:val="13"/>
        </w:rPr>
        <w:t>。而一项纳入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3"/>
        </w:rPr>
        <w:t>24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3"/>
        </w:rPr>
        <w:t>个临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床研究的荟萃分析认为，吲哚美辛能明显降低非选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5"/>
        </w:rPr>
        <w:t>择性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5"/>
        </w:rPr>
        <w:t>患者术后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发生率</w:t>
      </w:r>
      <w:r>
        <w:rPr>
          <w:color w:val="231F20"/>
          <w:spacing w:val="-38"/>
        </w:rPr>
        <w:t xml:space="preserve"> </w:t>
      </w:r>
      <w:r>
        <w:rPr>
          <w:sz w:val="12"/>
          <w:szCs w:val="12"/>
          <w:color w:val="231F20"/>
          <w:spacing w:val="15"/>
          <w:position w:val="9"/>
        </w:rPr>
        <w:t>[37]</w:t>
      </w:r>
      <w:r>
        <w:rPr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color w:val="231F20"/>
          <w:spacing w:val="15"/>
        </w:rPr>
        <w:t>。另外两项纳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入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2"/>
        </w:rPr>
        <w:t>12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2"/>
        </w:rPr>
        <w:t>个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12"/>
        </w:rPr>
        <w:t>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2"/>
        </w:rPr>
        <w:t>9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2"/>
        </w:rPr>
        <w:t>个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的荟</w:t>
      </w:r>
      <w:r>
        <w:rPr>
          <w:color w:val="231F20"/>
          <w:spacing w:val="-58"/>
        </w:rPr>
        <w:t xml:space="preserve"> </w:t>
      </w:r>
      <w:r>
        <w:rPr>
          <w:color w:val="231F20"/>
          <w:spacing w:val="12"/>
        </w:rPr>
        <w:t>萃</w:t>
      </w:r>
      <w:r>
        <w:rPr>
          <w:color w:val="231F20"/>
          <w:spacing w:val="-59"/>
        </w:rPr>
        <w:t xml:space="preserve"> </w:t>
      </w:r>
      <w:r>
        <w:rPr>
          <w:color w:val="231F20"/>
          <w:spacing w:val="12"/>
        </w:rPr>
        <w:t>分</w:t>
      </w:r>
      <w:r>
        <w:rPr>
          <w:color w:val="231F20"/>
          <w:spacing w:val="-58"/>
        </w:rPr>
        <w:t xml:space="preserve"> </w:t>
      </w:r>
      <w:r>
        <w:rPr>
          <w:color w:val="231F20"/>
          <w:spacing w:val="12"/>
        </w:rPr>
        <w:t>析认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12"/>
        </w:rPr>
        <w:t>为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NSAIDs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2"/>
        </w:rPr>
        <w:t>对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PEP</w:t>
      </w:r>
      <w:r>
        <w:rPr>
          <w:color w:val="231F20"/>
          <w:spacing w:val="-36"/>
          <w:position w:val="-1"/>
        </w:rPr>
        <w:t xml:space="preserve"> </w:t>
      </w:r>
      <w:r>
        <w:rPr>
          <w:color w:val="231F20"/>
          <w:spacing w:val="4"/>
          <w:position w:val="-1"/>
        </w:rPr>
        <w:t>高危及低危患者都有预防作用</w:t>
      </w:r>
      <w:r>
        <w:rPr>
          <w:color w:val="231F20"/>
          <w:spacing w:val="-40"/>
          <w:position w:val="-1"/>
        </w:rPr>
        <w:t xml:space="preserve"> </w:t>
      </w:r>
      <w:r>
        <w:rPr>
          <w:sz w:val="12"/>
          <w:szCs w:val="12"/>
          <w:color w:val="231F20"/>
          <w:spacing w:val="4"/>
          <w:position w:val="8"/>
        </w:rPr>
        <w:t>[38-39]</w:t>
      </w:r>
      <w:r>
        <w:rPr>
          <w:sz w:val="12"/>
          <w:szCs w:val="12"/>
          <w:color w:val="231F20"/>
          <w:spacing w:val="-35"/>
          <w:position w:val="8"/>
        </w:rPr>
        <w:t xml:space="preserve"> </w:t>
      </w:r>
      <w:r>
        <w:rPr>
          <w:color w:val="231F20"/>
          <w:spacing w:val="4"/>
          <w:position w:val="-1"/>
        </w:rPr>
        <w:t>。但最近国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1"/>
        </w:rPr>
        <w:t>内一项纳入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3013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1"/>
        </w:rPr>
        <w:t>例患者的荟萃分析显示并非所有</w:t>
      </w:r>
      <w:r>
        <w:rPr>
          <w:color w:val="231F20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9"/>
        </w:rPr>
        <w:t>术患者使用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NSAIDs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9"/>
        </w:rPr>
        <w:t>均能有效预</w:t>
      </w:r>
      <w:r>
        <w:rPr>
          <w:color w:val="231F20"/>
          <w:spacing w:val="-58"/>
        </w:rPr>
        <w:t xml:space="preserve"> </w:t>
      </w:r>
      <w:r>
        <w:rPr>
          <w:color w:val="231F20"/>
          <w:spacing w:val="29"/>
        </w:rPr>
        <w:t>防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29"/>
        </w:rPr>
        <w:t>，仅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对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0"/>
        </w:rPr>
        <w:t>高危患者能显著降低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0"/>
        </w:rPr>
        <w:t>发生率</w:t>
      </w:r>
      <w:r>
        <w:rPr>
          <w:color w:val="231F20"/>
          <w:spacing w:val="-39"/>
        </w:rPr>
        <w:t xml:space="preserve"> </w:t>
      </w:r>
      <w:r>
        <w:rPr>
          <w:sz w:val="12"/>
          <w:szCs w:val="12"/>
          <w:color w:val="231F20"/>
          <w:spacing w:val="10"/>
          <w:position w:val="9"/>
        </w:rPr>
        <w:t>[40]</w:t>
      </w:r>
      <w:r>
        <w:rPr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color w:val="231F20"/>
          <w:spacing w:val="10"/>
        </w:rPr>
        <w:t>。关于</w:t>
      </w:r>
      <w:r>
        <w:rPr>
          <w:color w:val="231F20"/>
        </w:rPr>
        <w:t xml:space="preserve"> </w:t>
      </w:r>
      <w:r>
        <w:rPr>
          <w:color w:val="231F20"/>
        </w:rPr>
        <w:t>NSAIDs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的最佳使用时机，最近我国一项大样本多中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6" w:firstLine="3"/>
        <w:spacing w:before="45" w:line="292" w:lineRule="auto"/>
        <w:jc w:val="both"/>
        <w:rPr/>
      </w:pPr>
      <w:r>
        <w:rPr>
          <w:color w:val="231F20"/>
          <w:spacing w:val="8"/>
        </w:rPr>
        <w:t>心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8"/>
        </w:rPr>
        <w:t>研究认为患者术前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8"/>
        </w:rPr>
        <w:t>30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min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100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吲哚美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辛纳肛较术后即刻吲哚美辛纳肛能更显著降低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PEP </w:t>
      </w:r>
      <w:r>
        <w:rPr>
          <w:color w:val="231F20"/>
          <w:spacing w:val="-5"/>
          <w:position w:val="-3"/>
        </w:rPr>
        <w:t>发生率</w:t>
      </w:r>
      <w:r>
        <w:rPr>
          <w:color w:val="231F20"/>
          <w:spacing w:val="-41"/>
          <w:position w:val="-3"/>
        </w:rPr>
        <w:t xml:space="preserve"> </w:t>
      </w:r>
      <w:r>
        <w:rPr>
          <w:sz w:val="12"/>
          <w:szCs w:val="12"/>
          <w:color w:val="231F20"/>
          <w:spacing w:val="-5"/>
          <w:position w:val="6"/>
        </w:rPr>
        <w:t>[41]</w:t>
      </w:r>
      <w:r>
        <w:rPr>
          <w:color w:val="231F20"/>
          <w:spacing w:val="-5"/>
          <w:position w:val="-3"/>
        </w:rPr>
        <w:t>。</w:t>
      </w:r>
    </w:p>
    <w:p>
      <w:pPr>
        <w:ind w:left="3" w:firstLine="423"/>
        <w:spacing w:before="20" w:line="300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5"/>
        </w:rPr>
        <w:t>推荐意见</w:t>
      </w:r>
      <w:r>
        <w:rPr>
          <w:rFonts w:ascii="KaiTi" w:hAnsi="KaiTi" w:eastAsia="KaiTi" w:cs="KaiTi"/>
          <w:sz w:val="20"/>
          <w:szCs w:val="20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：对无消化道出血、心功能衰竭和肾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7"/>
        </w:rPr>
        <w:t>功能衰竭等禁忌证的拟行</w:t>
      </w:r>
      <w:r>
        <w:rPr>
          <w:rFonts w:ascii="KaiTi" w:hAnsi="KaiTi" w:eastAsia="KaiTi" w:cs="KaiTi"/>
          <w:sz w:val="20"/>
          <w:szCs w:val="20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ERCP</w:t>
      </w:r>
      <w:r>
        <w:rPr>
          <w:rFonts w:ascii="KaiTi" w:hAnsi="KaiTi" w:eastAsia="KaiTi" w:cs="KaiTi"/>
          <w:sz w:val="20"/>
          <w:szCs w:val="20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7"/>
        </w:rPr>
        <w:t>患者，</w:t>
      </w:r>
      <w:r>
        <w:rPr>
          <w:rFonts w:ascii="KaiTi" w:hAnsi="KaiTi" w:eastAsia="KaiTi" w:cs="KaiTi"/>
          <w:sz w:val="20"/>
          <w:szCs w:val="20"/>
          <w:color w:val="231F20"/>
        </w:rPr>
        <w:t>NSAIDs</w:t>
      </w:r>
      <w:r>
        <w:rPr>
          <w:rFonts w:ascii="KaiTi" w:hAnsi="KaiTi" w:eastAsia="KaiTi" w:cs="KaiTi"/>
          <w:sz w:val="20"/>
          <w:szCs w:val="20"/>
          <w:color w:val="231F20"/>
          <w:spacing w:val="17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7"/>
        </w:rPr>
        <w:t>双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1"/>
        </w:rPr>
        <w:t>氯芬酸钠</w:t>
      </w:r>
      <w:r>
        <w:rPr>
          <w:rFonts w:ascii="KaiTi" w:hAnsi="KaiTi" w:eastAsia="KaiTi" w:cs="KaiTi"/>
          <w:sz w:val="20"/>
          <w:szCs w:val="20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1"/>
        </w:rPr>
        <w:t>100</w:t>
      </w:r>
      <w:r>
        <w:rPr>
          <w:rFonts w:ascii="KaiTi" w:hAnsi="KaiTi" w:eastAsia="KaiTi" w:cs="KaiTi"/>
          <w:sz w:val="20"/>
          <w:szCs w:val="20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mg</w:t>
      </w:r>
      <w:r>
        <w:rPr>
          <w:rFonts w:ascii="KaiTi" w:hAnsi="KaiTi" w:eastAsia="KaiTi" w:cs="KaiTi"/>
          <w:sz w:val="20"/>
          <w:szCs w:val="20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1"/>
        </w:rPr>
        <w:t>或吲哚美辛</w:t>
      </w:r>
      <w:r>
        <w:rPr>
          <w:rFonts w:ascii="KaiTi" w:hAnsi="KaiTi" w:eastAsia="KaiTi" w:cs="KaiTi"/>
          <w:sz w:val="20"/>
          <w:szCs w:val="20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1"/>
        </w:rPr>
        <w:t>100</w:t>
      </w:r>
      <w:r>
        <w:rPr>
          <w:rFonts w:ascii="KaiTi" w:hAnsi="KaiTi" w:eastAsia="KaiTi" w:cs="KaiTi"/>
          <w:sz w:val="20"/>
          <w:szCs w:val="20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mg</w:t>
      </w:r>
      <w:r>
        <w:rPr>
          <w:rFonts w:ascii="KaiTi" w:hAnsi="KaiTi" w:eastAsia="KaiTi" w:cs="KaiTi"/>
          <w:sz w:val="20"/>
          <w:szCs w:val="20"/>
          <w:color w:val="231F20"/>
          <w:spacing w:val="11"/>
        </w:rPr>
        <w:t>)</w:t>
      </w:r>
      <w:r>
        <w:rPr>
          <w:rFonts w:ascii="KaiTi" w:hAnsi="KaiTi" w:eastAsia="KaiTi" w:cs="KaiTi"/>
          <w:sz w:val="20"/>
          <w:szCs w:val="20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1"/>
        </w:rPr>
        <w:t>纳肛能明显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>降低高危患者的</w:t>
      </w:r>
      <w:r>
        <w:rPr>
          <w:rFonts w:ascii="KaiTi" w:hAnsi="KaiTi" w:eastAsia="KaiTi" w:cs="KaiTi"/>
          <w:sz w:val="20"/>
          <w:szCs w:val="20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PEP</w:t>
      </w:r>
      <w:r>
        <w:rPr>
          <w:rFonts w:ascii="KaiTi" w:hAnsi="KaiTi" w:eastAsia="KaiTi" w:cs="KaiTi"/>
          <w:sz w:val="20"/>
          <w:szCs w:val="20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>发生率</w:t>
      </w:r>
      <w:r>
        <w:rPr>
          <w:rFonts w:ascii="KaiTi" w:hAnsi="KaiTi" w:eastAsia="KaiTi" w:cs="KaiTi"/>
          <w:sz w:val="20"/>
          <w:szCs w:val="20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>图</w:t>
      </w:r>
      <w:r>
        <w:rPr>
          <w:rFonts w:ascii="KaiTi" w:hAnsi="KaiTi" w:eastAsia="KaiTi" w:cs="KaiTi"/>
          <w:sz w:val="20"/>
          <w:szCs w:val="20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>1)，但能否降低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30"/>
        </w:rPr>
        <w:t>所有</w:t>
      </w:r>
      <w:r>
        <w:rPr>
          <w:rFonts w:ascii="KaiTi" w:hAnsi="KaiTi" w:eastAsia="KaiTi" w:cs="KaiTi"/>
          <w:sz w:val="20"/>
          <w:szCs w:val="20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ERCP</w:t>
      </w:r>
      <w:r>
        <w:rPr>
          <w:rFonts w:ascii="KaiTi" w:hAnsi="KaiTi" w:eastAsia="KaiTi" w:cs="KaiTi"/>
          <w:sz w:val="20"/>
          <w:szCs w:val="20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30"/>
        </w:rPr>
        <w:t>患者</w:t>
      </w:r>
      <w:r>
        <w:rPr>
          <w:rFonts w:ascii="KaiTi" w:hAnsi="KaiTi" w:eastAsia="KaiTi" w:cs="KaiTi"/>
          <w:sz w:val="20"/>
          <w:szCs w:val="20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PEP</w:t>
      </w:r>
      <w:r>
        <w:rPr>
          <w:rFonts w:ascii="KaiTi" w:hAnsi="KaiTi" w:eastAsia="KaiTi" w:cs="KaiTi"/>
          <w:sz w:val="20"/>
          <w:szCs w:val="20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30"/>
        </w:rPr>
        <w:t>发生率仍需要进一步研究，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NSAIDs</w:t>
      </w:r>
      <w:r>
        <w:rPr>
          <w:rFonts w:ascii="KaiTi" w:hAnsi="KaiTi" w:eastAsia="KaiTi" w:cs="KaiTi"/>
          <w:sz w:val="20"/>
          <w:szCs w:val="20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1"/>
        </w:rPr>
        <w:t>在我国人群中的最佳剂量尚待探索。</w:t>
      </w:r>
    </w:p>
    <w:p>
      <w:pPr>
        <w:pStyle w:val="BodyText"/>
        <w:ind w:right="65" w:firstLine="3"/>
        <w:spacing w:before="8" w:line="298" w:lineRule="auto"/>
        <w:jc w:val="both"/>
        <w:rPr/>
      </w:pPr>
      <w:r>
        <w:rPr>
          <w:color w:val="231F20"/>
          <w:spacing w:val="-5"/>
        </w:rPr>
        <w:t>5.3.1.2</w:t>
      </w:r>
      <w:r>
        <w:rPr>
          <w:color w:val="231F20"/>
          <w:spacing w:val="29"/>
        </w:rPr>
        <w:t xml:space="preserve">  </w:t>
      </w:r>
      <w:r>
        <w:rPr>
          <w:color w:val="231F20"/>
          <w:spacing w:val="-5"/>
        </w:rPr>
        <w:t>生长抑素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(somatostatin)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5"/>
        </w:rPr>
        <w:t>及其类似物奥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5"/>
        </w:rPr>
        <w:t>曲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肽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(</w:t>
      </w:r>
      <w:r>
        <w:rPr>
          <w:color w:val="231F20"/>
        </w:rPr>
        <w:t>octreotide</w:t>
      </w:r>
      <w:r>
        <w:rPr>
          <w:color w:val="231F20"/>
          <w:spacing w:val="6"/>
        </w:rPr>
        <w:t>)  生长抑素可以抑制多种内分泌激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素的分泌，还可减少胰腺的内外分泌以及小肠和胆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8"/>
        </w:rPr>
        <w:t>囊的分泌，降低消化酶活性，对胰腺细胞有保护作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用，具有极好的安全性，不良反应少见</w:t>
      </w:r>
      <w:r>
        <w:rPr>
          <w:color w:val="231F20"/>
          <w:spacing w:val="-37"/>
        </w:rPr>
        <w:t xml:space="preserve"> </w:t>
      </w:r>
      <w:r>
        <w:rPr>
          <w:sz w:val="12"/>
          <w:szCs w:val="12"/>
          <w:color w:val="231F20"/>
          <w:spacing w:val="2"/>
          <w:position w:val="9"/>
        </w:rPr>
        <w:t>[42]</w:t>
      </w:r>
      <w:r>
        <w:rPr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color w:val="231F20"/>
          <w:spacing w:val="2"/>
        </w:rPr>
        <w:t>。近</w:t>
      </w:r>
      <w:r>
        <w:rPr>
          <w:color w:val="231F20"/>
          <w:spacing w:val="1"/>
        </w:rPr>
        <w:t>年我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国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11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0"/>
        </w:rPr>
        <w:t>家医院共同完成一项纳入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0"/>
        </w:rPr>
        <w:t>900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0"/>
        </w:rPr>
        <w:t>例患</w:t>
      </w:r>
      <w:r>
        <w:rPr>
          <w:color w:val="231F20"/>
          <w:spacing w:val="9"/>
        </w:rPr>
        <w:t>者的大样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本量、多中心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5"/>
        </w:rPr>
        <w:t>，证实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围手术期使用生长抑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素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(250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μg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2"/>
        </w:rPr>
        <w:t>术前静脉推注＋ 250μg/h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2"/>
        </w:rPr>
        <w:t>术后静脉滴注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11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1"/>
        </w:rPr>
        <w:t>h)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可显著降低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"/>
        </w:rPr>
        <w:t>发生率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(7.5% 比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4.0%)，</w:t>
      </w:r>
      <w:r>
        <w:rPr>
          <w:color w:val="231F20"/>
        </w:rPr>
        <w:t>且无 </w:t>
      </w:r>
      <w:r>
        <w:rPr>
          <w:color w:val="231F20"/>
          <w:spacing w:val="9"/>
        </w:rPr>
        <w:t>严重不良事件发生</w:t>
      </w:r>
      <w:r>
        <w:rPr>
          <w:color w:val="231F20"/>
          <w:spacing w:val="-30"/>
        </w:rPr>
        <w:t xml:space="preserve"> </w:t>
      </w:r>
      <w:r>
        <w:rPr>
          <w:sz w:val="12"/>
          <w:szCs w:val="12"/>
          <w:color w:val="231F20"/>
          <w:spacing w:val="9"/>
          <w:position w:val="9"/>
        </w:rPr>
        <w:t>[43]</w:t>
      </w:r>
      <w:r>
        <w:rPr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color w:val="231F20"/>
          <w:spacing w:val="9"/>
        </w:rPr>
        <w:t>。近期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9"/>
        </w:rPr>
        <w:t>项荟萃分析也认为</w:t>
      </w:r>
      <w:r>
        <w:rPr>
          <w:color w:val="231F20"/>
        </w:rPr>
        <w:t xml:space="preserve"> </w:t>
      </w:r>
      <w:r>
        <w:rPr>
          <w:color w:val="231F20"/>
          <w:spacing w:val="10"/>
          <w:position w:val="-1"/>
        </w:rPr>
        <w:t>生长抑素可降低</w:t>
      </w:r>
      <w:r>
        <w:rPr>
          <w:color w:val="231F20"/>
          <w:spacing w:val="-29"/>
          <w:position w:val="-1"/>
        </w:rPr>
        <w:t xml:space="preserve"> </w:t>
      </w:r>
      <w:r>
        <w:rPr>
          <w:color w:val="231F20"/>
          <w:position w:val="-1"/>
        </w:rPr>
        <w:t>PEP</w:t>
      </w:r>
      <w:r>
        <w:rPr>
          <w:color w:val="231F20"/>
          <w:spacing w:val="-39"/>
          <w:position w:val="-1"/>
        </w:rPr>
        <w:t xml:space="preserve"> </w:t>
      </w:r>
      <w:r>
        <w:rPr>
          <w:color w:val="231F20"/>
          <w:spacing w:val="10"/>
          <w:position w:val="-1"/>
        </w:rPr>
        <w:t>发生率</w:t>
      </w:r>
      <w:r>
        <w:rPr>
          <w:color w:val="231F20"/>
          <w:spacing w:val="-37"/>
          <w:position w:val="-1"/>
        </w:rPr>
        <w:t xml:space="preserve"> </w:t>
      </w:r>
      <w:r>
        <w:rPr>
          <w:sz w:val="12"/>
          <w:szCs w:val="12"/>
          <w:color w:val="231F20"/>
          <w:spacing w:val="10"/>
          <w:position w:val="8"/>
        </w:rPr>
        <w:t>[44-45]</w:t>
      </w:r>
      <w:r>
        <w:rPr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color w:val="231F20"/>
          <w:spacing w:val="10"/>
          <w:position w:val="-1"/>
        </w:rPr>
        <w:t>。生长抑素类似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8"/>
        </w:rPr>
        <w:t>物奥曲肽同样可抑制多种内分泌激素，减少胰腺分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1"/>
        </w:rPr>
        <w:t>泌。一项由我国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1"/>
        </w:rPr>
        <w:t>12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1"/>
        </w:rPr>
        <w:t>个中心完成的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1"/>
        </w:rPr>
        <w:t>证实围手术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期使用奥曲肽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(</w:t>
      </w:r>
      <w:r>
        <w:rPr>
          <w:color w:val="231F20"/>
        </w:rPr>
        <w:t>ERCP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6"/>
        </w:rPr>
        <w:t>术前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1h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6"/>
        </w:rPr>
        <w:t>奥曲肽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6"/>
        </w:rPr>
        <w:t>0.3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6"/>
        </w:rPr>
        <w:t>持续静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滴至术后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2"/>
        </w:rPr>
        <w:t>5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h，静滴结束后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6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h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2"/>
        </w:rPr>
        <w:t>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12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h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2"/>
        </w:rPr>
        <w:t>奥曲肽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2"/>
        </w:rPr>
        <w:t>0.1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mg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皮下注射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5"/>
        </w:rPr>
        <w:t>)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5"/>
        </w:rPr>
        <w:t>可明显降低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5"/>
        </w:rPr>
        <w:t>发生率及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PEH</w:t>
      </w:r>
      <w:r>
        <w:rPr>
          <w:sz w:val="12"/>
          <w:szCs w:val="12"/>
          <w:color w:val="231F20"/>
          <w:spacing w:val="15"/>
          <w:position w:val="9"/>
        </w:rPr>
        <w:t>[46]</w:t>
      </w:r>
      <w:r>
        <w:rPr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color w:val="231F20"/>
          <w:spacing w:val="15"/>
        </w:rPr>
        <w:t>。近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期两项荟萃分析结果显示大剂量奥曲肽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( ≥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0.5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mg)</w:t>
      </w:r>
      <w:r>
        <w:rPr>
          <w:color w:val="231F20"/>
        </w:rPr>
        <w:t xml:space="preserve"> </w:t>
      </w:r>
      <w:r>
        <w:rPr>
          <w:color w:val="231F20"/>
          <w:spacing w:val="2"/>
          <w:position w:val="-1"/>
        </w:rPr>
        <w:t>预防</w:t>
      </w:r>
      <w:r>
        <w:rPr>
          <w:color w:val="231F20"/>
          <w:spacing w:val="-28"/>
          <w:position w:val="-1"/>
        </w:rPr>
        <w:t xml:space="preserve"> </w:t>
      </w:r>
      <w:r>
        <w:rPr>
          <w:color w:val="231F20"/>
          <w:position w:val="-1"/>
        </w:rPr>
        <w:t>PEP</w:t>
      </w:r>
      <w:r>
        <w:rPr>
          <w:color w:val="231F20"/>
          <w:spacing w:val="-25"/>
          <w:position w:val="-1"/>
        </w:rPr>
        <w:t xml:space="preserve"> </w:t>
      </w:r>
      <w:r>
        <w:rPr>
          <w:color w:val="231F20"/>
          <w:spacing w:val="2"/>
          <w:position w:val="-1"/>
        </w:rPr>
        <w:t>的效果更为显著</w:t>
      </w:r>
      <w:r>
        <w:rPr>
          <w:color w:val="231F20"/>
          <w:spacing w:val="-41"/>
          <w:position w:val="-1"/>
        </w:rPr>
        <w:t xml:space="preserve"> </w:t>
      </w:r>
      <w:r>
        <w:rPr>
          <w:sz w:val="12"/>
          <w:szCs w:val="12"/>
          <w:color w:val="231F20"/>
          <w:spacing w:val="2"/>
          <w:position w:val="7"/>
        </w:rPr>
        <w:t>[47-48]</w:t>
      </w:r>
      <w:r>
        <w:rPr>
          <w:color w:val="231F20"/>
          <w:spacing w:val="2"/>
          <w:position w:val="-1"/>
        </w:rPr>
        <w:t>。</w:t>
      </w:r>
    </w:p>
    <w:p>
      <w:pPr>
        <w:ind w:left="2" w:right="65" w:firstLine="425"/>
        <w:spacing w:before="14" w:line="300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26"/>
        </w:rPr>
        <w:t>推荐意见</w:t>
      </w:r>
      <w:r>
        <w:rPr>
          <w:rFonts w:ascii="KaiTi" w:hAnsi="KaiTi" w:eastAsia="KaiTi" w:cs="KaiTi"/>
          <w:sz w:val="20"/>
          <w:szCs w:val="20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6"/>
        </w:rPr>
        <w:t>：</w:t>
      </w:r>
      <w:r>
        <w:rPr>
          <w:rFonts w:ascii="KaiTi" w:hAnsi="KaiTi" w:eastAsia="KaiTi" w:cs="KaiTi"/>
          <w:sz w:val="20"/>
          <w:szCs w:val="20"/>
          <w:color w:val="231F20"/>
        </w:rPr>
        <w:t>ERCP</w:t>
      </w:r>
      <w:r>
        <w:rPr>
          <w:rFonts w:ascii="KaiTi" w:hAnsi="KaiTi" w:eastAsia="KaiTi" w:cs="KaiTi"/>
          <w:sz w:val="20"/>
          <w:szCs w:val="20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6"/>
        </w:rPr>
        <w:t>围手术期使用生长抑素能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7"/>
        </w:rPr>
        <w:t>降低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PEP</w:t>
      </w:r>
      <w:r>
        <w:rPr>
          <w:rFonts w:ascii="KaiTi" w:hAnsi="KaiTi" w:eastAsia="KaiTi" w:cs="KaiTi"/>
          <w:sz w:val="20"/>
          <w:szCs w:val="20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7"/>
        </w:rPr>
        <w:t>发生率，推荐剂量为</w:t>
      </w:r>
      <w:r>
        <w:rPr>
          <w:rFonts w:ascii="KaiTi" w:hAnsi="KaiTi" w:eastAsia="KaiTi" w:cs="KaiTi"/>
          <w:sz w:val="20"/>
          <w:szCs w:val="20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ERCP</w:t>
      </w:r>
      <w:r>
        <w:rPr>
          <w:rFonts w:ascii="KaiTi" w:hAnsi="KaiTi" w:eastAsia="KaiTi" w:cs="KaiTi"/>
          <w:sz w:val="20"/>
          <w:szCs w:val="20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7"/>
        </w:rPr>
        <w:t>操作开始前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2"/>
        </w:rPr>
        <w:t>250</w:t>
      </w:r>
      <w:r>
        <w:rPr>
          <w:rFonts w:ascii="KaiTi" w:hAnsi="KaiTi" w:eastAsia="KaiTi" w:cs="KaiTi"/>
          <w:sz w:val="20"/>
          <w:szCs w:val="20"/>
          <w:color w:val="231F20"/>
          <w:spacing w:val="-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2"/>
        </w:rPr>
        <w:t>μg</w:t>
      </w:r>
      <w:r>
        <w:rPr>
          <w:rFonts w:ascii="KaiTi" w:hAnsi="KaiTi" w:eastAsia="KaiTi" w:cs="KaiTi"/>
          <w:sz w:val="20"/>
          <w:szCs w:val="20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2"/>
        </w:rPr>
        <w:t>静脉推注</w:t>
      </w:r>
      <w:r>
        <w:rPr>
          <w:rFonts w:ascii="KaiTi" w:hAnsi="KaiTi" w:eastAsia="KaiTi" w:cs="KaiTi"/>
          <w:sz w:val="20"/>
          <w:szCs w:val="20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2"/>
        </w:rPr>
        <w:t>+</w:t>
      </w:r>
      <w:r>
        <w:rPr>
          <w:rFonts w:ascii="KaiTi" w:hAnsi="KaiTi" w:eastAsia="KaiTi" w:cs="KaiTi"/>
          <w:sz w:val="20"/>
          <w:szCs w:val="20"/>
          <w:color w:val="231F20"/>
        </w:rPr>
        <w:t>ERCP</w:t>
      </w:r>
      <w:r>
        <w:rPr>
          <w:rFonts w:ascii="KaiTi" w:hAnsi="KaiTi" w:eastAsia="KaiTi" w:cs="KaiTi"/>
          <w:sz w:val="20"/>
          <w:szCs w:val="20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2"/>
        </w:rPr>
        <w:t>术后</w:t>
      </w:r>
      <w:r>
        <w:rPr>
          <w:rFonts w:ascii="KaiTi" w:hAnsi="KaiTi" w:eastAsia="KaiTi" w:cs="KaiTi"/>
          <w:sz w:val="20"/>
          <w:szCs w:val="20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2"/>
        </w:rPr>
        <w:t>250μg/h</w:t>
      </w:r>
      <w:r>
        <w:rPr>
          <w:rFonts w:ascii="KaiTi" w:hAnsi="KaiTi" w:eastAsia="KaiTi" w:cs="KaiTi"/>
          <w:sz w:val="20"/>
          <w:szCs w:val="20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2"/>
        </w:rPr>
        <w:t>静脉滴注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7"/>
        </w:rPr>
        <w:t>至少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7"/>
        </w:rPr>
        <w:t>11</w:t>
      </w:r>
      <w:r>
        <w:rPr>
          <w:rFonts w:ascii="KaiTi" w:hAnsi="KaiTi" w:eastAsia="KaiTi" w:cs="KaiTi"/>
          <w:sz w:val="20"/>
          <w:szCs w:val="20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7"/>
        </w:rPr>
        <w:t>h。生长抑素类似物奥曲肽也可降低</w:t>
      </w:r>
      <w:r>
        <w:rPr>
          <w:rFonts w:ascii="KaiTi" w:hAnsi="KaiTi" w:eastAsia="KaiTi" w:cs="KaiTi"/>
          <w:sz w:val="20"/>
          <w:szCs w:val="20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PEP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6"/>
        </w:rPr>
        <w:t>发生率，推荐使用剂量≥</w:t>
      </w:r>
      <w:r>
        <w:rPr>
          <w:rFonts w:ascii="KaiTi" w:hAnsi="KaiTi" w:eastAsia="KaiTi" w:cs="KaiTi"/>
          <w:sz w:val="20"/>
          <w:szCs w:val="20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6"/>
        </w:rPr>
        <w:t>0.5</w:t>
      </w:r>
      <w:r>
        <w:rPr>
          <w:rFonts w:ascii="KaiTi" w:hAnsi="KaiTi" w:eastAsia="KaiTi" w:cs="KaiTi"/>
          <w:sz w:val="20"/>
          <w:szCs w:val="20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6"/>
        </w:rPr>
        <w:t>mg(</w:t>
      </w:r>
      <w:r>
        <w:rPr>
          <w:rFonts w:ascii="KaiTi" w:hAnsi="KaiTi" w:eastAsia="KaiTi" w:cs="KaiTi"/>
          <w:sz w:val="20"/>
          <w:szCs w:val="20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6"/>
        </w:rPr>
        <w:t>图</w:t>
      </w:r>
      <w:r>
        <w:rPr>
          <w:rFonts w:ascii="KaiTi" w:hAnsi="KaiTi" w:eastAsia="KaiTi" w:cs="KaiTi"/>
          <w:sz w:val="20"/>
          <w:szCs w:val="20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6"/>
        </w:rPr>
        <w:t>1)。</w:t>
      </w:r>
    </w:p>
    <w:p>
      <w:pPr>
        <w:pStyle w:val="BodyText"/>
        <w:ind w:left="3"/>
        <w:spacing w:before="8" w:line="275" w:lineRule="exact"/>
        <w:rPr/>
      </w:pPr>
      <w:r>
        <w:rPr>
          <w:color w:val="231F20"/>
          <w:spacing w:val="-1"/>
          <w:position w:val="1"/>
        </w:rPr>
        <w:t>5.3.2  可能有预防效果的药物</w:t>
      </w:r>
    </w:p>
    <w:p>
      <w:pPr>
        <w:pStyle w:val="BodyText"/>
        <w:ind w:right="65" w:firstLine="2"/>
        <w:spacing w:before="51" w:line="288" w:lineRule="auto"/>
        <w:jc w:val="both"/>
        <w:rPr/>
      </w:pPr>
      <w:r>
        <w:rPr>
          <w:color w:val="231F20"/>
          <w:spacing w:val="-5"/>
        </w:rPr>
        <w:t>5.3.2.1  蛋白酶抑制剂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5"/>
        </w:rPr>
        <w:t>(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加贝酯、乌司他丁、萘莫司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他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)  蛋白酶抑制剂可抑制胰蛋白酶、激肽释放酶等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蛋白酶的活性，减轻胰腺损伤，主要包括加贝酯、乌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8"/>
        </w:rPr>
        <w:t>司他丁及萘莫司他。目前无论是高质量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8"/>
        </w:rPr>
        <w:t>研究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还是荟萃分析，均没有明确加贝酯及乌司他丁是否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1"/>
          <w:position w:val="-1"/>
        </w:rPr>
        <w:t>对</w:t>
      </w:r>
      <w:r>
        <w:rPr>
          <w:color w:val="231F20"/>
          <w:spacing w:val="-39"/>
          <w:position w:val="-1"/>
        </w:rPr>
        <w:t xml:space="preserve"> </w:t>
      </w:r>
      <w:r>
        <w:rPr>
          <w:color w:val="231F20"/>
          <w:position w:val="-1"/>
        </w:rPr>
        <w:t>PEP</w:t>
      </w:r>
      <w:r>
        <w:rPr>
          <w:color w:val="231F20"/>
          <w:spacing w:val="-40"/>
          <w:position w:val="-1"/>
        </w:rPr>
        <w:t xml:space="preserve"> </w:t>
      </w:r>
      <w:r>
        <w:rPr>
          <w:color w:val="231F20"/>
          <w:spacing w:val="11"/>
          <w:position w:val="-1"/>
        </w:rPr>
        <w:t>有预防作用</w:t>
      </w:r>
      <w:r>
        <w:rPr>
          <w:color w:val="231F20"/>
          <w:spacing w:val="-37"/>
          <w:position w:val="-1"/>
        </w:rPr>
        <w:t xml:space="preserve"> </w:t>
      </w:r>
      <w:r>
        <w:rPr>
          <w:sz w:val="12"/>
          <w:szCs w:val="12"/>
          <w:color w:val="231F20"/>
          <w:spacing w:val="11"/>
          <w:position w:val="8"/>
        </w:rPr>
        <w:t>[49-50]</w:t>
      </w:r>
      <w:r>
        <w:rPr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color w:val="231F20"/>
          <w:spacing w:val="11"/>
          <w:position w:val="-1"/>
        </w:rPr>
        <w:t>。最近一项荟</w:t>
      </w:r>
      <w:r>
        <w:rPr>
          <w:color w:val="231F20"/>
          <w:spacing w:val="10"/>
          <w:position w:val="-1"/>
        </w:rPr>
        <w:t>萃分析认为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0"/>
        </w:rPr>
        <w:t>乌司他丁仅能预防中低危患者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0"/>
        </w:rPr>
        <w:t>发生率</w:t>
      </w:r>
      <w:r>
        <w:rPr>
          <w:color w:val="231F20"/>
          <w:spacing w:val="-40"/>
        </w:rPr>
        <w:t xml:space="preserve"> </w:t>
      </w:r>
      <w:r>
        <w:rPr>
          <w:sz w:val="12"/>
          <w:szCs w:val="12"/>
          <w:color w:val="231F20"/>
          <w:spacing w:val="10"/>
          <w:position w:val="9"/>
        </w:rPr>
        <w:t>[51]</w:t>
      </w:r>
      <w:r>
        <w:rPr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color w:val="231F20"/>
          <w:spacing w:val="10"/>
        </w:rPr>
        <w:t>。萘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莫司他是一种新型的蛋白酶抑制剂，一项荟萃分析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0"/>
        </w:rPr>
        <w:t>纳入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0"/>
        </w:rPr>
        <w:t>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0"/>
        </w:rPr>
        <w:t>项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0"/>
        </w:rPr>
        <w:t>研究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0"/>
        </w:rPr>
        <w:t>,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0"/>
        </w:rPr>
        <w:t>结果显示萘莫司他降低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PEP </w:t>
      </w:r>
      <w:r>
        <w:rPr>
          <w:color w:val="231F20"/>
          <w:spacing w:val="8"/>
        </w:rPr>
        <w:t>低危患者最为显著，而对高危患者无明显的预防作</w:t>
      </w:r>
    </w:p>
    <w:p>
      <w:pPr>
        <w:spacing w:line="288" w:lineRule="auto"/>
        <w:sectPr>
          <w:type w:val="continuous"/>
          <w:pgSz w:w="11906" w:h="16782"/>
          <w:pgMar w:top="1199" w:right="1067" w:bottom="0" w:left="407" w:header="953" w:footer="0" w:gutter="0"/>
          <w:cols w:equalWidth="0" w:num="2">
            <w:col w:w="5675" w:space="100"/>
            <w:col w:w="4656" w:space="0"/>
          </w:cols>
        </w:sectPr>
        <w:rPr/>
      </w:pPr>
    </w:p>
    <w:p>
      <w:pPr>
        <w:pStyle w:val="BodyText"/>
        <w:ind w:firstLine="695"/>
        <w:spacing w:before="218" w:line="5193" w:lineRule="exact"/>
        <w:rPr/>
      </w:pPr>
      <w:r>
        <w:rPr>
          <w:position w:val="-103"/>
        </w:rPr>
        <w:pict>
          <v:group id="_x0000_s12" style="mso-position-vertical-relative:line;mso-position-horizontal-relative:char;width:483.45pt;height:259.7pt;" filled="false" stroked="false" coordsize="9669,5194" coordorigin="0,0">
            <v:shape id="_x0000_s14" style="position:absolute;left:30;top:0;width:9637;height:5194;" filled="false" stroked="false" type="#_x0000_t75">
              <v:imagedata o:title="" r:id="rId5"/>
            </v:shape>
            <v:shape id="_x0000_s16" style="position:absolute;left:1173;top:60;width:8092;height:50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97"/>
                      <w:spacing w:before="20" w:line="208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15"/>
                      </w:rPr>
                      <w:t>患者拟行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</w:rPr>
                      <w:t>ERCP</w:t>
                    </w:r>
                  </w:p>
                  <w:p>
                    <w:pPr>
                      <w:spacing w:line="3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13"/>
                      <w:spacing w:before="52" w:line="212" w:lineRule="exac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"/>
                        <w:position w:val="1"/>
                      </w:rPr>
                      <w:t>术前评估是否具有患者相关危险因素</w:t>
                    </w:r>
                  </w:p>
                  <w:p>
                    <w:pPr>
                      <w:spacing w:line="33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37"/>
                      <w:spacing w:before="52" w:line="214" w:lineRule="exac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"/>
                        <w:position w:val="1"/>
                      </w:rPr>
                      <w:t>有患者相关危险因素</w:t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5080" w:firstLine="20"/>
                      <w:spacing w:before="52" w:line="223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6"/>
                      </w:rPr>
                      <w:t>使用生长抑素(术前30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6"/>
                      </w:rPr>
                      <w:t>min静推250 μg)或使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1"/>
                      </w:rPr>
                      <w:t>用吲哚美辛术前纳肛或使用奥曲肽预防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</w:rPr>
                      <w:t>PEP</w:t>
                    </w:r>
                  </w:p>
                  <w:p>
                    <w:pPr>
                      <w:spacing w:line="33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0"/>
                      <w:spacing w:before="52" w:line="214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8"/>
                      </w:rPr>
                      <w:t>行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</w:rPr>
                      <w:t>ERCP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8"/>
                      </w:rPr>
                      <w:t>，记录操作过程</w:t>
                    </w:r>
                  </w:p>
                  <w:p>
                    <w:pPr>
                      <w:ind w:left="1658"/>
                      <w:spacing w:before="102" w:line="21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"/>
                      </w:rPr>
                      <w:t>术中评估</w:t>
                    </w:r>
                  </w:p>
                  <w:p>
                    <w:pPr>
                      <w:ind w:left="702"/>
                      <w:spacing w:before="91" w:line="213" w:lineRule="exac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"/>
                        <w:position w:val="1"/>
                      </w:rPr>
                      <w:t>是否有操作相关危险因素</w:t>
                    </w:r>
                  </w:p>
                  <w:p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14"/>
                      <w:spacing w:before="53" w:line="225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</w:rPr>
                      <w:t>有                      无  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"/>
                      </w:rPr>
                      <w:t xml:space="preserve">                                  有                      无</w:t>
                    </w:r>
                  </w:p>
                  <w:p>
                    <w:pPr>
                      <w:ind w:right="17"/>
                      <w:spacing w:before="286" w:line="211" w:lineRule="auto"/>
                      <w:jc w:val="righ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3"/>
                      </w:rPr>
                      <w:t>极易发生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</w:rPr>
                      <w:t>PEP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3"/>
                      </w:rPr>
                      <w:t xml:space="preserve">           极易发生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</w:rPr>
                      <w:t>PEP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3"/>
                      </w:rPr>
                      <w:t xml:space="preserve">                              极易发生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</w:rPr>
                      <w:t>PEP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3"/>
                      </w:rPr>
                      <w:t xml:space="preserve">              常规观察</w:t>
                    </w:r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17" w:right="3927" w:firstLine="116"/>
                      <w:spacing w:before="52" w:line="223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5"/>
                      </w:rPr>
                      <w:t>继续生长抑素250 μg/h持续11h或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"/>
                      </w:rPr>
                      <w:t>吲哚美辛术后即刻纳肛或使用奥曲肽</w:t>
                    </w:r>
                  </w:p>
                </w:txbxContent>
              </v:textbox>
            </v:shape>
            <v:shape id="_x0000_s18" style="position:absolute;left:7050;top:2547;width:1796;height:7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75" w:right="86" w:hanging="932"/>
                      <w:spacing w:before="19" w:line="312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8"/>
                      </w:rPr>
                      <w:t>行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</w:rPr>
                      <w:t>ERCP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8"/>
                      </w:rPr>
                      <w:t>，记录操作过程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"/>
                      </w:rPr>
                      <w:t>术中评估</w:t>
                    </w:r>
                  </w:p>
                  <w:p>
                    <w:pPr>
                      <w:ind w:left="20"/>
                      <w:spacing w:before="15" w:line="214" w:lineRule="exac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"/>
                        <w:position w:val="1"/>
                      </w:rPr>
                      <w:t>是否有操作相关危险因素</w:t>
                    </w:r>
                  </w:p>
                </w:txbxContent>
              </v:textbox>
            </v:shape>
            <v:shape id="_x0000_s20" style="position:absolute;left:-20;top:4728;width:2705;height:3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3" w:right="20" w:hanging="63"/>
                      <w:spacing w:before="20" w:line="223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5"/>
                      </w:rPr>
                      <w:t>继续生长抑素250 μg/h持续至少11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5"/>
                      </w:rPr>
                      <w:t>h或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"/>
                      </w:rPr>
                      <w:t>吲哚美辛术后即刻纳肛或使用奥曲肽</w:t>
                    </w:r>
                  </w:p>
                </w:txbxContent>
              </v:textbox>
            </v:shape>
            <v:shape id="_x0000_s22" style="position:absolute;left:5801;top:4733;width:2386;height:3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3" w:right="20" w:hanging="64"/>
                      <w:spacing w:before="20" w:line="223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5"/>
                      </w:rPr>
                      <w:t>使用生长抑素250 μg/h持续12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5"/>
                      </w:rPr>
                      <w:t>h或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"/>
                      </w:rPr>
                      <w:t>吲哚美辛术后纳肛或使用奥曲肽</w:t>
                    </w:r>
                  </w:p>
                </w:txbxContent>
              </v:textbox>
            </v:shape>
            <v:shape id="_x0000_s24" style="position:absolute;left:7041;top:1268;width:1796;height:2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3" w:lineRule="exac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231F20"/>
                        <w:spacing w:val="-1"/>
                        <w:position w:val="1"/>
                      </w:rPr>
                      <w:t>不存在患者相关危险因素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323"/>
        <w:spacing w:before="105" w:line="204" w:lineRule="auto"/>
        <w:outlineLvl w:val="0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图 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  <w:spacing w:val="-1"/>
        </w:rPr>
        <w:t>PEP</w:t>
      </w:r>
      <w:r>
        <w:rPr>
          <w:sz w:val="18"/>
          <w:szCs w:val="18"/>
          <w:color w:val="231F20"/>
          <w:spacing w:val="-40"/>
        </w:rPr>
        <w:t xml:space="preserve"> </w:t>
      </w:r>
      <w:r>
        <w:rPr>
          <w:sz w:val="18"/>
          <w:szCs w:val="18"/>
          <w:color w:val="231F20"/>
          <w:spacing w:val="-1"/>
        </w:rPr>
        <w:t>药物预防推荐流程图</w:t>
      </w: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4"/>
          <w:pgSz w:w="11906" w:h="16782"/>
          <w:pgMar w:top="1199" w:right="1057" w:bottom="0" w:left="407" w:header="953" w:footer="0" w:gutter="0"/>
          <w:cols w:equalWidth="0" w:num="1">
            <w:col w:w="10440" w:space="0"/>
          </w:cols>
        </w:sectPr>
        <w:rPr/>
      </w:pPr>
    </w:p>
    <w:p>
      <w:pPr>
        <w:pStyle w:val="BodyText"/>
        <w:ind w:left="730" w:right="356"/>
        <w:spacing w:before="47" w:line="302" w:lineRule="auto"/>
        <w:jc w:val="both"/>
        <w:rPr/>
      </w:pPr>
      <w:r>
        <w:rPr>
          <w:color w:val="231F20"/>
          <w:spacing w:val="1"/>
        </w:rPr>
        <w:t>用</w:t>
      </w:r>
      <w:r>
        <w:rPr>
          <w:color w:val="231F20"/>
          <w:spacing w:val="-36"/>
        </w:rPr>
        <w:t xml:space="preserve"> </w:t>
      </w:r>
      <w:r>
        <w:rPr>
          <w:sz w:val="12"/>
          <w:szCs w:val="12"/>
          <w:color w:val="231F20"/>
          <w:spacing w:val="11"/>
          <w:position w:val="9"/>
        </w:rPr>
        <w:t>[49]</w:t>
      </w:r>
      <w:r>
        <w:rPr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color w:val="231F20"/>
          <w:spacing w:val="11"/>
        </w:rPr>
        <w:t>。最近，一项单中心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研究发现萘莫司他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能减少低危患者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8"/>
        </w:rPr>
        <w:t>发生率，但由于该研究中高危</w:t>
      </w:r>
      <w:r>
        <w:rPr>
          <w:color w:val="231F20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患者都置入胰管支架，因此其对高危患者的预</w:t>
      </w:r>
      <w:r>
        <w:rPr>
          <w:color w:val="231F20"/>
        </w:rPr>
        <w:t xml:space="preserve"> </w:t>
      </w:r>
      <w:r>
        <w:rPr>
          <w:color w:val="231F20"/>
          <w:spacing w:val="1"/>
          <w:position w:val="-1"/>
        </w:rPr>
        <w:t>防作用需要进一步研究</w:t>
      </w:r>
      <w:r>
        <w:rPr>
          <w:color w:val="231F20"/>
          <w:spacing w:val="-41"/>
          <w:position w:val="-1"/>
        </w:rPr>
        <w:t xml:space="preserve"> </w:t>
      </w:r>
      <w:r>
        <w:rPr>
          <w:sz w:val="12"/>
          <w:szCs w:val="12"/>
          <w:color w:val="231F20"/>
          <w:spacing w:val="1"/>
          <w:position w:val="8"/>
        </w:rPr>
        <w:t>[52]</w:t>
      </w:r>
      <w:r>
        <w:rPr>
          <w:color w:val="231F20"/>
          <w:spacing w:val="1"/>
          <w:position w:val="-1"/>
        </w:rPr>
        <w:t>。</w:t>
      </w:r>
    </w:p>
    <w:p>
      <w:pPr>
        <w:ind w:left="730" w:right="355" w:firstLine="425"/>
        <w:spacing w:line="299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5"/>
        </w:rPr>
        <w:t>推荐意见</w:t>
      </w:r>
      <w:r>
        <w:rPr>
          <w:rFonts w:ascii="KaiTi" w:hAnsi="KaiTi" w:eastAsia="KaiTi" w:cs="KaiTi"/>
          <w:sz w:val="20"/>
          <w:szCs w:val="20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：目前没有足够证据支持加贝酯及乌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2"/>
        </w:rPr>
        <w:t>司他丁能预防</w:t>
      </w:r>
      <w:r>
        <w:rPr>
          <w:rFonts w:ascii="KaiTi" w:hAnsi="KaiTi" w:eastAsia="KaiTi" w:cs="KaiTi"/>
          <w:sz w:val="20"/>
          <w:szCs w:val="20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PEP</w:t>
      </w:r>
      <w:r>
        <w:rPr>
          <w:rFonts w:ascii="KaiTi" w:hAnsi="KaiTi" w:eastAsia="KaiTi" w:cs="KaiTi"/>
          <w:sz w:val="20"/>
          <w:szCs w:val="20"/>
          <w:color w:val="231F20"/>
          <w:spacing w:val="-5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2"/>
        </w:rPr>
        <w:t>；萘莫司他可降低低危患者</w:t>
      </w:r>
      <w:r>
        <w:rPr>
          <w:rFonts w:ascii="KaiTi" w:hAnsi="KaiTi" w:eastAsia="KaiTi" w:cs="KaiTi"/>
          <w:sz w:val="20"/>
          <w:szCs w:val="20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PEP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8"/>
        </w:rPr>
        <w:t>发生率，但目前我国尚无相关的高质量临床研究证</w:t>
      </w:r>
      <w:r>
        <w:rPr>
          <w:rFonts w:ascii="KaiTi" w:hAnsi="KaiTi" w:eastAsia="KaiTi" w:cs="KaiTi"/>
          <w:sz w:val="20"/>
          <w:szCs w:val="20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4"/>
        </w:rPr>
        <w:t>据，因此不建议常规使用蛋白酶抑制剂预防</w:t>
      </w:r>
      <w:r>
        <w:rPr>
          <w:rFonts w:ascii="KaiTi" w:hAnsi="KaiTi" w:eastAsia="KaiTi" w:cs="KaiTi"/>
          <w:sz w:val="20"/>
          <w:szCs w:val="20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PEP</w:t>
      </w:r>
      <w:r>
        <w:rPr>
          <w:rFonts w:ascii="KaiTi" w:hAnsi="KaiTi" w:eastAsia="KaiTi" w:cs="KaiTi"/>
          <w:sz w:val="20"/>
          <w:szCs w:val="20"/>
          <w:color w:val="231F20"/>
          <w:spacing w:val="4"/>
        </w:rPr>
        <w:t>。</w:t>
      </w:r>
    </w:p>
    <w:p>
      <w:pPr>
        <w:pStyle w:val="BodyText"/>
        <w:ind w:left="729" w:right="355" w:firstLine="1"/>
        <w:spacing w:before="5" w:line="299" w:lineRule="auto"/>
        <w:jc w:val="both"/>
        <w:rPr/>
      </w:pPr>
      <w:r>
        <w:rPr>
          <w:color w:val="231F20"/>
          <w:spacing w:val="3"/>
        </w:rPr>
        <w:t>5.3.2.2  硝酸甘油  早期研究发现硝酸甘油可松弛</w:t>
      </w:r>
      <w:r>
        <w:rPr>
          <w:color w:val="231F20"/>
          <w:spacing w:val="2"/>
        </w:rPr>
        <w:t xml:space="preserve"> </w:t>
      </w:r>
      <w:r>
        <w:rPr>
          <w:color w:val="231F20"/>
          <w:position w:val="-1"/>
        </w:rPr>
        <w:t>Oddi</w:t>
      </w:r>
      <w:r>
        <w:rPr>
          <w:color w:val="231F20"/>
          <w:spacing w:val="-19"/>
          <w:position w:val="-1"/>
        </w:rPr>
        <w:t xml:space="preserve"> </w:t>
      </w:r>
      <w:r>
        <w:rPr>
          <w:color w:val="231F20"/>
          <w:spacing w:val="4"/>
          <w:position w:val="-1"/>
        </w:rPr>
        <w:t>括约肌，降低</w:t>
      </w:r>
      <w:r>
        <w:rPr>
          <w:color w:val="231F20"/>
          <w:spacing w:val="-37"/>
          <w:position w:val="-1"/>
        </w:rPr>
        <w:t xml:space="preserve"> </w:t>
      </w:r>
      <w:r>
        <w:rPr>
          <w:color w:val="231F20"/>
          <w:position w:val="-1"/>
        </w:rPr>
        <w:t>ERCP</w:t>
      </w:r>
      <w:r>
        <w:rPr>
          <w:color w:val="231F20"/>
          <w:spacing w:val="-29"/>
          <w:position w:val="-1"/>
        </w:rPr>
        <w:t xml:space="preserve"> </w:t>
      </w:r>
      <w:r>
        <w:rPr>
          <w:color w:val="231F20"/>
          <w:spacing w:val="4"/>
          <w:position w:val="-1"/>
        </w:rPr>
        <w:t>时操作难度</w:t>
      </w:r>
      <w:r>
        <w:rPr>
          <w:color w:val="231F20"/>
          <w:spacing w:val="-36"/>
          <w:position w:val="-1"/>
        </w:rPr>
        <w:t xml:space="preserve"> </w:t>
      </w:r>
      <w:r>
        <w:rPr>
          <w:sz w:val="12"/>
          <w:szCs w:val="12"/>
          <w:color w:val="231F20"/>
          <w:spacing w:val="4"/>
          <w:position w:val="8"/>
        </w:rPr>
        <w:t>[53-54]</w:t>
      </w:r>
      <w:r>
        <w:rPr>
          <w:color w:val="231F20"/>
          <w:spacing w:val="4"/>
          <w:position w:val="-1"/>
        </w:rPr>
        <w:t>，而且硝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8"/>
        </w:rPr>
        <w:t>酸甘油还可缓解括约肌痉挛导致的胰管梗阻，因此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7"/>
        </w:rPr>
        <w:t>硝酸甘油有预防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7"/>
        </w:rPr>
        <w:t>的潜在价值。既往对硝酸甘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油预防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8"/>
        </w:rPr>
        <w:t>的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8"/>
        </w:rPr>
        <w:t>及荟萃分析显示，硝酸甘油可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有效预防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11"/>
        </w:rPr>
        <w:t>，但是静脉给药途径的全身不良反应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较多，而透皮贴剂的预防效果不明显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因此舌下含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服可能具有最佳的预防效果</w:t>
      </w:r>
      <w:r>
        <w:rPr>
          <w:color w:val="231F20"/>
          <w:spacing w:val="-39"/>
        </w:rPr>
        <w:t xml:space="preserve"> </w:t>
      </w:r>
      <w:r>
        <w:rPr>
          <w:sz w:val="12"/>
          <w:szCs w:val="12"/>
          <w:color w:val="231F20"/>
          <w:spacing w:val="4"/>
          <w:position w:val="9"/>
        </w:rPr>
        <w:t>[55]</w:t>
      </w:r>
      <w:r>
        <w:rPr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color w:val="231F20"/>
          <w:spacing w:val="4"/>
        </w:rPr>
        <w:t>。近期一项纳入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4"/>
        </w:rPr>
        <w:t>455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例患者的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9"/>
        </w:rPr>
        <w:t>研究舌下含服硝酸甘油联合静推胰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高血糖素对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4"/>
        </w:rPr>
        <w:t>插管的影响，发现深插管成功率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明显提高、</w:t>
      </w:r>
      <w:r>
        <w:rPr>
          <w:color w:val="231F20"/>
        </w:rPr>
        <w:t>PEP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发生率显著下降，提示硝酸甘油舌下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含服对预防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3"/>
        </w:rPr>
        <w:t>可能具有较好的应用价值</w:t>
      </w:r>
      <w:r>
        <w:rPr>
          <w:color w:val="231F20"/>
          <w:spacing w:val="-40"/>
        </w:rPr>
        <w:t xml:space="preserve"> </w:t>
      </w:r>
      <w:r>
        <w:rPr>
          <w:sz w:val="12"/>
          <w:szCs w:val="12"/>
          <w:color w:val="231F20"/>
          <w:spacing w:val="3"/>
          <w:position w:val="9"/>
        </w:rPr>
        <w:t>[56]</w:t>
      </w:r>
      <w:r>
        <w:rPr>
          <w:color w:val="231F20"/>
          <w:spacing w:val="3"/>
        </w:rPr>
        <w:t>，</w:t>
      </w:r>
      <w:r>
        <w:rPr>
          <w:color w:val="231F20"/>
          <w:spacing w:val="2"/>
        </w:rPr>
        <w:t>但是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最佳剂量和给药时机尚待进一步研究。</w:t>
      </w:r>
    </w:p>
    <w:p>
      <w:pPr>
        <w:ind w:left="742" w:right="355" w:firstLine="413"/>
        <w:spacing w:before="3" w:line="29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5"/>
        </w:rPr>
        <w:t>推荐意见</w:t>
      </w:r>
      <w:r>
        <w:rPr>
          <w:rFonts w:ascii="KaiTi" w:hAnsi="KaiTi" w:eastAsia="KaiTi" w:cs="KaiTi"/>
          <w:sz w:val="20"/>
          <w:szCs w:val="20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：舌下含服硝酸甘油可能预防</w:t>
      </w:r>
      <w:r>
        <w:rPr>
          <w:rFonts w:ascii="KaiTi" w:hAnsi="KaiTi" w:eastAsia="KaiTi" w:cs="KaiTi"/>
          <w:sz w:val="20"/>
          <w:szCs w:val="20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PEP</w:t>
      </w:r>
      <w:r>
        <w:rPr>
          <w:rFonts w:ascii="KaiTi" w:hAnsi="KaiTi" w:eastAsia="KaiTi" w:cs="KaiTi"/>
          <w:sz w:val="20"/>
          <w:szCs w:val="20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发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"/>
        </w:rPr>
        <w:t>生，但是其最佳剂量及给药时机需要进一步研究。</w:t>
      </w:r>
    </w:p>
    <w:p>
      <w:pPr>
        <w:pStyle w:val="BodyText"/>
        <w:ind w:left="725" w:right="355" w:firstLine="5"/>
        <w:spacing w:before="9" w:line="254" w:lineRule="auto"/>
        <w:rPr/>
      </w:pPr>
      <w:r>
        <w:rPr>
          <w:color w:val="231F20"/>
          <w:spacing w:val="-11"/>
        </w:rPr>
        <w:t>5.3.2.3</w:t>
      </w:r>
      <w:r>
        <w:rPr>
          <w:color w:val="231F20"/>
          <w:spacing w:val="34"/>
        </w:rPr>
        <w:t xml:space="preserve">  </w:t>
      </w:r>
      <w:r>
        <w:rPr>
          <w:color w:val="231F20"/>
          <w:spacing w:val="-11"/>
        </w:rPr>
        <w:t>乳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11"/>
        </w:rPr>
        <w:t>酸林</w:t>
      </w:r>
      <w:r>
        <w:rPr>
          <w:color w:val="231F20"/>
          <w:spacing w:val="-56"/>
        </w:rPr>
        <w:t xml:space="preserve"> </w:t>
      </w:r>
      <w:r>
        <w:rPr>
          <w:color w:val="231F20"/>
          <w:spacing w:val="-11"/>
        </w:rPr>
        <w:t>格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-11"/>
        </w:rPr>
        <w:t>液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(Ringer solution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LRS)</w:t>
      </w:r>
      <w:r>
        <w:rPr>
          <w:color w:val="231F20"/>
          <w:spacing w:val="26"/>
        </w:rPr>
        <w:t xml:space="preserve">  </w:t>
      </w:r>
      <w:r>
        <w:rPr>
          <w:color w:val="231F20"/>
          <w:spacing w:val="-11"/>
        </w:rPr>
        <w:t>乳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11"/>
        </w:rPr>
        <w:t>酸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林格液一般用于液体复苏，最近有研究发现乳酸林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5" w:firstLine="1"/>
        <w:spacing w:before="75" w:line="297" w:lineRule="auto"/>
        <w:jc w:val="both"/>
        <w:rPr/>
      </w:pPr>
      <w:r>
        <w:rPr>
          <w:color w:val="231F20"/>
          <w:spacing w:val="16"/>
        </w:rPr>
        <w:t>格液对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6"/>
        </w:rPr>
        <w:t>有一定的预防作用。一项纳入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6"/>
        </w:rPr>
        <w:t>395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6"/>
        </w:rPr>
        <w:t>例</w:t>
      </w:r>
      <w:r>
        <w:rPr>
          <w:color w:val="231F20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2"/>
        </w:rPr>
        <w:t>高危患者的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22"/>
        </w:rPr>
        <w:t>研究发现，</w:t>
      </w:r>
      <w:r>
        <w:rPr>
          <w:color w:val="231F20"/>
        </w:rPr>
        <w:t>ERCP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2"/>
        </w:rPr>
        <w:t>术后即刻给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予大剂量乳酸林格液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7"/>
        </w:rPr>
        <w:t>[3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mL/(kg ·h)</w:t>
      </w:r>
      <w:r>
        <w:rPr>
          <w:color w:val="231F20"/>
          <w:spacing w:val="-8"/>
        </w:rPr>
        <w:t>]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8"/>
        </w:rPr>
        <w:t>静滴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8"/>
        </w:rPr>
        <w:t>8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h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8"/>
        </w:rPr>
        <w:t>能显著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降低高危患者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0"/>
        </w:rPr>
        <w:t>发生率</w:t>
      </w:r>
      <w:r>
        <w:rPr>
          <w:color w:val="231F20"/>
          <w:spacing w:val="-39"/>
        </w:rPr>
        <w:t xml:space="preserve"> </w:t>
      </w:r>
      <w:r>
        <w:rPr>
          <w:sz w:val="12"/>
          <w:szCs w:val="12"/>
          <w:color w:val="231F20"/>
          <w:spacing w:val="10"/>
          <w:position w:val="9"/>
        </w:rPr>
        <w:t>[57]</w:t>
      </w:r>
      <w:r>
        <w:rPr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color w:val="231F20"/>
          <w:spacing w:val="10"/>
        </w:rPr>
        <w:t>。最近一项纳入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0"/>
        </w:rPr>
        <w:t>7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0"/>
        </w:rPr>
        <w:t>项</w:t>
      </w:r>
      <w:r>
        <w:rPr>
          <w:color w:val="231F20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19"/>
        </w:rPr>
        <w:t xml:space="preserve"> 的荟萃分析发现大剂量乳酸林格液较标准剂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3"/>
        </w:rPr>
        <w:t>量乳酸林格液能明显降低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3"/>
        </w:rPr>
        <w:t>及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PEH</w:t>
      </w:r>
      <w:r>
        <w:rPr>
          <w:color w:val="231F20"/>
          <w:spacing w:val="-22"/>
        </w:rPr>
        <w:t xml:space="preserve"> </w:t>
      </w:r>
      <w:r>
        <w:rPr>
          <w:sz w:val="12"/>
          <w:szCs w:val="12"/>
          <w:color w:val="231F20"/>
          <w:spacing w:val="13"/>
          <w:position w:val="9"/>
        </w:rPr>
        <w:t>[58]</w:t>
      </w:r>
      <w:r>
        <w:rPr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color w:val="231F20"/>
          <w:spacing w:val="13"/>
        </w:rPr>
        <w:t>。一项纳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入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6"/>
        </w:rPr>
        <w:t>192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6"/>
        </w:rPr>
        <w:t>例高危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6"/>
        </w:rPr>
        <w:t>患者的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6"/>
        </w:rPr>
        <w:t>研究发现大剂量乳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酸林格液联合吲哚美辛能明显降低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8"/>
        </w:rPr>
        <w:t>发生率，但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是与单用大剂量乳酸林格液或吲哚美辛组差异无统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1"/>
        </w:rPr>
        <w:t>计学意义</w:t>
      </w:r>
      <w:r>
        <w:rPr>
          <w:color w:val="231F20"/>
          <w:spacing w:val="-37"/>
        </w:rPr>
        <w:t xml:space="preserve"> </w:t>
      </w:r>
      <w:r>
        <w:rPr>
          <w:sz w:val="12"/>
          <w:szCs w:val="12"/>
          <w:color w:val="231F20"/>
          <w:spacing w:val="11"/>
          <w:position w:val="9"/>
        </w:rPr>
        <w:t>[59]</w:t>
      </w:r>
      <w:r>
        <w:rPr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color w:val="231F20"/>
          <w:spacing w:val="11"/>
        </w:rPr>
        <w:t>。最近国内一项纳入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3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个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0"/>
        </w:rPr>
        <w:t>共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0"/>
        </w:rPr>
        <w:t>722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例患者的荟萃分析认为大剂量乳酸林格液能明显降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0"/>
        </w:rPr>
        <w:t>低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0"/>
        </w:rPr>
        <w:t>发生率</w:t>
      </w:r>
      <w:r>
        <w:rPr>
          <w:color w:val="231F20"/>
          <w:spacing w:val="-39"/>
        </w:rPr>
        <w:t xml:space="preserve"> </w:t>
      </w:r>
      <w:r>
        <w:rPr>
          <w:sz w:val="12"/>
          <w:szCs w:val="12"/>
          <w:color w:val="231F20"/>
          <w:spacing w:val="10"/>
          <w:position w:val="9"/>
        </w:rPr>
        <w:t>[60]</w:t>
      </w:r>
      <w:r>
        <w:rPr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color w:val="231F20"/>
          <w:spacing w:val="10"/>
        </w:rPr>
        <w:t>。但目前我国尚无乳酸林格液预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防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的高质量临床研究。</w:t>
      </w:r>
    </w:p>
    <w:p>
      <w:pPr>
        <w:ind w:left="1" w:right="9" w:firstLine="425"/>
        <w:spacing w:before="12" w:line="300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5"/>
        </w:rPr>
        <w:t>推荐意见</w:t>
      </w:r>
      <w:r>
        <w:rPr>
          <w:rFonts w:ascii="KaiTi" w:hAnsi="KaiTi" w:eastAsia="KaiTi" w:cs="KaiTi"/>
          <w:sz w:val="20"/>
          <w:szCs w:val="20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：大剂量乳酸林格液能降低高危患者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PEP</w:t>
      </w:r>
      <w:r>
        <w:rPr>
          <w:rFonts w:ascii="KaiTi" w:hAnsi="KaiTi" w:eastAsia="KaiTi" w:cs="KaiTi"/>
          <w:sz w:val="20"/>
          <w:szCs w:val="20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发生率，但是是否能降低所有患者</w:t>
      </w:r>
      <w:r>
        <w:rPr>
          <w:rFonts w:ascii="KaiTi" w:hAnsi="KaiTi" w:eastAsia="KaiTi" w:cs="KaiTi"/>
          <w:sz w:val="20"/>
          <w:szCs w:val="20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PEP</w:t>
      </w:r>
      <w:r>
        <w:rPr>
          <w:rFonts w:ascii="KaiTi" w:hAnsi="KaiTi" w:eastAsia="KaiTi" w:cs="KaiTi"/>
          <w:sz w:val="20"/>
          <w:szCs w:val="20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发生率，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8"/>
        </w:rPr>
        <w:t>以及大剂量乳酸林格液是否能用于心肺功能或肾功</w:t>
      </w:r>
      <w:r>
        <w:rPr>
          <w:rFonts w:ascii="KaiTi" w:hAnsi="KaiTi" w:eastAsia="KaiTi" w:cs="KaiTi"/>
          <w:sz w:val="20"/>
          <w:szCs w:val="20"/>
          <w:color w:val="231F20"/>
          <w:spacing w:val="1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6"/>
        </w:rPr>
        <w:t>能不全患者及高龄患者尚需进一步研究。</w:t>
      </w:r>
    </w:p>
    <w:p>
      <w:pPr>
        <w:pStyle w:val="BodyText"/>
        <w:ind w:firstLine="3"/>
        <w:spacing w:before="1" w:line="300" w:lineRule="auto"/>
        <w:jc w:val="both"/>
        <w:rPr/>
      </w:pPr>
      <w:r>
        <w:rPr>
          <w:color w:val="231F20"/>
          <w:spacing w:val="6"/>
        </w:rPr>
        <w:t>5.3.2.4  其他  2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项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比较了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时在十二指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肠乳头局部喷洒肾上腺素对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的影响，结果均显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示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的发生率明显下降，但是这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6"/>
        </w:rPr>
        <w:t>2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6"/>
        </w:rPr>
        <w:t>项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6"/>
        </w:rPr>
        <w:t>纳入的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患者只接受单纯诊断性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17"/>
        </w:rPr>
        <w:t>，在插管时不使用导</w:t>
      </w:r>
      <w:r>
        <w:rPr>
          <w:color w:val="231F20"/>
        </w:rPr>
        <w:t xml:space="preserve"> </w:t>
      </w:r>
      <w:r>
        <w:rPr>
          <w:color w:val="231F20"/>
          <w:spacing w:val="-2"/>
          <w:position w:val="-1"/>
        </w:rPr>
        <w:t>丝，插管时间较长，研究对</w:t>
      </w:r>
      <w:r>
        <w:rPr>
          <w:color w:val="231F20"/>
          <w:spacing w:val="-33"/>
          <w:position w:val="-1"/>
        </w:rPr>
        <w:t xml:space="preserve"> </w:t>
      </w:r>
      <w:r>
        <w:rPr>
          <w:color w:val="231F20"/>
          <w:spacing w:val="-2"/>
          <w:position w:val="-1"/>
        </w:rPr>
        <w:t>PEP</w:t>
      </w:r>
      <w:r>
        <w:rPr>
          <w:color w:val="231F20"/>
          <w:spacing w:val="-25"/>
          <w:position w:val="-1"/>
        </w:rPr>
        <w:t xml:space="preserve"> </w:t>
      </w:r>
      <w:r>
        <w:rPr>
          <w:color w:val="231F20"/>
          <w:spacing w:val="-2"/>
          <w:position w:val="-1"/>
        </w:rPr>
        <w:t>的定义不规范</w:t>
      </w:r>
      <w:r>
        <w:rPr>
          <w:color w:val="231F20"/>
          <w:spacing w:val="-40"/>
          <w:position w:val="-1"/>
        </w:rPr>
        <w:t xml:space="preserve"> </w:t>
      </w:r>
      <w:r>
        <w:rPr>
          <w:sz w:val="12"/>
          <w:szCs w:val="12"/>
          <w:color w:val="231F20"/>
          <w:spacing w:val="-2"/>
          <w:position w:val="8"/>
        </w:rPr>
        <w:t>[61-62]</w:t>
      </w:r>
      <w:r>
        <w:rPr>
          <w:color w:val="231F20"/>
          <w:spacing w:val="-2"/>
          <w:position w:val="-1"/>
        </w:rPr>
        <w:t>。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8"/>
        </w:rPr>
        <w:t>由于这些缺陷，目前暂不推荐在十二指肠乳头局部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0"/>
        </w:rPr>
        <w:t>喷洒肾上腺素预防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10"/>
        </w:rPr>
        <w:t>。</w:t>
      </w:r>
    </w:p>
    <w:p>
      <w:pPr>
        <w:ind w:left="427"/>
        <w:spacing w:before="1" w:line="20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5"/>
        </w:rPr>
        <w:t>推荐意见</w:t>
      </w:r>
      <w:r>
        <w:rPr>
          <w:rFonts w:ascii="KaiTi" w:hAnsi="KaiTi" w:eastAsia="KaiTi" w:cs="KaiTi"/>
          <w:sz w:val="20"/>
          <w:szCs w:val="20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：十二指肠乳头局部喷洒肾上腺素是</w:t>
      </w:r>
    </w:p>
    <w:p>
      <w:pPr>
        <w:spacing w:line="207" w:lineRule="auto"/>
        <w:sectPr>
          <w:type w:val="continuous"/>
          <w:pgSz w:w="11906" w:h="16782"/>
          <w:pgMar w:top="1199" w:right="1057" w:bottom="0" w:left="407" w:header="953" w:footer="0" w:gutter="0"/>
          <w:cols w:equalWidth="0" w:num="2">
            <w:col w:w="5675" w:space="100"/>
            <w:col w:w="4666" w:space="0"/>
          </w:cols>
        </w:sectPr>
        <w:rPr>
          <w:rFonts w:ascii="KaiTi" w:hAnsi="KaiTi" w:eastAsia="KaiTi" w:cs="KaiTi"/>
          <w:sz w:val="20"/>
          <w:szCs w:val="20"/>
        </w:rPr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6"/>
          <w:pgSz w:w="11906" w:h="16782"/>
          <w:pgMar w:top="1199" w:right="1057" w:bottom="0" w:left="407" w:header="953" w:footer="0" w:gutter="0"/>
          <w:cols w:equalWidth="0" w:num="1">
            <w:col w:w="10440" w:space="0"/>
          </w:cols>
        </w:sectPr>
        <w:rPr/>
      </w:pPr>
    </w:p>
    <w:p>
      <w:pPr>
        <w:ind w:left="733"/>
        <w:spacing w:before="47" w:line="23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11"/>
        </w:rPr>
        <w:t>否能预防治疗性</w:t>
      </w:r>
      <w:r>
        <w:rPr>
          <w:rFonts w:ascii="KaiTi" w:hAnsi="KaiTi" w:eastAsia="KaiTi" w:cs="KaiTi"/>
          <w:sz w:val="20"/>
          <w:szCs w:val="20"/>
          <w:color w:val="231F20"/>
        </w:rPr>
        <w:t>ERCP</w:t>
      </w:r>
      <w:r>
        <w:rPr>
          <w:rFonts w:ascii="KaiTi" w:hAnsi="KaiTi" w:eastAsia="KaiTi" w:cs="KaiTi"/>
          <w:sz w:val="20"/>
          <w:szCs w:val="20"/>
          <w:color w:val="231F20"/>
          <w:spacing w:val="-5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1"/>
        </w:rPr>
        <w:t>术后胰腺炎尚需进一步研究。</w:t>
      </w:r>
    </w:p>
    <w:p>
      <w:pPr>
        <w:pStyle w:val="BodyText"/>
        <w:ind w:left="729" w:right="354" w:firstLine="2"/>
        <w:spacing w:before="42" w:line="296" w:lineRule="auto"/>
        <w:jc w:val="both"/>
        <w:rPr/>
      </w:pPr>
      <w:r>
        <w:rPr>
          <w:color w:val="231F20"/>
          <w:spacing w:val="4"/>
        </w:rPr>
        <w:t>5.3.3  无预防效果的药物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4"/>
        </w:rPr>
        <w:t>对糖皮质激素</w:t>
      </w:r>
      <w:r>
        <w:rPr>
          <w:color w:val="231F20"/>
          <w:spacing w:val="-35"/>
        </w:rPr>
        <w:t xml:space="preserve"> </w:t>
      </w:r>
      <w:r>
        <w:rPr>
          <w:sz w:val="12"/>
          <w:szCs w:val="12"/>
          <w:color w:val="231F20"/>
          <w:spacing w:val="4"/>
          <w:position w:val="9"/>
        </w:rPr>
        <w:t>[63]</w:t>
      </w:r>
      <w:r>
        <w:rPr>
          <w:color w:val="231F20"/>
          <w:spacing w:val="4"/>
        </w:rPr>
        <w:t>、白</w:t>
      </w:r>
      <w:r>
        <w:rPr>
          <w:color w:val="231F20"/>
        </w:rPr>
        <w:t xml:space="preserve"> </w:t>
      </w:r>
      <w:r>
        <w:rPr>
          <w:color w:val="231F20"/>
          <w:spacing w:val="-6"/>
          <w:position w:val="-2"/>
        </w:rPr>
        <w:t>介素</w:t>
      </w:r>
      <w:r>
        <w:rPr>
          <w:color w:val="231F20"/>
          <w:spacing w:val="-21"/>
          <w:position w:val="-2"/>
        </w:rPr>
        <w:t xml:space="preserve"> </w:t>
      </w:r>
      <w:r>
        <w:rPr>
          <w:color w:val="231F20"/>
          <w:spacing w:val="-6"/>
          <w:position w:val="-2"/>
        </w:rPr>
        <w:t>10(IL-10)</w:t>
      </w:r>
      <w:r>
        <w:rPr>
          <w:sz w:val="12"/>
          <w:szCs w:val="12"/>
          <w:color w:val="231F20"/>
          <w:spacing w:val="-6"/>
          <w:position w:val="7"/>
        </w:rPr>
        <w:t>[64-65]</w:t>
      </w:r>
      <w:r>
        <w:rPr>
          <w:color w:val="231F20"/>
          <w:spacing w:val="-10"/>
          <w:position w:val="-2"/>
        </w:rPr>
        <w:t>、肝素</w:t>
      </w:r>
      <w:r>
        <w:rPr>
          <w:color w:val="231F20"/>
          <w:spacing w:val="-39"/>
          <w:position w:val="-2"/>
        </w:rPr>
        <w:t xml:space="preserve"> </w:t>
      </w:r>
      <w:r>
        <w:rPr>
          <w:sz w:val="12"/>
          <w:szCs w:val="12"/>
          <w:color w:val="231F20"/>
          <w:spacing w:val="-10"/>
          <w:position w:val="7"/>
        </w:rPr>
        <w:t>[65]</w:t>
      </w:r>
      <w:r>
        <w:rPr>
          <w:color w:val="231F20"/>
          <w:spacing w:val="-10"/>
          <w:position w:val="-2"/>
        </w:rPr>
        <w:t>、抗氧化剂</w:t>
      </w:r>
      <w:r>
        <w:rPr>
          <w:color w:val="231F20"/>
          <w:spacing w:val="-38"/>
          <w:position w:val="-2"/>
        </w:rPr>
        <w:t xml:space="preserve"> </w:t>
      </w:r>
      <w:r>
        <w:rPr>
          <w:sz w:val="12"/>
          <w:szCs w:val="12"/>
          <w:color w:val="231F20"/>
          <w:spacing w:val="-10"/>
          <w:position w:val="7"/>
        </w:rPr>
        <w:t>[66-68] </w:t>
      </w:r>
      <w:r>
        <w:rPr>
          <w:color w:val="231F20"/>
          <w:spacing w:val="18"/>
          <w:position w:val="-2"/>
        </w:rPr>
        <w:t>及降低</w:t>
      </w:r>
      <w:r>
        <w:rPr>
          <w:color w:val="231F20"/>
          <w:position w:val="-2"/>
        </w:rPr>
        <w:t xml:space="preserve"> </w:t>
      </w:r>
      <w:r>
        <w:rPr>
          <w:color w:val="231F20"/>
          <w:spacing w:val="-5"/>
          <w:position w:val="-1"/>
        </w:rPr>
        <w:t>Oddi</w:t>
      </w:r>
      <w:r>
        <w:rPr>
          <w:color w:val="231F20"/>
          <w:spacing w:val="-39"/>
          <w:position w:val="-1"/>
        </w:rPr>
        <w:t xml:space="preserve"> </w:t>
      </w:r>
      <w:r>
        <w:rPr>
          <w:color w:val="231F20"/>
          <w:spacing w:val="-5"/>
          <w:position w:val="-1"/>
        </w:rPr>
        <w:t>括约肌压力药</w:t>
      </w:r>
      <w:r>
        <w:rPr>
          <w:color w:val="231F20"/>
          <w:spacing w:val="-40"/>
          <w:position w:val="-1"/>
        </w:rPr>
        <w:t xml:space="preserve"> </w:t>
      </w:r>
      <w:r>
        <w:rPr>
          <w:sz w:val="12"/>
          <w:szCs w:val="12"/>
          <w:color w:val="231F20"/>
          <w:spacing w:val="-5"/>
          <w:position w:val="8"/>
        </w:rPr>
        <w:t>[69-72]</w:t>
      </w:r>
      <w:r>
        <w:rPr>
          <w:color w:val="231F20"/>
          <w:spacing w:val="-5"/>
          <w:position w:val="-1"/>
        </w:rPr>
        <w:t>，如肉毒素、利多卡因</w:t>
      </w:r>
      <w:r>
        <w:rPr>
          <w:color w:val="231F20"/>
          <w:spacing w:val="-6"/>
          <w:position w:val="-1"/>
        </w:rPr>
        <w:t>、硝苯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8"/>
        </w:rPr>
        <w:t>地平等药物，无论是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8"/>
        </w:rPr>
        <w:t>还是荟萃分析结果显示这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些药物均不能降低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的发生率。</w:t>
      </w:r>
    </w:p>
    <w:p>
      <w:pPr>
        <w:ind w:left="732" w:right="354" w:firstLine="423"/>
        <w:spacing w:before="21" w:line="299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8"/>
        </w:rPr>
        <w:t>推荐意见：糖皮质激素、IL-10、肝素、降低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8"/>
        </w:rPr>
        <w:t>Oddi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1"/>
        </w:rPr>
        <w:t>括约肌压力药及抗氧化剂等药物目前证实对于</w:t>
      </w:r>
      <w:r>
        <w:rPr>
          <w:rFonts w:ascii="KaiTi" w:hAnsi="KaiTi" w:eastAsia="KaiTi" w:cs="KaiTi"/>
          <w:sz w:val="20"/>
          <w:szCs w:val="20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PEP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无预防作用，不推荐使用。</w:t>
      </w:r>
    </w:p>
    <w:p>
      <w:pPr>
        <w:pStyle w:val="BodyText"/>
        <w:ind w:left="729" w:right="354" w:firstLine="2"/>
        <w:spacing w:before="5" w:line="284" w:lineRule="auto"/>
        <w:rPr/>
      </w:pPr>
      <w:r>
        <w:rPr>
          <w:color w:val="231F20"/>
          <w:spacing w:val="16"/>
        </w:rPr>
        <w:t>5.4  预防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6"/>
        </w:rPr>
        <w:t>术后感染的药物  对于肝门部胆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管癌、硬化性胆管炎等预计难以获得完全胆道引流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患者以及免疫力低下者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(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化疗、肝移植等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)，建议术 </w:t>
      </w:r>
      <w:r>
        <w:rPr>
          <w:color w:val="231F20"/>
          <w:spacing w:val="2"/>
        </w:rPr>
        <w:t>前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"/>
        </w:rPr>
        <w:t>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d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开始预防性使用抗生素</w:t>
      </w:r>
      <w:r>
        <w:rPr>
          <w:color w:val="231F20"/>
          <w:spacing w:val="-38"/>
        </w:rPr>
        <w:t xml:space="preserve"> </w:t>
      </w:r>
      <w:r>
        <w:rPr>
          <w:sz w:val="12"/>
          <w:szCs w:val="12"/>
          <w:color w:val="231F20"/>
          <w:spacing w:val="2"/>
          <w:position w:val="9"/>
        </w:rPr>
        <w:t>[73]</w:t>
      </w:r>
      <w:r>
        <w:rPr>
          <w:color w:val="231F20"/>
          <w:spacing w:val="2"/>
        </w:rPr>
        <w:t>，主要覆盖革兰阴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性菌和肠球菌</w:t>
      </w:r>
      <w:r>
        <w:rPr>
          <w:color w:val="231F20"/>
          <w:spacing w:val="-27"/>
        </w:rPr>
        <w:t xml:space="preserve"> </w:t>
      </w:r>
      <w:r>
        <w:rPr>
          <w:sz w:val="12"/>
          <w:szCs w:val="12"/>
          <w:color w:val="231F20"/>
          <w:spacing w:val="2"/>
          <w:position w:val="9"/>
        </w:rPr>
        <w:t>[19]</w:t>
      </w:r>
      <w:r>
        <w:rPr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color w:val="231F20"/>
          <w:spacing w:val="2"/>
        </w:rPr>
        <w:t>。在抗生素的选择上，可考虑喹诺</w:t>
      </w:r>
      <w:r>
        <w:rPr>
          <w:color w:val="231F20"/>
        </w:rPr>
        <w:t xml:space="preserve"> </w:t>
      </w:r>
      <w:r>
        <w:rPr>
          <w:color w:val="231F20"/>
        </w:rPr>
        <w:t>酮类或头孢类抗生素，研究发现两者效果相</w:t>
      </w:r>
      <w:r>
        <w:rPr>
          <w:color w:val="231F20"/>
          <w:spacing w:val="-1"/>
        </w:rPr>
        <w:t>当</w:t>
      </w:r>
      <w:r>
        <w:rPr>
          <w:color w:val="231F20"/>
          <w:spacing w:val="-41"/>
        </w:rPr>
        <w:t xml:space="preserve"> </w:t>
      </w:r>
      <w:r>
        <w:rPr>
          <w:sz w:val="12"/>
          <w:szCs w:val="12"/>
          <w:color w:val="231F20"/>
          <w:spacing w:val="-1"/>
          <w:position w:val="9"/>
        </w:rPr>
        <w:t>[74]</w:t>
      </w:r>
      <w:r>
        <w:rPr>
          <w:color w:val="231F20"/>
          <w:spacing w:val="-1"/>
        </w:rPr>
        <w:t>。</w:t>
      </w:r>
    </w:p>
    <w:p>
      <w:pPr>
        <w:pStyle w:val="BodyText"/>
        <w:ind w:left="729" w:right="354" w:firstLine="2"/>
        <w:spacing w:before="84" w:line="287" w:lineRule="auto"/>
        <w:rPr/>
      </w:pPr>
      <w:r>
        <w:rPr>
          <w:color w:val="231F20"/>
          <w:spacing w:val="7"/>
        </w:rPr>
        <w:t>5.5  止血药物  对于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7"/>
        </w:rPr>
        <w:t>术后出血主要采用内镜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1"/>
        </w:rPr>
        <w:t>下止血、血管栓塞止血以及外科手术</w:t>
      </w:r>
      <w:r>
        <w:rPr>
          <w:color w:val="231F20"/>
          <w:spacing w:val="-46"/>
          <w:position w:val="-1"/>
        </w:rPr>
        <w:t xml:space="preserve"> </w:t>
      </w:r>
      <w:r>
        <w:rPr>
          <w:sz w:val="12"/>
          <w:szCs w:val="12"/>
          <w:color w:val="231F20"/>
          <w:spacing w:val="-3"/>
          <w:position w:val="8"/>
        </w:rPr>
        <w:t>[75-76]</w:t>
      </w:r>
      <w:r>
        <w:rPr>
          <w:color w:val="231F20"/>
          <w:spacing w:val="-3"/>
          <w:position w:val="-1"/>
        </w:rPr>
        <w:t>。止</w:t>
      </w:r>
      <w:r>
        <w:rPr>
          <w:color w:val="231F20"/>
          <w:spacing w:val="-4"/>
          <w:position w:val="-1"/>
        </w:rPr>
        <w:t>血药物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4"/>
        </w:rPr>
        <w:t>对于</w:t>
      </w:r>
      <w:r>
        <w:rPr>
          <w:color w:val="231F20"/>
          <w:spacing w:val="-45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4"/>
        </w:rPr>
        <w:t>术后出血的预防和治疗作用尚未证实，部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分药物有血栓风险，不推荐作为一线药物常规</w:t>
      </w:r>
      <w:r>
        <w:rPr>
          <w:color w:val="231F20"/>
          <w:spacing w:val="-2"/>
        </w:rPr>
        <w:t>使用。</w:t>
      </w:r>
    </w:p>
    <w:p>
      <w:pPr>
        <w:ind w:left="733"/>
        <w:spacing w:before="211" w:line="20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特殊人群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ERCP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并发症的预防</w:t>
      </w:r>
    </w:p>
    <w:p>
      <w:pPr>
        <w:pStyle w:val="BodyText"/>
        <w:ind w:left="729" w:right="291" w:firstLine="3"/>
        <w:spacing w:before="194" w:line="289" w:lineRule="auto"/>
        <w:rPr/>
      </w:pPr>
      <w:r>
        <w:rPr>
          <w:color w:val="231F20"/>
          <w:spacing w:val="11"/>
        </w:rPr>
        <w:t>6.1  老年患者  最近一项荟萃分析结果报道老年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7"/>
        </w:rPr>
        <w:t>患者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7"/>
        </w:rPr>
        <w:t>(&gt;65</w:t>
      </w:r>
      <w:r>
        <w:rPr>
          <w:color w:val="231F20"/>
          <w:spacing w:val="-56"/>
        </w:rPr>
        <w:t xml:space="preserve"> </w:t>
      </w:r>
      <w:r>
        <w:rPr>
          <w:color w:val="231F20"/>
          <w:spacing w:val="7"/>
        </w:rPr>
        <w:t>岁)</w:t>
      </w:r>
      <w:r>
        <w:rPr>
          <w:color w:val="231F20"/>
        </w:rPr>
        <w:t>ERCP</w:t>
      </w:r>
      <w:r>
        <w:rPr>
          <w:color w:val="231F20"/>
          <w:spacing w:val="7"/>
        </w:rPr>
        <w:t>并发症情况：</w:t>
      </w:r>
      <w:r>
        <w:rPr>
          <w:color w:val="231F20"/>
        </w:rPr>
        <w:t>PEP</w:t>
      </w:r>
      <w:r>
        <w:rPr>
          <w:color w:val="231F20"/>
          <w:spacing w:val="-57"/>
        </w:rPr>
        <w:t xml:space="preserve"> </w:t>
      </w:r>
      <w:r>
        <w:rPr>
          <w:color w:val="231F20"/>
          <w:spacing w:val="7"/>
        </w:rPr>
        <w:t>发生率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7"/>
        </w:rPr>
        <w:t>1.</w:t>
      </w:r>
      <w:r>
        <w:rPr>
          <w:color w:val="231F20"/>
          <w:spacing w:val="6"/>
        </w:rPr>
        <w:t>31%，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出血发生率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0.77%，穿孔发生率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0.38%，胆道感染发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生率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8"/>
        </w:rPr>
        <w:t>1.61%，与年轻患者相比并发症发生率无明显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增加，总体而言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3"/>
        </w:rPr>
        <w:t>对老年患者是安全的，但是随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着年龄的增长，出血率、心肺疾病并发症以及病死率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  <w:position w:val="-1"/>
        </w:rPr>
        <w:t>升高，而</w:t>
      </w:r>
      <w:r>
        <w:rPr>
          <w:color w:val="231F20"/>
          <w:spacing w:val="-32"/>
          <w:position w:val="-1"/>
        </w:rPr>
        <w:t xml:space="preserve"> </w:t>
      </w:r>
      <w:r>
        <w:rPr>
          <w:color w:val="231F20"/>
          <w:spacing w:val="-2"/>
          <w:position w:val="-1"/>
        </w:rPr>
        <w:t>PEP</w:t>
      </w:r>
      <w:r>
        <w:rPr>
          <w:color w:val="231F20"/>
          <w:spacing w:val="-25"/>
          <w:position w:val="-1"/>
        </w:rPr>
        <w:t xml:space="preserve"> </w:t>
      </w:r>
      <w:r>
        <w:rPr>
          <w:color w:val="231F20"/>
          <w:spacing w:val="-2"/>
          <w:position w:val="-1"/>
        </w:rPr>
        <w:t>的发生率无明显升高</w:t>
      </w:r>
      <w:r>
        <w:rPr>
          <w:color w:val="231F20"/>
          <w:spacing w:val="-41"/>
          <w:position w:val="-1"/>
        </w:rPr>
        <w:t xml:space="preserve"> </w:t>
      </w:r>
      <w:r>
        <w:rPr>
          <w:sz w:val="12"/>
          <w:szCs w:val="12"/>
          <w:color w:val="231F20"/>
          <w:spacing w:val="-2"/>
          <w:position w:val="8"/>
        </w:rPr>
        <w:t>[77]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726" w:right="275" w:firstLine="5"/>
        <w:spacing w:before="80" w:line="294" w:lineRule="auto"/>
        <w:rPr/>
      </w:pPr>
      <w:r>
        <w:rPr>
          <w:color w:val="231F20"/>
          <w:spacing w:val="-1"/>
        </w:rPr>
        <w:t>6.2  接受长期抗血小板和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(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"/>
        </w:rPr>
        <w:t>或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"/>
        </w:rPr>
        <w:t>)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"/>
        </w:rPr>
        <w:t>抗凝治疗患者</w:t>
      </w:r>
      <w:r>
        <w:rPr>
          <w:color w:val="231F20"/>
          <w:spacing w:val="29"/>
        </w:rPr>
        <w:t xml:space="preserve">  </w:t>
      </w:r>
      <w:r>
        <w:rPr>
          <w:color w:val="231F20"/>
          <w:spacing w:val="-1"/>
        </w:rPr>
        <w:t>目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前关于抗血小板和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(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1"/>
        </w:rPr>
        <w:t>或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1"/>
        </w:rPr>
        <w:t>)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1"/>
        </w:rPr>
        <w:t>抗凝药物对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1"/>
        </w:rPr>
        <w:t>术中及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术后出血影响的研究数量较少，主要来自日本的小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7"/>
        </w:rPr>
        <w:t>样本研究。</w:t>
      </w:r>
      <w:r>
        <w:rPr>
          <w:color w:val="231F20"/>
        </w:rPr>
        <w:t>Hamada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等</w:t>
      </w:r>
      <w:r>
        <w:rPr>
          <w:color w:val="231F20"/>
          <w:spacing w:val="-40"/>
        </w:rPr>
        <w:t xml:space="preserve"> </w:t>
      </w:r>
      <w:r>
        <w:rPr>
          <w:sz w:val="12"/>
          <w:szCs w:val="12"/>
          <w:color w:val="231F20"/>
          <w:spacing w:val="7"/>
          <w:position w:val="9"/>
        </w:rPr>
        <w:t>[78] </w:t>
      </w:r>
      <w:r>
        <w:rPr>
          <w:color w:val="231F20"/>
          <w:spacing w:val="7"/>
        </w:rPr>
        <w:t>认为服用阿司匹林对于乳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头括约肌切开或气囊扩张是安全的。一项纳入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4"/>
        </w:rPr>
        <w:t>95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例患者的小样本研究发现服用双抗、抗血小板联合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0"/>
        </w:rPr>
        <w:t>抗凝及三抗的整体出血率为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4%</w:t>
      </w:r>
      <w:r>
        <w:rPr>
          <w:sz w:val="12"/>
          <w:szCs w:val="12"/>
          <w:color w:val="231F20"/>
          <w:spacing w:val="10"/>
          <w:position w:val="9"/>
        </w:rPr>
        <w:t>[79]</w:t>
      </w:r>
      <w:r>
        <w:rPr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color w:val="231F20"/>
          <w:spacing w:val="10"/>
        </w:rPr>
        <w:t>。亚太消化病学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会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(</w:t>
      </w:r>
      <w:r>
        <w:rPr>
          <w:color w:val="231F20"/>
        </w:rPr>
        <w:t>APAGE</w:t>
      </w:r>
      <w:r>
        <w:rPr>
          <w:color w:val="231F20"/>
          <w:spacing w:val="11"/>
        </w:rPr>
        <w:t>)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1"/>
        </w:rPr>
        <w:t>及亚太消化内镜学会联合指南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1"/>
        </w:rPr>
        <w:t>(</w:t>
      </w:r>
      <w:r>
        <w:rPr>
          <w:color w:val="231F20"/>
        </w:rPr>
        <w:t>APSDE</w:t>
      </w:r>
      <w:r>
        <w:rPr>
          <w:color w:val="231F20"/>
          <w:spacing w:val="11"/>
        </w:rPr>
        <w:t>)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认为对于低危出血风险操作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(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7"/>
        </w:rPr>
        <w:t>放置胆管支架或胰管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支架、黏膜活检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)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不推荐停用抗血小板和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(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或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3"/>
        </w:rPr>
        <w:t>)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抗凝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药物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8"/>
        </w:rPr>
        <w:t>；对于高危出血风险操作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8"/>
        </w:rPr>
        <w:t>(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8"/>
        </w:rPr>
        <w:t>乳头括约肌切开、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气囊扩张、内镜下乳头切除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)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7"/>
        </w:rPr>
        <w:t>推荐停用抗血小板和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或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"/>
        </w:rPr>
        <w:t>)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抗凝药物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5~7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d</w:t>
      </w:r>
      <w:r>
        <w:rPr>
          <w:sz w:val="12"/>
          <w:szCs w:val="12"/>
          <w:color w:val="231F20"/>
          <w:spacing w:val="-1"/>
          <w:position w:val="9"/>
        </w:rPr>
        <w:t>[80]</w:t>
      </w:r>
      <w:r>
        <w:rPr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color w:val="231F20"/>
          <w:spacing w:val="-1"/>
        </w:rPr>
        <w:t>。英国胃肠病学会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(BSG)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及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欧洲胃肠内镜学会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3"/>
        </w:rPr>
        <w:t>(</w:t>
      </w:r>
      <w:r>
        <w:rPr>
          <w:color w:val="231F20"/>
        </w:rPr>
        <w:t>ESGE</w:t>
      </w:r>
      <w:r>
        <w:rPr>
          <w:color w:val="231F20"/>
          <w:spacing w:val="13"/>
        </w:rPr>
        <w:t>)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推荐对于低危出血风险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操作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(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6"/>
        </w:rPr>
        <w:t>放置胆管支架或胰管支架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6"/>
        </w:rPr>
        <w:t>)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6"/>
        </w:rPr>
        <w:t>继续使用抗血小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" w:firstLine="2"/>
        <w:spacing w:before="43" w:line="299" w:lineRule="auto"/>
        <w:jc w:val="both"/>
        <w:rPr/>
      </w:pPr>
      <w:r>
        <w:rPr>
          <w:color w:val="231F20"/>
          <w:spacing w:val="6"/>
        </w:rPr>
        <w:t>板和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(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6"/>
        </w:rPr>
        <w:t>或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6"/>
        </w:rPr>
        <w:t>)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6"/>
        </w:rPr>
        <w:t>抗凝药物，但停用手术当天上午新型口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服抗凝药物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(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6"/>
        </w:rPr>
        <w:t>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：利伐沙班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6"/>
        </w:rPr>
        <w:t>)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6"/>
        </w:rPr>
        <w:t>；对于高危出血风险操</w:t>
      </w:r>
      <w:r>
        <w:rPr>
          <w:color w:val="231F20"/>
        </w:rPr>
        <w:t xml:space="preserve"> </w:t>
      </w:r>
      <w:r>
        <w:rPr>
          <w:color w:val="231F20"/>
        </w:rPr>
        <w:t>作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(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乳头括约肌切开、气囊扩张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)，低血栓形成风险 </w:t>
      </w:r>
      <w:r>
        <w:rPr>
          <w:color w:val="231F20"/>
          <w:spacing w:val="-7"/>
        </w:rPr>
        <w:t>患者，可停用抗血小板和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7"/>
        </w:rPr>
        <w:t>(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7"/>
        </w:rPr>
        <w:t>或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7"/>
        </w:rPr>
        <w:t>)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7"/>
        </w:rPr>
        <w:t>抗凝药物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7"/>
        </w:rPr>
        <w:t>5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7"/>
        </w:rPr>
        <w:t>d，若</w:t>
      </w:r>
      <w:r>
        <w:rPr>
          <w:color w:val="231F20"/>
          <w:spacing w:val="-8"/>
        </w:rPr>
        <w:t>服用</w:t>
      </w:r>
      <w:r>
        <w:rPr>
          <w:color w:val="231F20"/>
        </w:rPr>
        <w:t xml:space="preserve"> </w:t>
      </w:r>
      <w:r>
        <w:rPr>
          <w:color w:val="231F20"/>
        </w:rPr>
        <w:t>双抗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(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阿司匹林及氯吡格雷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)，继续服用阿司匹林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； </w:t>
      </w:r>
      <w:r>
        <w:rPr>
          <w:color w:val="231F20"/>
          <w:spacing w:val="5"/>
        </w:rPr>
        <w:t>高血栓形成风险患者，建议继续服用阿司匹林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；暂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时停用华法林，使用低分子肝素替代治疗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；口服新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型抗凝药物患者，建议至少停用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48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h，对于肾功能不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全患者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GFR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30~50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4"/>
        </w:rPr>
        <w:t>/</w:t>
      </w:r>
      <w:r>
        <w:rPr>
          <w:color w:val="231F20"/>
        </w:rPr>
        <w:t>min</w:t>
      </w:r>
      <w:r>
        <w:rPr>
          <w:color w:val="231F20"/>
          <w:spacing w:val="4"/>
        </w:rPr>
        <w:t>)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至少停药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4"/>
        </w:rPr>
        <w:t>72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h,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同时需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要请心内科医师等多学科协作，评估患者停药益处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/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风险以及是否需要替代治疗</w:t>
      </w:r>
      <w:r>
        <w:rPr>
          <w:color w:val="231F20"/>
          <w:spacing w:val="-22"/>
        </w:rPr>
        <w:t xml:space="preserve"> </w:t>
      </w:r>
      <w:r>
        <w:rPr>
          <w:sz w:val="12"/>
          <w:szCs w:val="12"/>
          <w:color w:val="231F20"/>
          <w:spacing w:val="10"/>
          <w:position w:val="9"/>
        </w:rPr>
        <w:t>[81]</w:t>
      </w:r>
      <w:r>
        <w:rPr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color w:val="231F20"/>
          <w:spacing w:val="10"/>
        </w:rPr>
        <w:t>。美国消化内镜协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会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(</w:t>
      </w:r>
      <w:r>
        <w:rPr>
          <w:color w:val="231F20"/>
        </w:rPr>
        <w:t>ASGE</w:t>
      </w:r>
      <w:r>
        <w:rPr>
          <w:color w:val="231F20"/>
          <w:spacing w:val="11"/>
        </w:rPr>
        <w:t>)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1"/>
        </w:rPr>
        <w:t>推荐对于低危出血风险操作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(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放置胆管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支架或胰管支架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)，继续服用抗血小板和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(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"/>
        </w:rPr>
        <w:t>或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"/>
        </w:rPr>
        <w:t>)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抗凝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药物或新型口服抗凝药；对于高危出血风险操作</w:t>
      </w:r>
      <w:r>
        <w:rPr>
          <w:color w:val="231F20"/>
          <w:spacing w:val="-57"/>
        </w:rPr>
        <w:t xml:space="preserve"> </w:t>
      </w:r>
      <w:r>
        <w:rPr>
          <w:color w:val="231F20"/>
          <w:spacing w:val="2"/>
        </w:rPr>
        <w:t>(乳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头括约肌切开、气囊扩张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)，建议停用抗血小板治疗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5~7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7"/>
        </w:rPr>
        <w:t>d，推迟冠脉支架置入或急性冠脉综合征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(</w:t>
      </w:r>
      <w:r>
        <w:rPr>
          <w:color w:val="231F20"/>
        </w:rPr>
        <w:t>ACS</w:t>
      </w:r>
      <w:r>
        <w:rPr>
          <w:color w:val="231F20"/>
          <w:spacing w:val="7"/>
        </w:rPr>
        <w:t>)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患者手术时间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；高危血栓风险患者，手术结束确定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止血后当天继续华法林或新型口服抗凝药</w:t>
      </w:r>
      <w:r>
        <w:rPr>
          <w:color w:val="231F20"/>
          <w:spacing w:val="-27"/>
        </w:rPr>
        <w:t xml:space="preserve"> </w:t>
      </w:r>
      <w:r>
        <w:rPr>
          <w:sz w:val="12"/>
          <w:szCs w:val="12"/>
          <w:color w:val="231F20"/>
          <w:spacing w:val="3"/>
          <w:position w:val="8"/>
        </w:rPr>
        <w:t>[82]</w:t>
      </w:r>
      <w:r>
        <w:rPr>
          <w:color w:val="231F20"/>
          <w:spacing w:val="3"/>
        </w:rPr>
        <w:t>。</w:t>
      </w:r>
    </w:p>
    <w:p>
      <w:pPr>
        <w:pStyle w:val="BodyText"/>
        <w:ind w:left="1" w:right="74" w:firstLine="3"/>
        <w:spacing w:before="30" w:line="298" w:lineRule="auto"/>
        <w:jc w:val="both"/>
        <w:rPr/>
      </w:pPr>
      <w:r>
        <w:rPr>
          <w:color w:val="231F20"/>
          <w:spacing w:val="6"/>
        </w:rPr>
        <w:t>6.3  肝硬化及肝移植患者  一项纳入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6"/>
        </w:rPr>
        <w:t>3228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6"/>
        </w:rPr>
        <w:t>例</w:t>
      </w:r>
      <w:r>
        <w:rPr>
          <w:color w:val="231F20"/>
          <w:spacing w:val="5"/>
        </w:rPr>
        <w:t>肝硬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化患者的大样本研究认为肝硬化患者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4"/>
        </w:rPr>
        <w:t>术后出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血风险增加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(2.1% 比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1.2%)</w:t>
      </w:r>
      <w:r>
        <w:rPr>
          <w:sz w:val="12"/>
          <w:szCs w:val="12"/>
          <w:color w:val="231F20"/>
          <w:spacing w:val="3"/>
          <w:position w:val="9"/>
        </w:rPr>
        <w:t>[8</w:t>
      </w:r>
      <w:r>
        <w:rPr>
          <w:sz w:val="12"/>
          <w:szCs w:val="12"/>
          <w:color w:val="231F20"/>
          <w:spacing w:val="2"/>
          <w:position w:val="9"/>
        </w:rPr>
        <w:t>3]</w:t>
      </w:r>
      <w:r>
        <w:rPr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color w:val="231F20"/>
          <w:spacing w:val="2"/>
        </w:rPr>
        <w:t>。我国一个小样本研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究认为对肝功能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Child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2"/>
        </w:rPr>
        <w:t>与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Child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B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2"/>
        </w:rPr>
        <w:t>级的肝硬化患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者进行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4"/>
        </w:rPr>
        <w:t>是相对安全的，而肝功能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Child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4"/>
        </w:rPr>
        <w:t>级患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者出血风险增加</w:t>
      </w:r>
      <w:r>
        <w:rPr>
          <w:color w:val="231F20"/>
          <w:spacing w:val="-19"/>
        </w:rPr>
        <w:t xml:space="preserve"> </w:t>
      </w:r>
      <w:r>
        <w:rPr>
          <w:sz w:val="12"/>
          <w:szCs w:val="12"/>
          <w:color w:val="231F20"/>
          <w:spacing w:val="8"/>
          <w:position w:val="9"/>
        </w:rPr>
        <w:t>[84]</w:t>
      </w:r>
      <w:r>
        <w:rPr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color w:val="231F20"/>
          <w:spacing w:val="8"/>
        </w:rPr>
        <w:t>。一项纳入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121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8"/>
        </w:rPr>
        <w:t>例肝移植患者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的单中心研究发现肝移植患者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PEP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5"/>
        </w:rPr>
        <w:t>发生率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5"/>
        </w:rPr>
        <w:t>3.7%</w:t>
      </w:r>
      <w:r>
        <w:rPr>
          <w:color w:val="231F20"/>
          <w:spacing w:val="4"/>
        </w:rPr>
        <w:t>，胆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系感染发生率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3.3%，术后出血发生率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1.6</w:t>
      </w:r>
      <w:r>
        <w:rPr>
          <w:color w:val="231F20"/>
          <w:spacing w:val="1"/>
        </w:rPr>
        <w:t>%，肝移植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患者与非肝移植患者并发症发生率相当</w:t>
      </w:r>
      <w:r>
        <w:rPr>
          <w:color w:val="231F20"/>
          <w:spacing w:val="-34"/>
        </w:rPr>
        <w:t xml:space="preserve"> </w:t>
      </w:r>
      <w:r>
        <w:rPr>
          <w:sz w:val="12"/>
          <w:szCs w:val="12"/>
          <w:color w:val="231F20"/>
          <w:spacing w:val="3"/>
          <w:position w:val="8"/>
        </w:rPr>
        <w:t>[85]</w:t>
      </w:r>
      <w:r>
        <w:rPr>
          <w:color w:val="231F20"/>
          <w:spacing w:val="3"/>
        </w:rPr>
        <w:t>。</w:t>
      </w:r>
    </w:p>
    <w:p>
      <w:pPr>
        <w:ind w:left="5"/>
        <w:spacing w:before="170" w:line="208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结语</w:t>
      </w:r>
    </w:p>
    <w:p>
      <w:pPr>
        <w:pStyle w:val="BodyText"/>
        <w:ind w:right="12" w:firstLine="430"/>
        <w:spacing w:before="200" w:line="301" w:lineRule="auto"/>
        <w:jc w:val="both"/>
        <w:rPr/>
      </w:pPr>
      <w:r>
        <w:rPr>
          <w:color w:val="231F20"/>
          <w:spacing w:val="14"/>
        </w:rPr>
        <w:t>每年我国有数十万患者需进行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4"/>
        </w:rPr>
        <w:t>诊疗，如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何有效地预防术后并发症是一个重要的临床问题，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目前我国在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3"/>
        </w:rPr>
        <w:t>领域的大样本量、多中心、高质量</w:t>
      </w:r>
      <w:r>
        <w:rPr>
          <w:color w:val="231F20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1"/>
        </w:rPr>
        <w:t>数量较少，临床证据大多源自于欧美国家的临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床研究结果。因此，期待国内的同道们积极合作开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展高水平的临床研究，进一步完善符合中国国情的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3"/>
        </w:rPr>
        <w:t>预防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3"/>
        </w:rPr>
        <w:t>术后并发症用药规范。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3" w:firstLine="424"/>
        <w:spacing w:before="65" w:line="300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3"/>
        </w:rPr>
        <w:t>执笔：柏愚</w:t>
      </w:r>
      <w:r>
        <w:rPr>
          <w:rFonts w:ascii="KaiTi" w:hAnsi="KaiTi" w:eastAsia="KaiTi" w:cs="KaiTi"/>
          <w:sz w:val="20"/>
          <w:szCs w:val="20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海军军医大学长海医院消化内科)、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李德锋</w:t>
      </w:r>
      <w:r>
        <w:rPr>
          <w:rFonts w:ascii="KaiTi" w:hAnsi="KaiTi" w:eastAsia="KaiTi" w:cs="KaiTi"/>
          <w:sz w:val="20"/>
          <w:szCs w:val="20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暨南大学附属第二医院</w:t>
      </w:r>
      <w:r>
        <w:rPr>
          <w:rFonts w:ascii="KaiTi" w:hAnsi="KaiTi" w:eastAsia="KaiTi" w:cs="KaiTi"/>
          <w:sz w:val="20"/>
          <w:szCs w:val="20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深圳市人民医院</w:t>
      </w:r>
      <w:r>
        <w:rPr>
          <w:rFonts w:ascii="KaiTi" w:hAnsi="KaiTi" w:eastAsia="KaiTi" w:cs="KaiTi"/>
          <w:sz w:val="20"/>
          <w:szCs w:val="20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)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消化内科</w:t>
      </w:r>
      <w:r>
        <w:rPr>
          <w:rFonts w:ascii="KaiTi" w:hAnsi="KaiTi" w:eastAsia="KaiTi" w:cs="KaiTi"/>
          <w:sz w:val="20"/>
          <w:szCs w:val="20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)；王树玲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海军军医大学长海医院消化内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科</w:t>
      </w:r>
      <w:r>
        <w:rPr>
          <w:rFonts w:ascii="KaiTi" w:hAnsi="KaiTi" w:eastAsia="KaiTi" w:cs="KaiTi"/>
          <w:sz w:val="20"/>
          <w:szCs w:val="20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)、赵胜兵</w:t>
      </w:r>
      <w:r>
        <w:rPr>
          <w:rFonts w:ascii="KaiTi" w:hAnsi="KaiTi" w:eastAsia="KaiTi" w:cs="KaiTi"/>
          <w:sz w:val="20"/>
          <w:szCs w:val="20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海军军医大学长海医院消化内科</w:t>
      </w:r>
      <w:r>
        <w:rPr>
          <w:rFonts w:ascii="KaiTi" w:hAnsi="KaiTi" w:eastAsia="KaiTi" w:cs="KaiTi"/>
          <w:sz w:val="20"/>
          <w:szCs w:val="20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)</w:t>
      </w:r>
    </w:p>
    <w:p>
      <w:pPr>
        <w:ind w:left="5" w:firstLine="426"/>
        <w:spacing w:before="2" w:line="26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6"/>
        </w:rPr>
        <w:t>参与本共识意见讨论的专家组成员</w:t>
      </w:r>
      <w:r>
        <w:rPr>
          <w:rFonts w:ascii="KaiTi" w:hAnsi="KaiTi" w:eastAsia="KaiTi" w:cs="KaiTi"/>
          <w:sz w:val="20"/>
          <w:szCs w:val="20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6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6"/>
        </w:rPr>
        <w:t>按姓氏拼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音排序</w:t>
      </w:r>
      <w:r>
        <w:rPr>
          <w:rFonts w:ascii="KaiTi" w:hAnsi="KaiTi" w:eastAsia="KaiTi" w:cs="KaiTi"/>
          <w:sz w:val="20"/>
          <w:szCs w:val="20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)：柏愚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海军军医大学长海医院消化内科</w:t>
      </w:r>
      <w:r>
        <w:rPr>
          <w:rFonts w:ascii="KaiTi" w:hAnsi="KaiTi" w:eastAsia="KaiTi" w:cs="KaiTi"/>
          <w:sz w:val="20"/>
          <w:szCs w:val="20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)、</w:t>
      </w:r>
    </w:p>
    <w:p>
      <w:pPr>
        <w:spacing w:line="260" w:lineRule="auto"/>
        <w:sectPr>
          <w:type w:val="continuous"/>
          <w:pgSz w:w="11906" w:h="16782"/>
          <w:pgMar w:top="1199" w:right="1057" w:bottom="0" w:left="407" w:header="953" w:footer="0" w:gutter="0"/>
          <w:cols w:equalWidth="0" w:num="2">
            <w:col w:w="5674" w:space="100"/>
            <w:col w:w="4667" w:space="0"/>
          </w:cols>
        </w:sectPr>
        <w:rPr>
          <w:rFonts w:ascii="KaiTi" w:hAnsi="KaiTi" w:eastAsia="KaiTi" w:cs="KaiTi"/>
          <w:sz w:val="20"/>
          <w:szCs w:val="20"/>
        </w:rPr>
      </w:pP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7"/>
          <w:pgSz w:w="11906" w:h="16782"/>
          <w:pgMar w:top="1199" w:right="1117" w:bottom="0" w:left="407" w:header="953" w:footer="0" w:gutter="0"/>
          <w:cols w:equalWidth="0" w:num="1">
            <w:col w:w="10380" w:space="0"/>
          </w:cols>
        </w:sectPr>
        <w:rPr/>
      </w:pPr>
    </w:p>
    <w:p>
      <w:pPr>
        <w:ind w:left="728" w:right="370" w:firstLine="11"/>
        <w:spacing w:before="67" w:line="305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5"/>
        </w:rPr>
        <w:t>别平</w:t>
      </w:r>
      <w:r>
        <w:rPr>
          <w:rFonts w:ascii="KaiTi" w:hAnsi="KaiTi" w:eastAsia="KaiTi" w:cs="KaiTi"/>
          <w:sz w:val="20"/>
          <w:szCs w:val="20"/>
          <w:color w:val="231F20"/>
          <w:spacing w:val="-5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5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5"/>
        </w:rPr>
        <w:t>陆军军医大学西南医院肝胆外科)、陈幼祥</w:t>
      </w:r>
      <w:r>
        <w:rPr>
          <w:rFonts w:ascii="KaiTi" w:hAnsi="KaiTi" w:eastAsia="KaiTi" w:cs="KaiTi"/>
          <w:sz w:val="20"/>
          <w:szCs w:val="20"/>
          <w:color w:val="231F20"/>
          <w:spacing w:val="-5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5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5"/>
        </w:rPr>
        <w:t>南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昌大学第一附属医院消化内科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)、杜奕奇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海军军医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大学长海医院消化内科</w:t>
      </w:r>
      <w:r>
        <w:rPr>
          <w:rFonts w:ascii="KaiTi" w:hAnsi="KaiTi" w:eastAsia="KaiTi" w:cs="KaiTi"/>
          <w:sz w:val="20"/>
          <w:szCs w:val="20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)、冯秋实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北京大学附属第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一医院普外科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)、冯缨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中华消化杂志</w:t>
      </w:r>
      <w:r>
        <w:rPr>
          <w:rFonts w:ascii="KaiTi" w:hAnsi="KaiTi" w:eastAsia="KaiTi" w:cs="KaiTi"/>
          <w:sz w:val="20"/>
          <w:szCs w:val="20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)、郭学刚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空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军军医大学西京医院消化内科</w:t>
      </w:r>
      <w:r>
        <w:rPr>
          <w:rFonts w:ascii="KaiTi" w:hAnsi="KaiTi" w:eastAsia="KaiTi" w:cs="KaiTi"/>
          <w:sz w:val="20"/>
          <w:szCs w:val="20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)、韩雅玲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北方战区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总医院心血管内科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)、韩树堂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江苏省中医院消化内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科</w:t>
      </w:r>
      <w:r>
        <w:rPr>
          <w:rFonts w:ascii="KaiTi" w:hAnsi="KaiTi" w:eastAsia="KaiTi" w:cs="KaiTi"/>
          <w:sz w:val="20"/>
          <w:szCs w:val="20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)、郝建宇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北京朝阳医院消化内科</w:t>
      </w:r>
      <w:r>
        <w:rPr>
          <w:rFonts w:ascii="KaiTi" w:hAnsi="KaiTi" w:eastAsia="KaiTi" w:cs="KaiTi"/>
          <w:sz w:val="20"/>
          <w:szCs w:val="20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)、胡冰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海军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军医大学东方肝胆外科医院内镜科</w:t>
      </w:r>
      <w:r>
        <w:rPr>
          <w:rFonts w:ascii="KaiTi" w:hAnsi="KaiTi" w:eastAsia="KaiTi" w:cs="KaiTi"/>
          <w:sz w:val="20"/>
          <w:szCs w:val="20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)、黄留业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烟台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毓璜顶医院消化内科</w:t>
      </w:r>
      <w:r>
        <w:rPr>
          <w:rFonts w:ascii="KaiTi" w:hAnsi="KaiTi" w:eastAsia="KaiTi" w:cs="KaiTi"/>
          <w:sz w:val="20"/>
          <w:szCs w:val="20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)、冀明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北京友谊医院消化内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科</w:t>
      </w:r>
      <w:r>
        <w:rPr>
          <w:rFonts w:ascii="KaiTi" w:hAnsi="KaiTi" w:eastAsia="KaiTi" w:cs="KaiTi"/>
          <w:sz w:val="20"/>
          <w:szCs w:val="20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)、贾林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广州市第一人民医院消化内科</w:t>
      </w:r>
      <w:r>
        <w:rPr>
          <w:rFonts w:ascii="KaiTi" w:hAnsi="KaiTi" w:eastAsia="KaiTi" w:cs="KaiTi"/>
          <w:sz w:val="20"/>
          <w:szCs w:val="20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)、蒋晓玲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胃肠病学杂志</w:t>
      </w:r>
      <w:r>
        <w:rPr>
          <w:rFonts w:ascii="KaiTi" w:hAnsi="KaiTi" w:eastAsia="KaiTi" w:cs="KaiTi"/>
          <w:sz w:val="20"/>
          <w:szCs w:val="20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)、金震东</w:t>
      </w:r>
      <w:r>
        <w:rPr>
          <w:rFonts w:ascii="KaiTi" w:hAnsi="KaiTi" w:eastAsia="KaiTi" w:cs="KaiTi"/>
          <w:sz w:val="20"/>
          <w:szCs w:val="20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海军军医大学长海医院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8"/>
        </w:rPr>
        <w:t>消化内科</w:t>
      </w:r>
      <w:r>
        <w:rPr>
          <w:rFonts w:ascii="KaiTi" w:hAnsi="KaiTi" w:eastAsia="KaiTi" w:cs="KaiTi"/>
          <w:sz w:val="20"/>
          <w:szCs w:val="20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8"/>
        </w:rPr>
        <w:t>)、李维勤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8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8"/>
        </w:rPr>
        <w:t>东部战区总医院普外科</w:t>
      </w:r>
      <w:r>
        <w:rPr>
          <w:rFonts w:ascii="KaiTi" w:hAnsi="KaiTi" w:eastAsia="KaiTi" w:cs="KaiTi"/>
          <w:sz w:val="20"/>
          <w:szCs w:val="20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8"/>
        </w:rPr>
        <w:t>)、李文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天津市人民医院内镜中心</w:t>
      </w:r>
      <w:r>
        <w:rPr>
          <w:rFonts w:ascii="KaiTi" w:hAnsi="KaiTi" w:eastAsia="KaiTi" w:cs="KaiTi"/>
          <w:sz w:val="20"/>
          <w:szCs w:val="20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)、李汛</w:t>
      </w:r>
      <w:r>
        <w:rPr>
          <w:rFonts w:ascii="KaiTi" w:hAnsi="KaiTi" w:eastAsia="KaiTi" w:cs="KaiTi"/>
          <w:sz w:val="20"/>
          <w:szCs w:val="20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兰州大学附属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第一医院普外科</w:t>
      </w:r>
      <w:r>
        <w:rPr>
          <w:rFonts w:ascii="KaiTi" w:hAnsi="KaiTi" w:eastAsia="KaiTi" w:cs="KaiTi"/>
          <w:sz w:val="20"/>
          <w:szCs w:val="20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)、李延青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山东大学附属齐鲁医院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消化内科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)、李兆申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海军军医大学长海医院消化内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科)、令狐恩强</w:t>
      </w:r>
      <w:r>
        <w:rPr>
          <w:rFonts w:ascii="KaiTi" w:hAnsi="KaiTi" w:eastAsia="KaiTi" w:cs="KaiTi"/>
          <w:sz w:val="20"/>
          <w:szCs w:val="20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5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解放军总医院消化内科)、吕芳萍</w:t>
      </w:r>
      <w:r>
        <w:rPr>
          <w:rFonts w:ascii="KaiTi" w:hAnsi="KaiTi" w:eastAsia="KaiTi" w:cs="KaiTi"/>
          <w:sz w:val="20"/>
          <w:szCs w:val="20"/>
          <w:color w:val="231F20"/>
          <w:spacing w:val="-5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中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华胰腺病杂志</w:t>
      </w:r>
      <w:r>
        <w:rPr>
          <w:rFonts w:ascii="KaiTi" w:hAnsi="KaiTi" w:eastAsia="KaiTi" w:cs="KaiTi"/>
          <w:sz w:val="20"/>
          <w:szCs w:val="20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)、吕农华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南昌大学第一附属医院消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化内科</w:t>
      </w:r>
      <w:r>
        <w:rPr>
          <w:rFonts w:ascii="KaiTi" w:hAnsi="KaiTi" w:eastAsia="KaiTi" w:cs="KaiTi"/>
          <w:sz w:val="20"/>
          <w:szCs w:val="20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)、麻树人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北方战区总医院消化内科</w:t>
      </w:r>
      <w:r>
        <w:rPr>
          <w:rFonts w:ascii="KaiTi" w:hAnsi="KaiTi" w:eastAsia="KaiTi" w:cs="KaiTi"/>
          <w:sz w:val="20"/>
          <w:szCs w:val="20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)、毛恩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强</w:t>
      </w:r>
      <w:r>
        <w:rPr>
          <w:rFonts w:ascii="KaiTi" w:hAnsi="KaiTi" w:eastAsia="KaiTi" w:cs="KaiTi"/>
          <w:sz w:val="20"/>
          <w:szCs w:val="20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上海交通大学附属瑞金医院急诊科</w:t>
      </w:r>
      <w:r>
        <w:rPr>
          <w:rFonts w:ascii="KaiTi" w:hAnsi="KaiTi" w:eastAsia="KaiTi" w:cs="KaiTi"/>
          <w:sz w:val="20"/>
          <w:szCs w:val="20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)、缪林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南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京医科大学附属第二医院消化内科</w:t>
      </w:r>
      <w:r>
        <w:rPr>
          <w:rFonts w:ascii="KaiTi" w:hAnsi="KaiTi" w:eastAsia="KaiTi" w:cs="KaiTi"/>
          <w:sz w:val="20"/>
          <w:szCs w:val="20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)、聂时南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东部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战区总医院急救医学科</w:t>
      </w:r>
      <w:r>
        <w:rPr>
          <w:rFonts w:ascii="KaiTi" w:hAnsi="KaiTi" w:eastAsia="KaiTi" w:cs="KaiTi"/>
          <w:sz w:val="20"/>
          <w:szCs w:val="20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)、任旭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黑龙江省医院消化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内科</w:t>
      </w:r>
      <w:r>
        <w:rPr>
          <w:rFonts w:ascii="KaiTi" w:hAnsi="KaiTi" w:eastAsia="KaiTi" w:cs="KaiTi"/>
          <w:sz w:val="20"/>
          <w:szCs w:val="20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)、沙卫红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广东省人民医院消化内科</w:t>
      </w:r>
      <w:r>
        <w:rPr>
          <w:rFonts w:ascii="KaiTi" w:hAnsi="KaiTi" w:eastAsia="KaiTi" w:cs="KaiTi"/>
          <w:sz w:val="20"/>
          <w:szCs w:val="20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)、孙明军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中国医科大学附属第一医院消化内科)、唐国都</w:t>
      </w:r>
      <w:r>
        <w:rPr>
          <w:rFonts w:ascii="KaiTi" w:hAnsi="KaiTi" w:eastAsia="KaiTi" w:cs="KaiTi"/>
          <w:sz w:val="20"/>
          <w:szCs w:val="20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广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西医科大学附属第一医院消化内科</w:t>
      </w:r>
      <w:r>
        <w:rPr>
          <w:rFonts w:ascii="KaiTi" w:hAnsi="KaiTi" w:eastAsia="KaiTi" w:cs="KaiTi"/>
          <w:sz w:val="20"/>
          <w:szCs w:val="20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)、唐涌进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中华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消化内镜杂志</w:t>
      </w:r>
      <w:r>
        <w:rPr>
          <w:rFonts w:ascii="KaiTi" w:hAnsi="KaiTi" w:eastAsia="KaiTi" w:cs="KaiTi"/>
          <w:sz w:val="20"/>
          <w:szCs w:val="20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)、田字彬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青岛大学附属医院消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化内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科</w:t>
      </w:r>
      <w:r>
        <w:rPr>
          <w:rFonts w:ascii="KaiTi" w:hAnsi="KaiTi" w:eastAsia="KaiTi" w:cs="KaiTi"/>
          <w:sz w:val="20"/>
          <w:szCs w:val="20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)、王邦茂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天津医科大学总医院消化内科</w:t>
      </w:r>
      <w:r>
        <w:rPr>
          <w:rFonts w:ascii="KaiTi" w:hAnsi="KaiTi" w:eastAsia="KaiTi" w:cs="KaiTi"/>
          <w:sz w:val="20"/>
          <w:szCs w:val="20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)、王雯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南京军区福州总医院消化内科</w:t>
      </w:r>
      <w:r>
        <w:rPr>
          <w:rFonts w:ascii="KaiTi" w:hAnsi="KaiTi" w:eastAsia="KaiTi" w:cs="KaiTi"/>
          <w:sz w:val="20"/>
          <w:szCs w:val="20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)、徐红</w:t>
      </w:r>
      <w:r>
        <w:rPr>
          <w:rFonts w:ascii="KaiTi" w:hAnsi="KaiTi" w:eastAsia="KaiTi" w:cs="KaiTi"/>
          <w:sz w:val="20"/>
          <w:szCs w:val="20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吉林大学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附属第一医院消化内科</w:t>
      </w:r>
      <w:r>
        <w:rPr>
          <w:rFonts w:ascii="KaiTi" w:hAnsi="KaiTi" w:eastAsia="KaiTi" w:cs="KaiTi"/>
          <w:sz w:val="20"/>
          <w:szCs w:val="20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)、任延刚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中国实用内科杂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志</w:t>
      </w:r>
      <w:r>
        <w:rPr>
          <w:rFonts w:ascii="KaiTi" w:hAnsi="KaiTi" w:eastAsia="KaiTi" w:cs="KaiTi"/>
          <w:sz w:val="20"/>
          <w:szCs w:val="20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)、游苏宁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中国期刊协会</w:t>
      </w:r>
      <w:r>
        <w:rPr>
          <w:rFonts w:ascii="KaiTi" w:hAnsi="KaiTi" w:eastAsia="KaiTi" w:cs="KaiTi"/>
          <w:sz w:val="20"/>
          <w:szCs w:val="20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)、智发朝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1"/>
        </w:rPr>
        <w:t>南方医科大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学附属南方医院消化内科</w:t>
      </w:r>
      <w:r>
        <w:rPr>
          <w:rFonts w:ascii="KaiTi" w:hAnsi="KaiTi" w:eastAsia="KaiTi" w:cs="KaiTi"/>
          <w:sz w:val="20"/>
          <w:szCs w:val="20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)、周平红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复旦大学附属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中山医院内镜中心</w:t>
      </w:r>
      <w:r>
        <w:rPr>
          <w:rFonts w:ascii="KaiTi" w:hAnsi="KaiTi" w:eastAsia="KaiTi" w:cs="KaiTi"/>
          <w:sz w:val="20"/>
          <w:szCs w:val="20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)、邹晓平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(</w:t>
      </w:r>
      <w:r>
        <w:rPr>
          <w:rFonts w:ascii="KaiTi" w:hAnsi="KaiTi" w:eastAsia="KaiTi" w:cs="KaiTi"/>
          <w:sz w:val="20"/>
          <w:szCs w:val="20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南京大学附属鼓楼医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院消化内科</w:t>
      </w:r>
      <w:r>
        <w:rPr>
          <w:rFonts w:ascii="KaiTi" w:hAnsi="KaiTi" w:eastAsia="KaiTi" w:cs="KaiTi"/>
          <w:sz w:val="20"/>
          <w:szCs w:val="20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)</w:t>
      </w:r>
    </w:p>
    <w:p>
      <w:pPr>
        <w:ind w:left="732"/>
        <w:spacing w:before="101"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参考文献</w:t>
      </w:r>
    </w:p>
    <w:p>
      <w:pPr>
        <w:ind w:left="1086" w:right="362" w:hanging="343"/>
        <w:spacing w:before="229" w:line="32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[1]    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apral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Muhlberger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Wewalka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Qu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assessment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cholangiopancreatography: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running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nationwide Austrian benchmarking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project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5 years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implementation[J].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J Gast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roenterol Hepatol,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2012,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24(12):1447-1454.</w:t>
      </w:r>
    </w:p>
    <w:p>
      <w:pPr>
        <w:ind w:left="1085" w:right="371" w:hanging="342"/>
        <w:spacing w:before="59" w:line="3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[2]    Hanna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Portal AJ,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Dhanda AD,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UK 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survey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pancreatitis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Frontline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2014, 5(2): 103-110.</w:t>
      </w:r>
    </w:p>
    <w:p>
      <w:pPr>
        <w:pStyle w:val="BodyText"/>
        <w:ind w:left="1086" w:right="370" w:hanging="343"/>
        <w:spacing w:before="58" w:line="28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[3]    </w:t>
      </w:r>
      <w:r>
        <w:rPr>
          <w:sz w:val="16"/>
          <w:szCs w:val="16"/>
          <w:color w:val="231F20"/>
          <w:spacing w:val="2"/>
        </w:rPr>
        <w:t>中华医学会消化内镜学分会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2"/>
        </w:rPr>
        <w:t>中国医师协会胰腺病专业委员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会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3"/>
        </w:rPr>
        <w:t>内镜下逆行胰胆管造影术后胰腺炎药物预防专家共识意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见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(2015 </w:t>
      </w:r>
      <w:r>
        <w:rPr>
          <w:sz w:val="16"/>
          <w:szCs w:val="16"/>
          <w:color w:val="231F20"/>
          <w:spacing w:val="-1"/>
        </w:rPr>
        <w:t>年</w:t>
      </w:r>
      <w:r>
        <w:rPr>
          <w:sz w:val="16"/>
          <w:szCs w:val="16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</w:t>
      </w:r>
      <w:r>
        <w:rPr>
          <w:sz w:val="16"/>
          <w:szCs w:val="16"/>
          <w:color w:val="231F20"/>
          <w:spacing w:val="-1"/>
        </w:rPr>
        <w:t>上海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)[J]. </w:t>
      </w:r>
      <w:r>
        <w:rPr>
          <w:sz w:val="16"/>
          <w:szCs w:val="16"/>
          <w:color w:val="231F20"/>
          <w:spacing w:val="-1"/>
        </w:rPr>
        <w:t>临床</w:t>
      </w:r>
      <w:r>
        <w:rPr>
          <w:sz w:val="16"/>
          <w:szCs w:val="16"/>
          <w:color w:val="231F20"/>
          <w:spacing w:val="-2"/>
        </w:rPr>
        <w:t>肝胆病杂志</w:t>
      </w:r>
      <w:r>
        <w:rPr>
          <w:sz w:val="16"/>
          <w:szCs w:val="16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2016, 32(5):830-834.</w:t>
      </w:r>
    </w:p>
    <w:p>
      <w:pPr>
        <w:ind w:left="743"/>
        <w:spacing w:before="47" w:line="200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[4]    Cotton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PB, Lehman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G, Vennes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al. 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sphincterotomy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3" w:line="200" w:lineRule="exact"/>
        <w:jc w:val="righ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complications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their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management: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att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empt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consensus[J].</w:t>
      </w:r>
    </w:p>
    <w:p>
      <w:pPr>
        <w:ind w:left="350"/>
        <w:spacing w:before="54" w:line="200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  <w:position w:val="2"/>
        </w:rPr>
        <w:t>Gastrointest Endosc, 1991, 37(3): 383-393.</w:t>
      </w:r>
    </w:p>
    <w:p>
      <w:pPr>
        <w:pStyle w:val="BodyText"/>
        <w:ind w:left="342" w:right="15" w:hanging="343"/>
        <w:spacing w:before="54" w:line="28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[5]    </w:t>
      </w:r>
      <w:r>
        <w:rPr>
          <w:sz w:val="16"/>
          <w:szCs w:val="16"/>
          <w:color w:val="231F20"/>
          <w:spacing w:val="2"/>
        </w:rPr>
        <w:t>中国医师协会胰腺病学专业委员会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中国急性胰腺炎多学科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诊治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MDT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) </w:t>
      </w:r>
      <w:r>
        <w:rPr>
          <w:sz w:val="16"/>
          <w:szCs w:val="16"/>
          <w:color w:val="231F20"/>
          <w:spacing w:val="3"/>
        </w:rPr>
        <w:t>共识意见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( </w:t>
      </w:r>
      <w:r>
        <w:rPr>
          <w:sz w:val="16"/>
          <w:szCs w:val="16"/>
          <w:color w:val="231F20"/>
          <w:spacing w:val="3"/>
        </w:rPr>
        <w:t>草案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)[J].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中国实用内科杂志</w:t>
      </w:r>
      <w:r>
        <w:rPr>
          <w:sz w:val="16"/>
          <w:szCs w:val="16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 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015,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35(12):1004-1010.</w:t>
      </w:r>
    </w:p>
    <w:p>
      <w:pPr>
        <w:pStyle w:val="BodyText"/>
        <w:ind w:left="345" w:right="16" w:hanging="345"/>
        <w:spacing w:before="54" w:line="28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[6]    </w:t>
      </w:r>
      <w:r>
        <w:rPr>
          <w:sz w:val="16"/>
          <w:szCs w:val="16"/>
          <w:color w:val="231F20"/>
          <w:spacing w:val="2"/>
        </w:rPr>
        <w:t>中华医学会消化内镜分会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2"/>
        </w:rPr>
        <w:t>学组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2"/>
        </w:rPr>
        <w:t>内镜下逆行胆胰管造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影术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(ERCP) </w:t>
      </w:r>
      <w:r>
        <w:rPr>
          <w:sz w:val="16"/>
          <w:szCs w:val="16"/>
          <w:color w:val="231F20"/>
          <w:spacing w:val="-2"/>
        </w:rPr>
        <w:t>诊治指南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(2010 </w:t>
      </w:r>
      <w:r>
        <w:rPr>
          <w:sz w:val="16"/>
          <w:szCs w:val="16"/>
          <w:color w:val="231F20"/>
          <w:spacing w:val="-2"/>
        </w:rPr>
        <w:t>版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)[J].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2"/>
        </w:rPr>
        <w:t>中国继续医学教育</w:t>
      </w:r>
      <w:r>
        <w:rPr>
          <w:sz w:val="16"/>
          <w:szCs w:val="16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0,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21(6):1-20.</w:t>
      </w:r>
    </w:p>
    <w:p>
      <w:pPr>
        <w:ind w:left="337" w:right="15" w:hanging="337"/>
        <w:spacing w:before="5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[7]    Andriulli A, Loperfido S, Napolitano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G, 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al. Inc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idence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Rates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Post-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Complications: A 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Survey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Studies[J].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 Gastroenterol, 2007, 102(8): 1781-1788.</w:t>
      </w:r>
    </w:p>
    <w:p>
      <w:pPr>
        <w:ind w:left="344" w:right="15" w:hanging="344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[8]    Masci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Mariani 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Curioni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pancreatitis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following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endoscopic 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cholangiopancreatography: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 meta-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analysis[J]. Endoscopy, 2003, 35(10): 830-834.</w:t>
      </w:r>
    </w:p>
    <w:p>
      <w:pPr>
        <w:ind w:left="350" w:right="17" w:hanging="350"/>
        <w:spacing w:before="54" w:line="2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[9]    Talukdar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Complications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 ERCP[J]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Best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Gastroenterol, 2016, 30(5): 793-805.</w:t>
      </w:r>
    </w:p>
    <w:p>
      <w:pPr>
        <w:ind w:left="344" w:right="15" w:hanging="344"/>
        <w:spacing w:before="55" w:line="30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[10]  Kochar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B, Akshintala VS, Afghani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Incidence,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severity,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mortality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post-ERCP pancreatitis: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review by using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randomized,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controlled trials[J].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Gastrointest Endosc,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2015,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81(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143-149.e9.</w:t>
      </w:r>
    </w:p>
    <w:p>
      <w:pPr>
        <w:ind w:left="340" w:right="16" w:hanging="340"/>
        <w:spacing w:before="7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[11]  Banks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Bollen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Dervenis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Classificat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pancreatitis--2012: revision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Atlanta classification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and definitions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international consensus[J]. Gut, 2013, 62(1):102-111.</w:t>
      </w:r>
    </w:p>
    <w:p>
      <w:pPr>
        <w:ind w:left="342" w:right="15" w:hanging="342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[12]  He QB,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Xu 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Wang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J, et al. 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factors for post-ERCP pa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ncreatitis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hyperamylasemia: A retrospective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single-center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study[J].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J Dig Dis,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2015, 16(8): 471-478.</w:t>
      </w:r>
    </w:p>
    <w:p>
      <w:pPr>
        <w:ind w:left="344" w:right="11" w:hanging="344"/>
        <w:spacing w:before="53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[13]  Inamdar S, Berzin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TM,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Sejpal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DV,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Factor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Pancreatitis After Endoscopic 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langiopancreatography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Hepatol,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2016,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14(1): 107-114.</w:t>
      </w:r>
    </w:p>
    <w:p>
      <w:pPr>
        <w:ind w:left="345" w:right="11" w:hanging="345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[14]  Koksal AR, Bo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ga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S, Alkim 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Insulin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Resistance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Novel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Factor for Post-ERCP Pancreatitis: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A Pilot Study[J]. Dig Dis Sci, 2016,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61(8): 2397-2405.</w:t>
      </w:r>
    </w:p>
    <w:p>
      <w:pPr>
        <w:ind w:left="342" w:right="14" w:hanging="342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[15]  Zhao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ZH, Hu LH,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Ren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HB,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Incidence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and 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factors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post-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ERCP pancreatitis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chronic pancreatitis[J].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Gastroint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est Endosc,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2017, 86(3): 519-524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.e1.</w:t>
      </w:r>
    </w:p>
    <w:p>
      <w:pPr>
        <w:ind w:left="342" w:right="15" w:hanging="342"/>
        <w:spacing w:before="5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[16]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Rustagi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Jamidar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cholangiopanc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reatography-related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adverse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events: general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overview[J].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Gastrointest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Endosc Clin 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Am, 2015, 25(1): 97-10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6.</w:t>
      </w:r>
    </w:p>
    <w:p>
      <w:pPr>
        <w:ind w:left="347" w:hanging="347"/>
        <w:spacing w:before="55" w:line="29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[17]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Freeman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Nelson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Sherman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Complications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endoscopic biliary sphincterotomy[J]. N EnglJ Med,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1996,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335(13):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909-918.</w:t>
      </w:r>
    </w:p>
    <w:p>
      <w:pPr>
        <w:ind w:left="347" w:right="15" w:hanging="347"/>
        <w:spacing w:before="7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[18]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Masci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Mariani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Complications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diagnostic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therapeutic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multicenter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Gastroenterol, 2001, 96(2): 417-423.</w:t>
      </w:r>
    </w:p>
    <w:p>
      <w:pPr>
        <w:ind w:left="347" w:right="16" w:hanging="348"/>
        <w:spacing w:before="54" w:line="2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[19]  Khashab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Chitha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KV.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Antibiotic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prophylaxis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GI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endoscopy[J]. Gastrointest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Endosc, 2015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, 81(1): 81-89.</w:t>
      </w:r>
    </w:p>
    <w:p>
      <w:pPr>
        <w:ind w:left="342" w:right="15" w:hanging="342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[20]  Colton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JB,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Curran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CC.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Quality indicators, including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complications,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ERCP in a community setting: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study[J].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Gastroi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ntest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Endosc, 2009, 70(3): 457-467.</w:t>
      </w:r>
    </w:p>
    <w:p>
      <w:pPr>
        <w:ind w:left="342" w:right="15" w:hanging="343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[21]  Ismail S, Kylänpää L, Mustonen H, et al. Risk factors for complications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primary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sclerosing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cholangitis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Endoscopy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2012,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44(12): 1133-1138.</w:t>
      </w:r>
    </w:p>
    <w:p>
      <w:pPr>
        <w:ind w:left="347" w:right="16" w:hanging="348"/>
        <w:spacing w:before="54" w:line="2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[22]  Chen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M, Wang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L, Wang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factor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post-ERCP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cholangitis: A single-center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exper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ience[J]. HBPD INT, 2018,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17(1):</w:t>
      </w:r>
    </w:p>
    <w:p>
      <w:pPr>
        <w:spacing w:line="296" w:lineRule="auto"/>
        <w:sectPr>
          <w:type w:val="continuous"/>
          <w:pgSz w:w="11906" w:h="16782"/>
          <w:pgMar w:top="1199" w:right="1117" w:bottom="0" w:left="407" w:header="953" w:footer="0" w:gutter="0"/>
          <w:cols w:equalWidth="0" w:num="2">
            <w:col w:w="5690" w:space="100"/>
            <w:col w:w="4591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167" w:lineRule="exact"/>
        <w:rPr/>
      </w:pPr>
      <w:r/>
    </w:p>
    <w:p>
      <w:pPr>
        <w:spacing w:line="167" w:lineRule="exact"/>
        <w:sectPr>
          <w:headerReference w:type="default" r:id="rId8"/>
          <w:pgSz w:w="11906" w:h="16782"/>
          <w:pgMar w:top="1199" w:right="1117" w:bottom="0" w:left="407" w:header="953" w:footer="0" w:gutter="0"/>
          <w:cols w:equalWidth="0" w:num="1">
            <w:col w:w="10381" w:space="0"/>
          </w:cols>
        </w:sectPr>
        <w:rPr/>
      </w:pPr>
    </w:p>
    <w:p>
      <w:pPr>
        <w:ind w:left="1092"/>
        <w:spacing w:before="81" w:line="1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55-58.</w:t>
      </w:r>
    </w:p>
    <w:p>
      <w:pPr>
        <w:ind w:left="1091" w:right="371" w:hanging="348"/>
        <w:spacing w:before="7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[23]  Cotton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PB,  Garrow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Gallagher 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complications after ERCP: a multivariate analysis of 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1,497 procedures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over 12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years[J]. Gastrointest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Endosc, 2009, 70(1): 80-88.</w:t>
      </w:r>
    </w:p>
    <w:p>
      <w:pPr>
        <w:ind w:left="1083" w:right="370" w:hanging="340"/>
        <w:spacing w:before="54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[24]  Machado NO. 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of duodenal perforation post-endoscopic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retrograde cholangiopancreatography.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When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whom to ope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rate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what factors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determine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out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come? A review article[J].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JOP, 2012,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13(1):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18-25.</w:t>
      </w:r>
    </w:p>
    <w:p>
      <w:pPr>
        <w:ind w:left="1085" w:right="355" w:hanging="342"/>
        <w:spacing w:before="5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[25]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Avg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erinos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laguna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cholangiopancreatography: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related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duodenal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perforations[J]. Surg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Endosc,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2009, 23(4): 833-838.</w:t>
      </w:r>
    </w:p>
    <w:p>
      <w:pPr>
        <w:ind w:left="1091" w:right="370" w:hanging="348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[26]  Morgan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KA,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Fontenot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BB,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Ruddy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JM,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l. 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cholangiopancreatography gut perforat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ions: when to wait! When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operate[J].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Am Surg, 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009, 75(6): 477-483.</w:t>
      </w:r>
    </w:p>
    <w:p>
      <w:pPr>
        <w:ind w:left="743"/>
        <w:spacing w:before="54" w:line="199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  <w:position w:val="2"/>
        </w:rPr>
        <w:t>[27]  Enns R, Eloubeidi MA, Mergener 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  <w:position w:val="2"/>
        </w:rPr>
        <w:t>al. ERCP-related perforations:</w:t>
      </w:r>
    </w:p>
    <w:p>
      <w:pPr>
        <w:ind w:left="1088"/>
        <w:spacing w:before="55" w:line="199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  <w:position w:val="2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  <w:position w:val="2"/>
        </w:rPr>
        <w:t>factors and management[J].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  <w:position w:val="2"/>
        </w:rPr>
        <w:t>Endoscopy, 2002, 34(4): 293-298.</w:t>
      </w:r>
    </w:p>
    <w:p>
      <w:pPr>
        <w:ind w:left="1085" w:right="362" w:hanging="342"/>
        <w:spacing w:before="55" w:line="2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[28]  Kumbhari V, Sinha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A, Reddy A, et al. Algorithm for the 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ERCP-related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perforations[J]. Gastrointest Endosc,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2016, 83(5):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934-943.</w:t>
      </w:r>
    </w:p>
    <w:p>
      <w:pPr>
        <w:ind w:left="1087" w:right="371" w:hanging="344"/>
        <w:spacing w:before="5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[29]  Williams EJ, Taylor 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Fairclough 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Risk factors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complication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following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ERCP;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large-scale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multicenter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study[J].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Endoscopy, 2007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, 39(9): 793-801.</w:t>
      </w:r>
    </w:p>
    <w:p>
      <w:pPr>
        <w:ind w:left="1085" w:right="368" w:hanging="342"/>
        <w:spacing w:before="56" w:line="30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[30]  Dumonceau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JM, Andriulli A, Elmunzer BJ,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al. Prophylaxis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post-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ERCP pancreatitis: European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Society of Gast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rointestinal Endoscopy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(ESGE)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Guideline - updated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June 2014[J]. Endoscopy, 2014,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46(9):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799-815.</w:t>
      </w:r>
    </w:p>
    <w:p>
      <w:pPr>
        <w:ind w:left="1093" w:right="371" w:hanging="350"/>
        <w:spacing w:before="73" w:line="2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[31]  Wong LL, Tsai HH. Prevention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post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-ERCP pancreatitis[J]. World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Gastrointest Pathophysiol, 2014, 5(1): 1-10.</w:t>
      </w:r>
    </w:p>
    <w:p>
      <w:pPr>
        <w:ind w:left="1087" w:right="370" w:hanging="344"/>
        <w:spacing w:before="54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[32]  Patai Á,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Solymosi N, Mohácsi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Indo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methacin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diclofenac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 the 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post-ERCP pancreatitis: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 systematic 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meta-analysis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controll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ed trials[J].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Gastrointest Endosc,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2017, 85(6): 1144-1156.</w:t>
      </w:r>
    </w:p>
    <w:p>
      <w:pPr>
        <w:ind w:left="1087" w:right="370" w:hanging="344"/>
        <w:spacing w:before="55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[33]  Andrade-Dávila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VF, Chávez-Tostado M, Dávalos-Cobián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C, et al. Rectal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indomethacin versus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placebo to reduce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incidence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pancreatitis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cholangiopancreatography: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controlled clinical trial[J]. BMC Gastroenterol, 2015, 15: 85.</w:t>
      </w:r>
    </w:p>
    <w:p>
      <w:pPr>
        <w:ind w:left="1086" w:right="367" w:hanging="343"/>
        <w:spacing w:before="51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[34]  Kato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Shiba 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Kakiya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Celecoxib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Oral Admini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stration 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Prevention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Post-Endoscopic Retrograde Cholangiopancreatogra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Pancreatitis: A 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Trial[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Pancreas,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46(7): 880-886.</w:t>
      </w:r>
    </w:p>
    <w:p>
      <w:pPr>
        <w:ind w:left="1085" w:right="368" w:hanging="342"/>
        <w:spacing w:before="53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[35]  Lee TY,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Choi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Oh HC,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Oral udenafil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aceclofenac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fo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post-endoscopic 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cholangiopancreatography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pancreatitis in high-risk patients: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 randomized multicente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r study[J].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J Intern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Med, 2015, 30(5):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602-609.</w:t>
      </w:r>
    </w:p>
    <w:p>
      <w:pPr>
        <w:ind w:left="1087" w:right="370" w:hanging="344"/>
        <w:spacing w:before="5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[36]  Levenick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Gordon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Fadden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ectal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Indomethacin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Does Not Prevent Post-ERCP Pancreatitis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Consecutive Patients[J].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Gastroenterology, 2016, 150(4): 911-917.</w:t>
      </w:r>
    </w:p>
    <w:p>
      <w:pPr>
        <w:ind w:left="1085" w:right="369" w:hanging="342"/>
        <w:spacing w:before="54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[37]  Li L, Han Z,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Yuan H, et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al. Nonsteroidal anti-inflammatory drugs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reduce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the incidence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post-endoscopic retrograde cholangiopancr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eatography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pancreatitis: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 meta-analysis[J].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Hepatobiliary Pancreat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Sci,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24(9): 520-529.</w:t>
      </w:r>
    </w:p>
    <w:p>
      <w:pPr>
        <w:ind w:left="1086" w:right="371" w:hanging="343"/>
        <w:spacing w:before="5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[38]  Puig I,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Calvet X, Baylina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How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and when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should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NSAIDs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used for preventing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post-ERCP pancreatitis? A systematic 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meta-analysis[J]. PLo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S ONE, 2014, 9(3): e92922.</w:t>
      </w:r>
    </w:p>
    <w:p>
      <w:pPr>
        <w:ind w:left="1091" w:right="367" w:hanging="348"/>
        <w:spacing w:before="54" w:line="2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[39]  Yang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Zhao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Li W,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Rectal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nonster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oidal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anti-inflammatory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drugs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administration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effective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 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post-ERCP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44" w:right="17" w:hanging="2"/>
        <w:spacing w:before="38" w:line="31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pancreatitis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updated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controlled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trials[J]. Pancreatology, 2017, 17(5): 681-688.</w:t>
      </w:r>
    </w:p>
    <w:p>
      <w:pPr>
        <w:ind w:left="344" w:right="12" w:hanging="344"/>
        <w:spacing w:before="32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[40]  Wan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J, Ren Y, Zhu Z, et al. How to 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elect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and timing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rectal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indomethacin to prevent post-ERCP pancreatitis: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 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ystematic 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and meta-analysis[J]. BMC Gastroenterol, 2017, 17(1): 43.</w:t>
      </w:r>
    </w:p>
    <w:p>
      <w:pPr>
        <w:ind w:left="342" w:right="16" w:hanging="342"/>
        <w:spacing w:before="55" w:line="31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[41]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Luo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Leung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Routine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procedural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rectal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indometacin versus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selective post-procedural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rectal indometacin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prevent pancreatitis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undergoing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retrogra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cholangiopancreatography: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 multicentre, 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ingle-blinded, randomised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controlled trial[J]. Lancet, 2016, 387(10035)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: 2293-2301.</w:t>
      </w:r>
    </w:p>
    <w:p>
      <w:pPr>
        <w:ind w:left="347" w:right="16" w:hanging="347"/>
        <w:spacing w:before="5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[42]  Rai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Thrimawithana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Valery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herapeutic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uses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 somatostatin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analogues: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Current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potenti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applications[J]. Pharmacol Ther, 2015, 152(1): 98-110.</w:t>
      </w:r>
    </w:p>
    <w:p>
      <w:pPr>
        <w:ind w:left="344" w:right="15" w:hanging="344"/>
        <w:spacing w:before="5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[43]  Bai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Ren X,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Zhang XF,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Prophylactic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somatostatin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reduce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incidence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 post-ERCP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pancreatitis: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multicenter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controlled trial[J].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Endoscopy,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2015, 47(5): 415-420.</w:t>
      </w:r>
    </w:p>
    <w:p>
      <w:pPr>
        <w:ind w:left="327" w:right="15" w:hanging="327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[44]  Qin X, Lei WS, Xing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ZX,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Prophylactic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of soma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tostatin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preventing Post-ERCP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pancreatitis: an updated 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ta-analysis[J]. Saudi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J Gastroenterol, 2015,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21(6): 372-378.</w:t>
      </w:r>
    </w:p>
    <w:p>
      <w:pPr>
        <w:ind w:left="342" w:hanging="342"/>
        <w:spacing w:before="53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[45]  Wang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G, Xiao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Xu 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al. 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of somatostatin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on 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post-endoscopic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cholangiopancreatography pancreatitis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hyperamylasemia: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meta-analysis[J].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Pancreatology, 2018, 18(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4): 370-378.</w:t>
      </w:r>
    </w:p>
    <w:p>
      <w:pPr>
        <w:ind w:left="344" w:right="12" w:hanging="344"/>
        <w:spacing w:before="53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[46]  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ZS,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Pan X,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Zhang WJ,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al. 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of oc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treotide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administration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the prophylaxis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post-ERCP pancreatitis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and hyperamylasemia: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multicenter, placebo-controlled,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trial[J]. Am J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Gastroenterol, 2007, 102(1): 46-51.</w:t>
      </w:r>
    </w:p>
    <w:p>
      <w:pPr>
        <w:ind w:left="342" w:right="15" w:hanging="342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[47]  Zhang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Chen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QB,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Gao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ZY,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al. Meta-analysis: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octreotide prevents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pancreatitis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but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sufficient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Aliment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Pharmacol Ther, 2009, 29(11):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1155-1164.</w:t>
      </w:r>
    </w:p>
    <w:p>
      <w:pPr>
        <w:ind w:left="342" w:right="16" w:hanging="342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[48]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Omata F, Deshpande G, TokudaY, et al. Meta-analysis: somato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statin 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its long-acting analogue, octreotide, for prophylaxis against post-ERCP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pancreatitis[J].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J Gastroenterol, 2010, 45(8): 885-895.</w:t>
      </w:r>
    </w:p>
    <w:p>
      <w:pPr>
        <w:ind w:left="342" w:hanging="342"/>
        <w:spacing w:before="53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[49]  Yuhara 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Ogawa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M, Kawaguchi Y,et al. Pharmacologic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prophylaxis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post-endoscopic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cholangiopancr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eatography pancreatitis: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protease inhibitors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and NSAIDs in a meta-analysis[J].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 Gastroenterol,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2014, 49(3):388-399.</w:t>
      </w:r>
    </w:p>
    <w:p>
      <w:pPr>
        <w:ind w:left="345" w:right="16" w:hanging="345"/>
        <w:spacing w:before="55" w:line="30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[50]  Zhang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ZF, Yang 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Zhao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Preventive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ulinastatin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gabexate mesylate on post-endoscopic retrograde cholangiopanc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reato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  <w:position w:val="-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graphy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pancreatitis[J]. Chin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MedJ, 2010, 123(18): 26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00-2606.</w:t>
      </w:r>
    </w:p>
    <w:p>
      <w:pPr>
        <w:ind w:left="340" w:right="13" w:hanging="341"/>
        <w:spacing w:before="5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[51]  Zhu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K, Wang JP,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Su JG.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Prophylactic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linastatin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administration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preventing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post-endoscopic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cholangiopancr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eatography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pancreatitis: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meta-analysis[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Exp Ther Med,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2017, 14(4): 3036-3056.</w:t>
      </w:r>
    </w:p>
    <w:p>
      <w:pPr>
        <w:ind w:left="345" w:right="12" w:hanging="346"/>
        <w:spacing w:before="56" w:line="31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[52]  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HW,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Comparative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24-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6-Hour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Infusion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Nafamostat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Mesilate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Prevention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Post-Endoscopic Retrograde Cholangiopancreato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graphy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Pancreatitis: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Trial[J].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Pancreas, 2016, 45(8): 1179-1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183.</w:t>
      </w:r>
    </w:p>
    <w:p>
      <w:pPr>
        <w:ind w:left="347" w:right="15" w:hanging="347"/>
        <w:spacing w:before="54" w:line="29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[53]  Staritz 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Poralla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T, Ewe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glyceryl trinitrate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sphincter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Oddi motility and baseline pressure[J]. Gut,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1985, 2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6(2):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194-197.</w:t>
      </w:r>
    </w:p>
    <w:p>
      <w:pPr>
        <w:ind w:left="342" w:right="14" w:hanging="343"/>
        <w:spacing w:before="7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[54]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Brandst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Schinzel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Wurzer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Influence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spasmoly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tic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analgesics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motility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sphincter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Oddi[J].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Dig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Sci,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6,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41(9): 1814-1818.</w:t>
      </w:r>
    </w:p>
    <w:p>
      <w:pPr>
        <w:spacing w:before="54" w:line="199" w:lineRule="exact"/>
        <w:jc w:val="righ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[55]  Bai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Xu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Yan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X,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Glycer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yl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trinitrate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position w:val="2"/>
        </w:rPr>
        <w:t>f</w:t>
      </w:r>
    </w:p>
    <w:p>
      <w:pPr>
        <w:spacing w:line="199" w:lineRule="exact"/>
        <w:sectPr>
          <w:type w:val="continuous"/>
          <w:pgSz w:w="11906" w:h="16782"/>
          <w:pgMar w:top="1199" w:right="1117" w:bottom="0" w:left="407" w:header="953" w:footer="0" w:gutter="0"/>
          <w:cols w:equalWidth="0" w:num="2">
            <w:col w:w="5690" w:space="100"/>
            <w:col w:w="4591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167" w:lineRule="exact"/>
        <w:rPr/>
      </w:pPr>
      <w:r/>
    </w:p>
    <w:p>
      <w:pPr>
        <w:spacing w:line="167" w:lineRule="exact"/>
        <w:sectPr>
          <w:headerReference w:type="default" r:id="rId9"/>
          <w:pgSz w:w="11906" w:h="16782"/>
          <w:pgMar w:top="1199" w:right="1117" w:bottom="0" w:left="407" w:header="953" w:footer="0" w:gutter="0"/>
          <w:cols w:equalWidth="0" w:num="1">
            <w:col w:w="10380" w:space="0"/>
          </w:cols>
        </w:sectPr>
        <w:rPr/>
      </w:pPr>
    </w:p>
    <w:p>
      <w:pPr>
        <w:ind w:left="1088" w:right="370" w:hanging="2"/>
        <w:spacing w:before="39" w:line="317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pancreatitis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cholangiopancreatography: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double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blind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placebo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controlled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trials[J].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Endoscopy, 200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9, 41(8): 690-695.</w:t>
      </w:r>
    </w:p>
    <w:p>
      <w:pPr>
        <w:ind w:left="1088" w:right="356" w:hanging="345"/>
        <w:spacing w:before="32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[56]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Katsinelos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Lazaraki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Chatzimavroudis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Impact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nitroglycerin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and glucagon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administration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selective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common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bile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duct cannulation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prevention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post-ERCP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pancreatitis[J].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ScandJ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Gastroenterol, 2017, 52(1): 50-55.</w:t>
      </w:r>
    </w:p>
    <w:p>
      <w:pPr>
        <w:ind w:left="1083" w:right="371" w:hanging="340"/>
        <w:spacing w:before="52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[57]  Park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Paik WH,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ark ET,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al. Aggressive intravenous hydration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lactated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Ringer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›s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solution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 post-ERCP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pancreatitis: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 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randomized multicenter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clinical trial[J].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Endoscopy, 2018, 50(4): 378-38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5.</w:t>
      </w:r>
    </w:p>
    <w:p>
      <w:pPr>
        <w:ind w:left="1086" w:right="357" w:hanging="343"/>
        <w:spacing w:before="55" w:line="31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[58]  Zhang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ZF,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Duan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ZJ, Wang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LX,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 Aggress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Hydration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Lactated Ringer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Solution 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n Prevention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Postendoscopic 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Cholang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iopancreato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gra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Pancreatitis: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Meta-analysis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Controlled Trials[J].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Gastro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enterol, 2017, 51(3):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e17-e26.</w:t>
      </w:r>
    </w:p>
    <w:p>
      <w:pPr>
        <w:ind w:left="1083" w:right="370" w:hanging="340"/>
        <w:spacing w:before="76" w:line="3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[59]  Mok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Shah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Lactated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Ringer›s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solution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combination with rectal indomethacin 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post-ERCP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pancreatitis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readmission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double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blinded, placebo-controlled trial[J]. Gastrointest Endo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sc, 2017, 85(5):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1005-1013.</w:t>
      </w:r>
    </w:p>
    <w:p>
      <w:pPr>
        <w:ind w:left="1080" w:right="371" w:hanging="337"/>
        <w:spacing w:before="75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[60]  Wu 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Wan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J, Xia L, et al. The 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fficiency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Aggressive Hydration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Lactated Ringer Solution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for the Prevention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Post-ERCP Pancreatitis: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 Systematic Review 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d Meta-analysis[J].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J Clin Gastroenterol, 2017,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51(8): e68-e76.</w:t>
      </w:r>
    </w:p>
    <w:p>
      <w:pPr>
        <w:ind w:left="1091" w:right="371" w:hanging="348"/>
        <w:spacing w:before="5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[61]  Matsushita 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Takakuwa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Shimeno 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al. Epinephrine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sprayed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papilla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 post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-ERCP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pancreatitis[J]. J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Gastroenterol, 2009, 44(1): 71-75.</w:t>
      </w:r>
    </w:p>
    <w:p>
      <w:pPr>
        <w:ind w:left="1085" w:right="370" w:hanging="342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[62]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Xu LH, Qian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JB, Gu LG, et 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Prevention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post-endoscopic 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cholangiopancreatography pancreatitis by epi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nephrine sprayed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on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papilla[J].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J Gastroenterol Hepatol, 2011, 26(7):1139-114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4.</w:t>
      </w:r>
    </w:p>
    <w:p>
      <w:pPr>
        <w:ind w:left="1085" w:right="370" w:hanging="342"/>
        <w:spacing w:before="5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[63]  Bai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Shi X,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Prophylactic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corticosteroids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do 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t prevent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post-ERCP pancreatitis: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meta-analysis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controlled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trials[J]. Pancreatology, 2008, 8(4-5): 504-509.</w:t>
      </w:r>
    </w:p>
    <w:p>
      <w:pPr>
        <w:ind w:left="1086" w:right="370" w:hanging="343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[64]  Devière J, Le Moine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O, Van Laethem JL,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l. Interleukin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reduces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the incidence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 pancreatitis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after therapeutic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endoscopic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cholangiopancreatogra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phy[J]. Gastroenterology, 2001, 120(2):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498-505.</w:t>
      </w:r>
    </w:p>
    <w:p>
      <w:pPr>
        <w:ind w:left="1085" w:right="357" w:hanging="342"/>
        <w:spacing w:before="53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[65]  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Chen X,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Low-dose heparin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the 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post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endoscopic 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cholangiopancreatography pancreatitis: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systematic review and meta-analysis[J]. 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Gastroenterol Hepatol,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2012, 24(5):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477-481.</w:t>
      </w:r>
    </w:p>
    <w:p>
      <w:pPr>
        <w:ind w:left="1085" w:right="368" w:hanging="342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[66]  Bai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Gao 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Meta-analysis: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allopurinol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postendoscop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ic 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cholangiopancreatography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pancreatitis[J].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Aliment Pharmacol Ther, 2008, 28(5): 557-564.</w:t>
      </w:r>
    </w:p>
    <w:p>
      <w:pPr>
        <w:ind w:left="1086" w:right="371" w:hanging="343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[67]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Katsinelos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Kountouras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Paroutoglou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Intravenous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N-acetylcysteine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does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prevent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post-ERCP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pancreati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Gastrointest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Endosc, 2005, 62(1): 105-111.</w:t>
      </w:r>
    </w:p>
    <w:p>
      <w:pPr>
        <w:ind w:left="1085" w:right="370" w:hanging="342"/>
        <w:spacing w:before="55" w:line="29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[68]  Lavy 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Karban 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Suissa 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Natural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a-carotene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pancreatitis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Pancreas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2004,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29(2):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e45-e50.</w:t>
      </w:r>
    </w:p>
    <w:p>
      <w:pPr>
        <w:ind w:left="1083" w:right="370" w:hanging="340"/>
        <w:spacing w:before="75" w:line="2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[69]  Gorelick A, Barnett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Chey W,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al. Botulinum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toxin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injec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biliary sphincterotom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y[J].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Endoscopy, 2004, 36(2): 170-173.</w:t>
      </w:r>
    </w:p>
    <w:p>
      <w:pPr>
        <w:ind w:left="1085" w:right="372" w:hanging="342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[70]  Schwartz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JJ, Lew RJ, Ahmad NA,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lidocaine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sprayed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major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duodenal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papilla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frequency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 post-ERCP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pancreatitis[J]. Gastrointest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Endosc, 2004, 59(2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): 179-184.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42" w:right="15" w:hanging="342"/>
        <w:spacing w:before="38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[71]  Prat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F, Amaris 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Ducot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Nifedipine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for 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 post-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ERCP pancreatitis: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 prospective,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double-blind randomized study[J].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Gastrointest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Endosc,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2002, 56(2): 202-208.</w:t>
      </w:r>
    </w:p>
    <w:p>
      <w:pPr>
        <w:ind w:left="345" w:hanging="345"/>
        <w:spacing w:before="5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[72]  Sand 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Nord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back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nifedipine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pancreatic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irritation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retrogra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cholangiopancreatography[J]. Digestion, 1993, 54(2): 105-111.</w:t>
      </w:r>
    </w:p>
    <w:p>
      <w:pPr>
        <w:ind w:left="347" w:right="16" w:hanging="347"/>
        <w:spacing w:before="5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[73]  Bai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Gao 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Prophylactic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antibiot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cannot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prevent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endoscopic retrograde cholangiopancreatography-induced chol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angitis: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 meta-analysis[J]. Pancreas, 2009, 38(2):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126-130.</w:t>
      </w:r>
    </w:p>
    <w:p>
      <w:pPr>
        <w:ind w:left="342" w:right="15" w:hanging="342"/>
        <w:spacing w:before="53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[74]  Kim NH, 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HJ, Bang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KB.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prophylactic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antibiotic use between intravenous 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oxifloxacin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ceftriaxone 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high-risk patients with post-ERCP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cholangitis[J].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HBPD INT, 2017,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16(5): 512-518.</w:t>
      </w:r>
    </w:p>
    <w:p>
      <w:pPr>
        <w:ind w:left="345" w:right="15" w:hanging="345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[75]  Millward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SF. ACR Appropriateness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Criteria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 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nonvariceal gastrointestinal tract bleeding[J].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 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Coll Radiol, 2008,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5(4): 550-554.</w:t>
      </w:r>
    </w:p>
    <w:p>
      <w:pPr>
        <w:ind w:left="337" w:right="14" w:hanging="337"/>
        <w:spacing w:before="5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[76]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Dunne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McCarthy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Joyce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biliar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sphincterotomy bleeding: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 interventional radi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ology approach[J].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Acta Radiol, 2013, 54(10): 1159-11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64.</w:t>
      </w:r>
    </w:p>
    <w:p>
      <w:pPr>
        <w:ind w:left="342" w:right="15" w:hanging="343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[77]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Day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Somsouk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Adverse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events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undergoing ERCP: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 systematic review and 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-analysis[J].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Endosc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Int Open, 2014, 2(1):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E28-E3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6.</w:t>
      </w:r>
    </w:p>
    <w:p>
      <w:pPr>
        <w:ind w:left="347" w:hanging="347"/>
        <w:spacing w:before="5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[78]  Hamada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T, Yasunaga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Nakai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Bleeding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sphincterotomy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papillary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balloon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among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users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antithrombotic agents[J].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Endoscopy,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2015, 47(11): 997-1004.</w:t>
      </w:r>
    </w:p>
    <w:p>
      <w:pPr>
        <w:ind w:left="342" w:right="12" w:hanging="342"/>
        <w:spacing w:before="54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[79]  Mok SR, ArifM, Diehl DL, 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. Safety and efficacy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minimal biliary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sphincterotomy with papillary balloon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dilation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m-EBS+EPBD)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patients using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clopidogrel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anticoagulation[J]. Endosc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Open,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2017, 5(3):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E157-E164.</w:t>
      </w:r>
    </w:p>
    <w:p>
      <w:pPr>
        <w:ind w:left="337" w:right="15" w:hanging="337"/>
        <w:spacing w:before="54" w:line="31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[80]  Chan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FKL,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Goh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Reddy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antithrombotic agent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s undergoing emergency and elective endoscopy: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joint Asian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Pacific Association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 Gastroenterology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(APAGE)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Asian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Pacific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Digestive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Endoscop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(APSDE)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guidelines[J]. Gut, 2018, 67(3): 405-417.</w:t>
      </w:r>
    </w:p>
    <w:p>
      <w:pPr>
        <w:ind w:left="342" w:right="15" w:hanging="342"/>
        <w:spacing w:before="55" w:line="31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[81]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Veitch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Vanbier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vliet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Gershlick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Endoscopy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antiplatelet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anticoagulant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therapy,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incl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uding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direct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anticoagulants: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British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 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astroenterology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(BSG)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 Gastrointes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tinal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Endoscopy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(ESGE)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guidelines[J].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Endoscopy, 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16, 48(4): c1.</w:t>
      </w:r>
    </w:p>
    <w:p>
      <w:pPr>
        <w:ind w:left="345" w:right="15" w:hanging="346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[82]  Acosta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RD, Abraham NS,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The managem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of antithrombotic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agents for patients undergoing GI endoscopy[J]. Ga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strointest Endosc,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2016, 83(1): 3-16.</w:t>
      </w:r>
    </w:p>
    <w:p>
      <w:pPr>
        <w:ind w:left="342" w:right="14" w:hanging="342"/>
        <w:spacing w:before="54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[83]  Navaneethan U, Njei 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Zhu X,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pati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liver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cirrhosis: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 national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database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stud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y[J]. Endosc Int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Open, 2017,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5(4):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E303-E314.</w:t>
      </w:r>
    </w:p>
    <w:p>
      <w:pPr>
        <w:ind w:left="342" w:right="14" w:hanging="342"/>
        <w:spacing w:before="55" w:line="31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[84]  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Zhao 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Zhao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Q,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retrograde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cholangiopancreatography fo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common bile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duct stones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liver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cirrhotic patients[J]. Hua zhong ke ji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da xu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e xue bao Yi xue Ying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De wen ban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=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Huazhong ke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ji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daxue xuebao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Yixue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Yingdewen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ban,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2014, 34(4): 612-61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5.</w:t>
      </w:r>
    </w:p>
    <w:p>
      <w:pPr>
        <w:ind w:left="344" w:right="16" w:hanging="344"/>
        <w:spacing w:before="55" w:line="29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[85]  Balderramo D, Bo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rdas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JM, Sendino O, et al. Complications after ERCP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liver transplant recipients[J].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Gastrointest Endosc,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2011,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4(2):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285-294.</w:t>
      </w:r>
    </w:p>
    <w:p>
      <w:pPr>
        <w:ind w:right="15"/>
        <w:spacing w:before="82" w:line="202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2018-08-04收稿   本文编辑：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颜廷梅</w:t>
      </w:r>
    </w:p>
    <w:sectPr>
      <w:type w:val="continuous"/>
      <w:pgSz w:w="11906" w:h="16782"/>
      <w:pgMar w:top="1199" w:right="1117" w:bottom="0" w:left="407" w:header="953" w:footer="0" w:gutter="0"/>
      <w:cols w:equalWidth="0" w:num="2">
        <w:col w:w="5690" w:space="100"/>
        <w:col w:w="45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0"/>
      <w:spacing w:before="31" w:line="236" w:lineRule="auto"/>
      <w:rPr>
        <w:sz w:val="16"/>
        <w:szCs w:val="16"/>
      </w:rPr>
    </w:pPr>
    <w:r>
      <w:pict>
        <v:shape id="WordPictureWatermark2" style="position:absolute;margin-left:20.4pt;margin-top:811.655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2"/>
      </w:rPr>
      <w:t>2018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年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10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月第</w:t>
    </w:r>
    <w:r>
      <w:rPr>
        <w:sz w:val="16"/>
        <w:szCs w:val="16"/>
        <w:u w:val="single" w:color="auto"/>
        <w:color w:val="231F20"/>
        <w:spacing w:val="-33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38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卷第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10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期                            中国实用内科杂志                                       </w:t>
    </w:r>
    <w:r>
      <w:rPr>
        <w:sz w:val="16"/>
        <w:szCs w:val="16"/>
        <w:u w:val="single" w:color="auto"/>
        <w:color w:val="231F20"/>
        <w:spacing w:val="-3"/>
      </w:rPr>
      <w:t xml:space="preserve">           915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0"/>
      <w:spacing w:before="31" w:line="236" w:lineRule="auto"/>
      <w:rPr>
        <w:sz w:val="16"/>
        <w:szCs w:val="16"/>
      </w:rPr>
    </w:pPr>
    <w:r>
      <w:pict>
        <v:shape id="WordPictureWatermark6" style="position:absolute;margin-left:20.4pt;margin-top:811.655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12"/>
      </w:rPr>
      <w:t>916</w:t>
    </w:r>
    <w:r>
      <w:rPr>
        <w:sz w:val="16"/>
        <w:szCs w:val="16"/>
        <w:u w:val="single" w:color="auto"/>
        <w:color w:val="231F20"/>
      </w:rPr>
      <w:t xml:space="preserve">                                      </w:t>
    </w:r>
    <w:r>
      <w:rPr>
        <w:sz w:val="16"/>
        <w:szCs w:val="16"/>
        <w:u w:val="single" w:color="auto"/>
        <w:color w:val="231F20"/>
        <w:spacing w:val="-12"/>
      </w:rPr>
      <w:t>Chinese</w:t>
    </w:r>
    <w:r>
      <w:rPr>
        <w:sz w:val="16"/>
        <w:szCs w:val="16"/>
        <w:u w:val="single" w:color="auto"/>
        <w:color w:val="231F20"/>
        <w:spacing w:val="-24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Journal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of</w:t>
    </w:r>
    <w:r>
      <w:rPr>
        <w:sz w:val="16"/>
        <w:szCs w:val="16"/>
        <w:u w:val="single" w:color="auto"/>
        <w:color w:val="231F20"/>
        <w:spacing w:val="-46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Practical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Internal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Medicine</w:t>
    </w:r>
    <w:r>
      <w:rPr>
        <w:sz w:val="16"/>
        <w:szCs w:val="16"/>
        <w:u w:val="single" w:color="auto"/>
        <w:color w:val="231F20"/>
        <w:spacing w:val="2"/>
      </w:rPr>
      <w:t xml:space="preserve">                    </w:t>
    </w:r>
    <w:r>
      <w:rPr>
        <w:sz w:val="16"/>
        <w:szCs w:val="16"/>
        <w:u w:val="single" w:color="auto"/>
        <w:color w:val="231F20"/>
        <w:spacing w:val="-12"/>
      </w:rPr>
      <w:t>October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2018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Vol.</w:t>
    </w:r>
    <w:r>
      <w:rPr>
        <w:sz w:val="16"/>
        <w:szCs w:val="16"/>
        <w:u w:val="single" w:color="auto"/>
        <w:color w:val="231F20"/>
        <w:spacing w:val="-33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38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No.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10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0"/>
      <w:spacing w:before="31" w:line="236" w:lineRule="auto"/>
      <w:rPr>
        <w:sz w:val="16"/>
        <w:szCs w:val="16"/>
      </w:rPr>
    </w:pPr>
    <w:r>
      <w:pict>
        <v:shape id="WordPictureWatermark8" style="position:absolute;margin-left:20.4pt;margin-top:811.655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2"/>
      </w:rPr>
      <w:t>2018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年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10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月第</w:t>
    </w:r>
    <w:r>
      <w:rPr>
        <w:sz w:val="16"/>
        <w:szCs w:val="16"/>
        <w:u w:val="single" w:color="auto"/>
        <w:color w:val="231F20"/>
        <w:spacing w:val="-33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38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卷第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10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期                            中国实用内科杂志                                       </w:t>
    </w:r>
    <w:r>
      <w:rPr>
        <w:sz w:val="16"/>
        <w:szCs w:val="16"/>
        <w:u w:val="single" w:color="auto"/>
        <w:color w:val="231F20"/>
        <w:spacing w:val="-3"/>
      </w:rPr>
      <w:t xml:space="preserve">           917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0"/>
      <w:spacing w:before="31" w:line="236" w:lineRule="auto"/>
      <w:rPr>
        <w:sz w:val="16"/>
        <w:szCs w:val="16"/>
      </w:rPr>
    </w:pPr>
    <w:r>
      <w:pict>
        <v:shape id="WordPictureWatermark10" style="position:absolute;margin-left:20.4pt;margin-top:811.655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12"/>
      </w:rPr>
      <w:t>918</w:t>
    </w:r>
    <w:r>
      <w:rPr>
        <w:sz w:val="16"/>
        <w:szCs w:val="16"/>
        <w:u w:val="single" w:color="auto"/>
        <w:color w:val="231F20"/>
      </w:rPr>
      <w:t xml:space="preserve">                                      </w:t>
    </w:r>
    <w:r>
      <w:rPr>
        <w:sz w:val="16"/>
        <w:szCs w:val="16"/>
        <w:u w:val="single" w:color="auto"/>
        <w:color w:val="231F20"/>
        <w:spacing w:val="-12"/>
      </w:rPr>
      <w:t>Chinese</w:t>
    </w:r>
    <w:r>
      <w:rPr>
        <w:sz w:val="16"/>
        <w:szCs w:val="16"/>
        <w:u w:val="single" w:color="auto"/>
        <w:color w:val="231F20"/>
        <w:spacing w:val="-24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Journal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of</w:t>
    </w:r>
    <w:r>
      <w:rPr>
        <w:sz w:val="16"/>
        <w:szCs w:val="16"/>
        <w:u w:val="single" w:color="auto"/>
        <w:color w:val="231F20"/>
        <w:spacing w:val="-46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Practical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Internal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Medicine</w:t>
    </w:r>
    <w:r>
      <w:rPr>
        <w:sz w:val="16"/>
        <w:szCs w:val="16"/>
        <w:u w:val="single" w:color="auto"/>
        <w:color w:val="231F20"/>
        <w:spacing w:val="2"/>
      </w:rPr>
      <w:t xml:space="preserve">                    </w:t>
    </w:r>
    <w:r>
      <w:rPr>
        <w:sz w:val="16"/>
        <w:szCs w:val="16"/>
        <w:u w:val="single" w:color="auto"/>
        <w:color w:val="231F20"/>
        <w:spacing w:val="-12"/>
      </w:rPr>
      <w:t>October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2018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Vol.</w:t>
    </w:r>
    <w:r>
      <w:rPr>
        <w:sz w:val="16"/>
        <w:szCs w:val="16"/>
        <w:u w:val="single" w:color="auto"/>
        <w:color w:val="231F20"/>
        <w:spacing w:val="-33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38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No.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10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0"/>
      <w:spacing w:before="31" w:line="236" w:lineRule="auto"/>
      <w:rPr>
        <w:sz w:val="16"/>
        <w:szCs w:val="16"/>
      </w:rPr>
    </w:pPr>
    <w:r>
      <w:pict>
        <v:shape id="WordPictureWatermark26" style="position:absolute;margin-left:20.4pt;margin-top:811.655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2"/>
      </w:rPr>
      <w:t>2018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年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10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月第</w:t>
    </w:r>
    <w:r>
      <w:rPr>
        <w:sz w:val="16"/>
        <w:szCs w:val="16"/>
        <w:u w:val="single" w:color="auto"/>
        <w:color w:val="231F20"/>
        <w:spacing w:val="-33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38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卷第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10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期                            中国实用内科杂志                                       </w:t>
    </w:r>
    <w:r>
      <w:rPr>
        <w:sz w:val="16"/>
        <w:szCs w:val="16"/>
        <w:u w:val="single" w:color="auto"/>
        <w:color w:val="231F20"/>
        <w:spacing w:val="-3"/>
      </w:rPr>
      <w:t xml:space="preserve">           919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31" w:line="236" w:lineRule="auto"/>
      <w:jc w:val="right"/>
      <w:rPr>
        <w:sz w:val="16"/>
        <w:szCs w:val="16"/>
      </w:rPr>
    </w:pPr>
    <w:r>
      <w:pict>
        <v:shape id="WordPictureWatermark28" style="position:absolute;margin-left:20.4pt;margin-top:811.655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12"/>
      </w:rPr>
      <w:t>920</w:t>
    </w:r>
    <w:r>
      <w:rPr>
        <w:sz w:val="16"/>
        <w:szCs w:val="16"/>
        <w:u w:val="single" w:color="auto"/>
        <w:color w:val="231F20"/>
      </w:rPr>
      <w:t xml:space="preserve">                                      </w:t>
    </w:r>
    <w:r>
      <w:rPr>
        <w:sz w:val="16"/>
        <w:szCs w:val="16"/>
        <w:u w:val="single" w:color="auto"/>
        <w:color w:val="231F20"/>
        <w:spacing w:val="-12"/>
      </w:rPr>
      <w:t>Chinese</w:t>
    </w:r>
    <w:r>
      <w:rPr>
        <w:sz w:val="16"/>
        <w:szCs w:val="16"/>
        <w:u w:val="single" w:color="auto"/>
        <w:color w:val="231F20"/>
        <w:spacing w:val="-24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Journal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of</w:t>
    </w:r>
    <w:r>
      <w:rPr>
        <w:sz w:val="16"/>
        <w:szCs w:val="16"/>
        <w:u w:val="single" w:color="auto"/>
        <w:color w:val="231F20"/>
        <w:spacing w:val="-46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Practical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Internal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Medicine</w:t>
    </w:r>
    <w:r>
      <w:rPr>
        <w:sz w:val="16"/>
        <w:szCs w:val="16"/>
        <w:u w:val="single" w:color="auto"/>
        <w:color w:val="231F20"/>
        <w:spacing w:val="2"/>
      </w:rPr>
      <w:t xml:space="preserve">                    </w:t>
    </w:r>
    <w:r>
      <w:rPr>
        <w:sz w:val="16"/>
        <w:szCs w:val="16"/>
        <w:u w:val="single" w:color="auto"/>
        <w:color w:val="231F20"/>
        <w:spacing w:val="-12"/>
      </w:rPr>
      <w:t>October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2018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Vol.</w:t>
    </w:r>
    <w:r>
      <w:rPr>
        <w:sz w:val="16"/>
        <w:szCs w:val="16"/>
        <w:u w:val="single" w:color="auto"/>
        <w:color w:val="231F20"/>
        <w:spacing w:val="-33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38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No.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10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before="31" w:line="236" w:lineRule="auto"/>
      <w:jc w:val="right"/>
      <w:rPr>
        <w:sz w:val="16"/>
        <w:szCs w:val="16"/>
      </w:rPr>
    </w:pPr>
    <w:r>
      <w:pict>
        <v:shape id="WordPictureWatermark30" style="position:absolute;margin-left:20.4pt;margin-top:811.655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2"/>
      </w:rPr>
      <w:t>2018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年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10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月第</w:t>
    </w:r>
    <w:r>
      <w:rPr>
        <w:sz w:val="16"/>
        <w:szCs w:val="16"/>
        <w:u w:val="single" w:color="auto"/>
        <w:color w:val="231F20"/>
        <w:spacing w:val="-33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38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卷第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10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2"/>
      </w:rPr>
      <w:t>期                            中国实用内科杂志                                       </w:t>
    </w:r>
    <w:r>
      <w:rPr>
        <w:sz w:val="16"/>
        <w:szCs w:val="16"/>
        <w:u w:val="single" w:color="auto"/>
        <w:color w:val="231F20"/>
        <w:spacing w:val="-3"/>
      </w:rPr>
      <w:t xml:space="preserve">           921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31" w:line="236" w:lineRule="auto"/>
      <w:jc w:val="right"/>
      <w:rPr>
        <w:sz w:val="16"/>
        <w:szCs w:val="16"/>
      </w:rPr>
    </w:pPr>
    <w:r>
      <w:pict>
        <v:shape id="WordPictureWatermark32" style="position:absolute;margin-left:20.4pt;margin-top:811.655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12"/>
      </w:rPr>
      <w:t>922</w:t>
    </w:r>
    <w:r>
      <w:rPr>
        <w:sz w:val="16"/>
        <w:szCs w:val="16"/>
        <w:u w:val="single" w:color="auto"/>
        <w:color w:val="231F20"/>
      </w:rPr>
      <w:t xml:space="preserve">                                      </w:t>
    </w:r>
    <w:r>
      <w:rPr>
        <w:sz w:val="16"/>
        <w:szCs w:val="16"/>
        <w:u w:val="single" w:color="auto"/>
        <w:color w:val="231F20"/>
        <w:spacing w:val="-12"/>
      </w:rPr>
      <w:t>Chinese</w:t>
    </w:r>
    <w:r>
      <w:rPr>
        <w:sz w:val="16"/>
        <w:szCs w:val="16"/>
        <w:u w:val="single" w:color="auto"/>
        <w:color w:val="231F20"/>
        <w:spacing w:val="-24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Journal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of</w:t>
    </w:r>
    <w:r>
      <w:rPr>
        <w:sz w:val="16"/>
        <w:szCs w:val="16"/>
        <w:u w:val="single" w:color="auto"/>
        <w:color w:val="231F20"/>
        <w:spacing w:val="-46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Practical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Internal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Medicine</w:t>
    </w:r>
    <w:r>
      <w:rPr>
        <w:sz w:val="16"/>
        <w:szCs w:val="16"/>
        <w:u w:val="single" w:color="auto"/>
        <w:color w:val="231F20"/>
        <w:spacing w:val="2"/>
      </w:rPr>
      <w:t xml:space="preserve">                    </w:t>
    </w:r>
    <w:r>
      <w:rPr>
        <w:sz w:val="16"/>
        <w:szCs w:val="16"/>
        <w:u w:val="single" w:color="auto"/>
        <w:color w:val="231F20"/>
        <w:spacing w:val="-12"/>
      </w:rPr>
      <w:t>October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2018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Vol.</w:t>
    </w:r>
    <w:r>
      <w:rPr>
        <w:sz w:val="16"/>
        <w:szCs w:val="16"/>
        <w:u w:val="single" w:color="auto"/>
        <w:color w:val="231F20"/>
        <w:spacing w:val="-33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38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No.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10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8.xml"/><Relationship Id="rId8" Type="http://schemas.openxmlformats.org/officeDocument/2006/relationships/header" Target="header7.xml"/><Relationship Id="rId7" Type="http://schemas.openxmlformats.org/officeDocument/2006/relationships/header" Target="header6.xml"/><Relationship Id="rId6" Type="http://schemas.openxmlformats.org/officeDocument/2006/relationships/header" Target="header5.xml"/><Relationship Id="rId5" Type="http://schemas.openxmlformats.org/officeDocument/2006/relationships/image" Target="media/image5.png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2023-05-18T20:22:20Z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2025-10-28T21:38:41</vt:filetime>
  </property>
</Properties>
</file>