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50"/>
        <w:spacing w:before="229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1"/>
          <w:w w:val="136"/>
        </w:rPr>
        <w:t>国际外科新动态</w:t>
      </w:r>
    </w:p>
    <w:p>
      <w:pPr>
        <w:ind w:left="815"/>
        <w:spacing w:before="72" w:line="215" w:lineRule="auto"/>
        <w:rPr>
          <w:rFonts w:ascii="SimSun" w:hAnsi="SimSun" w:eastAsia="SimSun" w:cs="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文章编号：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1005-2208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（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2013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）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01-0004-02</w:t>
      </w:r>
    </w:p>
    <w:p>
      <w:pPr>
        <w:ind w:left="2940" w:right="1653" w:hanging="157"/>
        <w:spacing w:before="326" w:line="233" w:lineRule="auto"/>
        <w:rPr>
          <w:rFonts w:ascii="KaiTi" w:hAnsi="KaiTi" w:eastAsia="KaiTi" w:cs="KaiTi"/>
          <w:sz w:val="31"/>
          <w:szCs w:val="3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7"/>
        </w:rPr>
        <w:t>急性胰腺炎严重程度新的分级</w:t>
      </w: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31"/>
          <w:szCs w:val="31"/>
          <w:color w:val="231F20"/>
          <w:spacing w:val="18"/>
        </w:rPr>
        <w:t>——</w:t>
      </w:r>
      <w:r>
        <w:rPr>
          <w:rFonts w:ascii="KaiTi" w:hAnsi="KaiTi" w:eastAsia="KaiTi" w:cs="KaiTi"/>
          <w:sz w:val="31"/>
          <w:szCs w:val="31"/>
          <w:color w:val="231F20"/>
          <w:spacing w:val="18"/>
        </w:rPr>
        <w:t>基于重要临床影响因素的专家共识</w:t>
      </w:r>
    </w:p>
    <w:p>
      <w:pPr>
        <w:ind w:left="5176"/>
        <w:spacing w:before="135" w:line="269" w:lineRule="exact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7"/>
          <w:position w:val="1"/>
        </w:rPr>
        <w:t>楼文晖</w:t>
      </w:r>
    </w:p>
    <w:p>
      <w:pPr>
        <w:spacing w:before="21"/>
        <w:rPr/>
      </w:pPr>
      <w:r/>
    </w:p>
    <w:p>
      <w:pPr>
        <w:sectPr>
          <w:headerReference w:type="default" r:id="rId1"/>
          <w:pgSz w:w="11794" w:h="16669"/>
          <w:pgMar w:top="1503" w:right="1165" w:bottom="0" w:left="407" w:header="1233" w:footer="0" w:gutter="0"/>
          <w:cols w:equalWidth="0" w:num="1">
            <w:col w:w="10221" w:space="0"/>
          </w:cols>
        </w:sectPr>
        <w:rPr/>
      </w:pPr>
    </w:p>
    <w:p>
      <w:pPr>
        <w:ind w:left="812" w:right="146" w:hanging="61"/>
        <w:spacing w:before="42" w:line="304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摘要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】</w:t>
      </w:r>
      <w:r>
        <w:rPr>
          <w:rFonts w:ascii="SimSun" w:hAnsi="SimSun" w:eastAsia="SimSun" w:cs="SimSun"/>
          <w:sz w:val="17"/>
          <w:szCs w:val="17"/>
          <w:color w:val="231F20"/>
          <w:spacing w:val="6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急性胰腺炎的严重程度分级对临床实践和研究具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有重要的意义。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国际胰腺病协会通过广泛的专家讨论，把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7"/>
        </w:rPr>
        <w:t>对急性胰腺炎病情变化有决定性影响的因素分成局部和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2"/>
        </w:rPr>
        <w:t>全身因素。局部影响因素指胰腺或胰腺周围组织的坏</w:t>
      </w:r>
      <w:r>
        <w:rPr>
          <w:rFonts w:ascii="KaiTi" w:hAnsi="KaiTi" w:eastAsia="KaiTi" w:cs="KaiTi"/>
          <w:sz w:val="17"/>
          <w:szCs w:val="17"/>
          <w:color w:val="231F20"/>
          <w:spacing w:val="11"/>
        </w:rPr>
        <w:t>死，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9"/>
        </w:rPr>
        <w:t>统称为围胰腺坏死；全身影响因素系指由急性胰腺炎引起</w:t>
      </w:r>
      <w:r>
        <w:rPr>
          <w:rFonts w:ascii="KaiTi" w:hAnsi="KaiTi" w:eastAsia="KaiTi" w:cs="KaiTi"/>
          <w:sz w:val="17"/>
          <w:szCs w:val="17"/>
          <w:color w:val="231F20"/>
          <w:spacing w:val="1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9"/>
        </w:rPr>
        <w:t>的远处器官功能异常，即器官功能衰竭。通过将不同严重</w:t>
      </w:r>
      <w:r>
        <w:rPr>
          <w:rFonts w:ascii="KaiTi" w:hAnsi="KaiTi" w:eastAsia="KaiTi" w:cs="KaiTi"/>
          <w:sz w:val="17"/>
          <w:szCs w:val="17"/>
          <w:color w:val="231F20"/>
          <w:spacing w:val="1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2"/>
        </w:rPr>
        <w:t>程度的局部和全身因素的组合，将急性胰腺炎分成轻</w:t>
      </w:r>
      <w:r>
        <w:rPr>
          <w:rFonts w:ascii="KaiTi" w:hAnsi="KaiTi" w:eastAsia="KaiTi" w:cs="KaiTi"/>
          <w:sz w:val="17"/>
          <w:szCs w:val="17"/>
          <w:color w:val="231F20"/>
          <w:spacing w:val="11"/>
        </w:rPr>
        <w:t>度、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9"/>
        </w:rPr>
        <w:t>中度、重度、危重四级。该分级系统的特点是依据临床现</w:t>
      </w:r>
      <w:r>
        <w:rPr>
          <w:rFonts w:ascii="KaiTi" w:hAnsi="KaiTi" w:eastAsia="KaiTi" w:cs="KaiTi"/>
          <w:sz w:val="17"/>
          <w:szCs w:val="17"/>
          <w:color w:val="231F20"/>
          <w:spacing w:val="1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9"/>
        </w:rPr>
        <w:t>实的危险因素确定急性胰腺炎的严重程度，而不是一些生</w:t>
      </w:r>
      <w:r>
        <w:rPr>
          <w:rFonts w:ascii="KaiTi" w:hAnsi="KaiTi" w:eastAsia="KaiTi" w:cs="KaiTi"/>
          <w:sz w:val="17"/>
          <w:szCs w:val="17"/>
          <w:color w:val="231F20"/>
          <w:spacing w:val="1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2"/>
        </w:rPr>
        <w:t>化和生理指标。本分级系统的基础是大量的回顾性分</w:t>
      </w:r>
      <w:r>
        <w:rPr>
          <w:rFonts w:ascii="KaiTi" w:hAnsi="KaiTi" w:eastAsia="KaiTi" w:cs="KaiTi"/>
          <w:sz w:val="17"/>
          <w:szCs w:val="17"/>
          <w:color w:val="231F20"/>
          <w:spacing w:val="11"/>
        </w:rPr>
        <w:t>析，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尚需前瞻性研究验证。</w:t>
      </w:r>
    </w:p>
    <w:p>
      <w:pPr>
        <w:ind w:left="751"/>
        <w:spacing w:before="1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关键词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】</w:t>
      </w:r>
      <w:r>
        <w:rPr>
          <w:rFonts w:ascii="SimSun" w:hAnsi="SimSun" w:eastAsia="SimSun" w:cs="SimSun"/>
          <w:sz w:val="17"/>
          <w:szCs w:val="17"/>
          <w:color w:val="231F20"/>
          <w:spacing w:val="5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急性胰腺炎；严重程度</w:t>
      </w:r>
    </w:p>
    <w:p>
      <w:pPr>
        <w:ind w:left="830"/>
        <w:spacing w:before="20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中图分类号：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R6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文献标志码：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A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193" w:right="205" w:hanging="384"/>
        <w:spacing w:before="49" w:line="311" w:lineRule="auto"/>
        <w:rPr/>
      </w:pPr>
      <w:r>
        <w:rPr>
          <w:color w:val="231F20"/>
          <w:spacing w:val="1"/>
        </w:rPr>
        <w:t>New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1"/>
        </w:rPr>
        <w:t>severity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"/>
        </w:rPr>
        <w:t>classification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system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acute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"/>
        </w:rPr>
        <w:t>pancreatitis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LOU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Wen-hui.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Zhong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4"/>
        </w:rPr>
        <w:t>Shan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Ho</w:t>
      </w:r>
      <w:r>
        <w:rPr>
          <w:color w:val="231F20"/>
          <w:spacing w:val="-5"/>
        </w:rPr>
        <w:t>spital,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Fudan  University,</w:t>
      </w:r>
    </w:p>
    <w:p>
      <w:pPr>
        <w:pStyle w:val="BodyText"/>
        <w:ind w:left="808"/>
        <w:spacing w:before="68" w:line="205" w:lineRule="auto"/>
        <w:rPr/>
      </w:pPr>
      <w:r>
        <w:rPr>
          <w:color w:val="231F20"/>
          <w:spacing w:val="-5"/>
        </w:rPr>
        <w:t>Shanghai200032,China</w:t>
      </w:r>
    </w:p>
    <w:p>
      <w:pPr>
        <w:pStyle w:val="BodyText"/>
        <w:ind w:left="810" w:right="195" w:hanging="2"/>
        <w:spacing w:before="118" w:line="345" w:lineRule="auto"/>
        <w:rPr/>
      </w:pPr>
      <w:r>
        <w:rPr>
          <w:color w:val="231F20"/>
          <w:spacing w:val="-2"/>
        </w:rPr>
        <w:t>Abstract     Severity   classific</w:t>
      </w:r>
      <w:r>
        <w:rPr>
          <w:color w:val="231F20"/>
          <w:spacing w:val="-3"/>
        </w:rPr>
        <w:t>ation  for   acute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pancreatitis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3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crucial  for  clinical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prac</w:t>
      </w:r>
      <w:r>
        <w:rPr>
          <w:color w:val="231F20"/>
          <w:spacing w:val="-3"/>
        </w:rPr>
        <w:t>tice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research.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After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worldwide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questionnaire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discussion,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International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Pancreatology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proposed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determinant-ba</w:t>
      </w:r>
      <w:r>
        <w:rPr>
          <w:color w:val="231F20"/>
          <w:spacing w:val="-6"/>
        </w:rPr>
        <w:t>sed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classification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acute  pancreatitis  severity,  </w:t>
      </w:r>
      <w:r>
        <w:rPr>
          <w:color w:val="231F20"/>
          <w:spacing w:val="-5"/>
        </w:rPr>
        <w:t>which  based  on  the  actual  local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systemic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determinant</w:t>
      </w:r>
      <w:r>
        <w:rPr>
          <w:color w:val="231F20"/>
          <w:spacing w:val="-6"/>
        </w:rPr>
        <w:t>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severity</w:t>
      </w:r>
      <w:r>
        <w:rPr>
          <w:color w:val="231F20"/>
          <w:spacing w:val="-23"/>
        </w:rPr>
        <w:t xml:space="preserve"> </w:t>
      </w:r>
      <w:r>
        <w:rPr>
          <w:rFonts w:ascii="KaiTi" w:hAnsi="KaiTi" w:eastAsia="KaiTi" w:cs="KaiTi"/>
          <w:color w:val="231F20"/>
          <w:spacing w:val="-6"/>
        </w:rPr>
        <w:t>。</w:t>
      </w:r>
      <w:r>
        <w:rPr>
          <w:color w:val="231F20"/>
          <w:spacing w:val="-6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local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determinant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refers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whether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there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(peri)pancreatic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necrosis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not;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systemic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6"/>
        </w:rPr>
        <w:t>determinant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relates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whether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there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organ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failure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not,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if present,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whether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it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transient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persistent.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presence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different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determinants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classifies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acut</w:t>
      </w:r>
      <w:r>
        <w:rPr>
          <w:color w:val="231F20"/>
          <w:spacing w:val="-6"/>
        </w:rPr>
        <w:t>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pancreatitis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into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4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categories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of  severity</w:t>
      </w:r>
      <w:r>
        <w:rPr>
          <w:rFonts w:ascii="KaiTi" w:hAnsi="KaiTi" w:eastAsia="KaiTi" w:cs="KaiTi"/>
          <w:color w:val="231F20"/>
          <w:spacing w:val="-6"/>
        </w:rPr>
        <w:t>—</w:t>
      </w:r>
      <w:r>
        <w:rPr>
          <w:color w:val="231F20"/>
          <w:spacing w:val="-6"/>
        </w:rPr>
        <w:t>mild,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moderate,   severe,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critical.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advantage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classification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system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based,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rather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than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physiological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biochemical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parameters,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but still needs to be verified by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prospective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study.</w:t>
      </w:r>
    </w:p>
    <w:p>
      <w:pPr>
        <w:pStyle w:val="BodyText"/>
        <w:ind w:left="812"/>
        <w:spacing w:before="28" w:line="205" w:lineRule="auto"/>
        <w:rPr/>
      </w:pPr>
      <w:r>
        <w:rPr>
          <w:color w:val="231F20"/>
          <w:spacing w:val="-2"/>
        </w:rPr>
        <w:t>Keywords    acute p</w:t>
      </w:r>
      <w:r>
        <w:rPr>
          <w:color w:val="231F20"/>
          <w:spacing w:val="-3"/>
        </w:rPr>
        <w:t>ancreatitis;severity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ind w:left="814" w:right="205" w:firstLine="359"/>
        <w:spacing w:before="55" w:line="31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急性胰腺炎的严重程度分级对临床实践和研究具有重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要的意义。此前，亚特兰大标准和中华医学会消化病学分</w:t>
      </w:r>
    </w:p>
    <w:p>
      <w:pPr>
        <w:pStyle w:val="BodyText"/>
        <w:spacing w:line="393" w:lineRule="auto"/>
        <w:rPr>
          <w:sz w:val="21"/>
        </w:rPr>
      </w:pPr>
      <w:r>
        <w:pict>
          <v:shape id="_x0000_s4" style="position:absolute;margin-left:40.5475pt;margin-top:8.67384pt;mso-position-vertical-relative:text;mso-position-horizontal-relative:text;width:99.25pt;height:0.3pt;z-index:251658240;" filled="false" strokecolor="#231F20" strokeweight="0.28pt" coordsize="1985,6" coordorigin="0,0" path="m0,2l1984,2e">
            <v:stroke joinstyle="miter" miterlimit="4"/>
          </v:shape>
        </w:pict>
      </w:r>
      <w:r/>
    </w:p>
    <w:p>
      <w:pPr>
        <w:ind w:firstLine="1124"/>
        <w:spacing w:before="1" w:line="428" w:lineRule="exact"/>
        <w:rPr/>
      </w:pPr>
      <w:r>
        <w:rPr>
          <w:position w:val="-8"/>
        </w:rPr>
        <w:drawing>
          <wp:inline distT="0" distB="0" distL="0" distR="0">
            <wp:extent cx="2345227" cy="27156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5227" cy="27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4" w:firstLine="60"/>
        <w:spacing w:before="58" w:line="31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会胰腺疾病学组制定的急性胰腺炎诊断标准，主要按照有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无器官功能衰竭，将急性胰腺炎分成轻症（无器官功能衰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竭）和重症（合并器官功能衰竭）急性胰腺炎两大类</w:t>
      </w:r>
      <w:r>
        <w:rPr>
          <w:rFonts w:ascii="SimSun" w:hAnsi="SimSun" w:eastAsia="SimSun" w:cs="SimSun"/>
          <w:sz w:val="8"/>
          <w:szCs w:val="8"/>
          <w:color w:val="231F20"/>
          <w:spacing w:val="3"/>
          <w:position w:val="7"/>
        </w:rPr>
        <w:t>［1］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。文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献［2］中华医学会外科学分会胰腺外科学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组2007年颁布的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《重症急性胰腺炎诊治指南》中，将重症胰腺炎定义为：“急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性胰腺炎伴有器官功能障碍，或出现坏死、脓肿或假性囊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肿等局部并发症者，或两者兼有”。这个标准中，将局部出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现坏死、脓肿，但尚无器官功能衰竭也归入重症胰腺炎，强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调了局部因素的重要性。但无论哪种分法，本质上都是按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二分法将急性胰腺炎分成重症和轻症，这样分级方法有其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局限性，因为在每一大类下，其实都有临床病程完全不同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的病人。例如，不合并器官功能衰竭的病人，如果胰腺本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身或胰周有明显的坏死、尤其是合并感染，其实际的病死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率并不低；反之，有些病人可能仅是短期的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器官功能不全，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但很快恢复正常，这样的重症病人病死率并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不高。</w:t>
      </w:r>
    </w:p>
    <w:p>
      <w:pPr>
        <w:ind w:left="59" w:firstLine="362"/>
        <w:spacing w:before="16" w:line="31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为了进一步完善急性胰腺炎的严重度分级系统，使其</w:t>
      </w:r>
      <w:r>
        <w:rPr>
          <w:rFonts w:ascii="SimSun" w:hAnsi="SimSun" w:eastAsia="SimSun" w:cs="SimSun"/>
          <w:sz w:val="17"/>
          <w:szCs w:val="17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更具操作性并与临床实际病情吻合，国际胰腺病协会（</w:t>
      </w:r>
      <w:r>
        <w:rPr>
          <w:rFonts w:ascii="SimSun" w:hAnsi="SimSun" w:eastAsia="SimSun" w:cs="SimSun"/>
          <w:sz w:val="17"/>
          <w:szCs w:val="17"/>
          <w:color w:val="231F20"/>
        </w:rPr>
        <w:t>in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-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0"/>
        </w:rPr>
        <w:t>ternational</w:t>
      </w:r>
      <w:r>
        <w:rPr>
          <w:rFonts w:ascii="SimSun" w:hAnsi="SimSun" w:eastAsia="SimSun" w:cs="SimSun"/>
          <w:sz w:val="17"/>
          <w:szCs w:val="17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0"/>
        </w:rPr>
        <w:t>association</w:t>
      </w:r>
      <w:r>
        <w:rPr>
          <w:rFonts w:ascii="SimSun" w:hAnsi="SimSun" w:eastAsia="SimSun" w:cs="SimSun"/>
          <w:sz w:val="17"/>
          <w:szCs w:val="17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0"/>
        </w:rPr>
        <w:t>of</w:t>
      </w:r>
      <w:r>
        <w:rPr>
          <w:rFonts w:ascii="SimSun" w:hAnsi="SimSun" w:eastAsia="SimSun" w:cs="SimSun"/>
          <w:sz w:val="17"/>
          <w:szCs w:val="17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0"/>
        </w:rPr>
        <w:t>pancreatolo</w:t>
      </w:r>
      <w:r>
        <w:rPr>
          <w:rFonts w:ascii="SimSun" w:hAnsi="SimSun" w:eastAsia="SimSun" w:cs="SimSun"/>
          <w:sz w:val="17"/>
          <w:szCs w:val="17"/>
          <w:color w:val="231F20"/>
          <w:spacing w:val="-11"/>
        </w:rPr>
        <w:t>gy）最近提出了新的分级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方法。作为一种尝试，分级方法的制定首先通过</w:t>
      </w:r>
      <w:r>
        <w:rPr>
          <w:rFonts w:ascii="SimSun" w:hAnsi="SimSun" w:eastAsia="SimSun" w:cs="SimSun"/>
          <w:sz w:val="17"/>
          <w:szCs w:val="17"/>
          <w:color w:val="231F20"/>
        </w:rPr>
        <w:t>MEDLINE</w:t>
      </w:r>
      <w:r>
        <w:rPr>
          <w:rFonts w:ascii="SimSun" w:hAnsi="SimSun" w:eastAsia="SimSun" w:cs="SimSun"/>
          <w:sz w:val="17"/>
          <w:szCs w:val="17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1"/>
        </w:rPr>
        <w:t>检索出近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1"/>
        </w:rPr>
        <w:t>5年在国际性杂志上发表的有关临床急性胰腺炎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诊治的文章，向这些文章的通讯作者发出问卷调查，以此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9"/>
        </w:rPr>
        <w:t>来确保反馈的意见来自临床医生并具有广泛的代表性。</w:t>
      </w:r>
      <w:r>
        <w:rPr>
          <w:rFonts w:ascii="SimSun" w:hAnsi="SimSun" w:eastAsia="SimSun" w:cs="SimSun"/>
          <w:sz w:val="17"/>
          <w:szCs w:val="17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这一阶段一共向</w:t>
      </w:r>
      <w:r>
        <w:rPr>
          <w:rFonts w:ascii="SimSun" w:hAnsi="SimSun" w:eastAsia="SimSun" w:cs="SimSun"/>
          <w:sz w:val="17"/>
          <w:szCs w:val="17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55个国家的</w:t>
      </w:r>
      <w:r>
        <w:rPr>
          <w:rFonts w:ascii="SimSun" w:hAnsi="SimSun" w:eastAsia="SimSun" w:cs="SimSun"/>
          <w:sz w:val="17"/>
          <w:szCs w:val="17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528位医生发出问卷，包括外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科、内科和</w:t>
      </w:r>
      <w:r>
        <w:rPr>
          <w:rFonts w:ascii="SimSun" w:hAnsi="SimSun" w:eastAsia="SimSun" w:cs="SimSun"/>
          <w:sz w:val="17"/>
          <w:szCs w:val="17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ICU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的医生；收回来自49</w:t>
      </w:r>
      <w:r>
        <w:rPr>
          <w:rFonts w:ascii="SimSun" w:hAnsi="SimSun" w:eastAsia="SimSun" w:cs="SimSun"/>
          <w:sz w:val="17"/>
          <w:szCs w:val="17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个国家的</w:t>
      </w:r>
      <w:r>
        <w:rPr>
          <w:rFonts w:ascii="SimSun" w:hAnsi="SimSun" w:eastAsia="SimSun" w:cs="SimSun"/>
          <w:sz w:val="17"/>
          <w:szCs w:val="17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240</w:t>
      </w:r>
      <w:r>
        <w:rPr>
          <w:rFonts w:ascii="SimSun" w:hAnsi="SimSun" w:eastAsia="SimSun" w:cs="SimSun"/>
          <w:sz w:val="17"/>
          <w:szCs w:val="17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份问卷。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将问卷的内容整合后，形成的初稿在2011年国际胰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腺病协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会印度科钦会议上讨论，最终形成了基于临床重要影响因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素的急性胰腺炎新的分级标准，该专家共识在线发表在今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年8月的Annual</w:t>
      </w:r>
      <w:r>
        <w:rPr>
          <w:rFonts w:ascii="SimSun" w:hAnsi="SimSun" w:eastAsia="SimSun" w:cs="SimSun"/>
          <w:sz w:val="17"/>
          <w:szCs w:val="17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of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Surgery</w:t>
      </w:r>
      <w:r>
        <w:rPr>
          <w:rFonts w:ascii="SimSun" w:hAnsi="SimSun" w:eastAsia="SimSun" w:cs="SimSun"/>
          <w:sz w:val="8"/>
          <w:szCs w:val="8"/>
          <w:color w:val="231F20"/>
          <w:spacing w:val="-3"/>
          <w:position w:val="7"/>
        </w:rPr>
        <w:t>［3］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。</w:t>
      </w:r>
    </w:p>
    <w:p>
      <w:pPr>
        <w:ind w:left="61" w:right="14" w:firstLine="359"/>
        <w:spacing w:before="7" w:line="30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作为新的专家共识的基础部分，通过问卷和讨论首先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确定了对急性胰腺炎病情变化有决定性影响的因素，包括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7"/>
        </w:rPr>
        <w:t>局部和全身影响因素。局部影响因素指胰腺或胰腺周围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组织的坏死，统称为围胰腺坏死（peri-p</w:t>
      </w:r>
      <w:r>
        <w:rPr>
          <w:rFonts w:ascii="SimSun" w:hAnsi="SimSun" w:eastAsia="SimSun" w:cs="SimSun"/>
          <w:sz w:val="17"/>
          <w:szCs w:val="17"/>
          <w:color w:val="231F20"/>
          <w:spacing w:val="-7"/>
        </w:rPr>
        <w:t>ancreatic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7"/>
        </w:rPr>
        <w:t>necrosis</w:t>
      </w:r>
      <w:r>
        <w:rPr>
          <w:rFonts w:ascii="SimSun" w:hAnsi="SimSun" w:eastAsia="SimSun" w:cs="SimSun"/>
          <w:sz w:val="17"/>
          <w:szCs w:val="17"/>
          <w:color w:val="231F20"/>
          <w:spacing w:val="-40"/>
          <w:w w:val="89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实践中可以是胰腺的坏死、胰腺周围组织坏死，或二者皆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有；形态上可以是实性或半液化的，但影像学上无明确的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>界限</w:t>
      </w:r>
      <w:r>
        <w:rPr>
          <w:rFonts w:ascii="SimSun" w:hAnsi="SimSun" w:eastAsia="SimSun" w:cs="SimSun"/>
          <w:sz w:val="17"/>
          <w:szCs w:val="17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>。</w:t>
      </w:r>
      <w:r>
        <w:rPr>
          <w:rFonts w:ascii="SimSun" w:hAnsi="SimSun" w:eastAsia="SimSun" w:cs="SimSun"/>
          <w:sz w:val="17"/>
          <w:szCs w:val="17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>围胰腺坏死依据有无感染，再分为无</w:t>
      </w:r>
      <w:r>
        <w:rPr>
          <w:rFonts w:ascii="SimSun" w:hAnsi="SimSun" w:eastAsia="SimSun" w:cs="SimSun"/>
          <w:sz w:val="17"/>
          <w:szCs w:val="17"/>
          <w:color w:val="231F20"/>
          <w:spacing w:val="13"/>
        </w:rPr>
        <w:t>菌性和感染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>性。感染性围胰腺坏死的定义是</w:t>
      </w:r>
      <w:r>
        <w:rPr>
          <w:rFonts w:ascii="SimSun" w:hAnsi="SimSun" w:eastAsia="SimSun" w:cs="SimSun"/>
          <w:sz w:val="17"/>
          <w:szCs w:val="17"/>
          <w:color w:val="231F20"/>
        </w:rPr>
        <w:t>CT</w:t>
      </w:r>
      <w:r>
        <w:rPr>
          <w:rFonts w:ascii="SimSun" w:hAnsi="SimSun" w:eastAsia="SimSun" w:cs="SimSun"/>
          <w:sz w:val="17"/>
          <w:szCs w:val="17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>上可见坏死灶内有气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泡；影像学引导下穿刺获得阳性细菌培养结果；引流或坏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死组织清除时获得阳性培养结果。</w:t>
      </w:r>
    </w:p>
    <w:p>
      <w:pPr>
        <w:spacing w:line="308" w:lineRule="auto"/>
        <w:sectPr>
          <w:type w:val="continuous"/>
          <w:pgSz w:w="11794" w:h="16669"/>
          <w:pgMar w:top="1503" w:right="1165" w:bottom="0" w:left="407" w:header="1233" w:footer="0" w:gutter="0"/>
          <w:cols w:equalWidth="0" w:num="2">
            <w:col w:w="5510" w:space="100"/>
            <w:col w:w="461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39"/>
        <w:rPr/>
      </w:pPr>
      <w:r/>
    </w:p>
    <w:p>
      <w:pPr>
        <w:sectPr>
          <w:headerReference w:type="default" r:id="rId3"/>
          <w:pgSz w:w="11794" w:h="16669"/>
          <w:pgMar w:top="400" w:right="1184" w:bottom="0" w:left="407" w:header="0" w:footer="0" w:gutter="0"/>
          <w:cols w:equalWidth="0" w:num="1">
            <w:col w:w="10202" w:space="0"/>
          </w:cols>
        </w:sectPr>
        <w:rPr/>
      </w:pPr>
    </w:p>
    <w:p>
      <w:pPr>
        <w:ind w:left="828"/>
        <w:spacing w:before="36" w:line="26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4"/>
        </w:rPr>
        <w:t>中国实用外科杂志 2013年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4"/>
        </w:rPr>
        <w:t>1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4"/>
        </w:rPr>
        <w:t>月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4"/>
        </w:rPr>
        <w:t>33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4"/>
        </w:rPr>
        <w:t>卷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4"/>
        </w:rPr>
        <w:t>1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4"/>
        </w:rPr>
        <w:t>期</w:t>
      </w:r>
    </w:p>
    <w:p>
      <w:pPr>
        <w:ind w:left="813" w:right="172" w:firstLine="358"/>
        <w:spacing w:before="237" w:line="31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胰腺和胰周坏死的定义一直是有争议的部分，部分学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>者认为增强</w:t>
      </w:r>
      <w:r>
        <w:rPr>
          <w:rFonts w:ascii="SimSun" w:hAnsi="SimSun" w:eastAsia="SimSun" w:cs="SimSun"/>
          <w:sz w:val="17"/>
          <w:szCs w:val="17"/>
          <w:color w:val="231F20"/>
        </w:rPr>
        <w:t>CT</w:t>
      </w:r>
      <w:r>
        <w:rPr>
          <w:rFonts w:ascii="SimSun" w:hAnsi="SimSun" w:eastAsia="SimSun" w:cs="SimSun"/>
          <w:sz w:val="17"/>
          <w:szCs w:val="17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>影像上任何面积的无强化病灶就可以定义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为坏死，但有约</w:t>
      </w:r>
      <w:r>
        <w:rPr>
          <w:rFonts w:ascii="SimSun" w:hAnsi="SimSun" w:eastAsia="SimSun" w:cs="SimSun"/>
          <w:sz w:val="17"/>
          <w:szCs w:val="17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1/3</w:t>
      </w:r>
      <w:r>
        <w:rPr>
          <w:rFonts w:ascii="SimSun" w:hAnsi="SimSun" w:eastAsia="SimSun" w:cs="SimSun"/>
          <w:sz w:val="17"/>
          <w:szCs w:val="17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的受访学者认为无强化面积需＞30%才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可以诊断胰腺或胰周坏死。</w:t>
      </w:r>
      <w:r>
        <w:rPr>
          <w:rFonts w:ascii="SimSun" w:hAnsi="SimSun" w:eastAsia="SimSun" w:cs="SimSun"/>
          <w:sz w:val="17"/>
          <w:szCs w:val="17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由于</w:t>
      </w:r>
      <w:r>
        <w:rPr>
          <w:rFonts w:ascii="SimSun" w:hAnsi="SimSun" w:eastAsia="SimSun" w:cs="SimSun"/>
          <w:sz w:val="17"/>
          <w:szCs w:val="17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30%是一个主观标准，现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在的专家共识仍建议以“任何面积的无强化病灶</w:t>
      </w:r>
      <w:r>
        <w:rPr>
          <w:rFonts w:ascii="SimSun" w:hAnsi="SimSun" w:eastAsia="SimSun" w:cs="SimSun"/>
          <w:sz w:val="17"/>
          <w:szCs w:val="17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”来诊断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胰腺和胰周坏死，坏死病灶大小对预后的影响，应有待于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未来的前瞻性研究进行确定。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以坏死灶内出现气泡诊断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胰腺坏死感染特异性几近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100%</w:t>
      </w:r>
      <w:r>
        <w:rPr>
          <w:rFonts w:ascii="SimSun" w:hAnsi="SimSun" w:eastAsia="SimSun" w:cs="SimSun"/>
          <w:sz w:val="8"/>
          <w:szCs w:val="8"/>
          <w:color w:val="231F20"/>
          <w:spacing w:val="9"/>
          <w:position w:val="7"/>
        </w:rPr>
        <w:t>［4</w:t>
      </w:r>
      <w:r>
        <w:rPr>
          <w:rFonts w:ascii="SimSun" w:hAnsi="SimSun" w:eastAsia="SimSun" w:cs="SimSun"/>
          <w:sz w:val="8"/>
          <w:szCs w:val="8"/>
          <w:color w:val="231F20"/>
          <w:spacing w:val="7"/>
          <w:position w:val="7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25"/>
          <w:w w:val="62"/>
        </w:rPr>
        <w:t>，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但个别情况下，如坏死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灶与胃肠道相通，也会出现气泡。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目前有一些临床生化指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1"/>
        </w:rPr>
        <w:t>标在诊断胰腺感染时已显示出很好的前景，如降钙素原，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荟萃分析结果显示降钙素原诊断胰腺感染的特异性在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83%~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91%</w:t>
      </w:r>
      <w:r>
        <w:rPr>
          <w:rFonts w:ascii="SimSun" w:hAnsi="SimSun" w:eastAsia="SimSun" w:cs="SimSun"/>
          <w:sz w:val="8"/>
          <w:szCs w:val="8"/>
          <w:color w:val="231F20"/>
          <w:spacing w:val="5"/>
          <w:position w:val="7"/>
        </w:rPr>
        <w:t>［5</w:t>
      </w:r>
      <w:r>
        <w:rPr>
          <w:rFonts w:ascii="SimSun" w:hAnsi="SimSun" w:eastAsia="SimSun" w:cs="SimSun"/>
          <w:sz w:val="8"/>
          <w:szCs w:val="8"/>
          <w:color w:val="231F20"/>
          <w:spacing w:val="-4"/>
          <w:position w:val="7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25"/>
          <w:w w:val="61"/>
        </w:rPr>
        <w:t>，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结合其他指标，应能显著提高腹腔感染的诊断率。</w:t>
      </w:r>
    </w:p>
    <w:p>
      <w:pPr>
        <w:ind w:left="809" w:right="171" w:firstLine="359"/>
        <w:spacing w:before="3" w:line="30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全身影响因素指由急性胰腺炎引起的远处器官功能异</w:t>
      </w:r>
      <w:r>
        <w:rPr>
          <w:rFonts w:ascii="SimSun" w:hAnsi="SimSun" w:eastAsia="SimSun" w:cs="SimSun"/>
          <w:sz w:val="17"/>
          <w:szCs w:val="17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常，也称器官功能衰竭（organ</w:t>
      </w:r>
      <w:r>
        <w:rPr>
          <w:rFonts w:ascii="SimSun" w:hAnsi="SimSun" w:eastAsia="SimSun" w:cs="SimSun"/>
          <w:sz w:val="17"/>
          <w:szCs w:val="17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failure）。</w:t>
      </w:r>
      <w:r>
        <w:rPr>
          <w:rFonts w:ascii="SimSun" w:hAnsi="SimSun" w:eastAsia="SimSun" w:cs="SimSun"/>
          <w:sz w:val="17"/>
          <w:szCs w:val="17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对此前没</w:t>
      </w:r>
      <w:r>
        <w:rPr>
          <w:rFonts w:ascii="SimSun" w:hAnsi="SimSun" w:eastAsia="SimSun" w:cs="SimSun"/>
          <w:sz w:val="17"/>
          <w:szCs w:val="17"/>
          <w:color w:val="231F20"/>
          <w:spacing w:val="-7"/>
        </w:rPr>
        <w:t>有器官功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能异常的病人，器官功能衰竭定义为心血管、肾和呼吸系</w:t>
      </w:r>
      <w:r>
        <w:rPr>
          <w:rFonts w:ascii="SimSun" w:hAnsi="SimSun" w:eastAsia="SimSun" w:cs="SimSun"/>
          <w:sz w:val="17"/>
          <w:szCs w:val="17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统序贯器官衰竭估计（</w:t>
      </w:r>
      <w:r>
        <w:rPr>
          <w:rFonts w:ascii="SimSun" w:hAnsi="SimSun" w:eastAsia="SimSun" w:cs="SimSun"/>
          <w:sz w:val="17"/>
          <w:szCs w:val="17"/>
          <w:color w:val="231F20"/>
        </w:rPr>
        <w:t>SOFA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）评分＞2</w:t>
      </w:r>
      <w:r>
        <w:rPr>
          <w:rFonts w:ascii="SimSun" w:hAnsi="SimSun" w:eastAsia="SimSun" w:cs="SimSun"/>
          <w:sz w:val="17"/>
          <w:szCs w:val="17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分</w:t>
      </w:r>
      <w:r>
        <w:rPr>
          <w:rFonts w:ascii="SimSun" w:hAnsi="SimSun" w:eastAsia="SimSun" w:cs="SimSun"/>
          <w:sz w:val="8"/>
          <w:szCs w:val="8"/>
          <w:color w:val="231F20"/>
          <w:spacing w:val="7"/>
          <w:position w:val="7"/>
        </w:rPr>
        <w:t>［6</w:t>
      </w:r>
      <w:r>
        <w:rPr>
          <w:rFonts w:ascii="SimSun" w:hAnsi="SimSun" w:eastAsia="SimSun" w:cs="SimSun"/>
          <w:sz w:val="8"/>
          <w:szCs w:val="8"/>
          <w:color w:val="231F20"/>
          <w:spacing w:val="9"/>
          <w:position w:val="7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27"/>
          <w:w w:val="65"/>
        </w:rPr>
        <w:t>；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或器官功能指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标超出以下阈值。（1）心血管系统：需要正性肌力药物</w:t>
      </w:r>
      <w:r>
        <w:rPr>
          <w:rFonts w:ascii="SimSun" w:hAnsi="SimSun" w:eastAsia="SimSun" w:cs="SimSun"/>
          <w:sz w:val="17"/>
          <w:szCs w:val="17"/>
          <w:color w:val="231F20"/>
          <w:spacing w:val="-37"/>
          <w:w w:val="80"/>
        </w:rPr>
        <w:t>；（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2）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肾功能：肌酐≥ 171</w:t>
      </w:r>
      <w:r>
        <w:rPr>
          <w:rFonts w:ascii="SimSun" w:hAnsi="SimSun" w:eastAsia="SimSun" w:cs="SimSun"/>
          <w:sz w:val="17"/>
          <w:szCs w:val="17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μmol/L</w:t>
      </w:r>
      <w:r>
        <w:rPr>
          <w:rFonts w:ascii="SimSun" w:hAnsi="SimSun" w:eastAsia="SimSun" w:cs="SimSun"/>
          <w:sz w:val="17"/>
          <w:szCs w:val="17"/>
          <w:color w:val="231F20"/>
          <w:spacing w:val="-35"/>
          <w:w w:val="77"/>
        </w:rPr>
        <w:t>；（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3）肺功能：PaO</w:t>
      </w:r>
      <w:r>
        <w:rPr>
          <w:rFonts w:ascii="SimSun" w:hAnsi="SimSun" w:eastAsia="SimSun" w:cs="SimSun"/>
          <w:sz w:val="8"/>
          <w:szCs w:val="8"/>
          <w:color w:val="231F20"/>
          <w:spacing w:val="-2"/>
          <w:position w:val="-1"/>
        </w:rPr>
        <w:t>2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/Fi</w:t>
      </w:r>
      <w:r>
        <w:rPr>
          <w:rFonts w:ascii="SimSun" w:hAnsi="SimSun" w:eastAsia="SimSun" w:cs="SimSun"/>
          <w:sz w:val="17"/>
          <w:szCs w:val="17"/>
          <w:color w:val="231F20"/>
          <w:spacing w:val="-7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O</w:t>
      </w:r>
      <w:r>
        <w:rPr>
          <w:rFonts w:ascii="SimSun" w:hAnsi="SimSun" w:eastAsia="SimSun" w:cs="SimSun"/>
          <w:sz w:val="8"/>
          <w:szCs w:val="8"/>
          <w:color w:val="231F20"/>
          <w:spacing w:val="-2"/>
          <w:position w:val="-1"/>
        </w:rPr>
        <w:t>2</w:t>
      </w:r>
      <w:r>
        <w:rPr>
          <w:rFonts w:ascii="SimSun" w:hAnsi="SimSun" w:eastAsia="SimSun" w:cs="SimSun"/>
          <w:sz w:val="8"/>
          <w:szCs w:val="8"/>
          <w:color w:val="231F20"/>
          <w:spacing w:val="-21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≤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300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mmHg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>（1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mmHg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>=0.133</w:t>
      </w:r>
      <w:r>
        <w:rPr>
          <w:rFonts w:ascii="SimSun" w:hAnsi="SimSun" w:eastAsia="SimSun" w:cs="SimSun"/>
          <w:sz w:val="17"/>
          <w:szCs w:val="17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kPa</w:t>
      </w:r>
      <w:r>
        <w:rPr>
          <w:rFonts w:ascii="SimSun" w:hAnsi="SimSun" w:eastAsia="SimSun" w:cs="SimSun"/>
          <w:sz w:val="17"/>
          <w:szCs w:val="17"/>
          <w:color w:val="231F20"/>
          <w:spacing w:val="-38"/>
          <w:w w:val="82"/>
        </w:rPr>
        <w:t>）；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>且持续＞24</w:t>
      </w:r>
      <w:r>
        <w:rPr>
          <w:rFonts w:ascii="SimSun" w:hAnsi="SimSun" w:eastAsia="SimSun" w:cs="SimSun"/>
          <w:sz w:val="17"/>
          <w:szCs w:val="17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>h。器官功能衰竭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持续＞48</w:t>
      </w:r>
      <w:r>
        <w:rPr>
          <w:rFonts w:ascii="SimSun" w:hAnsi="SimSun" w:eastAsia="SimSun" w:cs="SimSun"/>
          <w:sz w:val="17"/>
          <w:szCs w:val="17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h称为持续性器官功能衰竭；反之则是暂时性器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官功能衰竭。</w:t>
      </w:r>
    </w:p>
    <w:p>
      <w:pPr>
        <w:ind w:left="814" w:right="217" w:firstLine="378"/>
        <w:spacing w:before="38" w:line="31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曾有学者提出器官功能衰竭发生的时间也是急性胰腺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炎一个重要预后因素，但现有的循证医学证据并不完全支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持这一观点；相反更多的临床研究发现器官功能衰竭持续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的时间和可逆转性是急性胰腺炎预后的重要因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素</w:t>
      </w:r>
      <w:r>
        <w:rPr>
          <w:rFonts w:ascii="SimSun" w:hAnsi="SimSun" w:eastAsia="SimSun" w:cs="SimSun"/>
          <w:sz w:val="8"/>
          <w:szCs w:val="8"/>
          <w:color w:val="231F20"/>
          <w:spacing w:val="7"/>
          <w:position w:val="7"/>
        </w:rPr>
        <w:t>［7］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。因此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7"/>
        </w:rPr>
        <w:t>这次的专家共识未考虑器官功能衰竭发生时间对预后的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影响，相应地，爆发性胰腺炎这一分级也未列入。</w:t>
      </w:r>
    </w:p>
    <w:p>
      <w:pPr>
        <w:ind w:left="813" w:right="217" w:firstLine="369"/>
        <w:spacing w:before="6" w:line="31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既往关于重症胰腺炎的定义中，对功能衰竭涉及的器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官系统未加限制，而是依据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Ranson</w:t>
      </w:r>
      <w:r>
        <w:rPr>
          <w:rFonts w:ascii="SimSun" w:hAnsi="SimSun" w:eastAsia="SimSun" w:cs="SimSun"/>
          <w:sz w:val="17"/>
          <w:szCs w:val="17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评分、急性生理学与慢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7"/>
        </w:rPr>
        <w:t>性健康状况评分Ⅱ（</w:t>
      </w:r>
      <w:r>
        <w:rPr>
          <w:rFonts w:ascii="SimSun" w:hAnsi="SimSun" w:eastAsia="SimSun" w:cs="SimSun"/>
          <w:sz w:val="17"/>
          <w:szCs w:val="17"/>
          <w:color w:val="231F20"/>
        </w:rPr>
        <w:t>APACHE</w:t>
      </w:r>
      <w:r>
        <w:rPr>
          <w:rFonts w:ascii="SimSun" w:hAnsi="SimSun" w:eastAsia="SimSun" w:cs="SimSun"/>
          <w:sz w:val="17"/>
          <w:szCs w:val="17"/>
          <w:color w:val="231F20"/>
          <w:spacing w:val="17"/>
        </w:rPr>
        <w:t xml:space="preserve"> Ⅱ)或</w:t>
      </w:r>
      <w:r>
        <w:rPr>
          <w:rFonts w:ascii="SimSun" w:hAnsi="SimSun" w:eastAsia="SimSun" w:cs="SimSun"/>
          <w:sz w:val="17"/>
          <w:szCs w:val="17"/>
          <w:color w:val="231F20"/>
        </w:rPr>
        <w:t>CT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7"/>
        </w:rPr>
        <w:t>评分的分值超过某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一阈值来定义器官功能衰竭。依据文献［8］报告，大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部分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胰腺病专家建议将心血管、肾脏和呼吸系统功能衰竭作为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影响胰腺炎预后的主要因素；但对器官功能衰竭是联合评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估、还是以每个器官主要功能指标的上限单独考虑，专家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的意见不一致。</w:t>
      </w:r>
      <w:r>
        <w:rPr>
          <w:rFonts w:ascii="SimSun" w:hAnsi="SimSun" w:eastAsia="SimSun" w:cs="SimSun"/>
          <w:sz w:val="17"/>
          <w:szCs w:val="17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因此，在最后的共识中，对器官功能衰竭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定义的两种标准（</w:t>
      </w:r>
      <w:r>
        <w:rPr>
          <w:rFonts w:ascii="SimSun" w:hAnsi="SimSun" w:eastAsia="SimSun" w:cs="SimSun"/>
          <w:sz w:val="17"/>
          <w:szCs w:val="17"/>
          <w:color w:val="231F20"/>
        </w:rPr>
        <w:t>SOFA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评分和功能指标阈值）均予列出。</w:t>
      </w:r>
    </w:p>
    <w:p>
      <w:pPr>
        <w:ind w:left="761" w:right="158" w:firstLine="412"/>
        <w:spacing w:before="1" w:line="30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依据同一时段内局部和全身影响因素的组合，将急性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胰</w:t>
      </w:r>
      <w:r>
        <w:rPr>
          <w:rFonts w:ascii="SimSun" w:hAnsi="SimSun" w:eastAsia="SimSun" w:cs="SimSun"/>
          <w:sz w:val="17"/>
          <w:szCs w:val="17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腺</w:t>
      </w:r>
      <w:r>
        <w:rPr>
          <w:rFonts w:ascii="SimSun" w:hAnsi="SimSun" w:eastAsia="SimSun" w:cs="SimSun"/>
          <w:sz w:val="17"/>
          <w:szCs w:val="17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炎</w:t>
      </w:r>
      <w:r>
        <w:rPr>
          <w:rFonts w:ascii="SimSun" w:hAnsi="SimSun" w:eastAsia="SimSun" w:cs="SimSun"/>
          <w:sz w:val="17"/>
          <w:szCs w:val="17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按</w:t>
      </w:r>
      <w:r>
        <w:rPr>
          <w:rFonts w:ascii="SimSun" w:hAnsi="SimSun" w:eastAsia="SimSun" w:cs="SimSun"/>
          <w:sz w:val="17"/>
          <w:szCs w:val="17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照</w:t>
      </w:r>
      <w:r>
        <w:rPr>
          <w:rFonts w:ascii="SimSun" w:hAnsi="SimSun" w:eastAsia="SimSun" w:cs="SimSun"/>
          <w:sz w:val="17"/>
          <w:szCs w:val="17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病</w:t>
      </w:r>
      <w:r>
        <w:rPr>
          <w:rFonts w:ascii="SimSun" w:hAnsi="SimSun" w:eastAsia="SimSun" w:cs="SimSun"/>
          <w:sz w:val="17"/>
          <w:szCs w:val="17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情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的</w:t>
      </w:r>
      <w:r>
        <w:rPr>
          <w:rFonts w:ascii="SimSun" w:hAnsi="SimSun" w:eastAsia="SimSun" w:cs="SimSun"/>
          <w:sz w:val="17"/>
          <w:szCs w:val="17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轻</w:t>
      </w:r>
      <w:r>
        <w:rPr>
          <w:rFonts w:ascii="SimSun" w:hAnsi="SimSun" w:eastAsia="SimSun" w:cs="SimSun"/>
          <w:sz w:val="17"/>
          <w:szCs w:val="17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重</w:t>
      </w:r>
      <w:r>
        <w:rPr>
          <w:rFonts w:ascii="SimSun" w:hAnsi="SimSun" w:eastAsia="SimSun" w:cs="SimSun"/>
          <w:sz w:val="17"/>
          <w:szCs w:val="17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分</w:t>
      </w:r>
      <w:r>
        <w:rPr>
          <w:rFonts w:ascii="SimSun" w:hAnsi="SimSun" w:eastAsia="SimSun" w:cs="SimSun"/>
          <w:sz w:val="17"/>
          <w:szCs w:val="17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为</w:t>
      </w:r>
      <w:r>
        <w:rPr>
          <w:rFonts w:ascii="SimSun" w:hAnsi="SimSun" w:eastAsia="SimSun" w:cs="SimSun"/>
          <w:sz w:val="17"/>
          <w:szCs w:val="17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四</w:t>
      </w:r>
      <w:r>
        <w:rPr>
          <w:rFonts w:ascii="SimSun" w:hAnsi="SimSun" w:eastAsia="SimSun" w:cs="SimSun"/>
          <w:sz w:val="17"/>
          <w:szCs w:val="17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级：轻</w:t>
      </w:r>
      <w:r>
        <w:rPr>
          <w:rFonts w:ascii="SimSun" w:hAnsi="SimSun" w:eastAsia="SimSun" w:cs="SimSun"/>
          <w:sz w:val="17"/>
          <w:szCs w:val="17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度（mild</w:t>
      </w:r>
      <w:r>
        <w:rPr>
          <w:rFonts w:ascii="SimSun" w:hAnsi="SimSun" w:eastAsia="SimSun" w:cs="SimSun"/>
          <w:sz w:val="17"/>
          <w:szCs w:val="17"/>
          <w:color w:val="231F20"/>
          <w:spacing w:val="-41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中</w:t>
      </w:r>
      <w:r>
        <w:rPr>
          <w:rFonts w:ascii="SimSun" w:hAnsi="SimSun" w:eastAsia="SimSun" w:cs="SimSun"/>
          <w:sz w:val="17"/>
          <w:szCs w:val="17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度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7"/>
        </w:rPr>
        <w:t>（moderate）、重度（severe）和危重（critic</w:t>
      </w:r>
      <w:r>
        <w:rPr>
          <w:rFonts w:ascii="SimSun" w:hAnsi="SimSun" w:eastAsia="SimSun" w:cs="SimSun"/>
          <w:sz w:val="17"/>
          <w:szCs w:val="17"/>
          <w:color w:val="231F20"/>
          <w:spacing w:val="-18"/>
        </w:rPr>
        <w:t>al</w:t>
      </w:r>
      <w:r>
        <w:rPr>
          <w:rFonts w:ascii="SimSun" w:hAnsi="SimSun" w:eastAsia="SimSun" w:cs="SimSun"/>
          <w:sz w:val="17"/>
          <w:szCs w:val="17"/>
          <w:color w:val="231F20"/>
          <w:spacing w:val="-34"/>
          <w:w w:val="70"/>
        </w:rPr>
        <w:t>）（</w:t>
      </w:r>
      <w:r>
        <w:rPr>
          <w:rFonts w:ascii="SimSun" w:hAnsi="SimSun" w:eastAsia="SimSun" w:cs="SimSun"/>
          <w:sz w:val="17"/>
          <w:szCs w:val="17"/>
          <w:color w:val="231F20"/>
          <w:spacing w:val="-18"/>
        </w:rPr>
        <w:t>表</w:t>
      </w:r>
      <w:r>
        <w:rPr>
          <w:rFonts w:ascii="SimSun" w:hAnsi="SimSun" w:eastAsia="SimSun" w:cs="SimSun"/>
          <w:sz w:val="17"/>
          <w:szCs w:val="17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8"/>
        </w:rPr>
        <w:t>1）。</w:t>
      </w:r>
      <w:r>
        <w:rPr>
          <w:rFonts w:ascii="SimSun" w:hAnsi="SimSun" w:eastAsia="SimSun" w:cs="SimSun"/>
          <w:sz w:val="17"/>
          <w:szCs w:val="17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8"/>
        </w:rPr>
        <w:t>从表</w:t>
      </w:r>
      <w:r>
        <w:rPr>
          <w:rFonts w:ascii="SimSun" w:hAnsi="SimSun" w:eastAsia="SimSun" w:cs="SimSun"/>
          <w:sz w:val="17"/>
          <w:szCs w:val="17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8"/>
        </w:rPr>
        <w:t>1可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1"/>
        </w:rPr>
        <w:t>以发现，重度急性胰腺炎指存在感染性围胰腺坏死或持续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1"/>
        </w:rPr>
        <w:t>性器官功能衰竭；危重急性胰腺炎指同时存在感染性围胰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1"/>
        </w:rPr>
        <w:t>腺坏死和持续性器官功能衰竭。粗略地看，轻度和中度大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1"/>
        </w:rPr>
        <w:t>致相当于原来的轻症急性胰腺炎；重度和危重大致相当于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0"/>
        </w:rPr>
        <w:t>原来的重症胰腺炎</w:t>
      </w:r>
      <w:r>
        <w:rPr>
          <w:rFonts w:ascii="SimSun" w:hAnsi="SimSun" w:eastAsia="SimSun" w:cs="SimSun"/>
          <w:sz w:val="17"/>
          <w:szCs w:val="17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0"/>
        </w:rPr>
        <w:t>。新的分级方法有了更细致的分层。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1" w:line="178" w:lineRule="exact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27"/>
          <w:w w:val="111"/>
        </w:rPr>
        <w:t>·5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27"/>
          <w:w w:val="111"/>
        </w:rPr>
        <w:t>·</w:t>
      </w:r>
    </w:p>
    <w:p>
      <w:pPr>
        <w:ind w:left="267"/>
        <w:spacing w:before="236" w:line="193" w:lineRule="auto"/>
        <w:outlineLvl w:val="0"/>
        <w:rPr>
          <w:rFonts w:ascii="SimSun" w:hAnsi="SimSun" w:eastAsia="SimSun" w:cs="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1  按照影响因素确定的急性胰腺炎严重程度分级</w:t>
      </w:r>
    </w:p>
    <w:tbl>
      <w:tblPr>
        <w:tblStyle w:val="TableNormal"/>
        <w:tblW w:w="4492" w:type="dxa"/>
        <w:tblInd w:w="4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52"/>
        <w:gridCol w:w="728"/>
        <w:gridCol w:w="853"/>
        <w:gridCol w:w="788"/>
        <w:gridCol w:w="971"/>
      </w:tblGrid>
      <w:tr>
        <w:trPr>
          <w:trHeight w:val="248" w:hRule="atLeast"/>
        </w:trPr>
        <w:tc>
          <w:tcPr>
            <w:tcW w:w="115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72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8"/>
              <w:spacing w:before="49" w:line="219" w:lineRule="auto"/>
              <w:rPr/>
            </w:pPr>
            <w:r>
              <w:rPr>
                <w:color w:val="231F20"/>
                <w:spacing w:val="6"/>
              </w:rPr>
              <w:t>轻度</w:t>
            </w:r>
          </w:p>
        </w:tc>
        <w:tc>
          <w:tcPr>
            <w:tcW w:w="85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77"/>
              <w:spacing w:before="49" w:line="219" w:lineRule="auto"/>
              <w:rPr/>
            </w:pPr>
            <w:r>
              <w:rPr>
                <w:color w:val="231F20"/>
                <w:spacing w:val="-1"/>
              </w:rPr>
              <w:t>中度</w:t>
            </w:r>
          </w:p>
        </w:tc>
        <w:tc>
          <w:tcPr>
            <w:tcW w:w="78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2"/>
              <w:spacing w:before="49" w:line="219" w:lineRule="auto"/>
              <w:rPr/>
            </w:pPr>
            <w:r>
              <w:rPr>
                <w:color w:val="231F20"/>
                <w:spacing w:val="6"/>
              </w:rPr>
              <w:t>重度</w:t>
            </w:r>
          </w:p>
        </w:tc>
        <w:tc>
          <w:tcPr>
            <w:tcW w:w="97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8"/>
              <w:spacing w:before="49" w:line="219" w:lineRule="auto"/>
              <w:rPr/>
            </w:pPr>
            <w:r>
              <w:rPr>
                <w:color w:val="231F20"/>
                <w:spacing w:val="5"/>
              </w:rPr>
              <w:t>危重</w:t>
            </w:r>
          </w:p>
        </w:tc>
      </w:tr>
      <w:tr>
        <w:trPr>
          <w:trHeight w:val="810" w:hRule="atLeast"/>
        </w:trPr>
        <w:tc>
          <w:tcPr>
            <w:tcW w:w="1152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5"/>
              <w:spacing w:before="65" w:line="218" w:lineRule="auto"/>
              <w:rPr/>
            </w:pPr>
            <w:r>
              <w:rPr>
                <w:color w:val="231F20"/>
                <w:spacing w:val="5"/>
              </w:rPr>
              <w:t>围胰腺坏死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48" w:line="218" w:lineRule="auto"/>
              <w:rPr/>
            </w:pPr>
            <w:r>
              <w:rPr>
                <w:color w:val="231F20"/>
                <w:spacing w:val="8"/>
              </w:rPr>
              <w:t>器官功能衰竭</w:t>
            </w:r>
          </w:p>
        </w:tc>
        <w:tc>
          <w:tcPr>
            <w:tcW w:w="72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ind w:firstLine="270"/>
              <w:spacing w:before="71" w:line="695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101403" cy="441880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403" cy="44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26" w:right="113"/>
              <w:spacing w:before="73" w:line="298" w:lineRule="auto"/>
              <w:jc w:val="both"/>
              <w:rPr/>
            </w:pPr>
            <w:r>
              <w:rPr>
                <w:color w:val="231F20"/>
                <w:spacing w:val="7"/>
              </w:rPr>
              <w:t>无菌性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2"/>
              </w:rPr>
              <w:t>和（或）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暂时性</w:t>
            </w:r>
          </w:p>
        </w:tc>
        <w:tc>
          <w:tcPr>
            <w:tcW w:w="78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59"/>
              <w:spacing w:before="73" w:line="219" w:lineRule="auto"/>
              <w:rPr/>
            </w:pPr>
            <w:r>
              <w:rPr>
                <w:color w:val="231F20"/>
                <w:spacing w:val="7"/>
              </w:rPr>
              <w:t>感染性</w:t>
            </w:r>
          </w:p>
          <w:p>
            <w:pPr>
              <w:pStyle w:val="TableText"/>
              <w:ind w:left="317"/>
              <w:spacing w:before="92" w:line="216" w:lineRule="auto"/>
              <w:rPr/>
            </w:pPr>
            <w:r>
              <w:rPr>
                <w:color w:val="231F20"/>
                <w:spacing w:val="1"/>
              </w:rPr>
              <w:t>或</w:t>
            </w:r>
          </w:p>
          <w:p>
            <w:pPr>
              <w:pStyle w:val="TableText"/>
              <w:ind w:left="160"/>
              <w:spacing w:before="90" w:line="219" w:lineRule="auto"/>
              <w:rPr/>
            </w:pPr>
            <w:r>
              <w:rPr>
                <w:color w:val="231F20"/>
                <w:spacing w:val="7"/>
              </w:rPr>
              <w:t>持续性</w:t>
            </w:r>
          </w:p>
        </w:tc>
        <w:tc>
          <w:tcPr>
            <w:tcW w:w="971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61"/>
              <w:spacing w:before="73" w:line="219" w:lineRule="auto"/>
              <w:rPr/>
            </w:pPr>
            <w:r>
              <w:rPr>
                <w:color w:val="231F20"/>
                <w:spacing w:val="7"/>
              </w:rPr>
              <w:t>感染性</w:t>
            </w:r>
          </w:p>
          <w:p>
            <w:pPr>
              <w:pStyle w:val="TableText"/>
              <w:ind w:left="319"/>
              <w:spacing w:before="93" w:line="214" w:lineRule="auto"/>
              <w:rPr/>
            </w:pPr>
            <w:r>
              <w:rPr>
                <w:color w:val="231F20"/>
                <w:spacing w:val="3"/>
              </w:rPr>
              <w:t>和</w:t>
            </w:r>
          </w:p>
          <w:p>
            <w:pPr>
              <w:pStyle w:val="TableText"/>
              <w:ind w:left="163"/>
              <w:spacing w:before="90" w:line="219" w:lineRule="auto"/>
              <w:rPr/>
            </w:pPr>
            <w:r>
              <w:rPr>
                <w:color w:val="231F20"/>
                <w:spacing w:val="7"/>
              </w:rPr>
              <w:t>持续性</w:t>
            </w:r>
          </w:p>
        </w:tc>
      </w:tr>
    </w:tbl>
    <w:p>
      <w:pPr>
        <w:pStyle w:val="BodyText"/>
        <w:spacing w:line="290" w:lineRule="auto"/>
        <w:rPr>
          <w:sz w:val="21"/>
        </w:rPr>
      </w:pPr>
      <w:r/>
    </w:p>
    <w:p>
      <w:pPr>
        <w:ind w:left="48" w:right="40" w:firstLine="14"/>
        <w:spacing w:before="55" w:line="30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因此，每一分级内病人的基线特征将更趋于一致，从而有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利于细化治疗方法；相应地临床研究也能获得更准确的数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据。</w:t>
      </w:r>
    </w:p>
    <w:p>
      <w:pPr>
        <w:ind w:left="49" w:right="40" w:firstLine="357"/>
        <w:spacing w:before="25" w:line="31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该分级系统的特点是依据临床现实的危险因素确定急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性胰腺炎的严重程度，而且这些危险因素都是预后的决定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因素，而非一些生理和生化指标。发布专家共识的出发点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7"/>
        </w:rPr>
        <w:t>具有临床可操作性，期望能与胰腺炎的真实严重程度吻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合。但这个新的分级推出基础是大量的回顾性分析，远非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完美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。要获得广大临床医生的认可，尚需前瞻性研究验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证，相信经过一段时间的临床验证，结合了新的循证医学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证据后，该共识可能会有进一步修订。</w:t>
      </w:r>
    </w:p>
    <w:p>
      <w:pPr>
        <w:ind w:left="50"/>
        <w:spacing w:before="130" w:line="21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参  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献</w:t>
      </w:r>
    </w:p>
    <w:p>
      <w:pPr>
        <w:ind w:left="452" w:right="40" w:hanging="452"/>
        <w:spacing w:before="181" w:line="2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［1］</w:t>
      </w:r>
      <w:r>
        <w:rPr>
          <w:rFonts w:ascii="SimSun" w:hAnsi="SimSun" w:eastAsia="SimSun" w:cs="SimSun"/>
          <w:sz w:val="15"/>
          <w:szCs w:val="15"/>
          <w:color w:val="231F20"/>
          <w:spacing w:val="6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中华医学会消化病学分会胰腺疾病学组.中国急性胰腺炎诊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治指南（草案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w w:val="75"/>
        </w:rPr>
        <w:t>）［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J］.中华内科杂志，2004，43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（3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w w:val="75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236-238.</w:t>
      </w:r>
    </w:p>
    <w:p>
      <w:pPr>
        <w:ind w:left="450" w:right="40" w:hanging="450"/>
        <w:spacing w:before="56" w:line="2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［2］</w:t>
      </w:r>
      <w:r>
        <w:rPr>
          <w:rFonts w:ascii="SimSun" w:hAnsi="SimSun" w:eastAsia="SimSun" w:cs="SimSun"/>
          <w:sz w:val="15"/>
          <w:szCs w:val="15"/>
          <w:color w:val="231F20"/>
          <w:spacing w:val="6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中华医学会外科学分会胰腺外科学组.重症急性胰腺炎诊治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指南［J］.中华外科杂志，2007，45（11</w:t>
      </w:r>
      <w:r>
        <w:rPr>
          <w:rFonts w:ascii="SimSun" w:hAnsi="SimSun" w:eastAsia="SimSun" w:cs="SimSun"/>
          <w:sz w:val="15"/>
          <w:szCs w:val="15"/>
          <w:color w:val="231F20"/>
          <w:spacing w:val="-33"/>
          <w:w w:val="83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727-729.</w:t>
      </w:r>
    </w:p>
    <w:p>
      <w:pPr>
        <w:ind w:left="444" w:right="30" w:hanging="444"/>
        <w:spacing w:before="59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［3］</w:t>
      </w:r>
      <w:r>
        <w:rPr>
          <w:rFonts w:ascii="SimSun" w:hAnsi="SimSun" w:eastAsia="SimSun" w:cs="SimSun"/>
          <w:sz w:val="15"/>
          <w:szCs w:val="15"/>
          <w:color w:val="231F20"/>
          <w:spacing w:val="5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Dell</w:t>
      </w:r>
      <w:r>
        <w:rPr>
          <w:rFonts w:ascii="SimSun" w:hAnsi="SimSun" w:eastAsia="SimSun" w:cs="SimSun"/>
          <w:sz w:val="15"/>
          <w:szCs w:val="15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inger EP,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Forsmark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CE,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Layer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P,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 al.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Determinan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t-based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classification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acute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se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verity</w:t>
      </w:r>
      <w:r>
        <w:rPr>
          <w:rFonts w:ascii="SimSun" w:hAnsi="SimSun" w:eastAsia="SimSun" w:cs="SimSu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an</w:t>
      </w:r>
      <w:r>
        <w:rPr>
          <w:rFonts w:ascii="SimSun" w:hAnsi="SimSun" w:eastAsia="SimSun" w:cs="SimSun"/>
          <w:sz w:val="15"/>
          <w:szCs w:val="15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international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multidisciplinary</w:t>
      </w:r>
      <w:r>
        <w:rPr>
          <w:rFonts w:ascii="SimSun" w:hAnsi="SimSun" w:eastAsia="SimSun" w:cs="SimSun"/>
          <w:sz w:val="15"/>
          <w:szCs w:val="15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consultation［J］.  Ann</w:t>
      </w:r>
      <w:r>
        <w:rPr>
          <w:rFonts w:ascii="SimSun" w:hAnsi="SimSun" w:eastAsia="SimSun" w:cs="SimSun"/>
          <w:sz w:val="15"/>
          <w:szCs w:val="15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Surg,  2012,  256(6):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875-880.</w:t>
      </w:r>
    </w:p>
    <w:p>
      <w:pPr>
        <w:ind w:left="449" w:right="36" w:hanging="449"/>
        <w:spacing w:before="40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［4］</w:t>
      </w:r>
      <w:r>
        <w:rPr>
          <w:rFonts w:ascii="SimSun" w:hAnsi="SimSun" w:eastAsia="SimSun" w:cs="SimSun"/>
          <w:sz w:val="15"/>
          <w:szCs w:val="15"/>
          <w:color w:val="231F20"/>
          <w:spacing w:val="4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Bari</w:t>
      </w:r>
      <w:r>
        <w:rPr>
          <w:rFonts w:ascii="SimSun" w:hAnsi="SimSun" w:eastAsia="SimSun" w:cs="SimSun"/>
          <w:sz w:val="15"/>
          <w:szCs w:val="15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l NB,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Ralls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PW,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Wren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SM,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Does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infected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peripan-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creatic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fluid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collection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or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abscess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mandate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ope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ration?［J］.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2000,231(3):361-367.</w:t>
      </w:r>
    </w:p>
    <w:p>
      <w:pPr>
        <w:ind w:left="445" w:right="29" w:hanging="446"/>
        <w:spacing w:before="62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［5］</w:t>
      </w:r>
      <w:r>
        <w:rPr>
          <w:rFonts w:ascii="SimSun" w:hAnsi="SimSun" w:eastAsia="SimSun" w:cs="SimSun"/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Mofidi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R, Suttie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SA, Patil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PV,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al. The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value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proca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lcitonin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predicting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the severity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acute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pancr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eatiti</w:t>
      </w:r>
      <w:r>
        <w:rPr>
          <w:rFonts w:ascii="SimSun" w:hAnsi="SimSun" w:eastAsia="SimSun" w:cs="SimSun"/>
          <w:sz w:val="15"/>
          <w:szCs w:val="15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 and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development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infected</w:t>
      </w:r>
      <w:r>
        <w:rPr>
          <w:rFonts w:ascii="SimSun" w:hAnsi="SimSun" w:eastAsia="SimSun" w:cs="SimSun"/>
          <w:sz w:val="15"/>
          <w:szCs w:val="15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pancreatic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necro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sis: systematic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review［J］. Surgery,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2009,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146(1):72-81.</w:t>
      </w:r>
    </w:p>
    <w:p>
      <w:pPr>
        <w:ind w:left="449" w:right="29" w:hanging="449"/>
        <w:spacing w:before="56" w:line="31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［6］</w:t>
      </w:r>
      <w:r>
        <w:rPr>
          <w:rFonts w:ascii="SimSun" w:hAnsi="SimSun" w:eastAsia="SimSun" w:cs="SimSun"/>
          <w:sz w:val="15"/>
          <w:szCs w:val="15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Vincent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JL, Moreno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R, Takala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J, et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SOFA(sepsis-related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organ failure assessment)</w:t>
      </w:r>
      <w:r>
        <w:rPr>
          <w:rFonts w:ascii="SimSun" w:hAnsi="SimSun" w:eastAsia="SimSun" w:cs="SimSun"/>
          <w:sz w:val="15"/>
          <w:szCs w:val="15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score to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describe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organ dysfunction/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failure.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behalf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working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group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sepsis-related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prob-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lems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european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society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intensive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care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medicine［J］.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tensive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Care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Med,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1996,22(7):707-710.</w:t>
      </w:r>
    </w:p>
    <w:p>
      <w:pPr>
        <w:ind w:left="445" w:right="26" w:hanging="446"/>
        <w:spacing w:before="58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［7］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Le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Mee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Paye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F,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Sauvanet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A,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Incidence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reversibility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 organ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failure in the course of sterile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infected necro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tizing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pancreatitis［J］. Arch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200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1,136(12):1386-1390.</w:t>
      </w:r>
    </w:p>
    <w:p>
      <w:pPr>
        <w:ind w:left="447" w:right="40" w:hanging="448"/>
        <w:spacing w:before="62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［8］</w:t>
      </w:r>
      <w:r>
        <w:rPr>
          <w:rFonts w:ascii="SimSun" w:hAnsi="SimSun" w:eastAsia="SimSun" w:cs="SimSun"/>
          <w:sz w:val="15"/>
          <w:szCs w:val="15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Satoh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K, Shimosegawa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T, M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asamune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A, 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Research Commit-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tee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Intractable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Diseases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Pancreas. Nati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onwide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epidemi-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ological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survey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acute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n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Japan［J］. Pancreas,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2011,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40(4):503-507.</w:t>
      </w:r>
    </w:p>
    <w:p>
      <w:pPr>
        <w:spacing w:before="53" w:line="171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（</w:t>
      </w:r>
      <w:r>
        <w:rPr>
          <w:rFonts w:ascii="SimSun" w:hAnsi="SimSun" w:eastAsia="SimSun" w:cs="SimSun"/>
          <w:sz w:val="15"/>
          <w:szCs w:val="15"/>
          <w:color w:val="231F20"/>
        </w:rPr>
        <w:t>2012-10-12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收稿）</w:t>
      </w:r>
    </w:p>
    <w:sectPr>
      <w:type w:val="continuous"/>
      <w:pgSz w:w="11794" w:h="16669"/>
      <w:pgMar w:top="400" w:right="1184" w:bottom="0" w:left="407" w:header="0" w:footer="0" w:gutter="0"/>
      <w:cols w:equalWidth="0" w:num="2">
        <w:col w:w="5522" w:space="100"/>
        <w:col w:w="45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2"/>
      <w:spacing w:before="73" w:line="180" w:lineRule="exact"/>
      <w:rPr>
        <w:sz w:val="15"/>
        <w:szCs w:val="15"/>
      </w:rPr>
    </w:pPr>
    <w:r>
      <w:pict>
        <v:shape id="WordPictureWatermark2" style="position:absolute;margin-left:20.4pt;margin-top:806.033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4546684</wp:posOffset>
          </wp:positionH>
          <wp:positionV relativeFrom="page">
            <wp:posOffset>912725</wp:posOffset>
          </wp:positionV>
          <wp:extent cx="2163366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16336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4546687</wp:posOffset>
          </wp:positionH>
          <wp:positionV relativeFrom="page">
            <wp:posOffset>814298</wp:posOffset>
          </wp:positionV>
          <wp:extent cx="2163132" cy="101534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2163132" cy="101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color w:val="231F20"/>
        <w:spacing w:val="24"/>
        <w:w w:val="116"/>
      </w:rPr>
      <w:t>·4</w:t>
    </w:r>
    <w:r>
      <w:rPr>
        <w:sz w:val="15"/>
        <w:szCs w:val="15"/>
        <w:color w:val="231F20"/>
        <w:spacing w:val="40"/>
        <w:w w:val="101"/>
      </w:rPr>
      <w:t xml:space="preserve"> </w:t>
    </w:r>
    <w:r>
      <w:rPr>
        <w:sz w:val="15"/>
        <w:szCs w:val="15"/>
        <w:color w:val="231F20"/>
        <w:spacing w:val="24"/>
        <w:w w:val="116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" style="position:absolute;margin-left:20.4pt;margin-top:806.033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6.png"/><Relationship Id="rId3" Type="http://schemas.openxmlformats.org/officeDocument/2006/relationships/header" Target="header2.xml"/><Relationship Id="rId2" Type="http://schemas.openxmlformats.org/officeDocument/2006/relationships/image" Target="media/image4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2023-07-31T21:06:57Z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2025-10-28T21:38:25</vt:filetime>
  </property>
</Properties>
</file>