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60"/>
        <w:spacing w:before="318" w:line="201" w:lineRule="auto"/>
        <w:rPr>
          <w:sz w:val="19"/>
          <w:szCs w:val="1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462280</wp:posOffset>
            </wp:positionH>
            <wp:positionV relativeFrom="paragraph">
              <wp:posOffset>9243</wp:posOffset>
            </wp:positionV>
            <wp:extent cx="6118859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885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8"/>
        </w:rPr>
        <w:t>【</w:t>
      </w:r>
      <w:r>
        <w:rPr>
          <w:rFonts w:ascii="SimHei" w:hAnsi="SimHei" w:eastAsia="SimHei" w:cs="SimHei"/>
          <w:sz w:val="19"/>
          <w:szCs w:val="19"/>
          <w:color w:val="231F20"/>
          <w:spacing w:val="8"/>
        </w:rPr>
        <w:t>循证护理</w:t>
      </w:r>
      <w:r>
        <w:rPr>
          <w:sz w:val="19"/>
          <w:szCs w:val="19"/>
          <w:color w:val="231F20"/>
          <w:spacing w:val="8"/>
        </w:rPr>
        <w:t>】</w:t>
      </w:r>
    </w:p>
    <w:p>
      <w:pPr>
        <w:pStyle w:val="BodyText"/>
        <w:ind w:left="1497"/>
        <w:spacing w:before="26" w:line="177" w:lineRule="auto"/>
        <w:rPr>
          <w:sz w:val="36"/>
          <w:szCs w:val="36"/>
        </w:rPr>
      </w:pPr>
      <w:r>
        <w:rPr>
          <w:sz w:val="36"/>
          <w:szCs w:val="36"/>
          <w:color w:val="231F20"/>
          <w:spacing w:val="-8"/>
        </w:rPr>
        <w:t>轻、中重症急性胰腺炎患者早期经口进食的循证实践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648"/>
        <w:spacing w:before="82" w:line="201" w:lineRule="auto"/>
        <w:rPr>
          <w:sz w:val="11"/>
          <w:szCs w:val="11"/>
        </w:rPr>
      </w:pPr>
      <w:r>
        <w:rPr>
          <w:rFonts w:ascii="SimSun" w:hAnsi="SimSun" w:eastAsia="SimSun" w:cs="SimSun"/>
          <w:sz w:val="19"/>
          <w:szCs w:val="19"/>
          <w:color w:val="231F20"/>
          <w:position w:val="-1"/>
        </w:rPr>
        <w:t>曹春菊</w:t>
      </w:r>
      <w:r>
        <w:rPr>
          <w:rFonts w:ascii="SimSun" w:hAnsi="SimSun" w:eastAsia="SimSun" w:cs="SimSun"/>
          <w:sz w:val="19"/>
          <w:szCs w:val="19"/>
          <w:color w:val="231F20"/>
          <w:spacing w:val="-20"/>
          <w:position w:val="-1"/>
        </w:rPr>
        <w:t xml:space="preserve"> </w:t>
      </w:r>
      <w:r>
        <w:rPr>
          <w:sz w:val="11"/>
          <w:szCs w:val="11"/>
          <w:color w:val="231F20"/>
          <w:position w:val="5"/>
        </w:rPr>
        <w:t>1a</w:t>
      </w:r>
      <w:r>
        <w:rPr>
          <w:sz w:val="19"/>
          <w:szCs w:val="19"/>
          <w:color w:val="231F20"/>
          <w:spacing w:val="-10"/>
          <w:position w:val="-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0"/>
          <w:position w:val="-1"/>
        </w:rPr>
        <w:t>张兰芳</w:t>
      </w:r>
      <w:r>
        <w:rPr>
          <w:rFonts w:ascii="SimSun" w:hAnsi="SimSun" w:eastAsia="SimSun" w:cs="SimSun"/>
          <w:sz w:val="19"/>
          <w:szCs w:val="19"/>
          <w:color w:val="231F20"/>
          <w:spacing w:val="-33"/>
          <w:position w:val="-1"/>
        </w:rPr>
        <w:t xml:space="preserve"> </w:t>
      </w:r>
      <w:r>
        <w:rPr>
          <w:sz w:val="11"/>
          <w:szCs w:val="11"/>
          <w:color w:val="231F20"/>
          <w:spacing w:val="-10"/>
          <w:position w:val="5"/>
        </w:rPr>
        <w:t>2</w:t>
      </w:r>
      <w:r>
        <w:rPr>
          <w:sz w:val="19"/>
          <w:szCs w:val="19"/>
          <w:color w:val="231F20"/>
          <w:spacing w:val="-12"/>
          <w:position w:val="-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2"/>
          <w:position w:val="-1"/>
        </w:rPr>
        <w:t>王彩芳</w:t>
      </w:r>
      <w:r>
        <w:rPr>
          <w:rFonts w:ascii="SimSun" w:hAnsi="SimSun" w:eastAsia="SimSun" w:cs="SimSun"/>
          <w:sz w:val="19"/>
          <w:szCs w:val="19"/>
          <w:color w:val="231F20"/>
          <w:spacing w:val="-23"/>
          <w:position w:val="-1"/>
        </w:rPr>
        <w:t xml:space="preserve"> </w:t>
      </w:r>
      <w:r>
        <w:rPr>
          <w:sz w:val="11"/>
          <w:szCs w:val="11"/>
          <w:color w:val="231F20"/>
          <w:spacing w:val="-12"/>
          <w:position w:val="5"/>
        </w:rPr>
        <w:t>1b</w:t>
      </w:r>
      <w:r>
        <w:rPr>
          <w:sz w:val="19"/>
          <w:szCs w:val="19"/>
          <w:color w:val="231F20"/>
          <w:spacing w:val="-13"/>
          <w:position w:val="-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3"/>
          <w:position w:val="-1"/>
        </w:rPr>
        <w:t>罗丹华</w:t>
      </w:r>
      <w:r>
        <w:rPr>
          <w:rFonts w:ascii="SimSun" w:hAnsi="SimSun" w:eastAsia="SimSun" w:cs="SimSun"/>
          <w:sz w:val="19"/>
          <w:szCs w:val="19"/>
          <w:color w:val="231F20"/>
          <w:spacing w:val="-24"/>
          <w:position w:val="-1"/>
        </w:rPr>
        <w:t xml:space="preserve"> </w:t>
      </w:r>
      <w:r>
        <w:rPr>
          <w:sz w:val="11"/>
          <w:szCs w:val="11"/>
          <w:color w:val="231F20"/>
          <w:spacing w:val="-13"/>
          <w:position w:val="5"/>
        </w:rPr>
        <w:t>1b</w:t>
      </w:r>
      <w:r>
        <w:rPr>
          <w:sz w:val="19"/>
          <w:szCs w:val="19"/>
          <w:color w:val="231F20"/>
          <w:spacing w:val="-12"/>
          <w:position w:val="-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2"/>
          <w:position w:val="-1"/>
        </w:rPr>
        <w:t>徐秀平</w:t>
      </w:r>
      <w:r>
        <w:rPr>
          <w:rFonts w:ascii="SimSun" w:hAnsi="SimSun" w:eastAsia="SimSun" w:cs="SimSun"/>
          <w:sz w:val="19"/>
          <w:szCs w:val="19"/>
          <w:color w:val="231F20"/>
          <w:spacing w:val="-23"/>
          <w:position w:val="-1"/>
        </w:rPr>
        <w:t xml:space="preserve"> </w:t>
      </w:r>
      <w:r>
        <w:rPr>
          <w:sz w:val="11"/>
          <w:szCs w:val="11"/>
          <w:color w:val="231F20"/>
          <w:spacing w:val="-12"/>
          <w:position w:val="5"/>
        </w:rPr>
        <w:t>1a</w:t>
      </w:r>
      <w:r>
        <w:rPr>
          <w:sz w:val="19"/>
          <w:szCs w:val="19"/>
          <w:color w:val="231F20"/>
          <w:spacing w:val="-12"/>
          <w:position w:val="-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2"/>
          <w:position w:val="-1"/>
        </w:rPr>
        <w:t>庄聪琼</w:t>
      </w:r>
      <w:r>
        <w:rPr>
          <w:rFonts w:ascii="SimSun" w:hAnsi="SimSun" w:eastAsia="SimSun" w:cs="SimSun"/>
          <w:sz w:val="19"/>
          <w:szCs w:val="19"/>
          <w:color w:val="231F20"/>
          <w:spacing w:val="-23"/>
          <w:position w:val="-1"/>
        </w:rPr>
        <w:t xml:space="preserve"> </w:t>
      </w:r>
      <w:r>
        <w:rPr>
          <w:sz w:val="11"/>
          <w:szCs w:val="11"/>
          <w:color w:val="231F20"/>
          <w:spacing w:val="-12"/>
          <w:position w:val="5"/>
        </w:rPr>
        <w:t>1a</w:t>
      </w:r>
      <w:r>
        <w:rPr>
          <w:sz w:val="19"/>
          <w:szCs w:val="19"/>
          <w:color w:val="231F20"/>
          <w:spacing w:val="-12"/>
          <w:position w:val="-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2"/>
          <w:position w:val="-1"/>
        </w:rPr>
        <w:t>黄梅英</w:t>
      </w:r>
      <w:r>
        <w:rPr>
          <w:rFonts w:ascii="SimSun" w:hAnsi="SimSun" w:eastAsia="SimSun" w:cs="SimSun"/>
          <w:sz w:val="19"/>
          <w:szCs w:val="19"/>
          <w:color w:val="231F20"/>
          <w:spacing w:val="-24"/>
          <w:position w:val="-1"/>
        </w:rPr>
        <w:t xml:space="preserve"> </w:t>
      </w:r>
      <w:r>
        <w:rPr>
          <w:sz w:val="11"/>
          <w:szCs w:val="11"/>
          <w:color w:val="231F20"/>
          <w:spacing w:val="-12"/>
          <w:position w:val="5"/>
        </w:rPr>
        <w:t>1a</w:t>
      </w:r>
      <w:r>
        <w:rPr>
          <w:sz w:val="19"/>
          <w:szCs w:val="19"/>
          <w:color w:val="231F20"/>
          <w:spacing w:val="-12"/>
          <w:position w:val="-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2"/>
          <w:position w:val="-1"/>
        </w:rPr>
        <w:t>黄炜铃</w:t>
      </w:r>
      <w:r>
        <w:rPr>
          <w:rFonts w:ascii="SimSun" w:hAnsi="SimSun" w:eastAsia="SimSun" w:cs="SimSun"/>
          <w:sz w:val="19"/>
          <w:szCs w:val="19"/>
          <w:color w:val="231F20"/>
          <w:spacing w:val="-23"/>
          <w:position w:val="-1"/>
        </w:rPr>
        <w:t xml:space="preserve"> </w:t>
      </w:r>
      <w:r>
        <w:rPr>
          <w:sz w:val="11"/>
          <w:szCs w:val="11"/>
          <w:color w:val="231F20"/>
          <w:spacing w:val="-12"/>
          <w:position w:val="5"/>
        </w:rPr>
        <w:t>1a</w:t>
      </w:r>
      <w:r>
        <w:rPr>
          <w:sz w:val="19"/>
          <w:szCs w:val="19"/>
          <w:color w:val="231F20"/>
          <w:spacing w:val="-10"/>
          <w:position w:val="-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0"/>
          <w:position w:val="-1"/>
        </w:rPr>
        <w:t>李文英</w:t>
      </w:r>
      <w:r>
        <w:rPr>
          <w:rFonts w:ascii="SimSun" w:hAnsi="SimSun" w:eastAsia="SimSun" w:cs="SimSun"/>
          <w:sz w:val="19"/>
          <w:szCs w:val="19"/>
          <w:color w:val="231F20"/>
          <w:spacing w:val="-23"/>
          <w:position w:val="-1"/>
        </w:rPr>
        <w:t xml:space="preserve"> </w:t>
      </w:r>
      <w:r>
        <w:rPr>
          <w:sz w:val="11"/>
          <w:szCs w:val="11"/>
          <w:color w:val="231F20"/>
          <w:spacing w:val="-10"/>
          <w:position w:val="5"/>
        </w:rPr>
        <w:t>1a</w:t>
      </w:r>
    </w:p>
    <w:p>
      <w:pPr>
        <w:pStyle w:val="BodyText"/>
        <w:ind w:left="2200"/>
        <w:spacing w:before="41" w:line="198" w:lineRule="auto"/>
        <w:rPr>
          <w:sz w:val="16"/>
          <w:szCs w:val="16"/>
        </w:rPr>
      </w:pPr>
      <w:r>
        <w:rPr>
          <w:color w:val="231F20"/>
          <w:spacing w:val="2"/>
        </w:rPr>
        <w:t>[1.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广州医科大学附属第六医院</w:t>
      </w:r>
      <w:r>
        <w:rPr>
          <w:sz w:val="16"/>
          <w:szCs w:val="16"/>
          <w:color w:val="231F20"/>
          <w:spacing w:val="2"/>
        </w:rPr>
        <w:t>（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清远市人民医院</w:t>
      </w:r>
      <w:r>
        <w:rPr>
          <w:sz w:val="16"/>
          <w:szCs w:val="16"/>
          <w:color w:val="231F20"/>
          <w:spacing w:val="2"/>
        </w:rPr>
        <w:t>）</w:t>
      </w:r>
      <w:r>
        <w:rPr>
          <w:color w:val="231F20"/>
          <w:spacing w:val="2"/>
        </w:rPr>
        <w:t>a.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普外科</w:t>
      </w:r>
      <w:r>
        <w:rPr>
          <w:sz w:val="16"/>
          <w:szCs w:val="16"/>
          <w:color w:val="231F20"/>
          <w:spacing w:val="2"/>
        </w:rPr>
        <w:t>；</w:t>
      </w:r>
      <w:r>
        <w:rPr>
          <w:color w:val="231F20"/>
          <w:spacing w:val="2"/>
        </w:rPr>
        <w:t>b.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护理部</w:t>
      </w:r>
      <w:r>
        <w:rPr>
          <w:sz w:val="16"/>
          <w:szCs w:val="16"/>
          <w:color w:val="231F20"/>
          <w:spacing w:val="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广东 清远</w:t>
      </w:r>
      <w:r>
        <w:rPr>
          <w:rFonts w:ascii="SimSun" w:hAnsi="SimSun" w:eastAsia="SimSun" w:cs="SimSun"/>
          <w:sz w:val="16"/>
          <w:szCs w:val="16"/>
          <w:color w:val="231F20"/>
          <w:spacing w:val="-13"/>
        </w:rPr>
        <w:t xml:space="preserve"> </w:t>
      </w:r>
      <w:r>
        <w:rPr>
          <w:color w:val="231F20"/>
          <w:spacing w:val="2"/>
        </w:rPr>
        <w:t>511518</w:t>
      </w:r>
      <w:r>
        <w:rPr>
          <w:sz w:val="16"/>
          <w:szCs w:val="16"/>
          <w:color w:val="231F20"/>
          <w:spacing w:val="2"/>
        </w:rPr>
        <w:t>；</w:t>
      </w:r>
    </w:p>
    <w:p>
      <w:pPr>
        <w:pStyle w:val="BodyText"/>
        <w:ind w:left="3843"/>
        <w:spacing w:before="42" w:line="198" w:lineRule="auto"/>
        <w:rPr/>
      </w:pPr>
      <w:r>
        <w:rPr>
          <w:color w:val="231F20"/>
          <w:spacing w:val="3"/>
        </w:rPr>
        <w:t>2.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南方医科大学南方医院</w:t>
      </w:r>
      <w:r>
        <w:rPr>
          <w:sz w:val="16"/>
          <w:szCs w:val="16"/>
          <w:color w:val="231F20"/>
          <w:spacing w:val="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广东 广州</w:t>
      </w:r>
      <w:r>
        <w:rPr>
          <w:rFonts w:ascii="SimSun" w:hAnsi="SimSun" w:eastAsia="SimSun" w:cs="SimSun"/>
          <w:sz w:val="16"/>
          <w:szCs w:val="16"/>
          <w:color w:val="231F20"/>
          <w:spacing w:val="-22"/>
        </w:rPr>
        <w:t xml:space="preserve"> </w:t>
      </w:r>
      <w:r>
        <w:rPr>
          <w:color w:val="231F20"/>
          <w:spacing w:val="3"/>
        </w:rPr>
        <w:t>510400]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155" w:right="438" w:firstLine="357"/>
        <w:spacing w:before="73" w:line="252" w:lineRule="auto"/>
        <w:jc w:val="both"/>
        <w:rPr>
          <w:sz w:val="14"/>
          <w:szCs w:val="14"/>
        </w:rPr>
      </w:pPr>
      <w:r>
        <w:rPr>
          <w:color w:val="231F20"/>
          <w:spacing w:val="13"/>
        </w:rPr>
        <w:t>[</w:t>
      </w:r>
      <w:r>
        <w:rPr>
          <w:rFonts w:ascii="SimHei" w:hAnsi="SimHei" w:eastAsia="SimHei" w:cs="SimHei"/>
          <w:sz w:val="16"/>
          <w:szCs w:val="16"/>
          <w:color w:val="231F20"/>
          <w:spacing w:val="13"/>
        </w:rPr>
        <w:t>摘</w:t>
      </w:r>
      <w:r>
        <w:rPr>
          <w:rFonts w:ascii="SimHei" w:hAnsi="SimHei" w:eastAsia="SimHei" w:cs="SimHei"/>
          <w:sz w:val="16"/>
          <w:szCs w:val="16"/>
          <w:color w:val="231F20"/>
          <w:spacing w:val="1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3"/>
        </w:rPr>
        <w:t>要</w:t>
      </w:r>
      <w:r>
        <w:rPr>
          <w:color w:val="231F20"/>
          <w:spacing w:val="13"/>
        </w:rPr>
        <w:t>]</w:t>
      </w:r>
      <w:r>
        <w:rPr>
          <w:color w:val="231F20"/>
          <w:spacing w:val="55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13"/>
        </w:rPr>
        <w:t>目的</w:t>
      </w:r>
      <w:r>
        <w:rPr>
          <w:rFonts w:ascii="SimHei" w:hAnsi="SimHei" w:eastAsia="SimHei" w:cs="SimHei"/>
          <w:sz w:val="16"/>
          <w:szCs w:val="16"/>
          <w:color w:val="231F20"/>
          <w:spacing w:val="13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13"/>
        </w:rPr>
        <w:t>总结急性胰腺炎患者早期经口进食的最佳证据</w:t>
      </w:r>
      <w:r>
        <w:rPr>
          <w:sz w:val="14"/>
          <w:szCs w:val="14"/>
          <w:color w:val="231F20"/>
          <w:spacing w:val="13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3"/>
        </w:rPr>
        <w:t>并评价其应用效果</w:t>
      </w:r>
      <w:r>
        <w:rPr>
          <w:sz w:val="14"/>
          <w:szCs w:val="14"/>
          <w:color w:val="231F20"/>
          <w:spacing w:val="13"/>
        </w:rPr>
        <w:t>。</w:t>
      </w:r>
      <w:r>
        <w:rPr>
          <w:rFonts w:ascii="SimHei" w:hAnsi="SimHei" w:eastAsia="SimHei" w:cs="SimHei"/>
          <w:sz w:val="16"/>
          <w:szCs w:val="16"/>
          <w:color w:val="231F20"/>
          <w:spacing w:val="13"/>
        </w:rPr>
        <w:t>方法</w:t>
      </w:r>
      <w:r>
        <w:rPr>
          <w:rFonts w:ascii="SimHei" w:hAnsi="SimHei" w:eastAsia="SimHei" w:cs="SimHei"/>
          <w:sz w:val="16"/>
          <w:szCs w:val="16"/>
          <w:color w:val="231F20"/>
          <w:spacing w:val="13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13"/>
        </w:rPr>
        <w:t>通过对急性胰腺炎早期经口进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食相关主题的系统检索及质量评价</w:t>
      </w:r>
      <w:r>
        <w:rPr>
          <w:sz w:val="14"/>
          <w:szCs w:val="14"/>
          <w:color w:val="231F20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纳入指南 </w:t>
      </w:r>
      <w:r>
        <w:rPr>
          <w:sz w:val="15"/>
          <w:szCs w:val="15"/>
          <w:color w:val="231F20"/>
          <w:spacing w:val="9"/>
        </w:rPr>
        <w:t>10 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篇</w:t>
      </w:r>
      <w:r>
        <w:rPr>
          <w:sz w:val="15"/>
          <w:szCs w:val="15"/>
          <w:color w:val="231F20"/>
          <w:spacing w:val="9"/>
        </w:rPr>
        <w:t>,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专家共识</w:t>
      </w:r>
      <w:r>
        <w:rPr>
          <w:rFonts w:ascii="SimSun" w:hAnsi="SimSun" w:eastAsia="SimSun" w:cs="SimSun"/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9"/>
        </w:rPr>
        <w:t>4 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篇</w:t>
      </w:r>
      <w:r>
        <w:rPr>
          <w:sz w:val="14"/>
          <w:szCs w:val="14"/>
          <w:color w:val="231F20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系统评价和综述 </w:t>
      </w:r>
      <w:r>
        <w:rPr>
          <w:sz w:val="15"/>
          <w:szCs w:val="15"/>
          <w:color w:val="231F20"/>
          <w:spacing w:val="9"/>
        </w:rPr>
        <w:t>11 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篇</w:t>
      </w:r>
      <w:r>
        <w:rPr>
          <w:sz w:val="14"/>
          <w:szCs w:val="14"/>
          <w:color w:val="231F20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随机对照研</w:t>
      </w:r>
      <w:r>
        <w:rPr>
          <w:rFonts w:ascii="SimSun" w:hAnsi="SimSun" w:eastAsia="SimSun" w:cs="SimSun"/>
          <w:sz w:val="14"/>
          <w:szCs w:val="14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究</w:t>
      </w:r>
      <w:r>
        <w:rPr>
          <w:rFonts w:ascii="SimSun" w:hAnsi="SimSun" w:eastAsia="SimSun" w:cs="SimSun"/>
          <w:sz w:val="14"/>
          <w:szCs w:val="14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9"/>
        </w:rPr>
        <w:t>3 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篇</w:t>
      </w:r>
      <w:r>
        <w:rPr>
          <w:sz w:val="14"/>
          <w:szCs w:val="14"/>
          <w:color w:val="231F20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总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结</w:t>
      </w:r>
      <w:r>
        <w:rPr>
          <w:rFonts w:ascii="SimSun" w:hAnsi="SimSun" w:eastAsia="SimSun" w:cs="SimSun"/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8"/>
        </w:rPr>
        <w:t>9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条最佳证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据</w:t>
      </w:r>
      <w:r>
        <w:rPr>
          <w:sz w:val="14"/>
          <w:szCs w:val="14"/>
          <w:color w:val="231F20"/>
          <w:spacing w:val="12"/>
        </w:rPr>
        <w:t>。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并结合临床情景和专业判断</w:t>
      </w:r>
      <w:r>
        <w:rPr>
          <w:sz w:val="14"/>
          <w:szCs w:val="14"/>
          <w:color w:val="231F20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制订了</w:t>
      </w:r>
      <w:r>
        <w:rPr>
          <w:rFonts w:ascii="SimSun" w:hAnsi="SimSun" w:eastAsia="SimSun" w:cs="SimSun"/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12"/>
          <w:position w:val="-1"/>
        </w:rPr>
        <w:t>5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条基于证据的质量审查标准</w:t>
      </w:r>
      <w:r>
        <w:rPr>
          <w:sz w:val="14"/>
          <w:szCs w:val="14"/>
          <w:color w:val="231F20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在普外科病房开展质量审查</w:t>
      </w:r>
      <w:r>
        <w:rPr>
          <w:sz w:val="14"/>
          <w:szCs w:val="14"/>
          <w:color w:val="231F20"/>
          <w:spacing w:val="12"/>
        </w:rPr>
        <w:t>。</w:t>
      </w:r>
      <w:r>
        <w:rPr>
          <w:rFonts w:ascii="SimHei" w:hAnsi="SimHei" w:eastAsia="SimHei" w:cs="SimHei"/>
          <w:sz w:val="16"/>
          <w:szCs w:val="16"/>
          <w:color w:val="231F20"/>
          <w:spacing w:val="12"/>
        </w:rPr>
        <w:t>结果</w:t>
      </w:r>
      <w:r>
        <w:rPr>
          <w:rFonts w:ascii="SimHei" w:hAnsi="SimHei" w:eastAsia="SimHei" w:cs="SimHei"/>
          <w:sz w:val="16"/>
          <w:szCs w:val="16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证据应用前后</w:t>
      </w:r>
      <w:r>
        <w:rPr>
          <w:sz w:val="14"/>
          <w:szCs w:val="14"/>
          <w:color w:val="231F20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医护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人员对最佳证据的知晓率提高</w:t>
      </w:r>
      <w:r>
        <w:rPr>
          <w:sz w:val="14"/>
          <w:szCs w:val="14"/>
          <w:color w:val="231F20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患者恶心</w:t>
      </w:r>
      <w:r>
        <w:rPr>
          <w:sz w:val="14"/>
          <w:szCs w:val="14"/>
          <w:color w:val="231F20"/>
          <w:spacing w:val="10"/>
        </w:rPr>
        <w:t>、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呕吐</w:t>
      </w:r>
      <w:r>
        <w:rPr>
          <w:sz w:val="14"/>
          <w:szCs w:val="14"/>
          <w:color w:val="231F20"/>
          <w:spacing w:val="10"/>
        </w:rPr>
        <w:t>、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腹痛</w:t>
      </w:r>
      <w:r>
        <w:rPr>
          <w:sz w:val="14"/>
          <w:szCs w:val="14"/>
          <w:color w:val="231F20"/>
          <w:spacing w:val="9"/>
        </w:rPr>
        <w:t>、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腹胀并发症发生率</w:t>
      </w:r>
      <w:r>
        <w:rPr>
          <w:sz w:val="14"/>
          <w:szCs w:val="14"/>
          <w:color w:val="231F20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血清淀粉酶</w:t>
      </w:r>
      <w:r>
        <w:rPr>
          <w:sz w:val="14"/>
          <w:szCs w:val="14"/>
          <w:color w:val="231F20"/>
          <w:spacing w:val="9"/>
        </w:rPr>
        <w:t>、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脂肪酶变化差异无统计学意义</w:t>
      </w:r>
      <w:r>
        <w:rPr>
          <w:sz w:val="14"/>
          <w:szCs w:val="14"/>
          <w:color w:val="231F20"/>
          <w:spacing w:val="9"/>
        </w:rPr>
        <w:t>（</w:t>
      </w:r>
      <w:r>
        <w:rPr>
          <w:sz w:val="15"/>
          <w:szCs w:val="15"/>
          <w:color w:val="231F20"/>
          <w:spacing w:val="9"/>
        </w:rPr>
        <w:t>P&gt;0.05</w:t>
      </w:r>
      <w:r>
        <w:rPr>
          <w:sz w:val="14"/>
          <w:szCs w:val="14"/>
          <w:color w:val="231F20"/>
          <w:spacing w:val="-31"/>
          <w:w w:val="95"/>
        </w:rPr>
        <w:t>），</w:t>
      </w:r>
      <w:r>
        <w:rPr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患者进食时间提早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患者住院时间缩短</w:t>
      </w:r>
      <w:r>
        <w:rPr>
          <w:sz w:val="14"/>
          <w:szCs w:val="14"/>
          <w:color w:val="231F20"/>
          <w:spacing w:val="8"/>
        </w:rPr>
        <w:t>（</w:t>
      </w:r>
      <w:r>
        <w:rPr>
          <w:sz w:val="15"/>
          <w:szCs w:val="15"/>
          <w:color w:val="231F20"/>
          <w:spacing w:val="8"/>
        </w:rPr>
        <w:t>P&lt;0.001</w:t>
      </w:r>
      <w:r>
        <w:rPr>
          <w:sz w:val="14"/>
          <w:szCs w:val="14"/>
          <w:color w:val="231F20"/>
          <w:spacing w:val="8"/>
        </w:rPr>
        <w:t>）。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8"/>
        </w:rPr>
        <w:t>结论</w:t>
      </w:r>
      <w:r>
        <w:rPr>
          <w:rFonts w:ascii="SimHei" w:hAnsi="SimHei" w:eastAsia="SimHei" w:cs="SimHei"/>
          <w:sz w:val="16"/>
          <w:szCs w:val="16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基于证据的轻</w:t>
      </w:r>
      <w:r>
        <w:rPr>
          <w:sz w:val="14"/>
          <w:szCs w:val="14"/>
          <w:color w:val="231F20"/>
          <w:spacing w:val="8"/>
        </w:rPr>
        <w:t>、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中重症急性胰腺炎患者早期进食的最佳证据应用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能有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效提高医护人员应用证据的依从性</w:t>
      </w:r>
      <w:r>
        <w:rPr>
          <w:sz w:val="14"/>
          <w:szCs w:val="14"/>
          <w:color w:val="231F20"/>
          <w:spacing w:val="15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促进患者康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复</w:t>
      </w:r>
      <w:r>
        <w:rPr>
          <w:sz w:val="14"/>
          <w:szCs w:val="14"/>
          <w:color w:val="231F20"/>
          <w:spacing w:val="14"/>
        </w:rPr>
        <w:t>。</w:t>
      </w:r>
    </w:p>
    <w:p>
      <w:pPr>
        <w:pStyle w:val="BodyText"/>
        <w:ind w:left="1512"/>
        <w:spacing w:line="196" w:lineRule="auto"/>
        <w:rPr>
          <w:rFonts w:ascii="SimSun" w:hAnsi="SimSun" w:eastAsia="SimSun" w:cs="SimSun"/>
          <w:sz w:val="14"/>
          <w:szCs w:val="14"/>
        </w:rPr>
      </w:pPr>
      <w:r>
        <w:rPr>
          <w:color w:val="231F20"/>
          <w:spacing w:val="8"/>
        </w:rPr>
        <w:t>[</w:t>
      </w:r>
      <w:r>
        <w:rPr>
          <w:rFonts w:ascii="SimHei" w:hAnsi="SimHei" w:eastAsia="SimHei" w:cs="SimHei"/>
          <w:sz w:val="16"/>
          <w:szCs w:val="16"/>
          <w:color w:val="231F20"/>
          <w:spacing w:val="8"/>
        </w:rPr>
        <w:t>关键词</w:t>
      </w:r>
      <w:r>
        <w:rPr>
          <w:color w:val="231F20"/>
          <w:spacing w:val="8"/>
        </w:rPr>
        <w:t>]</w:t>
      </w:r>
      <w:r>
        <w:rPr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急性胰腺炎</w:t>
      </w:r>
      <w:r>
        <w:rPr>
          <w:rFonts w:ascii="SimSun" w:hAnsi="SimSun" w:eastAsia="SimSun" w:cs="SimSun"/>
          <w:sz w:val="14"/>
          <w:szCs w:val="14"/>
          <w:color w:val="231F20"/>
          <w:spacing w:val="-33"/>
        </w:rPr>
        <w:t xml:space="preserve"> </w:t>
      </w:r>
      <w:r>
        <w:rPr>
          <w:sz w:val="14"/>
          <w:szCs w:val="14"/>
          <w:color w:val="231F20"/>
          <w:spacing w:val="8"/>
        </w:rPr>
        <w:t>；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早期进食</w:t>
      </w:r>
      <w:r>
        <w:rPr>
          <w:rFonts w:ascii="SimSun" w:hAnsi="SimSun" w:eastAsia="SimSun" w:cs="SimSun"/>
          <w:sz w:val="14"/>
          <w:szCs w:val="14"/>
          <w:color w:val="231F20"/>
          <w:spacing w:val="-33"/>
        </w:rPr>
        <w:t xml:space="preserve"> </w:t>
      </w:r>
      <w:r>
        <w:rPr>
          <w:sz w:val="14"/>
          <w:szCs w:val="14"/>
          <w:color w:val="231F20"/>
          <w:spacing w:val="8"/>
        </w:rPr>
        <w:t>；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经口进食</w:t>
      </w:r>
      <w:r>
        <w:rPr>
          <w:rFonts w:ascii="SimSun" w:hAnsi="SimSun" w:eastAsia="SimSun" w:cs="SimSun"/>
          <w:sz w:val="14"/>
          <w:szCs w:val="14"/>
          <w:color w:val="231F20"/>
          <w:spacing w:val="-33"/>
        </w:rPr>
        <w:t xml:space="preserve"> </w:t>
      </w:r>
      <w:r>
        <w:rPr>
          <w:sz w:val="14"/>
          <w:szCs w:val="14"/>
          <w:color w:val="231F20"/>
          <w:spacing w:val="8"/>
        </w:rPr>
        <w:t>；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循证实践</w:t>
      </w:r>
    </w:p>
    <w:p>
      <w:pPr>
        <w:pStyle w:val="BodyText"/>
        <w:ind w:left="1512"/>
        <w:spacing w:before="44" w:line="190" w:lineRule="auto"/>
        <w:rPr>
          <w:sz w:val="15"/>
          <w:szCs w:val="15"/>
        </w:rPr>
      </w:pPr>
      <w:r>
        <w:rPr>
          <w:color w:val="231F20"/>
          <w:spacing w:val="-2"/>
        </w:rPr>
        <w:t>[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中图分类号</w:t>
      </w:r>
      <w:r>
        <w:rPr>
          <w:color w:val="231F20"/>
          <w:spacing w:val="-2"/>
        </w:rPr>
        <w:t>] </w:t>
      </w:r>
      <w:r>
        <w:rPr>
          <w:sz w:val="15"/>
          <w:szCs w:val="15"/>
          <w:color w:val="231F20"/>
          <w:spacing w:val="-2"/>
        </w:rPr>
        <w:t>R473.57       </w:t>
      </w:r>
      <w:r>
        <w:rPr>
          <w:color w:val="231F20"/>
          <w:spacing w:val="-2"/>
        </w:rPr>
        <w:t>[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文献标识码</w:t>
      </w:r>
      <w:r>
        <w:rPr>
          <w:color w:val="231F20"/>
          <w:spacing w:val="-2"/>
        </w:rPr>
        <w:t>] </w:t>
      </w:r>
      <w:r>
        <w:rPr>
          <w:sz w:val="15"/>
          <w:szCs w:val="15"/>
          <w:color w:val="231F20"/>
          <w:spacing w:val="-2"/>
        </w:rPr>
        <w:t>A        </w:t>
      </w:r>
      <w:r>
        <w:rPr>
          <w:color w:val="231F20"/>
          <w:spacing w:val="-2"/>
        </w:rPr>
        <w:t>[DOI]</w:t>
      </w:r>
      <w:r>
        <w:rPr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2"/>
        </w:rPr>
        <w:t>10.16460/j.issn1008-9969.2020.24.0</w:t>
      </w:r>
      <w:r>
        <w:rPr>
          <w:sz w:val="15"/>
          <w:szCs w:val="15"/>
          <w:color w:val="231F20"/>
          <w:spacing w:val="-3"/>
        </w:rPr>
        <w:t>24</w:t>
      </w:r>
    </w:p>
    <w:p>
      <w:pPr>
        <w:pStyle w:val="BodyText"/>
        <w:ind w:left="1117"/>
        <w:spacing w:before="77" w:line="16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Best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Evidence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Summary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Early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Oral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Feeding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Mild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Moderate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Severe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Acute</w:t>
      </w:r>
    </w:p>
    <w:p>
      <w:pPr>
        <w:pStyle w:val="BodyText"/>
        <w:ind w:left="5020"/>
        <w:spacing w:before="76" w:line="17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Pancreatitis</w:t>
      </w:r>
    </w:p>
    <w:p>
      <w:pPr>
        <w:pStyle w:val="BodyText"/>
        <w:ind w:left="1412"/>
        <w:spacing w:before="60" w:line="173" w:lineRule="auto"/>
        <w:rPr/>
      </w:pPr>
      <w:r>
        <w:rPr>
          <w:color w:val="231F20"/>
          <w:spacing w:val="-9"/>
        </w:rPr>
        <w:t>CAO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Chun-ju</w:t>
      </w:r>
      <w:r>
        <w:rPr>
          <w:sz w:val="10"/>
          <w:szCs w:val="10"/>
          <w:color w:val="231F20"/>
          <w:spacing w:val="-9"/>
          <w:position w:val="6"/>
        </w:rPr>
        <w:t>1a</w:t>
      </w:r>
      <w:r>
        <w:rPr>
          <w:color w:val="231F20"/>
          <w:spacing w:val="-9"/>
        </w:rPr>
        <w:t>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ZHANG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0"/>
        </w:rPr>
        <w:t>Lan-fang</w:t>
      </w:r>
      <w:r>
        <w:rPr>
          <w:color w:val="231F20"/>
          <w:spacing w:val="-15"/>
        </w:rPr>
        <w:t xml:space="preserve"> </w:t>
      </w:r>
      <w:r>
        <w:rPr>
          <w:sz w:val="10"/>
          <w:szCs w:val="10"/>
          <w:color w:val="231F20"/>
          <w:spacing w:val="-10"/>
          <w:position w:val="6"/>
        </w:rPr>
        <w:t>2</w:t>
      </w:r>
      <w:r>
        <w:rPr>
          <w:color w:val="231F20"/>
          <w:spacing w:val="-10"/>
        </w:rPr>
        <w:t>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WANG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Cai-fang </w:t>
      </w:r>
      <w:r>
        <w:rPr>
          <w:sz w:val="10"/>
          <w:szCs w:val="10"/>
          <w:color w:val="231F20"/>
          <w:spacing w:val="-9"/>
          <w:position w:val="6"/>
        </w:rPr>
        <w:t>1b</w:t>
      </w:r>
      <w:r>
        <w:rPr>
          <w:color w:val="231F20"/>
          <w:spacing w:val="-9"/>
        </w:rPr>
        <w:t>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LUO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Dan-hua </w:t>
      </w:r>
      <w:r>
        <w:rPr>
          <w:sz w:val="10"/>
          <w:szCs w:val="10"/>
          <w:color w:val="231F20"/>
          <w:spacing w:val="-9"/>
          <w:position w:val="6"/>
        </w:rPr>
        <w:t>1b</w:t>
      </w:r>
      <w:r>
        <w:rPr>
          <w:color w:val="231F20"/>
          <w:spacing w:val="-9"/>
        </w:rPr>
        <w:t>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XU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Xiu-ping </w:t>
      </w:r>
      <w:r>
        <w:rPr>
          <w:sz w:val="10"/>
          <w:szCs w:val="10"/>
          <w:color w:val="231F20"/>
          <w:spacing w:val="-9"/>
          <w:position w:val="6"/>
        </w:rPr>
        <w:t>1a</w:t>
      </w:r>
      <w:r>
        <w:rPr>
          <w:color w:val="231F20"/>
          <w:spacing w:val="-9"/>
        </w:rPr>
        <w:t>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9"/>
        </w:rPr>
        <w:t>ZHUANG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6"/>
        </w:rPr>
        <w:t>Cong-qiong </w:t>
      </w:r>
      <w:r>
        <w:rPr>
          <w:sz w:val="10"/>
          <w:szCs w:val="10"/>
          <w:color w:val="231F20"/>
          <w:spacing w:val="-16"/>
          <w:position w:val="6"/>
        </w:rPr>
        <w:t>1a</w:t>
      </w:r>
      <w:r>
        <w:rPr>
          <w:color w:val="231F20"/>
          <w:spacing w:val="7"/>
          <w:w w:val="114"/>
        </w:rPr>
        <w:t>,</w:t>
      </w:r>
    </w:p>
    <w:p>
      <w:pPr>
        <w:pStyle w:val="BodyText"/>
        <w:ind w:left="3498"/>
        <w:spacing w:before="73" w:line="173" w:lineRule="auto"/>
        <w:rPr>
          <w:sz w:val="10"/>
          <w:szCs w:val="10"/>
        </w:rPr>
      </w:pPr>
      <w:r>
        <w:rPr>
          <w:color w:val="231F20"/>
          <w:spacing w:val="-10"/>
        </w:rPr>
        <w:t>HUANG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0"/>
        </w:rPr>
        <w:t>Mei-ying </w:t>
      </w:r>
      <w:r>
        <w:rPr>
          <w:sz w:val="10"/>
          <w:szCs w:val="10"/>
          <w:color w:val="231F20"/>
          <w:spacing w:val="-10"/>
          <w:position w:val="6"/>
        </w:rPr>
        <w:t>1a</w:t>
      </w:r>
      <w:r>
        <w:rPr>
          <w:color w:val="231F20"/>
          <w:spacing w:val="-10"/>
        </w:rPr>
        <w:t>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0"/>
        </w:rPr>
        <w:t>HUANG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Wei-ling </w:t>
      </w:r>
      <w:r>
        <w:rPr>
          <w:sz w:val="10"/>
          <w:szCs w:val="10"/>
          <w:color w:val="231F20"/>
          <w:spacing w:val="-10"/>
          <w:position w:val="6"/>
        </w:rPr>
        <w:t>1a</w:t>
      </w:r>
      <w:r>
        <w:rPr>
          <w:color w:val="231F20"/>
          <w:spacing w:val="-10"/>
        </w:rPr>
        <w:t>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LI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Wen-ying </w:t>
      </w:r>
      <w:r>
        <w:rPr>
          <w:sz w:val="10"/>
          <w:szCs w:val="10"/>
          <w:color w:val="231F20"/>
          <w:spacing w:val="-7"/>
          <w:position w:val="6"/>
        </w:rPr>
        <w:t>1a</w:t>
      </w:r>
    </w:p>
    <w:p>
      <w:pPr>
        <w:pStyle w:val="BodyText"/>
        <w:ind w:left="736"/>
        <w:spacing w:before="83" w:line="165" w:lineRule="auto"/>
        <w:rPr/>
      </w:pPr>
      <w:r>
        <w:rPr>
          <w:color w:val="231F20"/>
          <w:spacing w:val="-12"/>
        </w:rPr>
        <w:t>(1a. Dept. of General Surgery; 1b. Dept. of Nursing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Administration, Qingyuan Peo</w:t>
      </w:r>
      <w:r>
        <w:rPr>
          <w:color w:val="231F20"/>
          <w:spacing w:val="-13"/>
        </w:rPr>
        <w:t>ple</w:t>
      </w:r>
      <w:r>
        <w:rPr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13"/>
        </w:rPr>
        <w:t>’</w:t>
      </w:r>
      <w:r>
        <w:rPr>
          <w:color w:val="231F20"/>
          <w:spacing w:val="-13"/>
        </w:rPr>
        <w:t>s Hospital, the Sixth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Affiliated Hospital of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</w:rPr>
        <w:t>Guangzhou</w:t>
      </w:r>
    </w:p>
    <w:p>
      <w:pPr>
        <w:pStyle w:val="BodyText"/>
        <w:ind w:left="1079"/>
        <w:spacing w:before="83" w:line="165" w:lineRule="auto"/>
        <w:rPr/>
      </w:pPr>
      <w:r>
        <w:rPr>
          <w:color w:val="231F20"/>
          <w:spacing w:val="-11"/>
        </w:rPr>
        <w:t>Medical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1"/>
        </w:rPr>
        <w:t>University,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1"/>
        </w:rPr>
        <w:t>Qingyuan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511518,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1"/>
        </w:rPr>
        <w:t>China;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2.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Nanfang Hospital,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South</w:t>
      </w:r>
      <w:r>
        <w:rPr>
          <w:color w:val="231F20"/>
          <w:spacing w:val="-12"/>
        </w:rPr>
        <w:t>ern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2"/>
        </w:rPr>
        <w:t>Medical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2"/>
        </w:rPr>
        <w:t>University,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2"/>
        </w:rPr>
        <w:t>Guangzhou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510400,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China)</w:t>
      </w:r>
    </w:p>
    <w:p>
      <w:pPr>
        <w:pStyle w:val="BodyText"/>
        <w:ind w:left="727"/>
        <w:spacing w:before="77" w:line="170" w:lineRule="auto"/>
        <w:rPr/>
      </w:pPr>
      <w:r>
        <w:rPr>
          <w:color w:val="231F20"/>
          <w:spacing w:val="-11"/>
        </w:rPr>
        <w:t>Abstract: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1"/>
        </w:rPr>
        <w:t>Objective    </w:t>
      </w:r>
      <w:r>
        <w:rPr>
          <w:color w:val="231F20"/>
          <w:spacing w:val="-12"/>
        </w:rPr>
        <w:t>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2"/>
        </w:rPr>
        <w:t>summarize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2"/>
        </w:rPr>
        <w:t>best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2"/>
        </w:rPr>
        <w:t>evidence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2"/>
        </w:rPr>
        <w:t>of early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2"/>
        </w:rPr>
        <w:t>oral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</w:rPr>
        <w:t>feeding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patients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with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2"/>
        </w:rPr>
        <w:t>acute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2"/>
        </w:rPr>
        <w:t>pancreatitis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evaluate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2"/>
        </w:rPr>
        <w:t>its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2"/>
        </w:rPr>
        <w:t>effect.</w:t>
      </w:r>
    </w:p>
    <w:p>
      <w:pPr>
        <w:pStyle w:val="BodyText"/>
        <w:ind w:left="728" w:right="55" w:firstLine="9"/>
        <w:spacing w:before="78" w:line="233" w:lineRule="auto"/>
        <w:jc w:val="both"/>
        <w:rPr/>
      </w:pPr>
      <w:r>
        <w:rPr>
          <w:color w:val="231F20"/>
          <w:spacing w:val="-11"/>
        </w:rPr>
        <w:t>Methods    Through  systemati</w:t>
      </w:r>
      <w:r>
        <w:rPr>
          <w:color w:val="231F20"/>
          <w:spacing w:val="-12"/>
        </w:rPr>
        <w:t>c  retrieval  and  quality  evaluation  of  the  literature  regarding  early  oral  feeding  of  patients  with  acute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pancreatitis,  10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2"/>
        </w:rPr>
        <w:t>guidelines,  4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2"/>
        </w:rPr>
        <w:t>expert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2"/>
        </w:rPr>
        <w:t>consensus,11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2"/>
        </w:rPr>
        <w:t>articles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systematic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2"/>
        </w:rPr>
        <w:t>evaluation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2"/>
        </w:rPr>
        <w:t>review,  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2"/>
        </w:rPr>
        <w:t>3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2"/>
        </w:rPr>
        <w:t>articles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RCT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2"/>
        </w:rPr>
        <w:t>were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2"/>
        </w:rPr>
        <w:t>included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2"/>
        </w:rPr>
        <w:t>9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2"/>
        </w:rPr>
        <w:t>pieces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2"/>
        </w:rPr>
        <w:t>best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2"/>
        </w:rPr>
        <w:t>evidence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2"/>
        </w:rPr>
        <w:t>were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2"/>
        </w:rPr>
        <w:t>summarized.    Combined  with  clinical  situation  and  pr</w:t>
      </w:r>
      <w:r>
        <w:rPr>
          <w:color w:val="231F20"/>
          <w:spacing w:val="-13"/>
        </w:rPr>
        <w:t>ofessional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judgment,    5  evidence-based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quality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review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standards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were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formulated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quality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2"/>
        </w:rPr>
        <w:t>review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was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carried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out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genera</w:t>
      </w:r>
      <w:r>
        <w:rPr>
          <w:color w:val="231F20"/>
          <w:spacing w:val="-13"/>
        </w:rPr>
        <w:t>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</w:rPr>
        <w:t>surgical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wards.   Results    Before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after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application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of 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evidence,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awareness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rate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of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best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evidence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was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improved.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4"/>
        </w:rPr>
        <w:t>incidence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</w:rPr>
        <w:t>nausea,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vomiting,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abdominal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pain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4"/>
        </w:rPr>
        <w:t>abdominal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distension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complications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4"/>
        </w:rPr>
        <w:t>changes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</w:rPr>
        <w:t>serum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4"/>
        </w:rPr>
        <w:t>amylase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lipase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were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not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4"/>
        </w:rPr>
        <w:t>statistically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4"/>
        </w:rPr>
        <w:t>significant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-14"/>
        </w:rPr>
        <w:t>(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4"/>
        </w:rPr>
        <w:t>P&gt;0.05)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-14"/>
        </w:rPr>
        <w:t>but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2"/>
        </w:rPr>
        <w:t>time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eating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2"/>
        </w:rPr>
        <w:t>was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2"/>
        </w:rPr>
        <w:t>earlier,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2"/>
        </w:rPr>
        <w:t>length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hospital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2"/>
        </w:rPr>
        <w:t>stay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was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2"/>
        </w:rPr>
        <w:t>shorter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2"/>
        </w:rPr>
        <w:t>(P&lt;0.001).  Conclusion    Th</w:t>
      </w:r>
      <w:r>
        <w:rPr>
          <w:color w:val="231F20"/>
          <w:spacing w:val="-13"/>
        </w:rPr>
        <w:t>e  best  evidence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3"/>
        </w:rPr>
        <w:t>application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early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oral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feeding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patients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acute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4"/>
        </w:rPr>
        <w:t>pancreatitis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4"/>
        </w:rPr>
        <w:t>based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evidence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4"/>
        </w:rPr>
        <w:t>can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effectively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improve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4"/>
        </w:rPr>
        <w:t>compliance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medical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staff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to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4"/>
        </w:rPr>
        <w:t>use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evidence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5"/>
        </w:rPr>
        <w:t>promote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5"/>
        </w:rPr>
        <w:t>recovery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5"/>
        </w:rPr>
        <w:t>of patients.</w:t>
      </w:r>
    </w:p>
    <w:p>
      <w:pPr>
        <w:pStyle w:val="BodyText"/>
        <w:ind w:left="738"/>
        <w:spacing w:line="170" w:lineRule="auto"/>
        <w:rPr/>
      </w:pPr>
      <w:r>
        <w:rPr>
          <w:color w:val="231F20"/>
          <w:spacing w:val="-10"/>
        </w:rPr>
        <w:t>Key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0"/>
        </w:rPr>
        <w:t>words: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0"/>
        </w:rPr>
        <w:t>acute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pancreatitis;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0"/>
        </w:rPr>
        <w:t>early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0"/>
        </w:rPr>
        <w:t>feeding;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0"/>
        </w:rPr>
        <w:t>eating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orally;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0"/>
        </w:rPr>
        <w:t>evi</w:t>
      </w:r>
      <w:r>
        <w:rPr>
          <w:color w:val="231F20"/>
          <w:spacing w:val="-11"/>
        </w:rPr>
        <w:t>dence-based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1"/>
        </w:rPr>
        <w:t>practice</w:t>
      </w:r>
    </w:p>
    <w:p>
      <w:pPr>
        <w:spacing w:before="18"/>
        <w:rPr/>
      </w:pPr>
      <w:r/>
    </w:p>
    <w:p>
      <w:pPr>
        <w:sectPr>
          <w:headerReference w:type="default" r:id="rId1"/>
          <w:pgSz w:w="11905" w:h="16836"/>
          <w:pgMar w:top="1314" w:right="1072" w:bottom="0" w:left="407" w:header="852" w:footer="0" w:gutter="0"/>
          <w:cols w:equalWidth="0" w:num="1">
            <w:col w:w="10424" w:space="0"/>
          </w:cols>
        </w:sectPr>
        <w:rPr/>
      </w:pPr>
    </w:p>
    <w:p>
      <w:pPr>
        <w:pStyle w:val="BodyText"/>
        <w:ind w:left="729" w:right="314" w:firstLine="442"/>
        <w:spacing w:before="47" w:line="222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急性胰腺炎</w:t>
      </w:r>
      <w:r>
        <w:rPr>
          <w:sz w:val="19"/>
          <w:szCs w:val="19"/>
          <w:color w:val="231F20"/>
          <w:spacing w:val="-7"/>
        </w:rPr>
        <w:t>（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pancreatitis,AP</w:t>
      </w:r>
      <w:r>
        <w:rPr>
          <w:sz w:val="19"/>
          <w:szCs w:val="19"/>
          <w:color w:val="231F20"/>
          <w:spacing w:val="-7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是水解蛋</w:t>
      </w:r>
      <w:r>
        <w:rPr>
          <w:rFonts w:ascii="SimSun" w:hAnsi="SimSun" w:eastAsia="SimSun" w:cs="SimSun"/>
          <w:sz w:val="19"/>
          <w:szCs w:val="19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白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酶的过早活化导致了胰腺的自身消化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根据严重程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度</w:t>
      </w:r>
      <w:r>
        <w:rPr>
          <w:sz w:val="19"/>
          <w:szCs w:val="19"/>
          <w:color w:val="231F20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可分为 </w:t>
      </w:r>
      <w:r>
        <w:rPr>
          <w:sz w:val="20"/>
          <w:szCs w:val="20"/>
          <w:color w:val="231F20"/>
          <w:spacing w:val="-2"/>
        </w:rPr>
        <w:t>3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度</w:t>
      </w:r>
      <w:r>
        <w:rPr>
          <w:sz w:val="20"/>
          <w:szCs w:val="20"/>
          <w:color w:val="231F20"/>
          <w:spacing w:val="-2"/>
        </w:rPr>
        <w:t>: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轻症急性胰腺炎</w:t>
      </w:r>
      <w:r>
        <w:rPr>
          <w:sz w:val="19"/>
          <w:szCs w:val="19"/>
          <w:color w:val="231F20"/>
          <w:spacing w:val="-2"/>
        </w:rPr>
        <w:t>（</w:t>
      </w:r>
      <w:r>
        <w:rPr>
          <w:sz w:val="20"/>
          <w:szCs w:val="20"/>
          <w:color w:val="231F20"/>
          <w:spacing w:val="-2"/>
        </w:rPr>
        <w:t>mild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2"/>
        </w:rPr>
        <w:t>acute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2"/>
        </w:rPr>
        <w:t>pa</w:t>
      </w:r>
      <w:r>
        <w:rPr>
          <w:sz w:val="20"/>
          <w:szCs w:val="20"/>
          <w:color w:val="231F20"/>
          <w:spacing w:val="-3"/>
        </w:rPr>
        <w:t>n-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3"/>
        </w:rPr>
        <w:t>creatitis</w:t>
      </w:r>
      <w:r>
        <w:rPr>
          <w:sz w:val="19"/>
          <w:szCs w:val="19"/>
          <w:color w:val="231F20"/>
          <w:spacing w:val="-13"/>
        </w:rPr>
        <w:t>，</w:t>
      </w:r>
      <w:r>
        <w:rPr>
          <w:sz w:val="20"/>
          <w:szCs w:val="20"/>
          <w:color w:val="231F20"/>
          <w:spacing w:val="-13"/>
        </w:rPr>
        <w:t>MAP</w:t>
      </w:r>
      <w:r>
        <w:rPr>
          <w:sz w:val="19"/>
          <w:szCs w:val="19"/>
          <w:color w:val="231F20"/>
          <w:spacing w:val="-42"/>
          <w:w w:val="94"/>
        </w:rPr>
        <w:t>），</w:t>
      </w:r>
      <w:r>
        <w:rPr>
          <w:rFonts w:ascii="SimSun" w:hAnsi="SimSun" w:eastAsia="SimSun" w:cs="SimSun"/>
          <w:sz w:val="19"/>
          <w:szCs w:val="19"/>
          <w:color w:val="231F20"/>
          <w:spacing w:val="-13"/>
        </w:rPr>
        <w:t>中重症</w:t>
      </w:r>
      <w:r>
        <w:rPr>
          <w:rFonts w:ascii="SimSun" w:hAnsi="SimSun" w:eastAsia="SimSun" w:cs="SimSun"/>
          <w:sz w:val="19"/>
          <w:szCs w:val="19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3"/>
        </w:rPr>
        <w:t>急</w:t>
      </w:r>
      <w:r>
        <w:rPr>
          <w:rFonts w:ascii="SimSun" w:hAnsi="SimSun" w:eastAsia="SimSun" w:cs="SimSun"/>
          <w:sz w:val="19"/>
          <w:szCs w:val="19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3"/>
        </w:rPr>
        <w:t>性胰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3"/>
        </w:rPr>
        <w:t>腺</w:t>
      </w:r>
      <w:r>
        <w:rPr>
          <w:rFonts w:ascii="SimSun" w:hAnsi="SimSun" w:eastAsia="SimSun" w:cs="SimSun"/>
          <w:sz w:val="19"/>
          <w:szCs w:val="19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3"/>
        </w:rPr>
        <w:t>炎</w:t>
      </w:r>
      <w:r>
        <w:rPr>
          <w:sz w:val="19"/>
          <w:szCs w:val="19"/>
          <w:color w:val="231F20"/>
          <w:spacing w:val="-13"/>
        </w:rPr>
        <w:t>（</w:t>
      </w:r>
      <w:r>
        <w:rPr>
          <w:sz w:val="20"/>
          <w:szCs w:val="20"/>
          <w:color w:val="231F20"/>
          <w:spacing w:val="-13"/>
        </w:rPr>
        <w:t>moderately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se-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vere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acute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pancreatitis</w:t>
      </w:r>
      <w:r>
        <w:rPr>
          <w:sz w:val="19"/>
          <w:szCs w:val="19"/>
          <w:color w:val="231F20"/>
          <w:spacing w:val="-10"/>
        </w:rPr>
        <w:t>，</w:t>
      </w:r>
      <w:r>
        <w:rPr>
          <w:sz w:val="20"/>
          <w:szCs w:val="20"/>
          <w:color w:val="231F20"/>
          <w:spacing w:val="-10"/>
        </w:rPr>
        <w:t>MSAP</w:t>
      </w:r>
      <w:r>
        <w:rPr>
          <w:sz w:val="19"/>
          <w:szCs w:val="19"/>
          <w:color w:val="231F20"/>
          <w:spacing w:val="-28"/>
          <w:w w:val="62"/>
        </w:rPr>
        <w:t>），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重症急性胰腺炎</w:t>
      </w:r>
      <w:r>
        <w:rPr>
          <w:sz w:val="19"/>
          <w:szCs w:val="19"/>
          <w:color w:val="231F20"/>
          <w:spacing w:val="-10"/>
        </w:rPr>
        <w:t>（</w:t>
      </w:r>
      <w:r>
        <w:rPr>
          <w:sz w:val="20"/>
          <w:szCs w:val="20"/>
          <w:color w:val="231F20"/>
          <w:spacing w:val="-10"/>
        </w:rPr>
        <w:t>se-</w:t>
      </w:r>
    </w:p>
    <w:p>
      <w:pPr>
        <w:pStyle w:val="BodyText"/>
        <w:ind w:left="738" w:right="314" w:hanging="9"/>
        <w:spacing w:before="3" w:line="246" w:lineRule="auto"/>
        <w:jc w:val="both"/>
        <w:rPr>
          <w:rFonts w:ascii="SimSun" w:hAnsi="SimSun" w:eastAsia="SimSun" w:cs="SimSun"/>
          <w:sz w:val="19"/>
          <w:szCs w:val="19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461010</wp:posOffset>
            </wp:positionH>
            <wp:positionV relativeFrom="paragraph">
              <wp:posOffset>1059118</wp:posOffset>
            </wp:positionV>
            <wp:extent cx="1442720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27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20"/>
        </w:rPr>
        <w:t>vere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20"/>
        </w:rPr>
        <w:t>acute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20"/>
        </w:rPr>
        <w:t>pancreatitis</w:t>
      </w:r>
      <w:r>
        <w:rPr>
          <w:sz w:val="19"/>
          <w:szCs w:val="19"/>
          <w:color w:val="231F20"/>
          <w:spacing w:val="-20"/>
        </w:rPr>
        <w:t>，</w:t>
      </w:r>
      <w:r>
        <w:rPr>
          <w:sz w:val="20"/>
          <w:szCs w:val="20"/>
          <w:color w:val="231F20"/>
          <w:spacing w:val="-20"/>
        </w:rPr>
        <w:t>SAP</w:t>
      </w:r>
      <w:r>
        <w:rPr>
          <w:sz w:val="19"/>
          <w:szCs w:val="19"/>
          <w:color w:val="231F20"/>
          <w:spacing w:val="-20"/>
        </w:rPr>
        <w:t>）</w:t>
      </w:r>
      <w:r>
        <w:rPr>
          <w:sz w:val="11"/>
          <w:szCs w:val="11"/>
          <w:color w:val="231F20"/>
          <w:spacing w:val="3"/>
          <w:position w:val="7"/>
        </w:rPr>
        <w:t>[ 1</w:t>
      </w:r>
      <w:r>
        <w:rPr>
          <w:sz w:val="11"/>
          <w:szCs w:val="11"/>
          <w:color w:val="231F20"/>
          <w:spacing w:val="-17"/>
          <w:position w:val="7"/>
        </w:rPr>
        <w:t xml:space="preserve"> </w:t>
      </w:r>
      <w:r>
        <w:rPr>
          <w:sz w:val="11"/>
          <w:szCs w:val="11"/>
          <w:color w:val="231F20"/>
          <w:spacing w:val="3"/>
          <w:position w:val="7"/>
        </w:rPr>
        <w:t>]</w:t>
      </w:r>
      <w:r>
        <w:rPr>
          <w:sz w:val="11"/>
          <w:szCs w:val="11"/>
          <w:color w:val="231F20"/>
          <w:spacing w:val="-7"/>
          <w:position w:val="7"/>
        </w:rPr>
        <w:t xml:space="preserve"> </w:t>
      </w:r>
      <w:r>
        <w:rPr>
          <w:sz w:val="19"/>
          <w:szCs w:val="19"/>
          <w:color w:val="231F20"/>
          <w:spacing w:val="3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传统认为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肠道休息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可以抑制胰腺自身消化过程中的炎症反应</w:t>
      </w:r>
      <w:r>
        <w:rPr>
          <w:sz w:val="11"/>
          <w:szCs w:val="11"/>
          <w:color w:val="231F20"/>
          <w:spacing w:val="13"/>
          <w:position w:val="6"/>
        </w:rPr>
        <w:t>[</w:t>
      </w:r>
      <w:r>
        <w:rPr>
          <w:sz w:val="11"/>
          <w:szCs w:val="11"/>
          <w:color w:val="231F20"/>
          <w:spacing w:val="-6"/>
          <w:position w:val="6"/>
        </w:rPr>
        <w:t xml:space="preserve"> </w:t>
      </w:r>
      <w:r>
        <w:rPr>
          <w:sz w:val="11"/>
          <w:szCs w:val="11"/>
          <w:color w:val="231F20"/>
          <w:spacing w:val="13"/>
          <w:position w:val="6"/>
        </w:rPr>
        <w:t>2</w:t>
      </w:r>
      <w:r>
        <w:rPr>
          <w:sz w:val="11"/>
          <w:szCs w:val="11"/>
          <w:color w:val="231F20"/>
          <w:spacing w:val="-14"/>
          <w:position w:val="6"/>
        </w:rPr>
        <w:t xml:space="preserve"> </w:t>
      </w:r>
      <w:r>
        <w:rPr>
          <w:sz w:val="11"/>
          <w:szCs w:val="11"/>
          <w:color w:val="231F20"/>
          <w:spacing w:val="13"/>
          <w:position w:val="6"/>
        </w:rPr>
        <w:t>]</w:t>
      </w:r>
      <w:r>
        <w:rPr>
          <w:sz w:val="11"/>
          <w:szCs w:val="11"/>
          <w:color w:val="231F20"/>
          <w:spacing w:val="-6"/>
          <w:position w:val="6"/>
        </w:rPr>
        <w:t xml:space="preserve"> </w:t>
      </w:r>
      <w:r>
        <w:rPr>
          <w:sz w:val="19"/>
          <w:szCs w:val="19"/>
          <w:color w:val="231F20"/>
          <w:spacing w:val="13"/>
          <w:position w:val="-1"/>
        </w:rPr>
        <w:t>。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目前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8"/>
        </w:rPr>
        <w:t>临床诊疗常规中急性胰腺炎患者进食标准为腹痛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症状缓解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甚至需要血清淀粉酶</w:t>
      </w:r>
      <w:r>
        <w:rPr>
          <w:sz w:val="19"/>
          <w:szCs w:val="19"/>
          <w:color w:val="231F20"/>
          <w:spacing w:val="1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脂肪酶等检验结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果正常</w:t>
      </w:r>
      <w:r>
        <w:rPr>
          <w:rFonts w:ascii="SimSun" w:hAnsi="SimSun" w:eastAsia="SimSun" w:cs="SimSun"/>
          <w:sz w:val="19"/>
          <w:szCs w:val="19"/>
          <w:color w:val="231F20"/>
          <w:spacing w:val="-48"/>
        </w:rPr>
        <w:t xml:space="preserve"> </w:t>
      </w:r>
      <w:r>
        <w:rPr>
          <w:sz w:val="19"/>
          <w:szCs w:val="19"/>
          <w:color w:val="231F20"/>
          <w:spacing w:val="15"/>
        </w:rPr>
        <w:t>。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患者需要禁食时间较长</w:t>
      </w:r>
      <w:r>
        <w:rPr>
          <w:sz w:val="19"/>
          <w:szCs w:val="19"/>
          <w:color w:val="231F20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往往会有强烈的</w:t>
      </w:r>
    </w:p>
    <w:p>
      <w:pPr>
        <w:pStyle w:val="BodyText"/>
        <w:ind w:left="1075"/>
        <w:spacing w:before="289" w:line="2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</w:t>
      </w:r>
      <w:r>
        <w:rPr>
          <w:rFonts w:ascii="SimHei" w:hAnsi="SimHei" w:eastAsia="SimHei" w:cs="SimHei"/>
          <w:sz w:val="14"/>
          <w:szCs w:val="14"/>
          <w:color w:val="231F20"/>
          <w:spacing w:val="2"/>
        </w:rPr>
        <w:t>收稿日期</w:t>
      </w:r>
      <w:r>
        <w:rPr>
          <w:sz w:val="15"/>
          <w:szCs w:val="15"/>
          <w:color w:val="231F20"/>
          <w:spacing w:val="2"/>
        </w:rPr>
        <w:t>]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2"/>
        </w:rPr>
        <w:t>2019-12-03</w:t>
      </w:r>
    </w:p>
    <w:p>
      <w:pPr>
        <w:pStyle w:val="BodyText"/>
        <w:ind w:left="740" w:right="229" w:firstLine="335"/>
        <w:spacing w:before="8" w:line="184" w:lineRule="auto"/>
        <w:rPr>
          <w:sz w:val="14"/>
          <w:szCs w:val="14"/>
        </w:rPr>
      </w:pPr>
      <w:r>
        <w:rPr>
          <w:sz w:val="15"/>
          <w:szCs w:val="15"/>
          <w:color w:val="231F20"/>
          <w:spacing w:val="3"/>
        </w:rPr>
        <w:t>[</w:t>
      </w:r>
      <w:r>
        <w:rPr>
          <w:rFonts w:ascii="SimHei" w:hAnsi="SimHei" w:eastAsia="SimHei" w:cs="SimHei"/>
          <w:sz w:val="14"/>
          <w:szCs w:val="14"/>
          <w:color w:val="231F20"/>
          <w:spacing w:val="3"/>
        </w:rPr>
        <w:t>作者简介</w:t>
      </w:r>
      <w:r>
        <w:rPr>
          <w:sz w:val="15"/>
          <w:szCs w:val="15"/>
          <w:color w:val="231F20"/>
          <w:spacing w:val="3"/>
        </w:rPr>
        <w:t>]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曹春菊</w:t>
      </w:r>
      <w:r>
        <w:rPr>
          <w:sz w:val="14"/>
          <w:szCs w:val="14"/>
          <w:color w:val="231F20"/>
          <w:spacing w:val="3"/>
        </w:rPr>
        <w:t>（</w:t>
      </w:r>
      <w:r>
        <w:rPr>
          <w:sz w:val="15"/>
          <w:szCs w:val="15"/>
          <w:color w:val="231F20"/>
          <w:spacing w:val="3"/>
        </w:rPr>
        <w:t>1981</w:t>
      </w:r>
      <w:r>
        <w:rPr>
          <w:sz w:val="15"/>
          <w:szCs w:val="15"/>
          <w:color w:val="231F20"/>
          <w:spacing w:val="-50"/>
          <w:w w:val="86"/>
        </w:rPr>
        <w:t>－</w:t>
      </w:r>
      <w:r>
        <w:rPr>
          <w:sz w:val="14"/>
          <w:szCs w:val="14"/>
          <w:color w:val="231F20"/>
          <w:spacing w:val="-50"/>
          <w:w w:val="86"/>
        </w:rPr>
        <w:t>），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女</w:t>
      </w:r>
      <w:r>
        <w:rPr>
          <w:sz w:val="14"/>
          <w:szCs w:val="14"/>
          <w:color w:val="231F20"/>
          <w:spacing w:val="3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湖南永州人</w:t>
      </w:r>
      <w:r>
        <w:rPr>
          <w:sz w:val="14"/>
          <w:szCs w:val="14"/>
          <w:color w:val="231F20"/>
          <w:spacing w:val="3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硕士</w:t>
      </w:r>
      <w:r>
        <w:rPr>
          <w:sz w:val="14"/>
          <w:szCs w:val="14"/>
          <w:color w:val="231F20"/>
          <w:spacing w:val="3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副主任护师</w:t>
      </w:r>
      <w:r>
        <w:rPr>
          <w:sz w:val="14"/>
          <w:szCs w:val="14"/>
          <w:color w:val="231F20"/>
          <w:spacing w:val="2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副教授</w:t>
      </w:r>
      <w:r>
        <w:rPr>
          <w:sz w:val="14"/>
          <w:szCs w:val="14"/>
          <w:color w:val="231F20"/>
          <w:spacing w:val="4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护士长</w:t>
      </w:r>
      <w:r>
        <w:rPr>
          <w:sz w:val="14"/>
          <w:szCs w:val="14"/>
          <w:color w:val="231F20"/>
          <w:spacing w:val="4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42" w:line="230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饥饿感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导致舒适性下降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近年来一系列研究充分表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明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急性胰腺炎患者早期饮食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相关的不良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反应没有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增加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并可能大幅度减少疼痛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减少阿片类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药物的应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用</w:t>
      </w:r>
      <w:r>
        <w:rPr>
          <w:sz w:val="19"/>
          <w:szCs w:val="19"/>
          <w:color w:val="231F20"/>
          <w:spacing w:val="7"/>
          <w:position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并降低对食物的不耐受性</w:t>
      </w:r>
      <w:r>
        <w:rPr>
          <w:sz w:val="11"/>
          <w:szCs w:val="11"/>
          <w:color w:val="231F20"/>
          <w:spacing w:val="7"/>
          <w:position w:val="5"/>
        </w:rPr>
        <w:t>[3-5]</w:t>
      </w:r>
      <w:r>
        <w:rPr>
          <w:sz w:val="19"/>
          <w:szCs w:val="19"/>
          <w:color w:val="231F20"/>
          <w:spacing w:val="7"/>
          <w:position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相关的荟萃分析也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得出即使是重症急性胰腺炎患者</w:t>
      </w:r>
      <w:r>
        <w:rPr>
          <w:rFonts w:ascii="SimSun" w:hAnsi="SimSun" w:eastAsia="SimSun" w:cs="SimSun"/>
          <w:sz w:val="19"/>
          <w:szCs w:val="19"/>
          <w:color w:val="231F20"/>
          <w:spacing w:val="-38"/>
        </w:rPr>
        <w:t xml:space="preserve"> 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入院后在前</w:t>
      </w:r>
      <w:r>
        <w:rPr>
          <w:rFonts w:ascii="SimSun" w:hAnsi="SimSun" w:eastAsia="SimSun" w:cs="SimSun"/>
          <w:sz w:val="19"/>
          <w:szCs w:val="19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12"/>
          <w:position w:val="-1"/>
        </w:rPr>
        <w:t>48 h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内就开始给予肠内营养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感染并发症</w:t>
      </w:r>
      <w:r>
        <w:rPr>
          <w:sz w:val="19"/>
          <w:szCs w:val="19"/>
          <w:color w:val="231F20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病死率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和多器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官功能障碍均可显著降低</w:t>
      </w:r>
      <w:r>
        <w:rPr>
          <w:sz w:val="11"/>
          <w:szCs w:val="11"/>
          <w:color w:val="231F20"/>
          <w:spacing w:val="9"/>
          <w:position w:val="5"/>
        </w:rPr>
        <w:t>[6-8]</w:t>
      </w:r>
      <w:r>
        <w:rPr>
          <w:sz w:val="19"/>
          <w:szCs w:val="19"/>
          <w:color w:val="231F20"/>
          <w:spacing w:val="9"/>
          <w:position w:val="-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对于肠内营养的途径</w:t>
      </w:r>
      <w:r>
        <w:rPr>
          <w:sz w:val="19"/>
          <w:szCs w:val="19"/>
          <w:color w:val="231F20"/>
          <w:spacing w:val="9"/>
          <w:position w:val="-1"/>
        </w:rPr>
        <w:t>，</w:t>
      </w:r>
      <w:r>
        <w:rPr>
          <w:sz w:val="19"/>
          <w:szCs w:val="19"/>
          <w:color w:val="231F20"/>
          <w:spacing w:val="1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认为轻症胰腺炎经口进食</w:t>
      </w:r>
      <w:r>
        <w:rPr>
          <w:rFonts w:ascii="SimSun" w:hAnsi="SimSun" w:eastAsia="SimSun" w:cs="SimSun"/>
          <w:sz w:val="19"/>
          <w:szCs w:val="19"/>
          <w:color w:val="231F20"/>
          <w:spacing w:val="-46"/>
        </w:rPr>
        <w:t xml:space="preserve"> </w:t>
      </w:r>
      <w:r>
        <w:rPr>
          <w:sz w:val="19"/>
          <w:szCs w:val="19"/>
          <w:color w:val="231F20"/>
          <w:spacing w:val="16"/>
        </w:rPr>
        <w:t>，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中重症及重症经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鼻空肠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管进食可以减少胰腺的分泌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从而避免加重病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情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但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是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有报道指出通过鼻胃管也是安全有效的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并不会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恶化病情</w:t>
      </w:r>
      <w:r>
        <w:rPr>
          <w:sz w:val="11"/>
          <w:szCs w:val="11"/>
          <w:color w:val="231F20"/>
          <w:spacing w:val="9"/>
          <w:position w:val="5"/>
        </w:rPr>
        <w:t>[9-11]</w:t>
      </w:r>
      <w:r>
        <w:rPr>
          <w:sz w:val="11"/>
          <w:szCs w:val="11"/>
          <w:color w:val="231F20"/>
          <w:spacing w:val="2"/>
          <w:position w:val="5"/>
        </w:rPr>
        <w:t xml:space="preserve"> </w:t>
      </w:r>
      <w:r>
        <w:rPr>
          <w:sz w:val="19"/>
          <w:szCs w:val="19"/>
          <w:color w:val="231F20"/>
          <w:spacing w:val="9"/>
          <w:position w:val="-1"/>
        </w:rPr>
        <w:t>。</w:t>
      </w:r>
      <w:r>
        <w:rPr>
          <w:sz w:val="19"/>
          <w:szCs w:val="19"/>
          <w:color w:val="231F20"/>
          <w:spacing w:val="-1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由于部分患者不能耐受鼻胃管</w:t>
      </w:r>
      <w:r>
        <w:rPr>
          <w:sz w:val="19"/>
          <w:szCs w:val="19"/>
          <w:color w:val="231F20"/>
          <w:spacing w:val="9"/>
          <w:position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有学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者认为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14"/>
        </w:rPr>
        <w:t>，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口服和鼻空肠营养管喂养对胰腺刺激的程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度是非常相似的</w:t>
      </w:r>
      <w:r>
        <w:rPr>
          <w:sz w:val="11"/>
          <w:szCs w:val="11"/>
          <w:color w:val="231F20"/>
          <w:spacing w:val="10"/>
          <w:position w:val="6"/>
        </w:rPr>
        <w:t>[</w:t>
      </w:r>
      <w:r>
        <w:rPr>
          <w:sz w:val="11"/>
          <w:szCs w:val="11"/>
          <w:color w:val="231F20"/>
          <w:spacing w:val="-11"/>
          <w:position w:val="6"/>
        </w:rPr>
        <w:t xml:space="preserve"> </w:t>
      </w:r>
      <w:r>
        <w:rPr>
          <w:sz w:val="11"/>
          <w:szCs w:val="11"/>
          <w:color w:val="231F20"/>
          <w:spacing w:val="10"/>
          <w:position w:val="6"/>
        </w:rPr>
        <w:t>3</w:t>
      </w:r>
      <w:r>
        <w:rPr>
          <w:sz w:val="11"/>
          <w:szCs w:val="11"/>
          <w:color w:val="231F20"/>
          <w:spacing w:val="-18"/>
          <w:position w:val="6"/>
        </w:rPr>
        <w:t xml:space="preserve"> </w:t>
      </w:r>
      <w:r>
        <w:rPr>
          <w:sz w:val="11"/>
          <w:szCs w:val="11"/>
          <w:color w:val="231F20"/>
          <w:spacing w:val="10"/>
          <w:position w:val="6"/>
        </w:rPr>
        <w:t>]</w:t>
      </w:r>
      <w:r>
        <w:rPr>
          <w:sz w:val="11"/>
          <w:szCs w:val="11"/>
          <w:color w:val="231F20"/>
          <w:spacing w:val="-7"/>
          <w:position w:val="6"/>
        </w:rPr>
        <w:t xml:space="preserve"> </w:t>
      </w:r>
      <w:r>
        <w:rPr>
          <w:sz w:val="19"/>
          <w:szCs w:val="19"/>
          <w:color w:val="231F20"/>
          <w:spacing w:val="10"/>
          <w:position w:val="-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本项目按照循证方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法学理论</w:t>
      </w:r>
      <w:r>
        <w:rPr>
          <w:sz w:val="19"/>
          <w:szCs w:val="19"/>
          <w:color w:val="231F20"/>
          <w:spacing w:val="9"/>
          <w:position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系</w:t>
      </w:r>
    </w:p>
    <w:p>
      <w:pPr>
        <w:spacing w:line="230" w:lineRule="auto"/>
        <w:sectPr>
          <w:type w:val="continuous"/>
          <w:pgSz w:w="11905" w:h="16836"/>
          <w:pgMar w:top="1314" w:right="1072" w:bottom="0" w:left="407" w:header="852" w:footer="0" w:gutter="0"/>
          <w:cols w:equalWidth="0" w:num="2">
            <w:col w:w="5636" w:space="100"/>
            <w:col w:w="4688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125" w:lineRule="exact"/>
        <w:rPr/>
      </w:pPr>
      <w:r/>
    </w:p>
    <w:p>
      <w:pPr>
        <w:spacing w:line="125" w:lineRule="exact"/>
        <w:sectPr>
          <w:headerReference w:type="default" r:id="rId4"/>
          <w:pgSz w:w="11905" w:h="16836"/>
          <w:pgMar w:top="1360" w:right="1058" w:bottom="0" w:left="407" w:header="1025" w:footer="0" w:gutter="0"/>
          <w:cols w:equalWidth="0" w:num="1">
            <w:col w:w="10438" w:space="0"/>
          </w:cols>
        </w:sectPr>
        <w:rPr/>
      </w:pPr>
    </w:p>
    <w:p>
      <w:pPr>
        <w:pStyle w:val="BodyText"/>
        <w:ind w:left="738" w:right="306" w:firstLine="5"/>
        <w:spacing w:before="47" w:line="245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统检索国内外关于急性胰腺炎患者早期经口进食的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证据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严格评价文献质量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汇总最佳证据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将最佳证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据应用于急性胰腺炎患者</w:t>
      </w:r>
      <w:r>
        <w:rPr>
          <w:sz w:val="20"/>
          <w:szCs w:val="20"/>
          <w:color w:val="231F20"/>
          <w:spacing w:val="18"/>
          <w:position w:val="-1"/>
        </w:rPr>
        <w:t>,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以期提高医护人员对最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佳证据的知晓率</w:t>
      </w:r>
      <w:r>
        <w:rPr>
          <w:rFonts w:ascii="SimSun" w:hAnsi="SimSun" w:eastAsia="SimSun" w:cs="SimSun"/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5"/>
        </w:rPr>
        <w:t>，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并提高医务人员应用证据的依从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性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促进急性胰腺炎患者早日康复</w:t>
      </w:r>
      <w:r>
        <w:rPr>
          <w:sz w:val="19"/>
          <w:szCs w:val="19"/>
          <w:color w:val="231F20"/>
          <w:spacing w:val="12"/>
        </w:rPr>
        <w:t>。</w:t>
      </w:r>
    </w:p>
    <w:p>
      <w:pPr>
        <w:pStyle w:val="BodyText"/>
        <w:ind w:left="747"/>
        <w:spacing w:before="287" w:line="185" w:lineRule="auto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7"/>
          <w:position w:val="-1"/>
        </w:rPr>
        <w:t>1</w:t>
      </w:r>
      <w:r>
        <w:rPr>
          <w:sz w:val="20"/>
          <w:szCs w:val="20"/>
          <w:color w:val="231F20"/>
          <w:spacing w:val="14"/>
          <w:w w:val="101"/>
          <w:position w:val="-1"/>
        </w:rPr>
        <w:t xml:space="preserve">   </w:t>
      </w:r>
      <w:r>
        <w:rPr>
          <w:rFonts w:ascii="SimHei" w:hAnsi="SimHei" w:eastAsia="SimHei" w:cs="SimHei"/>
          <w:sz w:val="19"/>
          <w:szCs w:val="19"/>
          <w:color w:val="231F20"/>
          <w:spacing w:val="7"/>
        </w:rPr>
        <w:t>证据总结</w:t>
      </w:r>
    </w:p>
    <w:p>
      <w:pPr>
        <w:pStyle w:val="BodyText"/>
        <w:ind w:left="738" w:right="228" w:firstLine="6"/>
        <w:spacing w:before="45" w:line="237" w:lineRule="auto"/>
        <w:jc w:val="both"/>
        <w:rPr>
          <w:sz w:val="19"/>
          <w:szCs w:val="19"/>
        </w:rPr>
      </w:pPr>
      <w:r>
        <w:rPr>
          <w:rFonts w:ascii="NSimSun" w:hAnsi="NSimSun" w:eastAsia="NSimSun" w:cs="NSimSun"/>
          <w:sz w:val="20"/>
          <w:szCs w:val="20"/>
          <w:color w:val="231F20"/>
          <w:spacing w:val="15"/>
        </w:rPr>
        <w:t>1.</w:t>
      </w:r>
      <w:r>
        <w:rPr>
          <w:rFonts w:ascii="NSimSun" w:hAnsi="NSimSun" w:eastAsia="NSimSun" w:cs="NSimSun"/>
          <w:sz w:val="20"/>
          <w:szCs w:val="20"/>
          <w:color w:val="231F20"/>
          <w:spacing w:val="-41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231F20"/>
          <w:spacing w:val="15"/>
        </w:rPr>
        <w:t>1</w:t>
      </w:r>
      <w:r>
        <w:rPr>
          <w:rFonts w:ascii="NSimSun" w:hAnsi="NSimSun" w:eastAsia="NSimSun" w:cs="NSimSun"/>
          <w:sz w:val="20"/>
          <w:szCs w:val="20"/>
          <w:color w:val="231F20"/>
          <w:spacing w:val="3"/>
        </w:rPr>
        <w:t xml:space="preserve">  </w:t>
      </w:r>
      <w:r>
        <w:rPr>
          <w:rFonts w:ascii="NSimSun" w:hAnsi="NSimSun" w:eastAsia="NSimSun" w:cs="NSimSun"/>
          <w:sz w:val="20"/>
          <w:szCs w:val="20"/>
          <w:color w:val="231F20"/>
          <w:spacing w:val="15"/>
        </w:rPr>
        <w:t>循证问题构建</w:t>
      </w:r>
      <w:r>
        <w:rPr>
          <w:rFonts w:ascii="NSimSun" w:hAnsi="NSimSun" w:eastAsia="NSimSun" w:cs="NSimSun"/>
          <w:sz w:val="20"/>
          <w:szCs w:val="20"/>
          <w:color w:val="231F20"/>
          <w:spacing w:val="15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本项目采用证据应用为目的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的</w:t>
      </w:r>
      <w:r>
        <w:rPr>
          <w:rFonts w:ascii="SimSun" w:hAnsi="SimSun" w:eastAsia="SimSun" w:cs="SimSun"/>
          <w:sz w:val="19"/>
          <w:szCs w:val="19"/>
          <w:color w:val="231F20"/>
          <w:spacing w:val="-25"/>
        </w:rPr>
        <w:t xml:space="preserve"> </w:t>
      </w:r>
      <w:r>
        <w:rPr>
          <w:sz w:val="20"/>
          <w:szCs w:val="20"/>
          <w:color w:val="231F20"/>
        </w:rPr>
        <w:t>PIPOST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形式构建循证问题</w:t>
      </w:r>
      <w:r>
        <w:rPr>
          <w:sz w:val="11"/>
          <w:szCs w:val="11"/>
          <w:color w:val="231F20"/>
          <w:spacing w:val="4"/>
          <w:position w:val="6"/>
        </w:rPr>
        <w:t>[12]</w:t>
      </w:r>
      <w:r>
        <w:rPr>
          <w:sz w:val="19"/>
          <w:szCs w:val="19"/>
          <w:color w:val="231F20"/>
          <w:spacing w:val="-31"/>
          <w:w w:val="70"/>
        </w:rPr>
        <w:t>，（</w:t>
      </w:r>
      <w:r>
        <w:rPr>
          <w:sz w:val="20"/>
          <w:szCs w:val="20"/>
          <w:color w:val="231F20"/>
          <w:spacing w:val="4"/>
        </w:rPr>
        <w:t>1</w:t>
      </w:r>
      <w:r>
        <w:rPr>
          <w:sz w:val="19"/>
          <w:szCs w:val="19"/>
          <w:color w:val="231F20"/>
          <w:spacing w:val="4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证据应用</w:t>
      </w:r>
      <w:r>
        <w:rPr>
          <w:rFonts w:ascii="SimSun" w:hAnsi="SimSun" w:eastAsia="SimSun" w:cs="SimSun"/>
          <w:sz w:val="19"/>
          <w:szCs w:val="19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的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目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标人群</w:t>
      </w:r>
      <w:r>
        <w:rPr>
          <w:sz w:val="19"/>
          <w:szCs w:val="19"/>
          <w:color w:val="231F20"/>
          <w:spacing w:val="6"/>
        </w:rPr>
        <w:t>（</w:t>
      </w:r>
      <w:r>
        <w:rPr>
          <w:sz w:val="20"/>
          <w:szCs w:val="20"/>
          <w:color w:val="231F20"/>
        </w:rPr>
        <w:t>Population</w:t>
      </w:r>
      <w:r>
        <w:rPr>
          <w:sz w:val="19"/>
          <w:szCs w:val="19"/>
          <w:color w:val="231F20"/>
          <w:spacing w:val="6"/>
        </w:rPr>
        <w:t>，</w:t>
      </w:r>
      <w:r>
        <w:rPr>
          <w:sz w:val="20"/>
          <w:szCs w:val="20"/>
          <w:color w:val="231F20"/>
          <w:spacing w:val="6"/>
        </w:rPr>
        <w:t>P</w:t>
      </w:r>
      <w:r>
        <w:rPr>
          <w:sz w:val="19"/>
          <w:szCs w:val="19"/>
          <w:color w:val="231F20"/>
          <w:spacing w:val="-32"/>
          <w:w w:val="62"/>
        </w:rPr>
        <w:t>）：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成人急性胰腺炎住院患者</w:t>
      </w:r>
      <w:r>
        <w:rPr>
          <w:sz w:val="19"/>
          <w:szCs w:val="19"/>
          <w:color w:val="231F20"/>
          <w:spacing w:val="6"/>
        </w:rPr>
        <w:t>，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年龄</w:t>
      </w:r>
      <w:r>
        <w:rPr>
          <w:rFonts w:ascii="SimSun" w:hAnsi="SimSun" w:eastAsia="SimSun" w:cs="SimSun"/>
          <w:sz w:val="19"/>
          <w:szCs w:val="19"/>
          <w:color w:val="231F20"/>
          <w:spacing w:val="-53"/>
        </w:rPr>
        <w:t xml:space="preserve"> </w:t>
      </w:r>
      <w:r>
        <w:rPr>
          <w:sz w:val="20"/>
          <w:szCs w:val="20"/>
          <w:color w:val="231F20"/>
          <w:spacing w:val="-10"/>
        </w:rPr>
        <w:t>≥ 18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岁</w:t>
      </w:r>
      <w:r>
        <w:rPr>
          <w:sz w:val="19"/>
          <w:szCs w:val="19"/>
          <w:color w:val="231F20"/>
          <w:spacing w:val="-10"/>
        </w:rPr>
        <w:t>。（</w:t>
      </w:r>
      <w:r>
        <w:rPr>
          <w:sz w:val="20"/>
          <w:szCs w:val="20"/>
          <w:color w:val="231F20"/>
          <w:spacing w:val="-10"/>
        </w:rPr>
        <w:t>2</w:t>
      </w:r>
      <w:r>
        <w:rPr>
          <w:sz w:val="19"/>
          <w:szCs w:val="19"/>
          <w:color w:val="231F20"/>
          <w:spacing w:val="-10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干预措施</w:t>
      </w:r>
      <w:r>
        <w:rPr>
          <w:sz w:val="19"/>
          <w:szCs w:val="19"/>
          <w:color w:val="231F20"/>
          <w:spacing w:val="-10"/>
        </w:rPr>
        <w:t>（</w:t>
      </w:r>
      <w:r>
        <w:rPr>
          <w:sz w:val="20"/>
          <w:szCs w:val="20"/>
          <w:color w:val="231F20"/>
          <w:spacing w:val="-10"/>
        </w:rPr>
        <w:t>Intervention</w:t>
      </w:r>
      <w:r>
        <w:rPr>
          <w:sz w:val="19"/>
          <w:szCs w:val="19"/>
          <w:color w:val="231F20"/>
          <w:spacing w:val="-10"/>
        </w:rPr>
        <w:t>，</w:t>
      </w:r>
      <w:r>
        <w:rPr>
          <w:sz w:val="20"/>
          <w:szCs w:val="20"/>
          <w:color w:val="231F20"/>
          <w:spacing w:val="-10"/>
        </w:rPr>
        <w:t>I</w:t>
      </w:r>
      <w:r>
        <w:rPr>
          <w:sz w:val="19"/>
          <w:szCs w:val="19"/>
          <w:color w:val="231F20"/>
          <w:spacing w:val="-33"/>
          <w:w w:val="64"/>
        </w:rPr>
        <w:t>）：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早期进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食</w:t>
      </w:r>
      <w:r>
        <w:rPr>
          <w:sz w:val="19"/>
          <w:szCs w:val="19"/>
          <w:color w:val="231F20"/>
          <w:spacing w:val="-7"/>
        </w:rPr>
        <w:t>。（</w:t>
      </w:r>
      <w:r>
        <w:rPr>
          <w:sz w:val="20"/>
          <w:szCs w:val="20"/>
          <w:color w:val="231F20"/>
          <w:spacing w:val="-7"/>
        </w:rPr>
        <w:t>3</w:t>
      </w:r>
      <w:r>
        <w:rPr>
          <w:sz w:val="19"/>
          <w:szCs w:val="19"/>
          <w:color w:val="231F20"/>
          <w:spacing w:val="-7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证据应用的实施者</w:t>
      </w:r>
      <w:r>
        <w:rPr>
          <w:sz w:val="19"/>
          <w:szCs w:val="19"/>
          <w:color w:val="231F20"/>
          <w:spacing w:val="-7"/>
        </w:rPr>
        <w:t>（</w:t>
      </w:r>
      <w:r>
        <w:rPr>
          <w:sz w:val="20"/>
          <w:szCs w:val="20"/>
          <w:color w:val="231F20"/>
          <w:spacing w:val="-7"/>
        </w:rPr>
        <w:t>Professional</w:t>
      </w:r>
      <w:r>
        <w:rPr>
          <w:sz w:val="19"/>
          <w:szCs w:val="19"/>
          <w:color w:val="231F20"/>
          <w:spacing w:val="-7"/>
        </w:rPr>
        <w:t>，</w:t>
      </w:r>
      <w:r>
        <w:rPr>
          <w:sz w:val="20"/>
          <w:szCs w:val="20"/>
          <w:color w:val="231F20"/>
          <w:spacing w:val="-7"/>
        </w:rPr>
        <w:t>P</w:t>
      </w:r>
      <w:r>
        <w:rPr>
          <w:sz w:val="19"/>
          <w:szCs w:val="19"/>
          <w:color w:val="231F20"/>
          <w:spacing w:val="-34"/>
          <w:w w:val="66"/>
        </w:rPr>
        <w:t>）：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普外科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医护人员</w:t>
      </w:r>
      <w:r>
        <w:rPr>
          <w:rFonts w:ascii="SimSun" w:hAnsi="SimSun" w:eastAsia="SimSun" w:cs="SimSun"/>
          <w:sz w:val="19"/>
          <w:szCs w:val="19"/>
          <w:color w:val="231F20"/>
          <w:spacing w:val="-56"/>
        </w:rPr>
        <w:t xml:space="preserve"> </w:t>
      </w:r>
      <w:r>
        <w:rPr>
          <w:sz w:val="19"/>
          <w:szCs w:val="19"/>
          <w:color w:val="231F20"/>
          <w:spacing w:val="-10"/>
        </w:rPr>
        <w:t>。（</w:t>
      </w:r>
      <w:r>
        <w:rPr>
          <w:sz w:val="20"/>
          <w:szCs w:val="20"/>
          <w:color w:val="231F20"/>
          <w:spacing w:val="-10"/>
        </w:rPr>
        <w:t>4</w:t>
      </w:r>
      <w:r>
        <w:rPr>
          <w:sz w:val="19"/>
          <w:szCs w:val="19"/>
          <w:color w:val="231F20"/>
          <w:spacing w:val="-10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结局</w:t>
      </w:r>
      <w:r>
        <w:rPr>
          <w:sz w:val="19"/>
          <w:szCs w:val="19"/>
          <w:color w:val="231F20"/>
          <w:spacing w:val="-10"/>
        </w:rPr>
        <w:t>（</w:t>
      </w:r>
      <w:r>
        <w:rPr>
          <w:sz w:val="20"/>
          <w:szCs w:val="20"/>
          <w:color w:val="231F20"/>
          <w:spacing w:val="-10"/>
        </w:rPr>
        <w:t>Outcome</w:t>
      </w:r>
      <w:r>
        <w:rPr>
          <w:sz w:val="19"/>
          <w:szCs w:val="19"/>
          <w:color w:val="231F20"/>
          <w:spacing w:val="-10"/>
        </w:rPr>
        <w:t>，</w:t>
      </w:r>
      <w:r>
        <w:rPr>
          <w:sz w:val="20"/>
          <w:szCs w:val="20"/>
          <w:color w:val="231F20"/>
          <w:spacing w:val="-10"/>
        </w:rPr>
        <w:t>O</w:t>
      </w:r>
      <w:r>
        <w:rPr>
          <w:sz w:val="19"/>
          <w:szCs w:val="19"/>
          <w:color w:val="231F20"/>
          <w:spacing w:val="-45"/>
          <w:w w:val="87"/>
        </w:rPr>
        <w:t>）：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医护人员依据证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据为急性胰腺炎患者早期经口进食的知晓率和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执行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率</w:t>
      </w:r>
      <w:r>
        <w:rPr>
          <w:sz w:val="19"/>
          <w:szCs w:val="19"/>
          <w:color w:val="231F20"/>
          <w:spacing w:val="5"/>
        </w:rPr>
        <w:t>；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患者腹痛发生率</w:t>
      </w:r>
      <w:r>
        <w:rPr>
          <w:sz w:val="19"/>
          <w:szCs w:val="19"/>
          <w:color w:val="231F20"/>
          <w:spacing w:val="5"/>
        </w:rPr>
        <w:t>；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患者血清淀粉酶</w:t>
      </w:r>
      <w:r>
        <w:rPr>
          <w:sz w:val="19"/>
          <w:szCs w:val="19"/>
          <w:color w:val="231F20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脂肪酶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变化</w:t>
      </w:r>
      <w:r>
        <w:rPr>
          <w:sz w:val="19"/>
          <w:szCs w:val="19"/>
          <w:color w:val="231F20"/>
          <w:spacing w:val="4"/>
        </w:rPr>
        <w:t>。</w:t>
      </w:r>
    </w:p>
    <w:p>
      <w:pPr>
        <w:pStyle w:val="BodyText"/>
        <w:ind w:left="734" w:right="226" w:hanging="74"/>
        <w:spacing w:line="219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-11"/>
        </w:rPr>
        <w:t>（</w:t>
      </w:r>
      <w:r>
        <w:rPr>
          <w:sz w:val="20"/>
          <w:szCs w:val="20"/>
          <w:color w:val="231F20"/>
          <w:spacing w:val="-11"/>
        </w:rPr>
        <w:t>5</w:t>
      </w:r>
      <w:r>
        <w:rPr>
          <w:sz w:val="19"/>
          <w:szCs w:val="19"/>
          <w:color w:val="231F20"/>
          <w:spacing w:val="-11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证据应用场所</w:t>
      </w:r>
      <w:r>
        <w:rPr>
          <w:sz w:val="19"/>
          <w:szCs w:val="19"/>
          <w:color w:val="231F20"/>
          <w:spacing w:val="-11"/>
        </w:rPr>
        <w:t>（</w:t>
      </w:r>
      <w:r>
        <w:rPr>
          <w:sz w:val="20"/>
          <w:szCs w:val="20"/>
          <w:color w:val="231F20"/>
          <w:spacing w:val="-11"/>
        </w:rPr>
        <w:t>Setting</w:t>
      </w:r>
      <w:r>
        <w:rPr>
          <w:sz w:val="19"/>
          <w:szCs w:val="19"/>
          <w:color w:val="231F20"/>
          <w:spacing w:val="-11"/>
        </w:rPr>
        <w:t>，</w:t>
      </w:r>
      <w:r>
        <w:rPr>
          <w:sz w:val="20"/>
          <w:szCs w:val="20"/>
          <w:color w:val="231F20"/>
          <w:spacing w:val="-11"/>
        </w:rPr>
        <w:t>S</w:t>
      </w:r>
      <w:r>
        <w:rPr>
          <w:sz w:val="19"/>
          <w:szCs w:val="19"/>
          <w:color w:val="231F20"/>
          <w:spacing w:val="-32"/>
          <w:w w:val="62"/>
        </w:rPr>
        <w:t>）：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普外科病房</w:t>
      </w:r>
      <w:r>
        <w:rPr>
          <w:sz w:val="19"/>
          <w:szCs w:val="19"/>
          <w:color w:val="231F20"/>
          <w:spacing w:val="-11"/>
        </w:rPr>
        <w:t>。（</w:t>
      </w:r>
      <w:r>
        <w:rPr>
          <w:sz w:val="20"/>
          <w:szCs w:val="20"/>
          <w:color w:val="231F20"/>
          <w:spacing w:val="-11"/>
        </w:rPr>
        <w:t>6</w:t>
      </w:r>
      <w:r>
        <w:rPr>
          <w:sz w:val="19"/>
          <w:szCs w:val="19"/>
          <w:color w:val="231F20"/>
          <w:spacing w:val="-11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证据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资源</w:t>
      </w:r>
      <w:r>
        <w:rPr>
          <w:rFonts w:ascii="SimSun" w:hAnsi="SimSun" w:eastAsia="SimSun" w:cs="SimSun"/>
          <w:sz w:val="19"/>
          <w:szCs w:val="19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的类型</w:t>
      </w:r>
      <w:r>
        <w:rPr>
          <w:sz w:val="19"/>
          <w:szCs w:val="19"/>
          <w:color w:val="231F20"/>
          <w:spacing w:val="-6"/>
        </w:rPr>
        <w:t>（</w:t>
      </w:r>
      <w:r>
        <w:rPr>
          <w:sz w:val="20"/>
          <w:szCs w:val="20"/>
          <w:color w:val="231F20"/>
          <w:spacing w:val="-6"/>
        </w:rPr>
        <w:t>Type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evidence</w:t>
      </w:r>
      <w:r>
        <w:rPr>
          <w:sz w:val="19"/>
          <w:szCs w:val="19"/>
          <w:color w:val="231F20"/>
          <w:spacing w:val="-6"/>
        </w:rPr>
        <w:t>，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19"/>
          <w:szCs w:val="19"/>
          <w:color w:val="231F20"/>
          <w:spacing w:val="-35"/>
          <w:w w:val="67"/>
        </w:rPr>
        <w:t>）：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指南</w:t>
      </w:r>
      <w:r>
        <w:rPr>
          <w:sz w:val="19"/>
          <w:szCs w:val="19"/>
          <w:color w:val="231F20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系统评价</w:t>
      </w:r>
      <w:r>
        <w:rPr>
          <w:sz w:val="19"/>
          <w:szCs w:val="19"/>
          <w:color w:val="231F20"/>
          <w:spacing w:val="-6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0"/>
          <w:position w:val="1"/>
        </w:rPr>
        <w:t>证据总结</w:t>
      </w:r>
      <w:r>
        <w:rPr>
          <w:sz w:val="19"/>
          <w:szCs w:val="19"/>
          <w:color w:val="231F20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随机对照研究</w:t>
      </w:r>
      <w:r>
        <w:rPr>
          <w:sz w:val="19"/>
          <w:szCs w:val="19"/>
          <w:color w:val="231F20"/>
          <w:spacing w:val="-10"/>
        </w:rPr>
        <w:t>（</w:t>
      </w:r>
      <w:r>
        <w:rPr>
          <w:sz w:val="20"/>
          <w:szCs w:val="20"/>
          <w:color w:val="231F20"/>
          <w:spacing w:val="-10"/>
        </w:rPr>
        <w:t>randomized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controlled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trial,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1"/>
        </w:rPr>
        <w:t>RCT</w:t>
      </w:r>
      <w:r>
        <w:rPr>
          <w:sz w:val="19"/>
          <w:szCs w:val="19"/>
          <w:color w:val="231F20"/>
          <w:spacing w:val="-21"/>
        </w:rPr>
        <w:t>）。</w:t>
      </w:r>
    </w:p>
    <w:p>
      <w:pPr>
        <w:pStyle w:val="BodyText"/>
        <w:ind w:left="660" w:right="205" w:firstLine="84"/>
        <w:spacing w:before="4" w:line="223" w:lineRule="auto"/>
        <w:jc w:val="both"/>
        <w:rPr>
          <w:sz w:val="19"/>
          <w:szCs w:val="19"/>
        </w:rPr>
      </w:pPr>
      <w:r>
        <w:rPr>
          <w:rFonts w:ascii="NSimSun" w:hAnsi="NSimSun" w:eastAsia="NSimSun" w:cs="NSimSun"/>
          <w:sz w:val="20"/>
          <w:szCs w:val="20"/>
          <w:color w:val="231F20"/>
          <w:spacing w:val="-3"/>
        </w:rPr>
        <w:t>1.2</w:t>
      </w:r>
      <w:r>
        <w:rPr>
          <w:rFonts w:ascii="NSimSun" w:hAnsi="NSimSun" w:eastAsia="NSimSun" w:cs="NSimSun"/>
          <w:sz w:val="20"/>
          <w:szCs w:val="20"/>
          <w:color w:val="231F20"/>
          <w:spacing w:val="-3"/>
        </w:rPr>
        <w:t xml:space="preserve">  </w:t>
      </w:r>
      <w:r>
        <w:rPr>
          <w:rFonts w:ascii="NSimSun" w:hAnsi="NSimSun" w:eastAsia="NSimSun" w:cs="NSimSun"/>
          <w:sz w:val="20"/>
          <w:szCs w:val="20"/>
          <w:color w:val="231F20"/>
          <w:spacing w:val="-3"/>
        </w:rPr>
        <w:t>证据检索</w:t>
      </w:r>
      <w:r>
        <w:rPr>
          <w:rFonts w:ascii="NSimSun" w:hAnsi="NSimSun" w:eastAsia="NSimSun" w:cs="NSimSun"/>
          <w:sz w:val="20"/>
          <w:szCs w:val="20"/>
          <w:color w:val="231F20"/>
          <w:spacing w:val="-3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遵循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3"/>
        </w:rPr>
        <w:t>Brain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Haynes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等提出的</w:t>
      </w:r>
      <w:r>
        <w:rPr>
          <w:rFonts w:ascii="SimSun" w:hAnsi="SimSun" w:eastAsia="SimSun" w:cs="SimSun"/>
          <w:sz w:val="19"/>
          <w:szCs w:val="19"/>
          <w:color w:val="231F20"/>
          <w:spacing w:val="-67"/>
        </w:rPr>
        <w:t xml:space="preserve"> </w:t>
      </w:r>
      <w:r>
        <w:rPr>
          <w:sz w:val="19"/>
          <w:szCs w:val="19"/>
          <w:color w:val="231F20"/>
          <w:spacing w:val="-3"/>
        </w:rPr>
        <w:t>“</w:t>
      </w:r>
      <w:r>
        <w:rPr>
          <w:sz w:val="20"/>
          <w:szCs w:val="20"/>
          <w:color w:val="231F20"/>
          <w:spacing w:val="-3"/>
        </w:rPr>
        <w:t>6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19"/>
          <w:szCs w:val="19"/>
          <w:color w:val="231F20"/>
          <w:spacing w:val="-3"/>
        </w:rPr>
        <w:t>”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金字塔模型</w:t>
      </w:r>
      <w:r>
        <w:rPr>
          <w:sz w:val="11"/>
          <w:szCs w:val="11"/>
          <w:color w:val="231F20"/>
          <w:spacing w:val="16"/>
          <w:position w:val="5"/>
        </w:rPr>
        <w:t>[13]</w:t>
      </w:r>
      <w:r>
        <w:rPr>
          <w:sz w:val="19"/>
          <w:szCs w:val="19"/>
          <w:color w:val="231F20"/>
          <w:spacing w:val="16"/>
          <w:position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进行系统化的检索</w:t>
      </w:r>
      <w:r>
        <w:rPr>
          <w:rFonts w:ascii="SimSun" w:hAnsi="SimSun" w:eastAsia="SimSun" w:cs="SimSun"/>
          <w:sz w:val="19"/>
          <w:szCs w:val="19"/>
          <w:color w:val="231F20"/>
          <w:spacing w:val="-53"/>
        </w:rPr>
        <w:t xml:space="preserve"> </w:t>
      </w:r>
      <w:r>
        <w:rPr>
          <w:sz w:val="19"/>
          <w:szCs w:val="19"/>
          <w:color w:val="231F20"/>
          <w:spacing w:val="16"/>
          <w:position w:val="-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检索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中文关键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词</w:t>
      </w:r>
      <w:r>
        <w:rPr>
          <w:sz w:val="19"/>
          <w:szCs w:val="19"/>
          <w:color w:val="231F20"/>
          <w:spacing w:val="4"/>
        </w:rPr>
        <w:t>：“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胰腺炎</w:t>
      </w:r>
      <w:r>
        <w:rPr>
          <w:sz w:val="20"/>
          <w:szCs w:val="20"/>
          <w:color w:val="231F20"/>
          <w:spacing w:val="4"/>
        </w:rPr>
        <w:t>/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急性胰腺炎</w:t>
      </w:r>
      <w:r>
        <w:rPr>
          <w:rFonts w:ascii="SimSun" w:hAnsi="SimSun" w:eastAsia="SimSun" w:cs="SimSun"/>
          <w:sz w:val="19"/>
          <w:szCs w:val="19"/>
          <w:color w:val="231F20"/>
          <w:spacing w:val="-65"/>
        </w:rPr>
        <w:t xml:space="preserve"> </w:t>
      </w:r>
      <w:r>
        <w:rPr>
          <w:sz w:val="19"/>
          <w:szCs w:val="19"/>
          <w:color w:val="231F20"/>
          <w:spacing w:val="4"/>
        </w:rPr>
        <w:t>”</w:t>
      </w:r>
      <w:r>
        <w:rPr>
          <w:sz w:val="20"/>
          <w:szCs w:val="20"/>
          <w:color w:val="231F20"/>
          <w:spacing w:val="4"/>
          <w:position w:val="-1"/>
        </w:rPr>
        <w:t>,</w:t>
      </w:r>
      <w:r>
        <w:rPr>
          <w:sz w:val="19"/>
          <w:szCs w:val="19"/>
          <w:color w:val="231F20"/>
          <w:spacing w:val="4"/>
        </w:rPr>
        <w:t>“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早期进食</w:t>
      </w:r>
      <w:r>
        <w:rPr>
          <w:sz w:val="20"/>
          <w:szCs w:val="20"/>
          <w:color w:val="231F20"/>
          <w:spacing w:val="4"/>
        </w:rPr>
        <w:t>/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经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口进食</w:t>
      </w:r>
      <w:r>
        <w:rPr>
          <w:sz w:val="20"/>
          <w:szCs w:val="20"/>
          <w:color w:val="231F20"/>
          <w:spacing w:val="3"/>
        </w:rPr>
        <w:t>/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口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服进食</w:t>
      </w:r>
      <w:r>
        <w:rPr>
          <w:rFonts w:ascii="SimSun" w:hAnsi="SimSun" w:eastAsia="SimSun" w:cs="SimSun"/>
          <w:sz w:val="19"/>
          <w:szCs w:val="19"/>
          <w:color w:val="231F20"/>
          <w:spacing w:val="-62"/>
        </w:rPr>
        <w:t xml:space="preserve"> </w:t>
      </w:r>
      <w:r>
        <w:rPr>
          <w:sz w:val="19"/>
          <w:szCs w:val="19"/>
          <w:color w:val="231F20"/>
          <w:spacing w:val="-11"/>
        </w:rPr>
        <w:t>”。 </w:t>
      </w:r>
      <w:r>
        <w:rPr>
          <w:rFonts w:ascii="SimSun" w:hAnsi="SimSun" w:eastAsia="SimSun" w:cs="SimSun"/>
          <w:sz w:val="19"/>
          <w:szCs w:val="19"/>
          <w:color w:val="231F20"/>
          <w:spacing w:val="-11"/>
          <w:position w:val="1"/>
        </w:rPr>
        <w:t>英</w:t>
      </w:r>
      <w:r>
        <w:rPr>
          <w:rFonts w:ascii="SimSun" w:hAnsi="SimSun" w:eastAsia="SimSun" w:cs="SimSun"/>
          <w:sz w:val="19"/>
          <w:szCs w:val="19"/>
          <w:color w:val="231F20"/>
          <w:spacing w:val="-5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1"/>
          <w:position w:val="1"/>
        </w:rPr>
        <w:t>文</w:t>
      </w:r>
      <w:r>
        <w:rPr>
          <w:rFonts w:ascii="SimSun" w:hAnsi="SimSun" w:eastAsia="SimSun" w:cs="SimSun"/>
          <w:sz w:val="19"/>
          <w:szCs w:val="19"/>
          <w:color w:val="231F20"/>
          <w:spacing w:val="-5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1"/>
          <w:position w:val="1"/>
        </w:rPr>
        <w:t>关键</w:t>
      </w:r>
      <w:r>
        <w:rPr>
          <w:rFonts w:ascii="SimSun" w:hAnsi="SimSun" w:eastAsia="SimSun" w:cs="SimSun"/>
          <w:sz w:val="19"/>
          <w:szCs w:val="19"/>
          <w:color w:val="231F20"/>
          <w:spacing w:val="-5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1"/>
          <w:position w:val="1"/>
        </w:rPr>
        <w:t>词</w:t>
      </w:r>
      <w:r>
        <w:rPr>
          <w:sz w:val="19"/>
          <w:szCs w:val="19"/>
          <w:color w:val="231F20"/>
          <w:spacing w:val="-11"/>
        </w:rPr>
        <w:t>：“</w:t>
      </w:r>
      <w:r>
        <w:rPr>
          <w:sz w:val="20"/>
          <w:szCs w:val="20"/>
          <w:color w:val="231F20"/>
          <w:spacing w:val="-11"/>
        </w:rPr>
        <w:t>pancreatitis/acute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11"/>
        </w:rPr>
        <w:t>panc</w:t>
      </w:r>
      <w:r>
        <w:rPr>
          <w:sz w:val="20"/>
          <w:szCs w:val="20"/>
          <w:color w:val="231F20"/>
          <w:spacing w:val="-12"/>
        </w:rPr>
        <w:t>re-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2"/>
        </w:rPr>
        <w:t>atitis</w:t>
      </w:r>
      <w:r>
        <w:rPr>
          <w:sz w:val="19"/>
          <w:szCs w:val="19"/>
          <w:color w:val="231F20"/>
          <w:spacing w:val="-22"/>
        </w:rPr>
        <w:t>”，“</w:t>
      </w:r>
      <w:r>
        <w:rPr>
          <w:sz w:val="20"/>
          <w:szCs w:val="20"/>
          <w:color w:val="231F20"/>
          <w:spacing w:val="-22"/>
        </w:rPr>
        <w:t>early  mouth/oral</w:t>
      </w:r>
      <w:r>
        <w:rPr>
          <w:sz w:val="19"/>
          <w:szCs w:val="19"/>
          <w:color w:val="231F20"/>
          <w:spacing w:val="-22"/>
        </w:rPr>
        <w:t>”，“</w:t>
      </w:r>
      <w:r>
        <w:rPr>
          <w:sz w:val="20"/>
          <w:szCs w:val="20"/>
          <w:color w:val="231F20"/>
          <w:spacing w:val="-22"/>
        </w:rPr>
        <w:t>feeding/nutrition/intake</w:t>
      </w:r>
      <w:r>
        <w:rPr>
          <w:sz w:val="19"/>
          <w:szCs w:val="19"/>
          <w:color w:val="231F20"/>
          <w:spacing w:val="-22"/>
        </w:rPr>
        <w:t>”。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检索资源包括计算机决策支持系统</w:t>
      </w:r>
      <w:r>
        <w:rPr>
          <w:sz w:val="19"/>
          <w:szCs w:val="19"/>
          <w:color w:val="231F20"/>
          <w:spacing w:val="11"/>
        </w:rPr>
        <w:t>：</w:t>
      </w:r>
      <w:r>
        <w:rPr>
          <w:sz w:val="20"/>
          <w:szCs w:val="20"/>
          <w:color w:val="231F20"/>
        </w:rPr>
        <w:t>BMJ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</w:rPr>
        <w:t>Best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</w:rPr>
        <w:t>Prac</w:t>
      </w:r>
      <w:r>
        <w:rPr>
          <w:sz w:val="20"/>
          <w:szCs w:val="20"/>
          <w:color w:val="231F20"/>
          <w:spacing w:val="11"/>
        </w:rPr>
        <w:t>-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position w:val="-1"/>
        </w:rPr>
        <w:t>tice</w:t>
      </w:r>
      <w:r>
        <w:rPr>
          <w:sz w:val="20"/>
          <w:szCs w:val="20"/>
          <w:color w:val="231F20"/>
          <w:spacing w:val="-30"/>
          <w:position w:val="-1"/>
        </w:rPr>
        <w:t xml:space="preserve"> </w:t>
      </w:r>
      <w:r>
        <w:rPr>
          <w:sz w:val="19"/>
          <w:szCs w:val="19"/>
          <w:color w:val="231F20"/>
          <w:spacing w:val="15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指南相关网站</w:t>
      </w:r>
      <w:r>
        <w:rPr>
          <w:sz w:val="19"/>
          <w:szCs w:val="19"/>
          <w:color w:val="231F20"/>
          <w:spacing w:val="15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英国国家医疗保健优化研究所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3"/>
        </w:rPr>
        <w:t>（</w:t>
      </w:r>
      <w:r>
        <w:rPr>
          <w:sz w:val="20"/>
          <w:szCs w:val="20"/>
          <w:color w:val="231F20"/>
          <w:spacing w:val="-13"/>
        </w:rPr>
        <w:t>National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13"/>
        </w:rPr>
        <w:t>Institute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3"/>
        </w:rPr>
        <w:t>for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13"/>
        </w:rPr>
        <w:t>Healthand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13"/>
        </w:rPr>
        <w:t>Care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13"/>
        </w:rPr>
        <w:t>Excellence</w:t>
      </w:r>
      <w:r>
        <w:rPr>
          <w:sz w:val="19"/>
          <w:szCs w:val="19"/>
          <w:color w:val="231F20"/>
          <w:spacing w:val="-13"/>
        </w:rPr>
        <w:t>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44" w:line="223" w:lineRule="auto"/>
        <w:jc w:val="both"/>
        <w:rPr>
          <w:sz w:val="19"/>
          <w:szCs w:val="19"/>
        </w:rPr>
      </w:pPr>
      <w:r>
        <w:rPr>
          <w:sz w:val="20"/>
          <w:szCs w:val="20"/>
          <w:color w:val="231F20"/>
        </w:rPr>
        <w:t>NICE</w:t>
      </w:r>
      <w:r>
        <w:rPr>
          <w:sz w:val="19"/>
          <w:szCs w:val="19"/>
          <w:color w:val="231F20"/>
          <w:spacing w:val="-26"/>
          <w:w w:val="58"/>
        </w:rPr>
        <w:t>），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医脉通</w:t>
      </w:r>
      <w:r>
        <w:rPr>
          <w:sz w:val="19"/>
          <w:szCs w:val="19"/>
          <w:color w:val="231F20"/>
          <w:spacing w:val="4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循证资源数据库</w:t>
      </w:r>
      <w:r>
        <w:rPr>
          <w:sz w:val="20"/>
          <w:szCs w:val="20"/>
          <w:color w:val="231F20"/>
          <w:spacing w:val="4"/>
        </w:rPr>
        <w:t>:</w:t>
      </w:r>
      <w:r>
        <w:rPr>
          <w:sz w:val="20"/>
          <w:szCs w:val="20"/>
          <w:color w:val="231F20"/>
        </w:rPr>
        <w:t>JBI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图书馆</w:t>
      </w:r>
      <w:r>
        <w:rPr>
          <w:sz w:val="19"/>
          <w:szCs w:val="19"/>
          <w:color w:val="231F20"/>
          <w:spacing w:val="4"/>
        </w:rPr>
        <w:t>、</w:t>
      </w:r>
      <w:r>
        <w:rPr>
          <w:sz w:val="20"/>
          <w:szCs w:val="20"/>
          <w:color w:val="231F20"/>
        </w:rPr>
        <w:t>UpTo</w:t>
      </w:r>
      <w:r>
        <w:rPr>
          <w:sz w:val="20"/>
          <w:szCs w:val="20"/>
          <w:color w:val="231F20"/>
          <w:spacing w:val="4"/>
        </w:rPr>
        <w:t>-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1"/>
        </w:rPr>
        <w:t>Date</w:t>
      </w:r>
      <w:r>
        <w:rPr>
          <w:sz w:val="19"/>
          <w:szCs w:val="19"/>
          <w:color w:val="231F20"/>
          <w:spacing w:val="-11"/>
        </w:rPr>
        <w:t>、</w:t>
      </w:r>
      <w:r>
        <w:rPr>
          <w:sz w:val="20"/>
          <w:szCs w:val="20"/>
          <w:color w:val="231F20"/>
          <w:spacing w:val="-11"/>
        </w:rPr>
        <w:t>Cochrane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1"/>
        </w:rPr>
        <w:t>Library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-11"/>
        </w:rPr>
        <w:t>。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原始研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究</w:t>
      </w:r>
      <w:r>
        <w:rPr>
          <w:rFonts w:ascii="SimSun" w:hAnsi="SimSun" w:eastAsia="SimSun" w:cs="SimSun"/>
          <w:sz w:val="19"/>
          <w:szCs w:val="19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数据</w:t>
      </w:r>
      <w:r>
        <w:rPr>
          <w:rFonts w:ascii="SimSun" w:hAnsi="SimSun" w:eastAsia="SimSun" w:cs="SimSun"/>
          <w:sz w:val="19"/>
          <w:szCs w:val="19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库</w:t>
      </w:r>
      <w:r>
        <w:rPr>
          <w:rFonts w:ascii="SimSun" w:hAnsi="SimSun" w:eastAsia="SimSun" w:cs="SimSun"/>
          <w:sz w:val="19"/>
          <w:szCs w:val="19"/>
          <w:color w:val="231F20"/>
          <w:spacing w:val="-56"/>
        </w:rPr>
        <w:t xml:space="preserve"> </w:t>
      </w:r>
      <w:r>
        <w:rPr>
          <w:sz w:val="20"/>
          <w:szCs w:val="20"/>
          <w:color w:val="231F20"/>
          <w:spacing w:val="-11"/>
        </w:rPr>
        <w:t>:PubM</w:t>
      </w:r>
      <w:r>
        <w:rPr>
          <w:sz w:val="20"/>
          <w:szCs w:val="20"/>
          <w:color w:val="231F20"/>
          <w:spacing w:val="-12"/>
        </w:rPr>
        <w:t>ed</w:t>
      </w:r>
      <w:r>
        <w:rPr>
          <w:sz w:val="19"/>
          <w:szCs w:val="19"/>
          <w:color w:val="231F20"/>
          <w:spacing w:val="-12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-14"/>
        </w:rPr>
        <w:t>Web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4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4"/>
        </w:rPr>
        <w:t>Science</w:t>
      </w:r>
      <w:r>
        <w:rPr>
          <w:sz w:val="19"/>
          <w:szCs w:val="19"/>
          <w:color w:val="231F20"/>
          <w:spacing w:val="-14"/>
        </w:rPr>
        <w:t>、</w:t>
      </w:r>
      <w:r>
        <w:rPr>
          <w:sz w:val="20"/>
          <w:szCs w:val="20"/>
          <w:color w:val="231F20"/>
          <w:spacing w:val="-14"/>
        </w:rPr>
        <w:t>CINAHL</w:t>
      </w:r>
      <w:r>
        <w:rPr>
          <w:sz w:val="19"/>
          <w:szCs w:val="19"/>
          <w:color w:val="231F20"/>
          <w:spacing w:val="-14"/>
        </w:rPr>
        <w:t>、</w:t>
      </w:r>
      <w:r>
        <w:rPr>
          <w:sz w:val="20"/>
          <w:szCs w:val="20"/>
          <w:color w:val="231F20"/>
          <w:spacing w:val="-14"/>
        </w:rPr>
        <w:t>EMbase</w:t>
      </w:r>
      <w:r>
        <w:rPr>
          <w:sz w:val="19"/>
          <w:szCs w:val="19"/>
          <w:color w:val="231F20"/>
          <w:spacing w:val="-14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-14"/>
        </w:rPr>
        <w:t>万方数据库</w:t>
      </w:r>
      <w:r>
        <w:rPr>
          <w:sz w:val="19"/>
          <w:szCs w:val="19"/>
          <w:color w:val="231F20"/>
          <w:spacing w:val="-14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-14"/>
        </w:rPr>
        <w:t>中国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知网</w:t>
      </w:r>
      <w:r>
        <w:rPr>
          <w:sz w:val="19"/>
          <w:szCs w:val="19"/>
          <w:color w:val="231F20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维普数据库</w:t>
      </w:r>
      <w:r>
        <w:rPr>
          <w:sz w:val="19"/>
          <w:szCs w:val="19"/>
          <w:color w:val="231F20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并补充检索设计良好的随机对照试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</w:rPr>
        <w:t>验</w:t>
      </w:r>
      <w:r>
        <w:rPr>
          <w:sz w:val="19"/>
          <w:szCs w:val="19"/>
          <w:color w:val="231F2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</w:rPr>
        <w:t>通过</w:t>
      </w:r>
      <w:r>
        <w:rPr>
          <w:rFonts w:ascii="SimSun" w:hAnsi="SimSun" w:eastAsia="SimSun" w:cs="SimSun"/>
          <w:sz w:val="19"/>
          <w:szCs w:val="19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Google </w:t>
      </w:r>
      <w:r>
        <w:rPr>
          <w:rFonts w:ascii="SimSun" w:hAnsi="SimSun" w:eastAsia="SimSun" w:cs="SimSun"/>
          <w:sz w:val="19"/>
          <w:szCs w:val="19"/>
          <w:color w:val="231F20"/>
        </w:rPr>
        <w:t>检索学术灰色文献</w:t>
      </w:r>
      <w:r>
        <w:rPr>
          <w:sz w:val="19"/>
          <w:szCs w:val="19"/>
          <w:color w:val="231F2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</w:rPr>
        <w:t>排除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无法获取数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据的文献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重复发表的文献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证据质量评价为低质量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的随机对照研究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sz w:val="19"/>
          <w:szCs w:val="19"/>
          <w:color w:val="231F20"/>
          <w:spacing w:val="4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检索时</w:t>
      </w:r>
      <w:r>
        <w:rPr>
          <w:rFonts w:ascii="SimSun" w:hAnsi="SimSun" w:eastAsia="SimSun" w:cs="SimSun"/>
          <w:sz w:val="19"/>
          <w:szCs w:val="19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间为</w:t>
      </w:r>
      <w:r>
        <w:rPr>
          <w:rFonts w:ascii="SimSun" w:hAnsi="SimSun" w:eastAsia="SimSun" w:cs="SimSun"/>
          <w:sz w:val="19"/>
          <w:szCs w:val="19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4"/>
        </w:rPr>
        <w:t>2013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年 </w:t>
      </w:r>
      <w:r>
        <w:rPr>
          <w:sz w:val="20"/>
          <w:szCs w:val="20"/>
          <w:color w:val="231F20"/>
          <w:spacing w:val="4"/>
        </w:rPr>
        <w:t>1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月</w:t>
      </w:r>
      <w:r>
        <w:rPr>
          <w:sz w:val="19"/>
          <w:szCs w:val="19"/>
          <w:color w:val="231F20"/>
          <w:spacing w:val="4"/>
        </w:rPr>
        <w:t>—</w:t>
      </w:r>
      <w:r>
        <w:rPr>
          <w:sz w:val="20"/>
          <w:szCs w:val="20"/>
          <w:color w:val="231F20"/>
          <w:spacing w:val="4"/>
        </w:rPr>
        <w:t>2018</w:t>
      </w:r>
      <w:r>
        <w:rPr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年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5"/>
        </w:rPr>
        <w:t>11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月</w:t>
      </w:r>
      <w:r>
        <w:rPr>
          <w:sz w:val="19"/>
          <w:szCs w:val="19"/>
          <w:color w:val="231F20"/>
          <w:spacing w:val="-5"/>
        </w:rPr>
        <w:t>（</w:t>
      </w:r>
      <w:r>
        <w:rPr>
          <w:sz w:val="20"/>
          <w:szCs w:val="20"/>
          <w:color w:val="231F20"/>
          <w:spacing w:val="-5"/>
        </w:rPr>
        <w:t>2013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年国内修订了急性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胰腺炎指南</w:t>
      </w:r>
      <w:r>
        <w:rPr>
          <w:sz w:val="11"/>
          <w:szCs w:val="11"/>
          <w:color w:val="231F20"/>
          <w:spacing w:val="-6"/>
          <w:position w:val="6"/>
        </w:rPr>
        <w:t>[14]</w:t>
      </w:r>
      <w:r>
        <w:rPr>
          <w:sz w:val="19"/>
          <w:szCs w:val="19"/>
          <w:color w:val="231F20"/>
          <w:spacing w:val="-27"/>
          <w:w w:val="96"/>
        </w:rPr>
        <w:t>）。</w:t>
      </w:r>
      <w:r>
        <w:rPr>
          <w:rFonts w:ascii="SimSun" w:hAnsi="SimSun" w:eastAsia="SimSun" w:cs="SimSun"/>
          <w:sz w:val="19"/>
          <w:szCs w:val="19"/>
          <w:color w:val="231F20"/>
          <w:spacing w:val="-27"/>
          <w:w w:val="96"/>
        </w:rPr>
        <w:t>当不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同来源的证据结论有冲突时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本研究遵循的纳入原则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为循证证据优先</w:t>
      </w:r>
      <w:r>
        <w:rPr>
          <w:sz w:val="19"/>
          <w:szCs w:val="19"/>
          <w:color w:val="231F20"/>
          <w:spacing w:val="4"/>
          <w:position w:val="-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高质量证据优先</w:t>
      </w:r>
      <w:r>
        <w:rPr>
          <w:sz w:val="19"/>
          <w:szCs w:val="19"/>
          <w:color w:val="231F20"/>
          <w:spacing w:val="4"/>
          <w:position w:val="-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近期发表优先</w:t>
      </w:r>
      <w:r>
        <w:rPr>
          <w:sz w:val="11"/>
          <w:szCs w:val="11"/>
          <w:color w:val="231F20"/>
          <w:spacing w:val="4"/>
          <w:position w:val="5"/>
        </w:rPr>
        <w:t>[15]</w:t>
      </w:r>
      <w:r>
        <w:rPr>
          <w:sz w:val="19"/>
          <w:szCs w:val="19"/>
          <w:color w:val="231F20"/>
          <w:spacing w:val="4"/>
          <w:position w:val="-1"/>
        </w:rPr>
        <w:t>。</w:t>
      </w:r>
      <w:r>
        <w:rPr>
          <w:sz w:val="19"/>
          <w:szCs w:val="19"/>
          <w:color w:val="231F20"/>
          <w:spacing w:val="1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共初步检索到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6"/>
          <w:position w:val="-1"/>
        </w:rPr>
        <w:t>6 485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篇文献</w:t>
      </w:r>
      <w:r>
        <w:rPr>
          <w:sz w:val="19"/>
          <w:szCs w:val="19"/>
          <w:color w:val="231F20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经筛选</w:t>
      </w:r>
      <w:r>
        <w:rPr>
          <w:sz w:val="19"/>
          <w:szCs w:val="19"/>
          <w:color w:val="231F20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最终获得符合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纳入标准文献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28</w:t>
      </w:r>
      <w:r>
        <w:rPr>
          <w:sz w:val="20"/>
          <w:szCs w:val="20"/>
          <w:color w:val="231F20"/>
          <w:spacing w:val="1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篇</w:t>
      </w:r>
      <w:r>
        <w:rPr>
          <w:sz w:val="19"/>
          <w:szCs w:val="19"/>
          <w:color w:val="231F20"/>
          <w:spacing w:val="-1"/>
          <w:position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包括指南 </w:t>
      </w:r>
      <w:r>
        <w:rPr>
          <w:sz w:val="20"/>
          <w:szCs w:val="20"/>
          <w:color w:val="231F20"/>
          <w:spacing w:val="-1"/>
          <w:position w:val="-1"/>
        </w:rPr>
        <w:t>10</w:t>
      </w:r>
      <w:r>
        <w:rPr>
          <w:sz w:val="20"/>
          <w:szCs w:val="20"/>
          <w:color w:val="231F20"/>
          <w:spacing w:val="1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篇</w:t>
      </w:r>
      <w:r>
        <w:rPr>
          <w:sz w:val="11"/>
          <w:szCs w:val="11"/>
          <w:color w:val="231F20"/>
          <w:spacing w:val="-1"/>
          <w:position w:val="5"/>
        </w:rPr>
        <w:t>[14</w:t>
      </w:r>
      <w:r>
        <w:rPr>
          <w:sz w:val="10"/>
          <w:szCs w:val="10"/>
          <w:color w:val="231F20"/>
          <w:spacing w:val="-1"/>
          <w:position w:val="6"/>
        </w:rPr>
        <w:t>，</w:t>
      </w:r>
      <w:r>
        <w:rPr>
          <w:sz w:val="11"/>
          <w:szCs w:val="11"/>
          <w:color w:val="231F20"/>
          <w:spacing w:val="-1"/>
          <w:position w:val="5"/>
        </w:rPr>
        <w:t>16-24]</w:t>
      </w:r>
      <w:r>
        <w:rPr>
          <w:sz w:val="19"/>
          <w:szCs w:val="19"/>
          <w:color w:val="231F20"/>
          <w:spacing w:val="-1"/>
          <w:position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专家共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识</w:t>
      </w:r>
      <w:r>
        <w:rPr>
          <w:rFonts w:ascii="SimSun" w:hAnsi="SimSun" w:eastAsia="SimSun" w:cs="SimSun"/>
          <w:sz w:val="19"/>
          <w:szCs w:val="19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5"/>
          <w:position w:val="-2"/>
        </w:rPr>
        <w:t>4</w:t>
      </w:r>
      <w:r>
        <w:rPr>
          <w:sz w:val="20"/>
          <w:szCs w:val="20"/>
          <w:color w:val="231F20"/>
          <w:spacing w:val="14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篇</w:t>
      </w:r>
      <w:r>
        <w:rPr>
          <w:sz w:val="11"/>
          <w:szCs w:val="11"/>
          <w:color w:val="231F20"/>
          <w:spacing w:val="-5"/>
          <w:position w:val="5"/>
        </w:rPr>
        <w:t>[25-28]</w:t>
      </w:r>
      <w:r>
        <w:rPr>
          <w:sz w:val="19"/>
          <w:szCs w:val="19"/>
          <w:color w:val="231F20"/>
          <w:position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</w:rPr>
        <w:t>系统评价和综述 </w:t>
      </w:r>
      <w:r>
        <w:rPr>
          <w:sz w:val="20"/>
          <w:szCs w:val="20"/>
          <w:color w:val="231F20"/>
          <w:position w:val="-2"/>
        </w:rPr>
        <w:t>11</w:t>
      </w:r>
      <w:r>
        <w:rPr>
          <w:sz w:val="20"/>
          <w:szCs w:val="20"/>
          <w:color w:val="231F20"/>
          <w:spacing w:val="15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篇</w:t>
      </w:r>
      <w:r>
        <w:rPr>
          <w:sz w:val="11"/>
          <w:szCs w:val="11"/>
          <w:color w:val="231F20"/>
          <w:position w:val="5"/>
        </w:rPr>
        <w:t>[29-39]</w:t>
      </w:r>
      <w:r>
        <w:rPr>
          <w:sz w:val="19"/>
          <w:szCs w:val="19"/>
          <w:color w:val="231F20"/>
          <w:position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</w:rPr>
        <w:t>随机对照研  </w:t>
      </w:r>
      <w:r>
        <w:rPr>
          <w:rFonts w:ascii="SimSun" w:hAnsi="SimSun" w:eastAsia="SimSun" w:cs="SimSun"/>
          <w:sz w:val="19"/>
          <w:szCs w:val="19"/>
          <w:color w:val="231F20"/>
          <w:spacing w:val="-6"/>
          <w:position w:val="-2"/>
        </w:rPr>
        <w:t>究</w:t>
      </w:r>
      <w:r>
        <w:rPr>
          <w:rFonts w:ascii="SimSun" w:hAnsi="SimSun" w:eastAsia="SimSun" w:cs="SimSun"/>
          <w:sz w:val="19"/>
          <w:szCs w:val="19"/>
          <w:color w:val="231F20"/>
          <w:spacing w:val="-24"/>
          <w:position w:val="-2"/>
        </w:rPr>
        <w:t xml:space="preserve"> </w:t>
      </w:r>
      <w:r>
        <w:rPr>
          <w:sz w:val="20"/>
          <w:szCs w:val="20"/>
          <w:color w:val="231F20"/>
          <w:spacing w:val="-6"/>
          <w:position w:val="-3"/>
        </w:rPr>
        <w:t>3</w:t>
      </w:r>
      <w:r>
        <w:rPr>
          <w:sz w:val="20"/>
          <w:szCs w:val="20"/>
          <w:color w:val="231F20"/>
          <w:spacing w:val="10"/>
          <w:position w:val="-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6"/>
          <w:position w:val="-2"/>
        </w:rPr>
        <w:t>篇</w:t>
      </w:r>
      <w:r>
        <w:rPr>
          <w:sz w:val="11"/>
          <w:szCs w:val="11"/>
          <w:color w:val="231F20"/>
          <w:spacing w:val="-6"/>
          <w:position w:val="4"/>
        </w:rPr>
        <w:t>[40-42]</w:t>
      </w:r>
      <w:r>
        <w:rPr>
          <w:sz w:val="19"/>
          <w:szCs w:val="19"/>
          <w:color w:val="231F20"/>
          <w:spacing w:val="-6"/>
          <w:position w:val="-3"/>
        </w:rPr>
        <w:t>。</w:t>
      </w:r>
    </w:p>
    <w:p>
      <w:pPr>
        <w:ind w:left="14"/>
        <w:spacing w:line="215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color w:val="231F20"/>
        </w:rPr>
        <w:t>1.3</w:t>
      </w:r>
      <w:r>
        <w:rPr>
          <w:rFonts w:ascii="NSimSun" w:hAnsi="NSimSun" w:eastAsia="NSimSun" w:cs="NSimSun"/>
          <w:sz w:val="20"/>
          <w:szCs w:val="20"/>
          <w:color w:val="231F20"/>
        </w:rPr>
        <w:t xml:space="preserve">  </w:t>
      </w:r>
      <w:r>
        <w:rPr>
          <w:rFonts w:ascii="NSimSun" w:hAnsi="NSimSun" w:eastAsia="NSimSun" w:cs="NSimSun"/>
          <w:sz w:val="20"/>
          <w:szCs w:val="20"/>
          <w:color w:val="231F20"/>
        </w:rPr>
        <w:t>文献质量评价</w:t>
      </w:r>
    </w:p>
    <w:p>
      <w:pPr>
        <w:pStyle w:val="BodyText"/>
        <w:ind w:right="13" w:firstLine="18"/>
        <w:spacing w:before="78" w:line="221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4"/>
        </w:rPr>
        <w:t>1.3.1</w:t>
      </w:r>
      <w:r>
        <w:rPr>
          <w:sz w:val="20"/>
          <w:szCs w:val="20"/>
          <w:color w:val="231F20"/>
          <w:spacing w:val="16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指南质量评价  本研究共纳入指南 </w:t>
      </w:r>
      <w:r>
        <w:rPr>
          <w:sz w:val="20"/>
          <w:szCs w:val="20"/>
          <w:color w:val="231F20"/>
          <w:spacing w:val="4"/>
        </w:rPr>
        <w:t>10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篇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由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项目组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13"/>
        </w:rPr>
        <w:t>3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名研究人员采用指南研究与评价工具</w:t>
      </w:r>
      <w:r>
        <w:rPr>
          <w:sz w:val="20"/>
          <w:szCs w:val="20"/>
          <w:color w:val="231F20"/>
          <w:spacing w:val="13"/>
        </w:rPr>
        <w:t>(</w:t>
      </w:r>
      <w:r>
        <w:rPr>
          <w:sz w:val="20"/>
          <w:szCs w:val="20"/>
          <w:color w:val="231F20"/>
        </w:rPr>
        <w:t>Ap</w:t>
      </w:r>
      <w:r>
        <w:rPr>
          <w:sz w:val="20"/>
          <w:szCs w:val="20"/>
          <w:color w:val="231F20"/>
          <w:spacing w:val="13"/>
          <w:position w:val="-1"/>
        </w:rPr>
        <w:t>-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-13"/>
        </w:rPr>
        <w:t>praisal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3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3"/>
        </w:rPr>
        <w:t>Guidelines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3"/>
        </w:rPr>
        <w:t>for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3"/>
        </w:rPr>
        <w:t>Research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3"/>
        </w:rPr>
        <w:t>＆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3"/>
        </w:rPr>
        <w:t>Evaluation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13"/>
        </w:rPr>
        <w:t>Ⅱ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-13"/>
        </w:rPr>
        <w:t>,</w:t>
      </w:r>
      <w:r>
        <w:rPr>
          <w:sz w:val="19"/>
          <w:szCs w:val="19"/>
          <w:color w:val="231F20"/>
        </w:rPr>
        <w:t xml:space="preserve">   </w:t>
      </w:r>
      <w:r>
        <w:rPr>
          <w:sz w:val="20"/>
          <w:szCs w:val="20"/>
          <w:color w:val="231F20"/>
        </w:rPr>
        <w:t>AGREE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</w:rPr>
        <w:t>II</w:t>
      </w:r>
      <w:r>
        <w:rPr>
          <w:sz w:val="20"/>
          <w:szCs w:val="20"/>
          <w:color w:val="231F20"/>
          <w:spacing w:val="7"/>
        </w:rPr>
        <w:t>)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进行评价</w:t>
      </w:r>
      <w:r>
        <w:rPr>
          <w:sz w:val="11"/>
          <w:szCs w:val="11"/>
          <w:color w:val="231F20"/>
          <w:spacing w:val="7"/>
          <w:position w:val="6"/>
        </w:rPr>
        <w:t>[43]</w:t>
      </w:r>
      <w:r>
        <w:rPr>
          <w:sz w:val="19"/>
          <w:szCs w:val="19"/>
          <w:color w:val="231F20"/>
          <w:spacing w:val="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针对范围和目的</w:t>
      </w:r>
      <w:r>
        <w:rPr>
          <w:sz w:val="19"/>
          <w:szCs w:val="19"/>
          <w:color w:val="231F20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牵涉人员</w:t>
      </w:r>
      <w:r>
        <w:rPr>
          <w:sz w:val="19"/>
          <w:szCs w:val="19"/>
          <w:color w:val="231F20"/>
          <w:spacing w:val="7"/>
        </w:rPr>
        <w:t>，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指南开发的严格性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指南呈现的清晰性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指南的适用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性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指南编撰的独立性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8"/>
          <w:position w:val="-1"/>
        </w:rPr>
        <w:t>6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个维度进行评价</w:t>
      </w:r>
      <w:r>
        <w:rPr>
          <w:sz w:val="19"/>
          <w:szCs w:val="19"/>
          <w:color w:val="231F20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各维度标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准化百分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比</w:t>
      </w:r>
      <w:r>
        <w:rPr>
          <w:sz w:val="20"/>
          <w:szCs w:val="20"/>
          <w:color w:val="231F20"/>
          <w:spacing w:val="2"/>
        </w:rPr>
        <w:t>=[</w:t>
      </w:r>
      <w:r>
        <w:rPr>
          <w:sz w:val="19"/>
          <w:szCs w:val="19"/>
          <w:color w:val="231F20"/>
          <w:spacing w:val="2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实</w:t>
      </w:r>
      <w:r>
        <w:rPr>
          <w:rFonts w:ascii="SimSun" w:hAnsi="SimSun" w:eastAsia="SimSun" w:cs="SimSun"/>
          <w:sz w:val="19"/>
          <w:szCs w:val="19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际得分</w:t>
      </w:r>
      <w:r>
        <w:rPr>
          <w:sz w:val="20"/>
          <w:szCs w:val="20"/>
          <w:color w:val="231F20"/>
          <w:spacing w:val="2"/>
          <w:position w:val="-1"/>
        </w:rPr>
        <w:t>-</w:t>
      </w:r>
      <w:r>
        <w:rPr>
          <w:sz w:val="20"/>
          <w:szCs w:val="20"/>
          <w:color w:val="231F20"/>
          <w:spacing w:val="-3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可能最低分</w:t>
      </w:r>
      <w:r>
        <w:rPr>
          <w:sz w:val="19"/>
          <w:szCs w:val="19"/>
          <w:color w:val="231F20"/>
          <w:spacing w:val="2"/>
        </w:rPr>
        <w:t>）</w:t>
      </w:r>
      <w:r>
        <w:rPr>
          <w:sz w:val="20"/>
          <w:szCs w:val="20"/>
          <w:color w:val="231F20"/>
          <w:spacing w:val="2"/>
        </w:rPr>
        <w:t>/</w:t>
      </w:r>
      <w:r>
        <w:rPr>
          <w:sz w:val="19"/>
          <w:szCs w:val="19"/>
          <w:color w:val="231F20"/>
          <w:spacing w:val="2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可能</w:t>
      </w:r>
      <w:r>
        <w:rPr>
          <w:rFonts w:ascii="SimSun" w:hAnsi="SimSun" w:eastAsia="SimSun" w:cs="SimSun"/>
          <w:sz w:val="19"/>
          <w:szCs w:val="19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的最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高分</w:t>
      </w:r>
      <w:r>
        <w:rPr>
          <w:sz w:val="20"/>
          <w:szCs w:val="20"/>
          <w:color w:val="231F20"/>
          <w:spacing w:val="3"/>
        </w:rPr>
        <w:t>-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可能最低分</w:t>
      </w:r>
      <w:r>
        <w:rPr>
          <w:sz w:val="19"/>
          <w:szCs w:val="19"/>
          <w:color w:val="231F20"/>
          <w:spacing w:val="3"/>
        </w:rPr>
        <w:t>）</w:t>
      </w:r>
      <w:r>
        <w:rPr>
          <w:sz w:val="20"/>
          <w:szCs w:val="20"/>
          <w:color w:val="231F20"/>
          <w:spacing w:val="3"/>
        </w:rPr>
        <w:t>]×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3"/>
        </w:rPr>
        <w:t>100%</w:t>
      </w:r>
      <w:r>
        <w:rPr>
          <w:sz w:val="19"/>
          <w:szCs w:val="19"/>
          <w:color w:val="231F20"/>
          <w:spacing w:val="3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结合指南各领域得分及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评价员的最终判断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sz w:val="19"/>
          <w:szCs w:val="19"/>
          <w:color w:val="231F20"/>
          <w:spacing w:val="11"/>
          <w:position w:val="-1"/>
        </w:rPr>
        <w:t>，</w:t>
      </w:r>
      <w:r>
        <w:rPr>
          <w:sz w:val="19"/>
          <w:szCs w:val="19"/>
          <w:color w:val="231F20"/>
          <w:spacing w:val="-3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将指南分为</w:t>
      </w:r>
      <w:r>
        <w:rPr>
          <w:rFonts w:ascii="SimSun" w:hAnsi="SimSun" w:eastAsia="SimSun" w:cs="SimSun"/>
          <w:sz w:val="19"/>
          <w:szCs w:val="19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11"/>
          <w:position w:val="-1"/>
        </w:rPr>
        <w:t>3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个推荐等级</w:t>
      </w:r>
      <w:r>
        <w:rPr>
          <w:sz w:val="11"/>
          <w:szCs w:val="11"/>
          <w:color w:val="231F20"/>
          <w:spacing w:val="11"/>
          <w:position w:val="6"/>
        </w:rPr>
        <w:t>[44</w:t>
      </w:r>
      <w:r>
        <w:rPr>
          <w:sz w:val="11"/>
          <w:szCs w:val="11"/>
          <w:color w:val="231F20"/>
          <w:spacing w:val="10"/>
          <w:position w:val="6"/>
        </w:rPr>
        <w:t>]</w:t>
      </w:r>
      <w:r>
        <w:rPr>
          <w:sz w:val="20"/>
          <w:szCs w:val="20"/>
          <w:color w:val="231F20"/>
          <w:spacing w:val="10"/>
          <w:position w:val="-1"/>
        </w:rPr>
        <w:t>:A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级</w:t>
      </w:r>
      <w:r>
        <w:rPr>
          <w:sz w:val="19"/>
          <w:szCs w:val="19"/>
          <w:color w:val="231F20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指南</w:t>
      </w:r>
      <w:r>
        <w:rPr>
          <w:rFonts w:ascii="SimSun" w:hAnsi="SimSun" w:eastAsia="SimSun" w:cs="SimSun"/>
          <w:sz w:val="19"/>
          <w:szCs w:val="19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2"/>
        </w:rPr>
        <w:t>6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个领域得分均</w:t>
      </w:r>
      <w:r>
        <w:rPr>
          <w:rFonts w:ascii="SimSun" w:hAnsi="SimSun" w:eastAsia="SimSun" w:cs="SimSun"/>
          <w:sz w:val="19"/>
          <w:szCs w:val="19"/>
          <w:color w:val="231F20"/>
          <w:spacing w:val="-50"/>
        </w:rPr>
        <w:t xml:space="preserve"> </w:t>
      </w:r>
      <w:r>
        <w:rPr>
          <w:sz w:val="20"/>
          <w:szCs w:val="20"/>
          <w:color w:val="231F20"/>
          <w:spacing w:val="2"/>
        </w:rPr>
        <w:t>≥60%</w:t>
      </w:r>
      <w:r>
        <w:rPr>
          <w:sz w:val="19"/>
          <w:szCs w:val="19"/>
          <w:color w:val="231F20"/>
          <w:spacing w:val="2"/>
        </w:rPr>
        <w:t>；</w:t>
      </w:r>
      <w:r>
        <w:rPr>
          <w:sz w:val="20"/>
          <w:szCs w:val="20"/>
          <w:color w:val="231F20"/>
          <w:spacing w:val="2"/>
        </w:rPr>
        <w:t>B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级</w:t>
      </w:r>
      <w:r>
        <w:rPr>
          <w:sz w:val="20"/>
          <w:szCs w:val="20"/>
          <w:color w:val="231F20"/>
          <w:spacing w:val="2"/>
        </w:rPr>
        <w:t>: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得分</w:t>
      </w:r>
      <w:r>
        <w:rPr>
          <w:rFonts w:ascii="SimSun" w:hAnsi="SimSun" w:eastAsia="SimSun" w:cs="SimSun"/>
          <w:sz w:val="19"/>
          <w:szCs w:val="19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2"/>
        </w:rPr>
        <w:t>≥30%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>领域数</w:t>
      </w:r>
      <w:r>
        <w:rPr>
          <w:rFonts w:ascii="SimSun" w:hAnsi="SimSun" w:eastAsia="SimSun" w:cs="SimSun"/>
          <w:sz w:val="19"/>
          <w:szCs w:val="19"/>
          <w:color w:val="231F20"/>
          <w:spacing w:val="-52"/>
        </w:rPr>
        <w:t xml:space="preserve"> </w:t>
      </w:r>
      <w:r>
        <w:rPr>
          <w:sz w:val="20"/>
          <w:szCs w:val="20"/>
          <w:color w:val="231F20"/>
          <w:spacing w:val="-8"/>
        </w:rPr>
        <w:t>≥3 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>个</w:t>
      </w:r>
      <w:r>
        <w:rPr>
          <w:sz w:val="19"/>
          <w:szCs w:val="19"/>
          <w:color w:val="231F20"/>
          <w:spacing w:val="-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>但有</w:t>
      </w:r>
      <w:r>
        <w:rPr>
          <w:sz w:val="20"/>
          <w:szCs w:val="20"/>
          <w:color w:val="231F20"/>
          <w:spacing w:val="-8"/>
        </w:rPr>
        <w:t>＜60%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>的领域</w:t>
      </w:r>
      <w:r>
        <w:rPr>
          <w:sz w:val="19"/>
          <w:szCs w:val="19"/>
          <w:color w:val="231F20"/>
          <w:spacing w:val="-8"/>
        </w:rPr>
        <w:t>；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>级</w:t>
      </w:r>
      <w:r>
        <w:rPr>
          <w:sz w:val="19"/>
          <w:szCs w:val="19"/>
          <w:color w:val="231F20"/>
          <w:spacing w:val="-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得分</w:t>
      </w:r>
      <w:r>
        <w:rPr>
          <w:sz w:val="20"/>
          <w:szCs w:val="20"/>
          <w:color w:val="231F20"/>
          <w:spacing w:val="-9"/>
        </w:rPr>
        <w:t>＜30%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领域数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sz w:val="20"/>
          <w:szCs w:val="20"/>
          <w:color w:val="231F20"/>
          <w:spacing w:val="13"/>
        </w:rPr>
        <w:t>≥3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个</w:t>
      </w:r>
      <w:r>
        <w:rPr>
          <w:sz w:val="19"/>
          <w:szCs w:val="19"/>
          <w:color w:val="231F20"/>
          <w:spacing w:val="13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标准化得分及质量评价结果见表</w:t>
      </w: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13"/>
          <w:position w:val="-1"/>
        </w:rPr>
        <w:t>1</w:t>
      </w:r>
      <w:r>
        <w:rPr>
          <w:sz w:val="19"/>
          <w:szCs w:val="19"/>
          <w:color w:val="231F20"/>
          <w:spacing w:val="13"/>
        </w:rPr>
        <w:t>。</w:t>
      </w:r>
    </w:p>
    <w:p>
      <w:pPr>
        <w:spacing w:line="221" w:lineRule="auto"/>
        <w:sectPr>
          <w:type w:val="continuous"/>
          <w:pgSz w:w="11905" w:h="16836"/>
          <w:pgMar w:top="1360" w:right="1058" w:bottom="0" w:left="407" w:header="1025" w:footer="0" w:gutter="0"/>
          <w:cols w:equalWidth="0" w:num="2">
            <w:col w:w="5646" w:space="100"/>
            <w:col w:w="4693" w:space="0"/>
          </w:cols>
        </w:sectPr>
        <w:rPr>
          <w:sz w:val="19"/>
          <w:szCs w:val="19"/>
        </w:rPr>
      </w:pPr>
    </w:p>
    <w:p>
      <w:pPr>
        <w:pStyle w:val="BodyText"/>
        <w:ind w:left="4505"/>
        <w:spacing w:before="288" w:line="179" w:lineRule="exact"/>
        <w:outlineLvl w:val="0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461010</wp:posOffset>
            </wp:positionH>
            <wp:positionV relativeFrom="paragraph">
              <wp:posOffset>-5531734</wp:posOffset>
            </wp:positionV>
            <wp:extent cx="6120129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1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  <w:color w:val="231F20"/>
          <w:spacing w:val="11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9"/>
        </w:rPr>
        <w:t xml:space="preserve"> </w:t>
      </w:r>
      <w:r>
        <w:rPr>
          <w:color w:val="231F20"/>
          <w:spacing w:val="11"/>
          <w:position w:val="-1"/>
        </w:rPr>
        <w:t>1</w:t>
      </w:r>
      <w:r>
        <w:rPr>
          <w:color w:val="231F20"/>
          <w:spacing w:val="12"/>
          <w:w w:val="101"/>
          <w:position w:val="-1"/>
        </w:rPr>
        <w:t xml:space="preserve">   </w:t>
      </w:r>
      <w:r>
        <w:rPr>
          <w:rFonts w:ascii="SimHei" w:hAnsi="SimHei" w:eastAsia="SimHei" w:cs="SimHei"/>
          <w:sz w:val="16"/>
          <w:szCs w:val="16"/>
          <w:color w:val="231F20"/>
          <w:spacing w:val="11"/>
        </w:rPr>
        <w:t>指南的质量评价结果</w:t>
      </w:r>
    </w:p>
    <w:tbl>
      <w:tblPr>
        <w:tblStyle w:val="TableNormal"/>
        <w:tblW w:w="9637" w:type="dxa"/>
        <w:tblInd w:w="7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66"/>
        <w:gridCol w:w="667"/>
        <w:gridCol w:w="732"/>
        <w:gridCol w:w="923"/>
        <w:gridCol w:w="954"/>
        <w:gridCol w:w="803"/>
        <w:gridCol w:w="946"/>
        <w:gridCol w:w="736"/>
        <w:gridCol w:w="705"/>
        <w:gridCol w:w="505"/>
      </w:tblGrid>
      <w:tr>
        <w:trPr>
          <w:trHeight w:val="443" w:hRule="atLeast"/>
        </w:trPr>
        <w:tc>
          <w:tcPr>
            <w:tcW w:w="266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022"/>
              <w:spacing w:before="149" w:line="21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作者</w:t>
            </w:r>
          </w:p>
        </w:tc>
        <w:tc>
          <w:tcPr>
            <w:tcW w:w="66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3" w:firstLine="31"/>
              <w:spacing w:before="39" w:line="215" w:lineRule="auto"/>
              <w:rPr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9"/>
              </w:rPr>
              <w:t>范围和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0"/>
              </w:rPr>
              <w:t>目的</w:t>
            </w:r>
            <w:r>
              <w:rPr>
                <w:sz w:val="14"/>
                <w:szCs w:val="14"/>
                <w:color w:val="231F20"/>
                <w:spacing w:val="-20"/>
              </w:rPr>
              <w:t>（</w:t>
            </w:r>
            <w:r>
              <w:rPr>
                <w:color w:val="231F20"/>
                <w:spacing w:val="-20"/>
              </w:rPr>
              <w:t>%</w:t>
            </w:r>
            <w:r>
              <w:rPr>
                <w:sz w:val="14"/>
                <w:szCs w:val="14"/>
                <w:color w:val="231F20"/>
                <w:spacing w:val="-20"/>
              </w:rPr>
              <w:t>）</w:t>
            </w:r>
          </w:p>
        </w:tc>
        <w:tc>
          <w:tcPr>
            <w:tcW w:w="73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62"/>
              <w:spacing w:before="39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牵涉人员</w:t>
            </w:r>
          </w:p>
          <w:p>
            <w:pPr>
              <w:pStyle w:val="TableText"/>
              <w:ind w:left="185"/>
              <w:spacing w:before="81" w:line="14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position w:val="-1"/>
              </w:rPr>
              <w:t>（</w:t>
            </w:r>
            <w:r>
              <w:rPr>
                <w:color w:val="231F20"/>
                <w:spacing w:val="-12"/>
                <w:position w:val="-1"/>
              </w:rPr>
              <w:t>%</w:t>
            </w:r>
            <w:r>
              <w:rPr>
                <w:sz w:val="14"/>
                <w:szCs w:val="14"/>
                <w:color w:val="231F20"/>
                <w:spacing w:val="-12"/>
                <w:position w:val="-1"/>
              </w:rPr>
              <w:t>）</w:t>
            </w:r>
          </w:p>
        </w:tc>
        <w:tc>
          <w:tcPr>
            <w:tcW w:w="92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4" w:right="39" w:hanging="22"/>
              <w:spacing w:before="39" w:line="215" w:lineRule="auto"/>
              <w:rPr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5"/>
              </w:rPr>
              <w:t>指南开发的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8"/>
              </w:rPr>
              <w:t>严格性</w:t>
            </w:r>
            <w:r>
              <w:rPr>
                <w:sz w:val="14"/>
                <w:szCs w:val="14"/>
                <w:color w:val="231F20"/>
                <w:spacing w:val="-8"/>
              </w:rPr>
              <w:t>（</w:t>
            </w:r>
            <w:r>
              <w:rPr>
                <w:color w:val="231F20"/>
                <w:spacing w:val="-8"/>
              </w:rPr>
              <w:t>%</w:t>
            </w:r>
            <w:r>
              <w:rPr>
                <w:sz w:val="14"/>
                <w:szCs w:val="14"/>
                <w:color w:val="231F20"/>
                <w:spacing w:val="-8"/>
              </w:rPr>
              <w:t>）</w:t>
            </w:r>
          </w:p>
        </w:tc>
        <w:tc>
          <w:tcPr>
            <w:tcW w:w="95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7" w:right="56" w:hanging="21"/>
              <w:spacing w:before="39" w:line="215" w:lineRule="auto"/>
              <w:rPr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5"/>
              </w:rPr>
              <w:t>指南呈现的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8"/>
              </w:rPr>
              <w:t>清晰性</w:t>
            </w:r>
            <w:r>
              <w:rPr>
                <w:sz w:val="14"/>
                <w:szCs w:val="14"/>
                <w:color w:val="231F20"/>
                <w:spacing w:val="-8"/>
              </w:rPr>
              <w:t>（</w:t>
            </w:r>
            <w:r>
              <w:rPr>
                <w:color w:val="231F20"/>
                <w:spacing w:val="-8"/>
              </w:rPr>
              <w:t>%</w:t>
            </w:r>
            <w:r>
              <w:rPr>
                <w:sz w:val="14"/>
                <w:szCs w:val="14"/>
                <w:color w:val="231F20"/>
                <w:spacing w:val="-8"/>
              </w:rPr>
              <w:t>）</w:t>
            </w:r>
          </w:p>
        </w:tc>
        <w:tc>
          <w:tcPr>
            <w:tcW w:w="80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4" w:right="48" w:hanging="22"/>
              <w:spacing w:before="39" w:line="215" w:lineRule="auto"/>
              <w:rPr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指南的适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3"/>
              </w:rPr>
              <w:t>用性</w:t>
            </w:r>
            <w:r>
              <w:rPr>
                <w:sz w:val="14"/>
                <w:szCs w:val="14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%</w:t>
            </w:r>
            <w:r>
              <w:rPr>
                <w:sz w:val="14"/>
                <w:szCs w:val="14"/>
                <w:color w:val="231F20"/>
                <w:spacing w:val="-13"/>
              </w:rPr>
              <w:t>）</w:t>
            </w:r>
          </w:p>
        </w:tc>
        <w:tc>
          <w:tcPr>
            <w:tcW w:w="94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0" w:right="45" w:hanging="21"/>
              <w:spacing w:before="39" w:line="215" w:lineRule="auto"/>
              <w:rPr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5"/>
              </w:rPr>
              <w:t>指南编撰的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8"/>
              </w:rPr>
              <w:t>独立性</w:t>
            </w:r>
            <w:r>
              <w:rPr>
                <w:sz w:val="14"/>
                <w:szCs w:val="14"/>
                <w:color w:val="231F20"/>
                <w:spacing w:val="-8"/>
              </w:rPr>
              <w:t>（</w:t>
            </w:r>
            <w:r>
              <w:rPr>
                <w:color w:val="231F20"/>
                <w:spacing w:val="-8"/>
              </w:rPr>
              <w:t>%</w:t>
            </w:r>
            <w:r>
              <w:rPr>
                <w:sz w:val="14"/>
                <w:szCs w:val="14"/>
                <w:color w:val="231F20"/>
                <w:spacing w:val="-8"/>
              </w:rPr>
              <w:t>）</w:t>
            </w:r>
          </w:p>
        </w:tc>
        <w:tc>
          <w:tcPr>
            <w:tcW w:w="73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5" w:right="84" w:hanging="42"/>
              <w:spacing w:before="39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-1"/>
              </w:rPr>
              <w:t>≥60%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的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3"/>
              </w:rPr>
              <w:t>领域数</w:t>
            </w:r>
          </w:p>
        </w:tc>
        <w:tc>
          <w:tcPr>
            <w:tcW w:w="70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3" w:right="102" w:hanging="26"/>
              <w:spacing w:before="39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-12"/>
              </w:rPr>
              <w:t>&lt;30%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2"/>
              </w:rPr>
              <w:t>的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3"/>
              </w:rPr>
              <w:t>领域数</w:t>
            </w:r>
          </w:p>
        </w:tc>
        <w:tc>
          <w:tcPr>
            <w:tcW w:w="50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15"/>
              <w:spacing w:before="40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推荐</w:t>
            </w:r>
          </w:p>
          <w:p>
            <w:pPr>
              <w:ind w:left="117"/>
              <w:spacing w:before="61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9"/>
              </w:rPr>
              <w:t>级别</w:t>
            </w:r>
          </w:p>
        </w:tc>
      </w:tr>
      <w:tr>
        <w:trPr>
          <w:trHeight w:val="210" w:hRule="atLeast"/>
        </w:trPr>
        <w:tc>
          <w:tcPr>
            <w:tcW w:w="26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"/>
              <w:spacing w:before="35" w:line="165" w:lineRule="exact"/>
              <w:rPr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6"/>
              </w:rPr>
              <w:t>中华医学会消化病学分会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6"/>
                <w:position w:val="-1"/>
              </w:rPr>
              <w:t>2013</w:t>
            </w:r>
            <w:r>
              <w:rPr>
                <w:sz w:val="8"/>
                <w:szCs w:val="8"/>
                <w:color w:val="231F20"/>
                <w:spacing w:val="6"/>
                <w:position w:val="4"/>
              </w:rPr>
              <w:t>[14]</w:t>
            </w:r>
          </w:p>
        </w:tc>
        <w:tc>
          <w:tcPr>
            <w:tcW w:w="6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7"/>
              <w:spacing w:before="59" w:line="141" w:lineRule="exact"/>
              <w:rPr/>
            </w:pPr>
            <w:r>
              <w:rPr>
                <w:color w:val="231F20"/>
                <w:spacing w:val="-6"/>
                <w:position w:val="-1"/>
              </w:rPr>
              <w:t>31.5</w:t>
            </w:r>
          </w:p>
        </w:tc>
        <w:tc>
          <w:tcPr>
            <w:tcW w:w="7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5"/>
              <w:spacing w:before="59" w:line="141" w:lineRule="exact"/>
              <w:rPr/>
            </w:pPr>
            <w:r>
              <w:rPr>
                <w:color w:val="231F20"/>
                <w:spacing w:val="-8"/>
                <w:position w:val="-1"/>
              </w:rPr>
              <w:t>18.5</w:t>
            </w:r>
          </w:p>
        </w:tc>
        <w:tc>
          <w:tcPr>
            <w:tcW w:w="9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14"/>
              <w:spacing w:before="59" w:line="141" w:lineRule="exact"/>
              <w:rPr/>
            </w:pPr>
            <w:r>
              <w:rPr>
                <w:color w:val="231F20"/>
                <w:spacing w:val="-8"/>
                <w:position w:val="-1"/>
              </w:rPr>
              <w:t>1.4</w:t>
            </w:r>
          </w:p>
        </w:tc>
        <w:tc>
          <w:tcPr>
            <w:tcW w:w="95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0"/>
              <w:spacing w:before="59" w:line="141" w:lineRule="exact"/>
              <w:rPr/>
            </w:pPr>
            <w:r>
              <w:rPr>
                <w:color w:val="231F20"/>
                <w:spacing w:val="-8"/>
                <w:position w:val="-1"/>
              </w:rPr>
              <w:t>16.7</w:t>
            </w:r>
          </w:p>
        </w:tc>
        <w:tc>
          <w:tcPr>
            <w:tcW w:w="8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7"/>
              <w:spacing w:before="59" w:line="141" w:lineRule="exact"/>
              <w:rPr/>
            </w:pPr>
            <w:r>
              <w:rPr>
                <w:color w:val="231F20"/>
                <w:spacing w:val="-8"/>
                <w:position w:val="-1"/>
              </w:rPr>
              <w:t>12.5</w:t>
            </w:r>
          </w:p>
        </w:tc>
        <w:tc>
          <w:tcPr>
            <w:tcW w:w="9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25"/>
              <w:spacing w:before="59" w:line="141" w:lineRule="exact"/>
              <w:rPr/>
            </w:pPr>
            <w:r>
              <w:rPr>
                <w:color w:val="231F20"/>
                <w:position w:val="-1"/>
              </w:rPr>
              <w:t>0</w:t>
            </w:r>
          </w:p>
        </w:tc>
        <w:tc>
          <w:tcPr>
            <w:tcW w:w="73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7"/>
              <w:spacing w:before="59" w:line="141" w:lineRule="exact"/>
              <w:rPr/>
            </w:pPr>
            <w:r>
              <w:rPr>
                <w:color w:val="231F20"/>
                <w:position w:val="-1"/>
              </w:rPr>
              <w:t>0</w:t>
            </w:r>
          </w:p>
        </w:tc>
        <w:tc>
          <w:tcPr>
            <w:tcW w:w="7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4"/>
              <w:spacing w:before="59" w:line="141" w:lineRule="exact"/>
              <w:rPr/>
            </w:pPr>
            <w:r>
              <w:rPr>
                <w:color w:val="231F20"/>
                <w:position w:val="-1"/>
              </w:rPr>
              <w:t>5</w:t>
            </w:r>
          </w:p>
        </w:tc>
        <w:tc>
          <w:tcPr>
            <w:tcW w:w="5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1"/>
              <w:spacing w:before="61" w:line="138" w:lineRule="exact"/>
              <w:rPr/>
            </w:pPr>
            <w:r>
              <w:rPr>
                <w:color w:val="231F20"/>
                <w:position w:val="-3"/>
              </w:rPr>
              <w:t>C</w:t>
            </w:r>
          </w:p>
        </w:tc>
      </w:tr>
      <w:tr>
        <w:trPr>
          <w:trHeight w:val="222" w:hRule="atLeast"/>
        </w:trPr>
        <w:tc>
          <w:tcPr>
            <w:tcW w:w="2666" w:type="dxa"/>
            <w:vAlign w:val="top"/>
          </w:tcPr>
          <w:p>
            <w:pPr>
              <w:pStyle w:val="TableText"/>
              <w:ind w:left="25"/>
              <w:spacing w:before="46" w:line="166" w:lineRule="exact"/>
              <w:rPr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7"/>
              </w:rPr>
              <w:t>中国医师协会急诊医师分会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7"/>
                <w:position w:val="-1"/>
              </w:rPr>
              <w:t>2013</w:t>
            </w:r>
            <w:r>
              <w:rPr>
                <w:sz w:val="8"/>
                <w:szCs w:val="8"/>
                <w:color w:val="231F20"/>
                <w:spacing w:val="7"/>
                <w:position w:val="4"/>
              </w:rPr>
              <w:t>[16]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197"/>
              <w:spacing w:before="70" w:line="142" w:lineRule="exact"/>
              <w:rPr/>
            </w:pPr>
            <w:r>
              <w:rPr>
                <w:color w:val="231F20"/>
                <w:spacing w:val="-5"/>
                <w:position w:val="-1"/>
              </w:rPr>
              <w:t>33.3</w:t>
            </w:r>
          </w:p>
        </w:tc>
        <w:tc>
          <w:tcPr>
            <w:tcW w:w="732" w:type="dxa"/>
            <w:vAlign w:val="top"/>
          </w:tcPr>
          <w:p>
            <w:pPr>
              <w:pStyle w:val="TableText"/>
              <w:ind w:left="234"/>
              <w:spacing w:before="70" w:line="142" w:lineRule="exact"/>
              <w:rPr/>
            </w:pPr>
            <w:r>
              <w:rPr>
                <w:color w:val="231F20"/>
                <w:spacing w:val="-5"/>
                <w:position w:val="-1"/>
              </w:rPr>
              <w:t>37.0</w:t>
            </w:r>
          </w:p>
        </w:tc>
        <w:tc>
          <w:tcPr>
            <w:tcW w:w="923" w:type="dxa"/>
            <w:vAlign w:val="top"/>
          </w:tcPr>
          <w:p>
            <w:pPr>
              <w:pStyle w:val="TableText"/>
              <w:ind w:left="401"/>
              <w:spacing w:before="70" w:line="142" w:lineRule="exact"/>
              <w:rPr/>
            </w:pPr>
            <w:r>
              <w:rPr>
                <w:color w:val="231F20"/>
                <w:spacing w:val="-4"/>
                <w:position w:val="-1"/>
              </w:rPr>
              <w:t>6.9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350"/>
              <w:spacing w:before="70" w:line="142" w:lineRule="exact"/>
              <w:rPr/>
            </w:pPr>
            <w:r>
              <w:rPr>
                <w:color w:val="231F20"/>
                <w:spacing w:val="-8"/>
                <w:position w:val="-1"/>
              </w:rPr>
              <w:t>16.7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274"/>
              <w:spacing w:before="70" w:line="142" w:lineRule="exact"/>
              <w:rPr/>
            </w:pPr>
            <w:r>
              <w:rPr>
                <w:color w:val="231F20"/>
                <w:spacing w:val="-5"/>
                <w:position w:val="-1"/>
              </w:rPr>
              <w:t>25.0</w:t>
            </w:r>
          </w:p>
        </w:tc>
        <w:tc>
          <w:tcPr>
            <w:tcW w:w="946" w:type="dxa"/>
            <w:vAlign w:val="top"/>
          </w:tcPr>
          <w:p>
            <w:pPr>
              <w:pStyle w:val="TableText"/>
              <w:ind w:left="425"/>
              <w:spacing w:before="70" w:line="142" w:lineRule="exact"/>
              <w:rPr/>
            </w:pPr>
            <w:r>
              <w:rPr>
                <w:color w:val="231F20"/>
                <w:position w:val="-1"/>
              </w:rPr>
              <w:t>0</w:t>
            </w:r>
          </w:p>
        </w:tc>
        <w:tc>
          <w:tcPr>
            <w:tcW w:w="736" w:type="dxa"/>
            <w:vAlign w:val="top"/>
          </w:tcPr>
          <w:p>
            <w:pPr>
              <w:pStyle w:val="TableText"/>
              <w:ind w:left="327"/>
              <w:spacing w:before="70" w:line="142" w:lineRule="exact"/>
              <w:rPr/>
            </w:pPr>
            <w:r>
              <w:rPr>
                <w:color w:val="231F20"/>
                <w:position w:val="-1"/>
              </w:rPr>
              <w:t>0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311"/>
              <w:spacing w:before="70" w:line="142" w:lineRule="exact"/>
              <w:rPr/>
            </w:pPr>
            <w:r>
              <w:rPr>
                <w:color w:val="231F20"/>
                <w:position w:val="-1"/>
              </w:rPr>
              <w:t>4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221"/>
              <w:spacing w:before="73" w:line="139" w:lineRule="exact"/>
              <w:rPr/>
            </w:pPr>
            <w:r>
              <w:rPr>
                <w:color w:val="231F20"/>
                <w:position w:val="-3"/>
              </w:rPr>
              <w:t>C</w:t>
            </w:r>
          </w:p>
        </w:tc>
      </w:tr>
      <w:tr>
        <w:trPr>
          <w:trHeight w:val="229" w:hRule="atLeast"/>
        </w:trPr>
        <w:tc>
          <w:tcPr>
            <w:tcW w:w="2666" w:type="dxa"/>
            <w:vAlign w:val="top"/>
          </w:tcPr>
          <w:p>
            <w:pPr>
              <w:pStyle w:val="TableText"/>
              <w:ind w:left="25"/>
              <w:spacing w:before="47" w:line="160" w:lineRule="auto"/>
              <w:rPr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5"/>
              </w:rPr>
              <w:t>中华医学会外科学分会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5"/>
                <w:position w:val="-1"/>
              </w:rPr>
              <w:t>2014</w:t>
            </w:r>
            <w:r>
              <w:rPr>
                <w:sz w:val="8"/>
                <w:szCs w:val="8"/>
                <w:color w:val="231F20"/>
                <w:spacing w:val="5"/>
                <w:position w:val="4"/>
              </w:rPr>
              <w:t>[17]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195"/>
              <w:spacing w:before="71" w:line="148" w:lineRule="exact"/>
              <w:rPr/>
            </w:pPr>
            <w:r>
              <w:rPr>
                <w:color w:val="231F20"/>
                <w:spacing w:val="-5"/>
                <w:position w:val="-1"/>
              </w:rPr>
              <w:t>24.1</w:t>
            </w:r>
          </w:p>
        </w:tc>
        <w:tc>
          <w:tcPr>
            <w:tcW w:w="732" w:type="dxa"/>
            <w:vAlign w:val="top"/>
          </w:tcPr>
          <w:p>
            <w:pPr>
              <w:pStyle w:val="TableText"/>
              <w:ind w:left="245"/>
              <w:spacing w:before="71" w:line="148" w:lineRule="exact"/>
              <w:rPr/>
            </w:pPr>
            <w:r>
              <w:rPr>
                <w:color w:val="231F20"/>
                <w:spacing w:val="-8"/>
                <w:position w:val="-1"/>
              </w:rPr>
              <w:t>11.1</w:t>
            </w:r>
          </w:p>
        </w:tc>
        <w:tc>
          <w:tcPr>
            <w:tcW w:w="923" w:type="dxa"/>
            <w:vAlign w:val="top"/>
          </w:tcPr>
          <w:p>
            <w:pPr>
              <w:pStyle w:val="TableText"/>
              <w:ind w:left="400"/>
              <w:spacing w:before="71" w:line="148" w:lineRule="exact"/>
              <w:rPr/>
            </w:pPr>
            <w:r>
              <w:rPr>
                <w:color w:val="231F20"/>
                <w:spacing w:val="-3"/>
                <w:position w:val="-1"/>
              </w:rPr>
              <w:t>0.7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350"/>
              <w:spacing w:before="71" w:line="148" w:lineRule="exact"/>
              <w:rPr/>
            </w:pPr>
            <w:r>
              <w:rPr>
                <w:color w:val="231F20"/>
                <w:spacing w:val="-8"/>
                <w:position w:val="-1"/>
              </w:rPr>
              <w:t>11.1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56"/>
              <w:spacing w:before="71" w:line="148" w:lineRule="exact"/>
              <w:rPr/>
            </w:pPr>
            <w:r>
              <w:rPr>
                <w:color w:val="231F20"/>
                <w:spacing w:val="-5"/>
                <w:position w:val="-1"/>
              </w:rPr>
              <w:t>8.3</w:t>
            </w:r>
          </w:p>
        </w:tc>
        <w:tc>
          <w:tcPr>
            <w:tcW w:w="946" w:type="dxa"/>
            <w:vAlign w:val="top"/>
          </w:tcPr>
          <w:p>
            <w:pPr>
              <w:pStyle w:val="TableText"/>
              <w:ind w:left="425"/>
              <w:spacing w:before="71" w:line="148" w:lineRule="exact"/>
              <w:rPr/>
            </w:pPr>
            <w:r>
              <w:rPr>
                <w:color w:val="231F20"/>
                <w:position w:val="-1"/>
              </w:rPr>
              <w:t>0</w:t>
            </w:r>
          </w:p>
        </w:tc>
        <w:tc>
          <w:tcPr>
            <w:tcW w:w="736" w:type="dxa"/>
            <w:vAlign w:val="top"/>
          </w:tcPr>
          <w:p>
            <w:pPr>
              <w:pStyle w:val="TableText"/>
              <w:ind w:left="327"/>
              <w:spacing w:before="71" w:line="148" w:lineRule="exact"/>
              <w:rPr/>
            </w:pPr>
            <w:r>
              <w:rPr>
                <w:color w:val="231F20"/>
                <w:position w:val="-1"/>
              </w:rPr>
              <w:t>0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315"/>
              <w:spacing w:before="71" w:line="148" w:lineRule="exact"/>
              <w:rPr/>
            </w:pPr>
            <w:r>
              <w:rPr>
                <w:color w:val="231F20"/>
                <w:position w:val="-1"/>
              </w:rPr>
              <w:t>6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221"/>
              <w:spacing w:before="74" w:line="145" w:lineRule="exact"/>
              <w:rPr/>
            </w:pPr>
            <w:r>
              <w:rPr>
                <w:color w:val="231F20"/>
                <w:position w:val="-3"/>
              </w:rPr>
              <w:t>C</w:t>
            </w:r>
          </w:p>
        </w:tc>
      </w:tr>
      <w:tr>
        <w:trPr>
          <w:trHeight w:val="214" w:hRule="atLeast"/>
        </w:trPr>
        <w:tc>
          <w:tcPr>
            <w:tcW w:w="2666" w:type="dxa"/>
            <w:vAlign w:val="top"/>
          </w:tcPr>
          <w:p>
            <w:pPr>
              <w:pStyle w:val="TableText"/>
              <w:ind w:left="1"/>
              <w:spacing w:before="54" w:line="149" w:lineRule="exact"/>
              <w:rPr>
                <w:sz w:val="8"/>
                <w:szCs w:val="8"/>
              </w:rPr>
            </w:pPr>
            <w:r>
              <w:rPr>
                <w:color w:val="231F20"/>
                <w:spacing w:val="-11"/>
                <w:position w:val="-1"/>
              </w:rPr>
              <w:t>Tenner</w:t>
            </w:r>
            <w:r>
              <w:rPr>
                <w:color w:val="231F20"/>
                <w:spacing w:val="12"/>
                <w:position w:val="-1"/>
              </w:rPr>
              <w:t xml:space="preserve"> </w:t>
            </w:r>
            <w:r>
              <w:rPr>
                <w:color w:val="231F20"/>
                <w:spacing w:val="-11"/>
                <w:position w:val="-1"/>
              </w:rPr>
              <w:t>et</w:t>
            </w:r>
            <w:r>
              <w:rPr>
                <w:color w:val="231F20"/>
                <w:spacing w:val="14"/>
                <w:position w:val="-1"/>
              </w:rPr>
              <w:t xml:space="preserve"> </w:t>
            </w:r>
            <w:r>
              <w:rPr>
                <w:color w:val="231F20"/>
                <w:spacing w:val="-11"/>
                <w:position w:val="-1"/>
              </w:rPr>
              <w:t>al</w:t>
            </w:r>
            <w:r>
              <w:rPr>
                <w:color w:val="231F20"/>
                <w:spacing w:val="13"/>
                <w:position w:val="-1"/>
              </w:rPr>
              <w:t xml:space="preserve"> </w:t>
            </w:r>
            <w:r>
              <w:rPr>
                <w:color w:val="231F20"/>
                <w:spacing w:val="-11"/>
                <w:position w:val="-1"/>
              </w:rPr>
              <w:t>2013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[18]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195"/>
              <w:spacing w:before="64" w:line="139" w:lineRule="exact"/>
              <w:rPr/>
            </w:pPr>
            <w:r>
              <w:rPr>
                <w:color w:val="231F20"/>
                <w:spacing w:val="-5"/>
                <w:position w:val="-1"/>
              </w:rPr>
              <w:t>57.4</w:t>
            </w:r>
          </w:p>
        </w:tc>
        <w:tc>
          <w:tcPr>
            <w:tcW w:w="732" w:type="dxa"/>
            <w:vAlign w:val="top"/>
          </w:tcPr>
          <w:p>
            <w:pPr>
              <w:pStyle w:val="TableText"/>
              <w:ind w:left="245"/>
              <w:spacing w:before="64" w:line="139" w:lineRule="exact"/>
              <w:rPr/>
            </w:pPr>
            <w:r>
              <w:rPr>
                <w:color w:val="231F20"/>
                <w:spacing w:val="-8"/>
                <w:position w:val="-1"/>
              </w:rPr>
              <w:t>18.5</w:t>
            </w:r>
          </w:p>
        </w:tc>
        <w:tc>
          <w:tcPr>
            <w:tcW w:w="923" w:type="dxa"/>
            <w:vAlign w:val="top"/>
          </w:tcPr>
          <w:p>
            <w:pPr>
              <w:pStyle w:val="TableText"/>
              <w:ind w:left="323"/>
              <w:spacing w:before="64" w:line="139" w:lineRule="exact"/>
              <w:rPr/>
            </w:pPr>
            <w:r>
              <w:rPr>
                <w:color w:val="231F20"/>
                <w:spacing w:val="-5"/>
                <w:position w:val="-1"/>
              </w:rPr>
              <w:t>50.0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336"/>
              <w:spacing w:before="64" w:line="139" w:lineRule="exact"/>
              <w:rPr/>
            </w:pPr>
            <w:r>
              <w:rPr>
                <w:color w:val="231F20"/>
                <w:spacing w:val="-5"/>
                <w:position w:val="-1"/>
              </w:rPr>
              <w:t>77.8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274"/>
              <w:spacing w:before="64" w:line="139" w:lineRule="exact"/>
              <w:rPr/>
            </w:pPr>
            <w:r>
              <w:rPr>
                <w:color w:val="231F20"/>
                <w:spacing w:val="-5"/>
                <w:position w:val="-1"/>
              </w:rPr>
              <w:t>22.2</w:t>
            </w:r>
          </w:p>
        </w:tc>
        <w:tc>
          <w:tcPr>
            <w:tcW w:w="946" w:type="dxa"/>
            <w:vAlign w:val="top"/>
          </w:tcPr>
          <w:p>
            <w:pPr>
              <w:pStyle w:val="TableText"/>
              <w:ind w:left="339"/>
              <w:spacing w:before="64" w:line="139" w:lineRule="exact"/>
              <w:rPr/>
            </w:pPr>
            <w:r>
              <w:rPr>
                <w:color w:val="231F20"/>
                <w:spacing w:val="-5"/>
                <w:position w:val="-1"/>
              </w:rPr>
              <w:t>77.8</w:t>
            </w:r>
          </w:p>
        </w:tc>
        <w:tc>
          <w:tcPr>
            <w:tcW w:w="736" w:type="dxa"/>
            <w:vAlign w:val="top"/>
          </w:tcPr>
          <w:p>
            <w:pPr>
              <w:pStyle w:val="TableText"/>
              <w:ind w:left="328"/>
              <w:spacing w:before="64" w:line="139" w:lineRule="exact"/>
              <w:rPr/>
            </w:pPr>
            <w:r>
              <w:rPr>
                <w:color w:val="231F20"/>
                <w:position w:val="-2"/>
              </w:rPr>
              <w:t>2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314"/>
              <w:spacing w:before="64" w:line="139" w:lineRule="exact"/>
              <w:rPr/>
            </w:pPr>
            <w:r>
              <w:rPr>
                <w:color w:val="231F20"/>
                <w:position w:val="-2"/>
              </w:rPr>
              <w:t>2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220"/>
              <w:spacing w:before="68" w:line="135" w:lineRule="exact"/>
              <w:rPr/>
            </w:pPr>
            <w:r>
              <w:rPr>
                <w:color w:val="231F20"/>
                <w:position w:val="-3"/>
              </w:rPr>
              <w:t>B</w:t>
            </w:r>
          </w:p>
        </w:tc>
      </w:tr>
      <w:tr>
        <w:trPr>
          <w:trHeight w:val="220" w:hRule="atLeast"/>
        </w:trPr>
        <w:tc>
          <w:tcPr>
            <w:tcW w:w="2666" w:type="dxa"/>
            <w:vAlign w:val="top"/>
          </w:tcPr>
          <w:p>
            <w:pPr>
              <w:pStyle w:val="TableText"/>
              <w:ind w:left="25"/>
              <w:spacing w:before="49" w:line="161" w:lineRule="exact"/>
              <w:rPr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国际胰腺病学会</w:t>
            </w:r>
            <w:r>
              <w:rPr>
                <w:color w:val="231F20"/>
              </w:rPr>
              <w:t>/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美国胰腺病学会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2013</w:t>
            </w:r>
            <w:r>
              <w:rPr>
                <w:sz w:val="8"/>
                <w:szCs w:val="8"/>
                <w:color w:val="231F20"/>
                <w:position w:val="4"/>
              </w:rPr>
              <w:t>[19]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199"/>
              <w:spacing w:before="73" w:line="136" w:lineRule="exact"/>
              <w:rPr/>
            </w:pPr>
            <w:r>
              <w:rPr>
                <w:color w:val="231F20"/>
                <w:spacing w:val="-6"/>
                <w:position w:val="-2"/>
              </w:rPr>
              <w:t>83.3</w:t>
            </w:r>
          </w:p>
        </w:tc>
        <w:tc>
          <w:tcPr>
            <w:tcW w:w="732" w:type="dxa"/>
            <w:vAlign w:val="top"/>
          </w:tcPr>
          <w:p>
            <w:pPr>
              <w:pStyle w:val="TableText"/>
              <w:ind w:left="232"/>
              <w:spacing w:before="73" w:line="136" w:lineRule="exact"/>
              <w:rPr/>
            </w:pPr>
            <w:r>
              <w:rPr>
                <w:color w:val="231F20"/>
                <w:spacing w:val="-5"/>
                <w:position w:val="-2"/>
              </w:rPr>
              <w:t>55.6</w:t>
            </w:r>
          </w:p>
        </w:tc>
        <w:tc>
          <w:tcPr>
            <w:tcW w:w="923" w:type="dxa"/>
            <w:vAlign w:val="top"/>
          </w:tcPr>
          <w:p>
            <w:pPr>
              <w:pStyle w:val="TableText"/>
              <w:ind w:left="324"/>
              <w:spacing w:before="73" w:line="136" w:lineRule="exact"/>
              <w:rPr/>
            </w:pPr>
            <w:r>
              <w:rPr>
                <w:color w:val="231F20"/>
                <w:spacing w:val="-5"/>
                <w:position w:val="-2"/>
              </w:rPr>
              <w:t>62.5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342"/>
              <w:spacing w:before="73" w:line="136" w:lineRule="exact"/>
              <w:rPr/>
            </w:pPr>
            <w:r>
              <w:rPr>
                <w:color w:val="231F20"/>
                <w:spacing w:val="-6"/>
                <w:position w:val="-2"/>
              </w:rPr>
              <w:t>83.3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276"/>
              <w:spacing w:before="73" w:line="136" w:lineRule="exact"/>
              <w:rPr/>
            </w:pPr>
            <w:r>
              <w:rPr>
                <w:color w:val="231F20"/>
                <w:spacing w:val="-6"/>
                <w:position w:val="-2"/>
              </w:rPr>
              <w:t>34.7</w:t>
            </w:r>
          </w:p>
        </w:tc>
        <w:tc>
          <w:tcPr>
            <w:tcW w:w="946" w:type="dxa"/>
            <w:vAlign w:val="top"/>
          </w:tcPr>
          <w:p>
            <w:pPr>
              <w:pStyle w:val="TableText"/>
              <w:ind w:left="345"/>
              <w:spacing w:before="73" w:line="136" w:lineRule="exact"/>
              <w:rPr/>
            </w:pPr>
            <w:r>
              <w:rPr>
                <w:color w:val="231F20"/>
                <w:spacing w:val="-6"/>
                <w:position w:val="-2"/>
              </w:rPr>
              <w:t>80.6</w:t>
            </w:r>
          </w:p>
        </w:tc>
        <w:tc>
          <w:tcPr>
            <w:tcW w:w="736" w:type="dxa"/>
            <w:vAlign w:val="top"/>
          </w:tcPr>
          <w:p>
            <w:pPr>
              <w:pStyle w:val="TableText"/>
              <w:ind w:left="325"/>
              <w:spacing w:before="73" w:line="136" w:lineRule="exact"/>
              <w:rPr/>
            </w:pPr>
            <w:r>
              <w:rPr>
                <w:color w:val="231F20"/>
                <w:position w:val="-2"/>
              </w:rPr>
              <w:t>4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313"/>
              <w:spacing w:before="73" w:line="136" w:lineRule="exact"/>
              <w:rPr/>
            </w:pPr>
            <w:r>
              <w:rPr>
                <w:color w:val="231F20"/>
                <w:position w:val="-2"/>
              </w:rPr>
              <w:t>0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220"/>
              <w:spacing w:before="78" w:line="131" w:lineRule="exact"/>
              <w:rPr/>
            </w:pPr>
            <w:r>
              <w:rPr>
                <w:color w:val="231F20"/>
                <w:position w:val="-3"/>
              </w:rPr>
              <w:t>B</w:t>
            </w:r>
          </w:p>
        </w:tc>
      </w:tr>
      <w:tr>
        <w:trPr>
          <w:trHeight w:val="228" w:hRule="atLeast"/>
        </w:trPr>
        <w:tc>
          <w:tcPr>
            <w:tcW w:w="2666" w:type="dxa"/>
            <w:vAlign w:val="top"/>
          </w:tcPr>
          <w:p>
            <w:pPr>
              <w:pStyle w:val="TableText"/>
              <w:ind w:left="15"/>
              <w:spacing w:before="50" w:line="167" w:lineRule="exact"/>
              <w:rPr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5"/>
              </w:rPr>
              <w:t>意大利胰腺研究协会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5"/>
                <w:position w:val="-1"/>
              </w:rPr>
              <w:t>2015</w:t>
            </w:r>
            <w:r>
              <w:rPr>
                <w:sz w:val="8"/>
                <w:szCs w:val="8"/>
                <w:color w:val="231F20"/>
                <w:spacing w:val="5"/>
                <w:position w:val="4"/>
              </w:rPr>
              <w:t>[20]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193"/>
              <w:spacing w:before="74" w:line="143" w:lineRule="exact"/>
              <w:rPr/>
            </w:pPr>
            <w:r>
              <w:rPr>
                <w:color w:val="231F20"/>
                <w:spacing w:val="-5"/>
                <w:position w:val="-1"/>
              </w:rPr>
              <w:t>77.8</w:t>
            </w:r>
          </w:p>
        </w:tc>
        <w:tc>
          <w:tcPr>
            <w:tcW w:w="732" w:type="dxa"/>
            <w:vAlign w:val="top"/>
          </w:tcPr>
          <w:p>
            <w:pPr>
              <w:pStyle w:val="TableText"/>
              <w:ind w:left="232"/>
              <w:spacing w:before="74" w:line="143" w:lineRule="exact"/>
              <w:rPr/>
            </w:pPr>
            <w:r>
              <w:rPr>
                <w:color w:val="231F20"/>
                <w:spacing w:val="-5"/>
                <w:position w:val="-1"/>
              </w:rPr>
              <w:t>50.0</w:t>
            </w:r>
          </w:p>
        </w:tc>
        <w:tc>
          <w:tcPr>
            <w:tcW w:w="923" w:type="dxa"/>
            <w:vAlign w:val="top"/>
          </w:tcPr>
          <w:p>
            <w:pPr>
              <w:pStyle w:val="TableText"/>
              <w:ind w:left="325"/>
              <w:spacing w:before="74" w:line="143" w:lineRule="exact"/>
              <w:rPr/>
            </w:pPr>
            <w:r>
              <w:rPr>
                <w:color w:val="231F20"/>
                <w:spacing w:val="-5"/>
                <w:position w:val="-1"/>
              </w:rPr>
              <w:t>37.5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342"/>
              <w:spacing w:before="74" w:line="143" w:lineRule="exact"/>
              <w:rPr/>
            </w:pPr>
            <w:r>
              <w:rPr>
                <w:color w:val="231F20"/>
                <w:spacing w:val="-6"/>
                <w:position w:val="-1"/>
              </w:rPr>
              <w:t>88.9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39"/>
              <w:spacing w:before="74" w:line="143" w:lineRule="exact"/>
              <w:rPr/>
            </w:pPr>
            <w:r>
              <w:rPr>
                <w:color w:val="231F20"/>
                <w:spacing w:val="-3"/>
                <w:position w:val="-1"/>
              </w:rPr>
              <w:t>4.2</w:t>
            </w:r>
          </w:p>
        </w:tc>
        <w:tc>
          <w:tcPr>
            <w:tcW w:w="946" w:type="dxa"/>
            <w:vAlign w:val="top"/>
          </w:tcPr>
          <w:p>
            <w:pPr>
              <w:pStyle w:val="TableText"/>
              <w:ind w:left="262"/>
              <w:spacing w:before="74" w:line="143" w:lineRule="exact"/>
              <w:rPr/>
            </w:pPr>
            <w:r>
              <w:rPr>
                <w:color w:val="231F20"/>
                <w:spacing w:val="-10"/>
                <w:position w:val="-1"/>
              </w:rPr>
              <w:t>100</w:t>
            </w:r>
          </w:p>
        </w:tc>
        <w:tc>
          <w:tcPr>
            <w:tcW w:w="736" w:type="dxa"/>
            <w:vAlign w:val="top"/>
          </w:tcPr>
          <w:p>
            <w:pPr>
              <w:pStyle w:val="TableText"/>
              <w:ind w:left="330"/>
              <w:spacing w:before="74" w:line="143" w:lineRule="exact"/>
              <w:rPr/>
            </w:pPr>
            <w:r>
              <w:rPr>
                <w:color w:val="231F20"/>
                <w:position w:val="-1"/>
              </w:rPr>
              <w:t>3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327"/>
              <w:spacing w:before="74" w:line="143" w:lineRule="exact"/>
              <w:rPr/>
            </w:pPr>
            <w:r>
              <w:rPr>
                <w:color w:val="231F20"/>
                <w:position w:val="-1"/>
              </w:rPr>
              <w:t>1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220"/>
              <w:spacing w:before="79" w:line="138" w:lineRule="exact"/>
              <w:rPr/>
            </w:pPr>
            <w:r>
              <w:rPr>
                <w:color w:val="231F20"/>
                <w:position w:val="-3"/>
              </w:rPr>
              <w:t>B</w:t>
            </w:r>
          </w:p>
        </w:tc>
      </w:tr>
      <w:tr>
        <w:trPr>
          <w:trHeight w:val="222" w:hRule="atLeast"/>
        </w:trPr>
        <w:tc>
          <w:tcPr>
            <w:tcW w:w="2666" w:type="dxa"/>
            <w:vAlign w:val="top"/>
          </w:tcPr>
          <w:p>
            <w:pPr>
              <w:pStyle w:val="TableText"/>
              <w:ind w:left="3"/>
              <w:spacing w:before="58" w:line="154" w:lineRule="exact"/>
              <w:rPr>
                <w:sz w:val="8"/>
                <w:szCs w:val="8"/>
              </w:rPr>
            </w:pPr>
            <w:r>
              <w:rPr>
                <w:color w:val="231F20"/>
                <w:spacing w:val="-11"/>
                <w:position w:val="-1"/>
              </w:rPr>
              <w:t>Yokoe</w:t>
            </w:r>
            <w:r>
              <w:rPr>
                <w:color w:val="231F20"/>
                <w:spacing w:val="13"/>
                <w:position w:val="-1"/>
              </w:rPr>
              <w:t xml:space="preserve"> </w:t>
            </w:r>
            <w:r>
              <w:rPr>
                <w:color w:val="231F20"/>
                <w:spacing w:val="-11"/>
                <w:position w:val="-1"/>
              </w:rPr>
              <w:t>et</w:t>
            </w:r>
            <w:r>
              <w:rPr>
                <w:color w:val="231F20"/>
                <w:spacing w:val="14"/>
                <w:position w:val="-1"/>
              </w:rPr>
              <w:t xml:space="preserve"> </w:t>
            </w:r>
            <w:r>
              <w:rPr>
                <w:color w:val="231F20"/>
                <w:spacing w:val="-11"/>
                <w:position w:val="-1"/>
              </w:rPr>
              <w:t>al</w:t>
            </w:r>
            <w:r>
              <w:rPr>
                <w:color w:val="231F20"/>
                <w:spacing w:val="13"/>
                <w:position w:val="-1"/>
              </w:rPr>
              <w:t xml:space="preserve"> </w:t>
            </w:r>
            <w:r>
              <w:rPr>
                <w:color w:val="231F20"/>
                <w:spacing w:val="-11"/>
                <w:position w:val="-1"/>
              </w:rPr>
              <w:t>2015</w:t>
            </w:r>
            <w:r>
              <w:rPr>
                <w:sz w:val="8"/>
                <w:szCs w:val="8"/>
                <w:color w:val="231F20"/>
                <w:spacing w:val="-4"/>
                <w:position w:val="4"/>
              </w:rPr>
              <w:t>[21]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195"/>
              <w:spacing w:before="69" w:line="143" w:lineRule="exact"/>
              <w:rPr/>
            </w:pPr>
            <w:r>
              <w:rPr>
                <w:color w:val="231F20"/>
                <w:spacing w:val="-5"/>
                <w:position w:val="-1"/>
              </w:rPr>
              <w:t>64.8</w:t>
            </w:r>
          </w:p>
        </w:tc>
        <w:tc>
          <w:tcPr>
            <w:tcW w:w="732" w:type="dxa"/>
            <w:vAlign w:val="top"/>
          </w:tcPr>
          <w:p>
            <w:pPr>
              <w:pStyle w:val="TableText"/>
              <w:ind w:left="229"/>
              <w:spacing w:before="69" w:line="143" w:lineRule="exact"/>
              <w:rPr/>
            </w:pPr>
            <w:r>
              <w:rPr>
                <w:color w:val="231F20"/>
                <w:spacing w:val="-4"/>
                <w:position w:val="-1"/>
              </w:rPr>
              <w:t>46.3</w:t>
            </w:r>
          </w:p>
        </w:tc>
        <w:tc>
          <w:tcPr>
            <w:tcW w:w="923" w:type="dxa"/>
            <w:vAlign w:val="top"/>
          </w:tcPr>
          <w:p>
            <w:pPr>
              <w:pStyle w:val="TableText"/>
              <w:ind w:left="320"/>
              <w:spacing w:before="69" w:line="143" w:lineRule="exact"/>
              <w:rPr/>
            </w:pPr>
            <w:r>
              <w:rPr>
                <w:color w:val="231F20"/>
                <w:spacing w:val="-4"/>
                <w:position w:val="-1"/>
              </w:rPr>
              <w:t>47.2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336"/>
              <w:spacing w:before="69" w:line="143" w:lineRule="exact"/>
              <w:rPr/>
            </w:pPr>
            <w:r>
              <w:rPr>
                <w:color w:val="231F20"/>
                <w:spacing w:val="-5"/>
                <w:position w:val="-1"/>
              </w:rPr>
              <w:t>75.9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276"/>
              <w:spacing w:before="69" w:line="143" w:lineRule="exact"/>
              <w:rPr/>
            </w:pPr>
            <w:r>
              <w:rPr>
                <w:color w:val="231F20"/>
                <w:spacing w:val="-5"/>
                <w:position w:val="-1"/>
              </w:rPr>
              <w:t>31.9</w:t>
            </w:r>
          </w:p>
        </w:tc>
        <w:tc>
          <w:tcPr>
            <w:tcW w:w="946" w:type="dxa"/>
            <w:vAlign w:val="top"/>
          </w:tcPr>
          <w:p>
            <w:pPr>
              <w:pStyle w:val="TableText"/>
              <w:ind w:left="341"/>
              <w:spacing w:before="69" w:line="143" w:lineRule="exact"/>
              <w:rPr/>
            </w:pPr>
            <w:r>
              <w:rPr>
                <w:color w:val="231F20"/>
                <w:spacing w:val="-5"/>
                <w:position w:val="-1"/>
              </w:rPr>
              <w:t>63.9</w:t>
            </w:r>
          </w:p>
        </w:tc>
        <w:tc>
          <w:tcPr>
            <w:tcW w:w="736" w:type="dxa"/>
            <w:vAlign w:val="top"/>
          </w:tcPr>
          <w:p>
            <w:pPr>
              <w:pStyle w:val="TableText"/>
              <w:ind w:left="330"/>
              <w:spacing w:before="69" w:line="143" w:lineRule="exact"/>
              <w:rPr/>
            </w:pPr>
            <w:r>
              <w:rPr>
                <w:color w:val="231F20"/>
                <w:position w:val="-1"/>
              </w:rPr>
              <w:t>3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313"/>
              <w:spacing w:before="69" w:line="143" w:lineRule="exact"/>
              <w:rPr/>
            </w:pPr>
            <w:r>
              <w:rPr>
                <w:color w:val="231F20"/>
                <w:position w:val="-1"/>
              </w:rPr>
              <w:t>0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220"/>
              <w:spacing w:before="74" w:line="138" w:lineRule="exact"/>
              <w:rPr/>
            </w:pPr>
            <w:r>
              <w:rPr>
                <w:color w:val="231F20"/>
                <w:position w:val="-3"/>
              </w:rPr>
              <w:t>B</w:t>
            </w:r>
          </w:p>
        </w:tc>
      </w:tr>
      <w:tr>
        <w:trPr>
          <w:trHeight w:val="238" w:hRule="atLeast"/>
        </w:trPr>
        <w:tc>
          <w:tcPr>
            <w:tcW w:w="2666" w:type="dxa"/>
            <w:vAlign w:val="top"/>
          </w:tcPr>
          <w:p>
            <w:pPr>
              <w:pStyle w:val="TableText"/>
              <w:ind w:left="7"/>
              <w:spacing w:before="59" w:line="157" w:lineRule="auto"/>
              <w:rPr>
                <w:sz w:val="8"/>
                <w:szCs w:val="8"/>
              </w:rPr>
            </w:pPr>
            <w:r>
              <w:rPr>
                <w:color w:val="231F20"/>
                <w:spacing w:val="-13"/>
              </w:rPr>
              <w:t>Greenberg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  <w:spacing w:val="-13"/>
              </w:rPr>
              <w:t>et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  <w:spacing w:val="-13"/>
              </w:rPr>
              <w:t>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3"/>
              </w:rPr>
              <w:t>2016</w:t>
            </w:r>
            <w:r>
              <w:rPr>
                <w:sz w:val="8"/>
                <w:szCs w:val="8"/>
                <w:color w:val="231F20"/>
                <w:spacing w:val="-2"/>
                <w:position w:val="5"/>
              </w:rPr>
              <w:t>[22]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195"/>
              <w:spacing w:before="68" w:line="159" w:lineRule="exact"/>
              <w:rPr/>
            </w:pPr>
            <w:r>
              <w:rPr>
                <w:color w:val="231F20"/>
                <w:spacing w:val="-5"/>
                <w:position w:val="-1"/>
              </w:rPr>
              <w:t>68.5</w:t>
            </w:r>
          </w:p>
        </w:tc>
        <w:tc>
          <w:tcPr>
            <w:tcW w:w="732" w:type="dxa"/>
            <w:vAlign w:val="top"/>
          </w:tcPr>
          <w:p>
            <w:pPr>
              <w:pStyle w:val="TableText"/>
              <w:ind w:left="232"/>
              <w:spacing w:before="68" w:line="159" w:lineRule="exact"/>
              <w:rPr/>
            </w:pPr>
            <w:r>
              <w:rPr>
                <w:color w:val="231F20"/>
                <w:spacing w:val="-5"/>
                <w:position w:val="-1"/>
              </w:rPr>
              <w:t>24.1</w:t>
            </w:r>
          </w:p>
        </w:tc>
        <w:tc>
          <w:tcPr>
            <w:tcW w:w="923" w:type="dxa"/>
            <w:vAlign w:val="top"/>
          </w:tcPr>
          <w:p>
            <w:pPr>
              <w:pStyle w:val="TableText"/>
              <w:ind w:left="325"/>
              <w:spacing w:before="68" w:line="159" w:lineRule="exact"/>
              <w:rPr/>
            </w:pPr>
            <w:r>
              <w:rPr>
                <w:color w:val="231F20"/>
                <w:spacing w:val="-6"/>
                <w:position w:val="-1"/>
              </w:rPr>
              <w:t>34.7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336"/>
              <w:spacing w:before="68" w:line="159" w:lineRule="exact"/>
              <w:rPr/>
            </w:pPr>
            <w:r>
              <w:rPr>
                <w:color w:val="231F20"/>
                <w:spacing w:val="-5"/>
                <w:position w:val="-1"/>
              </w:rPr>
              <w:t>77.8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287"/>
              <w:spacing w:before="68" w:line="159" w:lineRule="exact"/>
              <w:rPr/>
            </w:pPr>
            <w:r>
              <w:rPr>
                <w:color w:val="231F20"/>
                <w:spacing w:val="-8"/>
                <w:position w:val="-1"/>
              </w:rPr>
              <w:t>15.3</w:t>
            </w:r>
          </w:p>
        </w:tc>
        <w:tc>
          <w:tcPr>
            <w:tcW w:w="946" w:type="dxa"/>
            <w:vAlign w:val="top"/>
          </w:tcPr>
          <w:p>
            <w:pPr>
              <w:pStyle w:val="TableText"/>
              <w:ind w:left="339"/>
              <w:spacing w:before="68" w:line="159" w:lineRule="exact"/>
              <w:rPr/>
            </w:pPr>
            <w:r>
              <w:rPr>
                <w:color w:val="231F20"/>
                <w:spacing w:val="-5"/>
                <w:position w:val="-1"/>
              </w:rPr>
              <w:t>75.0</w:t>
            </w:r>
          </w:p>
        </w:tc>
        <w:tc>
          <w:tcPr>
            <w:tcW w:w="736" w:type="dxa"/>
            <w:vAlign w:val="top"/>
          </w:tcPr>
          <w:p>
            <w:pPr>
              <w:pStyle w:val="TableText"/>
              <w:ind w:left="330"/>
              <w:spacing w:before="68" w:line="159" w:lineRule="exact"/>
              <w:rPr/>
            </w:pPr>
            <w:r>
              <w:rPr>
                <w:color w:val="231F20"/>
                <w:position w:val="-1"/>
              </w:rPr>
              <w:t>3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314"/>
              <w:spacing w:before="68" w:line="159" w:lineRule="exact"/>
              <w:rPr/>
            </w:pPr>
            <w:r>
              <w:rPr>
                <w:color w:val="231F20"/>
                <w:position w:val="-1"/>
              </w:rPr>
              <w:t>2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220"/>
              <w:spacing w:before="73" w:line="154" w:lineRule="exact"/>
              <w:rPr/>
            </w:pPr>
            <w:r>
              <w:rPr>
                <w:color w:val="231F20"/>
                <w:position w:val="-3"/>
              </w:rPr>
              <w:t>B</w:t>
            </w:r>
          </w:p>
        </w:tc>
      </w:tr>
      <w:tr>
        <w:trPr>
          <w:trHeight w:val="205" w:hRule="atLeast"/>
        </w:trPr>
        <w:tc>
          <w:tcPr>
            <w:tcW w:w="2666" w:type="dxa"/>
            <w:vAlign w:val="top"/>
          </w:tcPr>
          <w:p>
            <w:pPr>
              <w:pStyle w:val="TableText"/>
              <w:ind w:left="7"/>
              <w:spacing w:before="44" w:line="151" w:lineRule="exact"/>
              <w:rPr>
                <w:sz w:val="8"/>
                <w:szCs w:val="8"/>
              </w:rPr>
            </w:pPr>
            <w:r>
              <w:rPr>
                <w:color w:val="231F20"/>
                <w:spacing w:val="-11"/>
                <w:position w:val="-1"/>
              </w:rPr>
              <w:t>Crockett</w:t>
            </w:r>
            <w:r>
              <w:rPr>
                <w:color w:val="231F20"/>
                <w:spacing w:val="17"/>
                <w:w w:val="101"/>
                <w:position w:val="-1"/>
              </w:rPr>
              <w:t xml:space="preserve"> </w:t>
            </w:r>
            <w:r>
              <w:rPr>
                <w:color w:val="231F20"/>
                <w:spacing w:val="-11"/>
                <w:position w:val="-1"/>
              </w:rPr>
              <w:t>et</w:t>
            </w:r>
            <w:r>
              <w:rPr>
                <w:color w:val="231F20"/>
                <w:spacing w:val="13"/>
                <w:w w:val="102"/>
                <w:position w:val="-1"/>
              </w:rPr>
              <w:t xml:space="preserve"> </w:t>
            </w:r>
            <w:r>
              <w:rPr>
                <w:color w:val="231F20"/>
                <w:spacing w:val="-11"/>
                <w:position w:val="-1"/>
              </w:rPr>
              <w:t>al</w:t>
            </w:r>
            <w:r>
              <w:rPr>
                <w:color w:val="231F20"/>
                <w:spacing w:val="13"/>
                <w:position w:val="-1"/>
              </w:rPr>
              <w:t xml:space="preserve"> </w:t>
            </w:r>
            <w:r>
              <w:rPr>
                <w:color w:val="231F20"/>
                <w:spacing w:val="-11"/>
                <w:position w:val="-1"/>
              </w:rPr>
              <w:t>2018</w:t>
            </w:r>
            <w:r>
              <w:rPr>
                <w:sz w:val="8"/>
                <w:szCs w:val="8"/>
                <w:color w:val="231F20"/>
                <w:spacing w:val="-4"/>
                <w:position w:val="4"/>
              </w:rPr>
              <w:t>[23]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126"/>
              <w:spacing w:before="54" w:line="141" w:lineRule="exact"/>
              <w:rPr/>
            </w:pPr>
            <w:r>
              <w:rPr>
                <w:color w:val="231F20"/>
                <w:spacing w:val="-10"/>
                <w:position w:val="-1"/>
              </w:rPr>
              <w:t>100</w:t>
            </w:r>
          </w:p>
        </w:tc>
        <w:tc>
          <w:tcPr>
            <w:tcW w:w="732" w:type="dxa"/>
            <w:vAlign w:val="top"/>
          </w:tcPr>
          <w:p>
            <w:pPr>
              <w:pStyle w:val="TableText"/>
              <w:ind w:left="233"/>
              <w:spacing w:before="54" w:line="141" w:lineRule="exact"/>
              <w:rPr/>
            </w:pPr>
            <w:r>
              <w:rPr>
                <w:color w:val="231F20"/>
                <w:spacing w:val="-5"/>
                <w:position w:val="-1"/>
              </w:rPr>
              <w:t>61.1</w:t>
            </w:r>
          </w:p>
        </w:tc>
        <w:tc>
          <w:tcPr>
            <w:tcW w:w="923" w:type="dxa"/>
            <w:vAlign w:val="top"/>
          </w:tcPr>
          <w:p>
            <w:pPr>
              <w:pStyle w:val="TableText"/>
              <w:ind w:left="324"/>
              <w:spacing w:before="54" w:line="141" w:lineRule="exact"/>
              <w:rPr/>
            </w:pPr>
            <w:r>
              <w:rPr>
                <w:color w:val="231F20"/>
                <w:spacing w:val="-5"/>
                <w:position w:val="-1"/>
              </w:rPr>
              <w:t>60.4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71"/>
              <w:spacing w:before="54" w:line="141" w:lineRule="exact"/>
              <w:rPr/>
            </w:pPr>
            <w:r>
              <w:rPr>
                <w:color w:val="231F20"/>
                <w:spacing w:val="-10"/>
                <w:position w:val="-1"/>
              </w:rPr>
              <w:t>100</w:t>
            </w:r>
          </w:p>
        </w:tc>
        <w:tc>
          <w:tcPr>
            <w:tcW w:w="803" w:type="dxa"/>
            <w:vAlign w:val="top"/>
          </w:tcPr>
          <w:p>
            <w:pPr>
              <w:pStyle w:val="TableText"/>
              <w:ind w:left="349"/>
              <w:spacing w:before="54" w:line="141" w:lineRule="exact"/>
              <w:rPr/>
            </w:pPr>
            <w:r>
              <w:rPr>
                <w:color w:val="231F20"/>
                <w:spacing w:val="-3"/>
                <w:position w:val="-1"/>
              </w:rPr>
              <w:t>4.2</w:t>
            </w:r>
          </w:p>
        </w:tc>
        <w:tc>
          <w:tcPr>
            <w:tcW w:w="946" w:type="dxa"/>
            <w:vAlign w:val="top"/>
          </w:tcPr>
          <w:p>
            <w:pPr>
              <w:pStyle w:val="TableText"/>
              <w:ind w:left="262"/>
              <w:spacing w:before="54" w:line="141" w:lineRule="exact"/>
              <w:rPr/>
            </w:pPr>
            <w:r>
              <w:rPr>
                <w:color w:val="231F20"/>
                <w:spacing w:val="-10"/>
                <w:position w:val="-1"/>
              </w:rPr>
              <w:t>100</w:t>
            </w:r>
          </w:p>
        </w:tc>
        <w:tc>
          <w:tcPr>
            <w:tcW w:w="736" w:type="dxa"/>
            <w:vAlign w:val="top"/>
          </w:tcPr>
          <w:p>
            <w:pPr>
              <w:pStyle w:val="TableText"/>
              <w:ind w:left="328"/>
              <w:spacing w:before="54" w:line="141" w:lineRule="exact"/>
              <w:rPr/>
            </w:pPr>
            <w:r>
              <w:rPr>
                <w:color w:val="231F20"/>
                <w:position w:val="-1"/>
              </w:rPr>
              <w:t>5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327"/>
              <w:spacing w:before="54" w:line="141" w:lineRule="exact"/>
              <w:rPr/>
            </w:pPr>
            <w:r>
              <w:rPr>
                <w:color w:val="231F20"/>
                <w:position w:val="-2"/>
              </w:rPr>
              <w:t>1</w:t>
            </w:r>
          </w:p>
        </w:tc>
        <w:tc>
          <w:tcPr>
            <w:tcW w:w="505" w:type="dxa"/>
            <w:vAlign w:val="top"/>
          </w:tcPr>
          <w:p>
            <w:pPr>
              <w:pStyle w:val="TableText"/>
              <w:ind w:left="220"/>
              <w:spacing w:before="58" w:line="136" w:lineRule="exact"/>
              <w:rPr/>
            </w:pPr>
            <w:r>
              <w:rPr>
                <w:color w:val="231F20"/>
                <w:position w:val="-3"/>
              </w:rPr>
              <w:t>B</w:t>
            </w:r>
          </w:p>
        </w:tc>
      </w:tr>
      <w:tr>
        <w:trPr>
          <w:trHeight w:val="211" w:hRule="atLeast"/>
        </w:trPr>
        <w:tc>
          <w:tcPr>
            <w:tcW w:w="266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"/>
              <w:spacing w:before="62" w:line="139" w:lineRule="exact"/>
              <w:rPr>
                <w:sz w:val="8"/>
                <w:szCs w:val="8"/>
              </w:rPr>
            </w:pPr>
            <w:r>
              <w:rPr>
                <w:color w:val="231F20"/>
                <w:spacing w:val="-12"/>
                <w:position w:val="-1"/>
              </w:rPr>
              <w:t>Samarasekera</w:t>
            </w:r>
            <w:r>
              <w:rPr>
                <w:color w:val="231F20"/>
                <w:spacing w:val="14"/>
                <w:w w:val="101"/>
                <w:position w:val="-1"/>
              </w:rPr>
              <w:t xml:space="preserve"> </w:t>
            </w:r>
            <w:r>
              <w:rPr>
                <w:color w:val="231F20"/>
                <w:spacing w:val="-12"/>
                <w:position w:val="-1"/>
              </w:rPr>
              <w:t>et</w:t>
            </w:r>
            <w:r>
              <w:rPr>
                <w:color w:val="231F20"/>
                <w:spacing w:val="14"/>
                <w:position w:val="-1"/>
              </w:rPr>
              <w:t xml:space="preserve"> </w:t>
            </w:r>
            <w:r>
              <w:rPr>
                <w:color w:val="231F20"/>
                <w:spacing w:val="-12"/>
                <w:position w:val="-1"/>
              </w:rPr>
              <w:t>al</w:t>
            </w:r>
            <w:r>
              <w:rPr>
                <w:color w:val="231F20"/>
                <w:spacing w:val="13"/>
                <w:position w:val="-1"/>
              </w:rPr>
              <w:t xml:space="preserve"> </w:t>
            </w:r>
            <w:r>
              <w:rPr>
                <w:color w:val="231F20"/>
                <w:spacing w:val="-12"/>
                <w:position w:val="-1"/>
              </w:rPr>
              <w:t>2018</w:t>
            </w:r>
            <w:r>
              <w:rPr>
                <w:sz w:val="8"/>
                <w:szCs w:val="8"/>
                <w:color w:val="231F20"/>
                <w:spacing w:val="-2"/>
                <w:position w:val="-1"/>
              </w:rPr>
              <w:t>[24]</w:t>
            </w:r>
          </w:p>
        </w:tc>
        <w:tc>
          <w:tcPr>
            <w:tcW w:w="66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5"/>
              <w:spacing w:before="70" w:line="131" w:lineRule="exact"/>
              <w:rPr/>
            </w:pPr>
            <w:r>
              <w:rPr>
                <w:color w:val="231F20"/>
                <w:spacing w:val="-5"/>
                <w:position w:val="-2"/>
              </w:rPr>
              <w:t>66.7</w:t>
            </w:r>
          </w:p>
        </w:tc>
        <w:tc>
          <w:tcPr>
            <w:tcW w:w="7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34"/>
              <w:spacing w:before="70" w:line="131" w:lineRule="exact"/>
              <w:rPr/>
            </w:pPr>
            <w:r>
              <w:rPr>
                <w:color w:val="231F20"/>
                <w:spacing w:val="-5"/>
                <w:position w:val="-2"/>
              </w:rPr>
              <w:t>33.3</w:t>
            </w:r>
          </w:p>
        </w:tc>
        <w:tc>
          <w:tcPr>
            <w:tcW w:w="92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25"/>
              <w:spacing w:before="70" w:line="131" w:lineRule="exact"/>
              <w:rPr/>
            </w:pPr>
            <w:r>
              <w:rPr>
                <w:color w:val="231F20"/>
                <w:spacing w:val="-5"/>
                <w:position w:val="-2"/>
              </w:rPr>
              <w:t>35.4</w:t>
            </w:r>
          </w:p>
        </w:tc>
        <w:tc>
          <w:tcPr>
            <w:tcW w:w="95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8"/>
              <w:spacing w:before="70" w:line="131" w:lineRule="exact"/>
              <w:rPr/>
            </w:pPr>
            <w:r>
              <w:rPr>
                <w:color w:val="231F20"/>
                <w:spacing w:val="-5"/>
                <w:position w:val="-2"/>
              </w:rPr>
              <w:t>66.7</w:t>
            </w:r>
          </w:p>
        </w:tc>
        <w:tc>
          <w:tcPr>
            <w:tcW w:w="80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4"/>
              <w:spacing w:before="70" w:line="131" w:lineRule="exact"/>
              <w:rPr/>
            </w:pPr>
            <w:r>
              <w:rPr>
                <w:color w:val="231F20"/>
                <w:spacing w:val="-5"/>
                <w:position w:val="-2"/>
              </w:rPr>
              <w:t>29.2</w:t>
            </w:r>
          </w:p>
        </w:tc>
        <w:tc>
          <w:tcPr>
            <w:tcW w:w="9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2"/>
              <w:spacing w:before="70" w:line="131" w:lineRule="exact"/>
              <w:rPr/>
            </w:pPr>
            <w:r>
              <w:rPr>
                <w:color w:val="231F20"/>
                <w:spacing w:val="-10"/>
                <w:position w:val="-2"/>
              </w:rPr>
              <w:t>100</w:t>
            </w:r>
          </w:p>
        </w:tc>
        <w:tc>
          <w:tcPr>
            <w:tcW w:w="73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0"/>
              <w:spacing w:before="70" w:line="131" w:lineRule="exact"/>
              <w:rPr/>
            </w:pPr>
            <w:r>
              <w:rPr>
                <w:color w:val="231F20"/>
                <w:position w:val="-2"/>
              </w:rPr>
              <w:t>3</w:t>
            </w:r>
          </w:p>
        </w:tc>
        <w:tc>
          <w:tcPr>
            <w:tcW w:w="70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27"/>
              <w:spacing w:before="70" w:line="131" w:lineRule="exact"/>
              <w:rPr/>
            </w:pPr>
            <w:r>
              <w:rPr>
                <w:color w:val="231F20"/>
                <w:position w:val="-2"/>
              </w:rPr>
              <w:t>1</w:t>
            </w:r>
          </w:p>
        </w:tc>
        <w:tc>
          <w:tcPr>
            <w:tcW w:w="50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0"/>
              <w:spacing w:before="75" w:line="126" w:lineRule="exact"/>
              <w:rPr/>
            </w:pPr>
            <w:r>
              <w:rPr>
                <w:color w:val="231F20"/>
                <w:position w:val="-3"/>
              </w:rPr>
              <w:t>B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41" w:lineRule="exact"/>
        <w:rPr/>
      </w:pPr>
      <w:r/>
    </w:p>
    <w:p>
      <w:pPr>
        <w:spacing w:line="41" w:lineRule="exact"/>
        <w:sectPr>
          <w:type w:val="continuous"/>
          <w:pgSz w:w="11905" w:h="16836"/>
          <w:pgMar w:top="1360" w:right="1058" w:bottom="0" w:left="407" w:header="1025" w:footer="0" w:gutter="0"/>
          <w:cols w:equalWidth="0" w:num="1">
            <w:col w:w="10438" w:space="0"/>
          </w:cols>
        </w:sectPr>
        <w:rPr/>
      </w:pPr>
    </w:p>
    <w:p>
      <w:pPr>
        <w:pStyle w:val="BodyText"/>
        <w:ind w:left="728" w:right="315" w:firstLine="20"/>
        <w:spacing w:before="48" w:line="19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12"/>
          <w:position w:val="-1"/>
        </w:rPr>
        <w:t>1.3.2  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专家共识质量评价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本研究共纳入专家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共识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12"/>
          <w:position w:val="-1"/>
        </w:rPr>
        <w:t>4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篇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sz w:val="19"/>
          <w:szCs w:val="19"/>
          <w:color w:val="231F20"/>
          <w:spacing w:val="12"/>
        </w:rPr>
        <w:t>，</w:t>
      </w:r>
      <w:r>
        <w:rPr>
          <w:sz w:val="19"/>
          <w:szCs w:val="19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由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12"/>
          <w:position w:val="-1"/>
        </w:rPr>
        <w:t>2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名研究人员应用澳大利亚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position w:val="-1"/>
        </w:rPr>
        <w:t>JBI</w:t>
      </w:r>
      <w:r>
        <w:rPr>
          <w:sz w:val="20"/>
          <w:szCs w:val="20"/>
          <w:color w:val="231F20"/>
          <w:spacing w:val="1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循证卫生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保健中心专家共识评价标准</w:t>
      </w:r>
      <w:r>
        <w:rPr>
          <w:sz w:val="19"/>
          <w:szCs w:val="19"/>
          <w:color w:val="231F20"/>
          <w:spacing w:val="5"/>
        </w:rPr>
        <w:t>（</w:t>
      </w:r>
      <w:r>
        <w:rPr>
          <w:sz w:val="20"/>
          <w:szCs w:val="20"/>
          <w:color w:val="231F20"/>
          <w:spacing w:val="5"/>
        </w:rPr>
        <w:t>2017</w:t>
      </w:r>
      <w:r>
        <w:rPr>
          <w:sz w:val="19"/>
          <w:szCs w:val="19"/>
          <w:color w:val="231F20"/>
          <w:spacing w:val="5"/>
        </w:rPr>
        <w:t>）</w:t>
      </w:r>
      <w:r>
        <w:rPr>
          <w:sz w:val="11"/>
          <w:szCs w:val="11"/>
          <w:color w:val="231F20"/>
          <w:spacing w:val="5"/>
          <w:position w:val="6"/>
        </w:rPr>
        <w:t>[45]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进行文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献内容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4" w:firstLine="2"/>
        <w:spacing w:before="42" w:line="200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真实性质量评价</w:t>
      </w:r>
      <w:r>
        <w:rPr>
          <w:sz w:val="19"/>
          <w:szCs w:val="19"/>
          <w:color w:val="231F20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其中共</w:t>
      </w:r>
      <w:r>
        <w:rPr>
          <w:rFonts w:ascii="SimSun" w:hAnsi="SimSun" w:eastAsia="SimSun" w:cs="SimSun"/>
          <w:sz w:val="19"/>
          <w:szCs w:val="19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10"/>
          <w:position w:val="-1"/>
        </w:rPr>
        <w:t>6 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个条目</w:t>
      </w:r>
      <w:r>
        <w:rPr>
          <w:sz w:val="19"/>
          <w:szCs w:val="19"/>
          <w:color w:val="231F20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以</w:t>
      </w:r>
      <w:r>
        <w:rPr>
          <w:sz w:val="19"/>
          <w:szCs w:val="19"/>
          <w:color w:val="231F20"/>
          <w:spacing w:val="-10"/>
        </w:rPr>
        <w:t>“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是</w:t>
      </w:r>
      <w:r>
        <w:rPr>
          <w:rFonts w:ascii="SimSun" w:hAnsi="SimSun" w:eastAsia="SimSun" w:cs="SimSun"/>
          <w:sz w:val="19"/>
          <w:szCs w:val="19"/>
          <w:color w:val="231F20"/>
          <w:spacing w:val="-72"/>
        </w:rPr>
        <w:t xml:space="preserve"> </w:t>
      </w:r>
      <w:r>
        <w:rPr>
          <w:sz w:val="19"/>
          <w:szCs w:val="19"/>
          <w:color w:val="231F20"/>
          <w:spacing w:val="-10"/>
        </w:rPr>
        <w:t>”“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否</w:t>
      </w:r>
      <w:r>
        <w:rPr>
          <w:rFonts w:ascii="SimSun" w:hAnsi="SimSun" w:eastAsia="SimSun" w:cs="SimSun"/>
          <w:sz w:val="19"/>
          <w:szCs w:val="19"/>
          <w:color w:val="231F20"/>
          <w:spacing w:val="-72"/>
        </w:rPr>
        <w:t xml:space="preserve"> </w:t>
      </w:r>
      <w:r>
        <w:rPr>
          <w:sz w:val="19"/>
          <w:szCs w:val="19"/>
          <w:color w:val="231F20"/>
          <w:spacing w:val="-10"/>
        </w:rPr>
        <w:t>”“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不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清楚</w:t>
      </w:r>
      <w:r>
        <w:rPr>
          <w:rFonts w:ascii="SimSun" w:hAnsi="SimSun" w:eastAsia="SimSun" w:cs="SimSun"/>
          <w:sz w:val="19"/>
          <w:szCs w:val="19"/>
          <w:color w:val="231F20"/>
          <w:spacing w:val="-72"/>
        </w:rPr>
        <w:t xml:space="preserve"> </w:t>
      </w:r>
      <w:r>
        <w:rPr>
          <w:sz w:val="19"/>
          <w:szCs w:val="19"/>
          <w:color w:val="231F20"/>
        </w:rPr>
        <w:t>”“</w:t>
      </w:r>
      <w:r>
        <w:rPr>
          <w:rFonts w:ascii="SimSun" w:hAnsi="SimSun" w:eastAsia="SimSun" w:cs="SimSun"/>
          <w:sz w:val="19"/>
          <w:szCs w:val="19"/>
          <w:color w:val="231F20"/>
        </w:rPr>
        <w:t>不适用</w:t>
      </w:r>
      <w:r>
        <w:rPr>
          <w:rFonts w:ascii="SimSun" w:hAnsi="SimSun" w:eastAsia="SimSun" w:cs="SimSun"/>
          <w:sz w:val="19"/>
          <w:szCs w:val="19"/>
          <w:color w:val="231F20"/>
          <w:spacing w:val="-70"/>
        </w:rPr>
        <w:t xml:space="preserve"> </w:t>
      </w:r>
      <w:r>
        <w:rPr>
          <w:sz w:val="19"/>
          <w:szCs w:val="19"/>
          <w:color w:val="231F20"/>
        </w:rPr>
        <w:t>”</w:t>
      </w:r>
      <w:r>
        <w:rPr>
          <w:rFonts w:ascii="SimSun" w:hAnsi="SimSun" w:eastAsia="SimSun" w:cs="SimSun"/>
          <w:sz w:val="19"/>
          <w:szCs w:val="19"/>
          <w:color w:val="231F20"/>
        </w:rPr>
        <w:t>进行评价</w:t>
      </w:r>
      <w:r>
        <w:rPr>
          <w:sz w:val="19"/>
          <w:szCs w:val="19"/>
          <w:color w:val="231F2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</w:rPr>
        <w:t>如遇分歧则讨论</w:t>
      </w:r>
      <w:r>
        <w:rPr>
          <w:sz w:val="19"/>
          <w:szCs w:val="19"/>
          <w:color w:val="231F2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由第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3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名研究人员仲裁决定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质量评价结果见表</w:t>
      </w:r>
      <w:r>
        <w:rPr>
          <w:rFonts w:ascii="SimSun" w:hAnsi="SimSun" w:eastAsia="SimSun" w:cs="SimSun"/>
          <w:sz w:val="19"/>
          <w:szCs w:val="19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10"/>
          <w:position w:val="-1"/>
        </w:rPr>
        <w:t>2</w:t>
      </w:r>
      <w:r>
        <w:rPr>
          <w:sz w:val="19"/>
          <w:szCs w:val="19"/>
          <w:color w:val="231F20"/>
          <w:spacing w:val="10"/>
        </w:rPr>
        <w:t>。</w:t>
      </w:r>
    </w:p>
    <w:p>
      <w:pPr>
        <w:spacing w:line="200" w:lineRule="auto"/>
        <w:sectPr>
          <w:type w:val="continuous"/>
          <w:pgSz w:w="11905" w:h="16836"/>
          <w:pgMar w:top="1360" w:right="1058" w:bottom="0" w:left="407" w:header="1025" w:footer="0" w:gutter="0"/>
          <w:cols w:equalWidth="0" w:num="2">
            <w:col w:w="5655" w:space="100"/>
            <w:col w:w="4684" w:space="0"/>
          </w:cols>
        </w:sectPr>
        <w:rPr>
          <w:sz w:val="19"/>
          <w:szCs w:val="19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102"/>
        <w:spacing w:before="64" w:line="189" w:lineRule="auto"/>
        <w:rPr>
          <w:sz w:val="14"/>
          <w:szCs w:val="14"/>
        </w:rPr>
      </w:pPr>
      <w:r>
        <w:rPr>
          <w:sz w:val="15"/>
          <w:szCs w:val="15"/>
          <w:color w:val="231F20"/>
          <w:spacing w:val="-13"/>
          <w:position w:val="-4"/>
        </w:rPr>
        <w:t>26</w:t>
      </w:r>
      <w:r>
        <w:rPr>
          <w:sz w:val="15"/>
          <w:szCs w:val="15"/>
          <w:color w:val="231F20"/>
          <w:position w:val="-4"/>
        </w:rPr>
        <w:t xml:space="preserve">                                                                                    </w:t>
      </w:r>
      <w:r>
        <w:rPr>
          <w:rFonts w:ascii="SimSun" w:hAnsi="SimSun" w:eastAsia="SimSun" w:cs="SimSun"/>
          <w:sz w:val="14"/>
          <w:szCs w:val="14"/>
          <w:color w:val="231F20"/>
          <w:spacing w:val="-13"/>
          <w:position w:val="1"/>
        </w:rPr>
        <w:t>护</w:t>
      </w:r>
      <w:r>
        <w:rPr>
          <w:rFonts w:ascii="SimSun" w:hAnsi="SimSun" w:eastAsia="SimSun" w:cs="SimSun"/>
          <w:sz w:val="14"/>
          <w:szCs w:val="14"/>
          <w:color w:val="231F20"/>
          <w:spacing w:val="27"/>
          <w:position w:val="1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-13"/>
          <w:position w:val="1"/>
        </w:rPr>
        <w:t>理</w:t>
      </w:r>
      <w:r>
        <w:rPr>
          <w:rFonts w:ascii="SimSun" w:hAnsi="SimSun" w:eastAsia="SimSun" w:cs="SimSun"/>
          <w:sz w:val="14"/>
          <w:szCs w:val="14"/>
          <w:color w:val="231F20"/>
          <w:spacing w:val="20"/>
          <w:position w:val="1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-13"/>
          <w:position w:val="1"/>
        </w:rPr>
        <w:t>学</w:t>
      </w:r>
      <w:r>
        <w:rPr>
          <w:rFonts w:ascii="SimSun" w:hAnsi="SimSun" w:eastAsia="SimSun" w:cs="SimSun"/>
          <w:sz w:val="14"/>
          <w:szCs w:val="14"/>
          <w:color w:val="231F20"/>
          <w:spacing w:val="17"/>
          <w:w w:val="101"/>
          <w:position w:val="1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-13"/>
          <w:position w:val="1"/>
        </w:rPr>
        <w:t>报</w:t>
      </w:r>
      <w:r>
        <w:rPr>
          <w:rFonts w:ascii="SimSun" w:hAnsi="SimSun" w:eastAsia="SimSun" w:cs="SimSun"/>
          <w:sz w:val="14"/>
          <w:szCs w:val="14"/>
          <w:color w:val="231F20"/>
          <w:spacing w:val="1"/>
          <w:position w:val="1"/>
        </w:rPr>
        <w:t xml:space="preserve">                     </w:t>
      </w:r>
      <w:r>
        <w:rPr>
          <w:rFonts w:ascii="SimSun" w:hAnsi="SimSun" w:eastAsia="SimSun" w:cs="SimSun"/>
          <w:sz w:val="14"/>
          <w:szCs w:val="14"/>
          <w:color w:val="231F20"/>
          <w:position w:val="1"/>
        </w:rPr>
        <w:t xml:space="preserve">                       </w:t>
      </w:r>
      <w:r>
        <w:rPr>
          <w:sz w:val="15"/>
          <w:szCs w:val="15"/>
          <w:color w:val="231F20"/>
          <w:spacing w:val="-13"/>
        </w:rPr>
        <w:t>2020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27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24</w:t>
      </w:r>
      <w:r>
        <w:rPr>
          <w:sz w:val="14"/>
          <w:szCs w:val="14"/>
          <w:color w:val="231F20"/>
          <w:spacing w:val="-13"/>
        </w:rPr>
        <w:t>）</w:t>
      </w:r>
    </w:p>
    <w:p>
      <w:pPr>
        <w:ind w:firstLine="728"/>
        <w:spacing w:before="49" w:line="30" w:lineRule="exact"/>
        <w:rPr/>
      </w:pPr>
      <w:r>
        <w:rPr/>
        <w:drawing>
          <wp:inline distT="0" distB="0" distL="0" distR="0">
            <wp:extent cx="6118859" cy="1905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8859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27"/>
        <w:spacing w:before="197" w:line="162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12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12"/>
        </w:rPr>
        <w:t xml:space="preserve"> </w:t>
      </w:r>
      <w:r>
        <w:rPr>
          <w:color w:val="231F20"/>
          <w:spacing w:val="12"/>
          <w:position w:val="-1"/>
        </w:rPr>
        <w:t>2</w:t>
      </w:r>
      <w:r>
        <w:rPr>
          <w:color w:val="231F20"/>
          <w:spacing w:val="14"/>
          <w:w w:val="101"/>
          <w:position w:val="-1"/>
        </w:rPr>
        <w:t xml:space="preserve">   </w:t>
      </w:r>
      <w:r>
        <w:rPr>
          <w:rFonts w:ascii="SimHei" w:hAnsi="SimHei" w:eastAsia="SimHei" w:cs="SimHei"/>
          <w:sz w:val="16"/>
          <w:szCs w:val="16"/>
          <w:color w:val="231F20"/>
          <w:spacing w:val="12"/>
        </w:rPr>
        <w:t>专家共识的质量评价结果</w:t>
      </w:r>
    </w:p>
    <w:tbl>
      <w:tblPr>
        <w:tblStyle w:val="TableNormal"/>
        <w:tblW w:w="9637" w:type="dxa"/>
        <w:tblInd w:w="7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13"/>
        <w:gridCol w:w="1041"/>
        <w:gridCol w:w="841"/>
        <w:gridCol w:w="1073"/>
        <w:gridCol w:w="1381"/>
        <w:gridCol w:w="1103"/>
        <w:gridCol w:w="1185"/>
      </w:tblGrid>
      <w:tr>
        <w:trPr>
          <w:trHeight w:val="656" w:hRule="atLeast"/>
        </w:trPr>
        <w:tc>
          <w:tcPr>
            <w:tcW w:w="301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368"/>
              <w:spacing w:before="258" w:line="21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作者</w:t>
            </w:r>
          </w:p>
        </w:tc>
        <w:tc>
          <w:tcPr>
            <w:tcW w:w="104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52"/>
              <w:spacing w:before="35" w:line="21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5"/>
              </w:rPr>
              <w:t>是否明确标</w:t>
            </w:r>
          </w:p>
          <w:p>
            <w:pPr>
              <w:ind w:left="150"/>
              <w:spacing w:before="58" w:line="21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5"/>
              </w:rPr>
              <w:t>注观点来源</w:t>
            </w:r>
          </w:p>
        </w:tc>
        <w:tc>
          <w:tcPr>
            <w:tcW w:w="84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20"/>
              <w:spacing w:before="36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观点在该</w:t>
            </w:r>
          </w:p>
          <w:p>
            <w:pPr>
              <w:ind w:left="120"/>
              <w:spacing w:before="59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领域是否</w:t>
            </w:r>
          </w:p>
          <w:p>
            <w:pPr>
              <w:ind w:left="120"/>
              <w:spacing w:before="57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有代表性</w:t>
            </w:r>
          </w:p>
        </w:tc>
        <w:tc>
          <w:tcPr>
            <w:tcW w:w="107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09"/>
              <w:spacing w:before="36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8"/>
              </w:rPr>
              <w:t>观点是否以研</w:t>
            </w:r>
          </w:p>
          <w:p>
            <w:pPr>
              <w:ind w:left="116"/>
              <w:spacing w:before="59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6"/>
              </w:rPr>
              <w:t>究相关人群利</w:t>
            </w:r>
          </w:p>
          <w:p>
            <w:pPr>
              <w:ind w:left="116"/>
              <w:spacing w:before="57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7"/>
              </w:rPr>
              <w:t>益为中心</w:t>
            </w:r>
          </w:p>
        </w:tc>
        <w:tc>
          <w:tcPr>
            <w:tcW w:w="138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82"/>
              <w:spacing w:before="36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1"/>
              </w:rPr>
              <w:t>结论是否是基于分</w:t>
            </w:r>
          </w:p>
          <w:p>
            <w:pPr>
              <w:pStyle w:val="TableText"/>
              <w:ind w:left="112" w:right="106" w:hanging="13"/>
              <w:spacing w:before="58" w:line="22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6"/>
              </w:rPr>
              <w:t>析的结果</w:t>
            </w:r>
            <w:r>
              <w:rPr>
                <w:sz w:val="14"/>
                <w:szCs w:val="14"/>
                <w:color w:val="231F20"/>
                <w:spacing w:val="6"/>
              </w:rPr>
              <w:t>，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6"/>
              </w:rPr>
              <w:t>观点表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6"/>
              </w:rPr>
              <w:t>达是否有逻辑性</w:t>
            </w:r>
          </w:p>
        </w:tc>
        <w:tc>
          <w:tcPr>
            <w:tcW w:w="110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97"/>
              <w:spacing w:before="36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5"/>
              </w:rPr>
              <w:t>是否参考现有</w:t>
            </w:r>
          </w:p>
          <w:p>
            <w:pPr>
              <w:ind w:left="100" w:right="70" w:hanging="5"/>
              <w:spacing w:before="58" w:line="25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6"/>
              </w:rPr>
              <w:t>其他文献并准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3"/>
              </w:rPr>
              <w:t>确指引</w:t>
            </w:r>
          </w:p>
        </w:tc>
        <w:tc>
          <w:tcPr>
            <w:tcW w:w="118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right="10"/>
              <w:spacing w:before="35" w:line="217" w:lineRule="auto"/>
              <w:jc w:val="righ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6"/>
              </w:rPr>
              <w:t>观点与其他文献</w:t>
            </w:r>
          </w:p>
          <w:p>
            <w:pPr>
              <w:ind w:left="81" w:right="10"/>
              <w:spacing w:before="60" w:line="25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6"/>
              </w:rPr>
              <w:t>不一致的地方是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5"/>
              </w:rPr>
              <w:t>否有合理解释</w:t>
            </w:r>
          </w:p>
        </w:tc>
      </w:tr>
      <w:tr>
        <w:trPr>
          <w:trHeight w:val="213" w:hRule="atLeast"/>
        </w:trPr>
        <w:tc>
          <w:tcPr>
            <w:tcW w:w="301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"/>
              <w:spacing w:before="40" w:line="163" w:lineRule="exact"/>
              <w:rPr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8"/>
              </w:rPr>
              <w:t>中国医师协会胰腺病学专业委员会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8"/>
                <w:position w:val="-1"/>
              </w:rPr>
              <w:t>2015</w:t>
            </w:r>
            <w:r>
              <w:rPr>
                <w:sz w:val="8"/>
                <w:szCs w:val="8"/>
                <w:color w:val="231F20"/>
                <w:spacing w:val="8"/>
                <w:position w:val="4"/>
              </w:rPr>
              <w:t>[25]</w:t>
            </w:r>
          </w:p>
        </w:tc>
        <w:tc>
          <w:tcPr>
            <w:tcW w:w="1041" w:type="dxa"/>
            <w:vAlign w:val="top"/>
            <w:tcBorders>
              <w:top w:val="single" w:color="231F20" w:sz="2" w:space="0"/>
            </w:tcBorders>
          </w:tcPr>
          <w:p>
            <w:pPr>
              <w:ind w:left="470"/>
              <w:spacing w:before="42" w:line="21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41" w:type="dxa"/>
            <w:vAlign w:val="top"/>
            <w:tcBorders>
              <w:top w:val="single" w:color="231F20" w:sz="2" w:space="0"/>
            </w:tcBorders>
          </w:tcPr>
          <w:p>
            <w:pPr>
              <w:ind w:left="361"/>
              <w:spacing w:before="42" w:line="21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1073" w:type="dxa"/>
            <w:vAlign w:val="top"/>
            <w:tcBorders>
              <w:top w:val="single" w:color="231F20" w:sz="2" w:space="0"/>
            </w:tcBorders>
          </w:tcPr>
          <w:p>
            <w:pPr>
              <w:ind w:left="484"/>
              <w:spacing w:before="42" w:line="21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1381" w:type="dxa"/>
            <w:vAlign w:val="top"/>
            <w:tcBorders>
              <w:top w:val="single" w:color="231F20" w:sz="2" w:space="0"/>
            </w:tcBorders>
          </w:tcPr>
          <w:p>
            <w:pPr>
              <w:ind w:left="617"/>
              <w:spacing w:before="42" w:line="21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1103" w:type="dxa"/>
            <w:vAlign w:val="top"/>
            <w:tcBorders>
              <w:top w:val="single" w:color="231F20" w:sz="2" w:space="0"/>
            </w:tcBorders>
          </w:tcPr>
          <w:p>
            <w:pPr>
              <w:ind w:left="495"/>
              <w:spacing w:before="42" w:line="21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1185" w:type="dxa"/>
            <w:vAlign w:val="top"/>
            <w:tcBorders>
              <w:top w:val="single" w:color="231F20" w:sz="2" w:space="0"/>
            </w:tcBorders>
          </w:tcPr>
          <w:p>
            <w:pPr>
              <w:ind w:left="399"/>
              <w:spacing w:before="40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</w:tr>
      <w:tr>
        <w:trPr>
          <w:trHeight w:val="220" w:hRule="atLeast"/>
        </w:trPr>
        <w:tc>
          <w:tcPr>
            <w:tcW w:w="3013" w:type="dxa"/>
            <w:vAlign w:val="top"/>
          </w:tcPr>
          <w:p>
            <w:pPr>
              <w:pStyle w:val="TableText"/>
              <w:ind w:left="12"/>
              <w:spacing w:before="50" w:line="160" w:lineRule="exact"/>
              <w:rPr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7"/>
              </w:rPr>
              <w:t>浙江省医学会重症医学分会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7"/>
                <w:position w:val="-1"/>
              </w:rPr>
              <w:t>2017</w:t>
            </w:r>
            <w:r>
              <w:rPr>
                <w:sz w:val="8"/>
                <w:szCs w:val="8"/>
                <w:color w:val="231F20"/>
                <w:spacing w:val="7"/>
                <w:position w:val="4"/>
              </w:rPr>
              <w:t>[26]</w:t>
            </w:r>
          </w:p>
        </w:tc>
        <w:tc>
          <w:tcPr>
            <w:tcW w:w="1041" w:type="dxa"/>
            <w:vAlign w:val="top"/>
          </w:tcPr>
          <w:p>
            <w:pPr>
              <w:ind w:left="470"/>
              <w:spacing w:before="53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41" w:type="dxa"/>
            <w:vAlign w:val="top"/>
          </w:tcPr>
          <w:p>
            <w:pPr>
              <w:ind w:left="361"/>
              <w:spacing w:before="53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1073" w:type="dxa"/>
            <w:vAlign w:val="top"/>
          </w:tcPr>
          <w:p>
            <w:pPr>
              <w:ind w:left="484"/>
              <w:spacing w:before="53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1381" w:type="dxa"/>
            <w:vAlign w:val="top"/>
          </w:tcPr>
          <w:p>
            <w:pPr>
              <w:ind w:left="617"/>
              <w:spacing w:before="53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1103" w:type="dxa"/>
            <w:vAlign w:val="top"/>
          </w:tcPr>
          <w:p>
            <w:pPr>
              <w:ind w:left="495"/>
              <w:spacing w:before="53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1185" w:type="dxa"/>
            <w:vAlign w:val="top"/>
          </w:tcPr>
          <w:p>
            <w:pPr>
              <w:ind w:left="399"/>
              <w:spacing w:before="51" w:line="20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</w:tr>
      <w:tr>
        <w:trPr>
          <w:trHeight w:val="441" w:hRule="atLeast"/>
        </w:trPr>
        <w:tc>
          <w:tcPr>
            <w:tcW w:w="3013" w:type="dxa"/>
            <w:vAlign w:val="top"/>
          </w:tcPr>
          <w:p>
            <w:pPr>
              <w:pStyle w:val="TableText"/>
              <w:ind w:left="10" w:right="170" w:firstLine="14"/>
              <w:spacing w:before="52" w:line="207" w:lineRule="auto"/>
              <w:rPr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8"/>
              </w:rPr>
              <w:t>中国中西医结合学会消化系统疾病专业委员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6"/>
                <w:position w:val="-1"/>
              </w:rPr>
              <w:t>会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30"/>
                <w:position w:val="-1"/>
              </w:rPr>
              <w:t xml:space="preserve"> </w:t>
            </w:r>
            <w:r>
              <w:rPr>
                <w:color w:val="231F20"/>
                <w:spacing w:val="-6"/>
                <w:position w:val="-1"/>
              </w:rPr>
              <w:t>2017</w:t>
            </w:r>
            <w:r>
              <w:rPr>
                <w:sz w:val="8"/>
                <w:szCs w:val="8"/>
                <w:color w:val="231F20"/>
                <w:spacing w:val="-6"/>
                <w:position w:val="4"/>
              </w:rPr>
              <w:t>[27]</w:t>
            </w:r>
          </w:p>
        </w:tc>
        <w:tc>
          <w:tcPr>
            <w:tcW w:w="1041" w:type="dxa"/>
            <w:vAlign w:val="top"/>
          </w:tcPr>
          <w:p>
            <w:pPr>
              <w:ind w:left="470"/>
              <w:spacing w:before="54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41" w:type="dxa"/>
            <w:vAlign w:val="top"/>
          </w:tcPr>
          <w:p>
            <w:pPr>
              <w:ind w:left="361"/>
              <w:spacing w:before="54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1073" w:type="dxa"/>
            <w:vAlign w:val="top"/>
          </w:tcPr>
          <w:p>
            <w:pPr>
              <w:ind w:left="484"/>
              <w:spacing w:before="54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1381" w:type="dxa"/>
            <w:vAlign w:val="top"/>
          </w:tcPr>
          <w:p>
            <w:pPr>
              <w:ind w:left="617"/>
              <w:spacing w:before="54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1103" w:type="dxa"/>
            <w:vAlign w:val="top"/>
          </w:tcPr>
          <w:p>
            <w:pPr>
              <w:ind w:left="495"/>
              <w:spacing w:before="54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1185" w:type="dxa"/>
            <w:vAlign w:val="top"/>
          </w:tcPr>
          <w:p>
            <w:pPr>
              <w:ind w:left="399"/>
              <w:spacing w:before="52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</w:tr>
      <w:tr>
        <w:trPr>
          <w:trHeight w:val="235" w:hRule="atLeast"/>
        </w:trPr>
        <w:tc>
          <w:tcPr>
            <w:tcW w:w="301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5"/>
              <w:spacing w:before="55" w:line="158" w:lineRule="auto"/>
              <w:rPr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7"/>
              </w:rPr>
              <w:t>中华中医药学会脾胃病分会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7"/>
                <w:position w:val="-1"/>
              </w:rPr>
              <w:t>2017</w:t>
            </w:r>
            <w:r>
              <w:rPr>
                <w:sz w:val="8"/>
                <w:szCs w:val="8"/>
                <w:color w:val="231F20"/>
                <w:spacing w:val="7"/>
                <w:position w:val="4"/>
              </w:rPr>
              <w:t>[28]</w:t>
            </w:r>
          </w:p>
        </w:tc>
        <w:tc>
          <w:tcPr>
            <w:tcW w:w="1041" w:type="dxa"/>
            <w:vAlign w:val="top"/>
            <w:tcBorders>
              <w:bottom w:val="single" w:color="231F20" w:sz="6" w:space="0"/>
            </w:tcBorders>
          </w:tcPr>
          <w:p>
            <w:pPr>
              <w:ind w:left="470"/>
              <w:spacing w:before="58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41" w:type="dxa"/>
            <w:vAlign w:val="top"/>
            <w:tcBorders>
              <w:bottom w:val="single" w:color="231F20" w:sz="6" w:space="0"/>
            </w:tcBorders>
          </w:tcPr>
          <w:p>
            <w:pPr>
              <w:ind w:left="361"/>
              <w:spacing w:before="58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1073" w:type="dxa"/>
            <w:vAlign w:val="top"/>
            <w:tcBorders>
              <w:bottom w:val="single" w:color="231F20" w:sz="6" w:space="0"/>
            </w:tcBorders>
          </w:tcPr>
          <w:p>
            <w:pPr>
              <w:ind w:left="484"/>
              <w:spacing w:before="58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1381" w:type="dxa"/>
            <w:vAlign w:val="top"/>
            <w:tcBorders>
              <w:bottom w:val="single" w:color="231F20" w:sz="6" w:space="0"/>
            </w:tcBorders>
          </w:tcPr>
          <w:p>
            <w:pPr>
              <w:ind w:left="617"/>
              <w:spacing w:before="58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1103" w:type="dxa"/>
            <w:vAlign w:val="top"/>
            <w:tcBorders>
              <w:bottom w:val="single" w:color="231F20" w:sz="6" w:space="0"/>
            </w:tcBorders>
          </w:tcPr>
          <w:p>
            <w:pPr>
              <w:ind w:left="495"/>
              <w:spacing w:before="58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1185" w:type="dxa"/>
            <w:vAlign w:val="top"/>
            <w:tcBorders>
              <w:bottom w:val="single" w:color="231F20" w:sz="6" w:space="0"/>
            </w:tcBorders>
          </w:tcPr>
          <w:p>
            <w:pPr>
              <w:ind w:left="399"/>
              <w:spacing w:before="56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73" w:lineRule="exact"/>
        <w:rPr/>
      </w:pPr>
      <w:r/>
    </w:p>
    <w:p>
      <w:pPr>
        <w:spacing w:line="73" w:lineRule="exact"/>
        <w:sectPr>
          <w:headerReference w:type="default" r:id="rId6"/>
          <w:pgSz w:w="11905" w:h="16836"/>
          <w:pgMar w:top="400" w:right="529" w:bottom="0" w:left="407" w:header="0" w:footer="0" w:gutter="0"/>
          <w:cols w:equalWidth="0" w:num="1">
            <w:col w:w="10967" w:space="0"/>
          </w:cols>
        </w:sectPr>
        <w:rPr/>
      </w:pPr>
    </w:p>
    <w:p>
      <w:pPr>
        <w:pStyle w:val="BodyText"/>
        <w:ind w:left="749" w:right="305"/>
        <w:spacing w:before="44" w:line="22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2"/>
          <w:position w:val="-1"/>
        </w:rPr>
        <w:t>1.3.3</w:t>
      </w:r>
      <w:r>
        <w:rPr>
          <w:sz w:val="20"/>
          <w:szCs w:val="20"/>
          <w:color w:val="231F20"/>
          <w:spacing w:val="16"/>
          <w:w w:val="101"/>
          <w:position w:val="-1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系统评价质量评价  本研究共纳入系统评价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11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6"/>
          <w:position w:val="1"/>
        </w:rPr>
        <w:t>篇</w:t>
      </w:r>
      <w:r>
        <w:rPr>
          <w:sz w:val="19"/>
          <w:szCs w:val="19"/>
          <w:color w:val="231F20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6"/>
          <w:position w:val="1"/>
        </w:rPr>
        <w:t>系统评价采用 </w:t>
      </w:r>
      <w:r>
        <w:rPr>
          <w:sz w:val="20"/>
          <w:szCs w:val="20"/>
          <w:color w:val="231F20"/>
          <w:spacing w:val="-6"/>
        </w:rPr>
        <w:t>CASP</w:t>
      </w:r>
      <w:r>
        <w:rPr>
          <w:sz w:val="19"/>
          <w:szCs w:val="19"/>
          <w:color w:val="231F20"/>
          <w:spacing w:val="-6"/>
        </w:rPr>
        <w:t>（</w:t>
      </w:r>
      <w:r>
        <w:rPr>
          <w:sz w:val="20"/>
          <w:szCs w:val="20"/>
          <w:color w:val="231F20"/>
          <w:spacing w:val="-6"/>
        </w:rPr>
        <w:t>Critical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Appraisal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Ski</w:t>
      </w:r>
      <w:r>
        <w:rPr>
          <w:sz w:val="20"/>
          <w:szCs w:val="20"/>
          <w:color w:val="231F20"/>
          <w:spacing w:val="-7"/>
        </w:rPr>
        <w:t>lls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608" w:hanging="8"/>
        <w:spacing w:before="44" w:line="216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-4"/>
        </w:rPr>
        <w:t>Programme</w:t>
      </w:r>
      <w:r>
        <w:rPr>
          <w:sz w:val="19"/>
          <w:szCs w:val="19"/>
          <w:color w:val="231F20"/>
          <w:spacing w:val="-4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系统评价表进行评价</w:t>
      </w:r>
      <w:r>
        <w:rPr>
          <w:sz w:val="11"/>
          <w:szCs w:val="11"/>
          <w:color w:val="231F20"/>
          <w:spacing w:val="-4"/>
          <w:position w:val="6"/>
        </w:rPr>
        <w:t>[46]</w:t>
      </w:r>
      <w:r>
        <w:rPr>
          <w:sz w:val="19"/>
          <w:szCs w:val="19"/>
          <w:color w:val="231F20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由项</w:t>
      </w: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目组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2</w:t>
      </w:r>
      <w:r>
        <w:rPr>
          <w:sz w:val="20"/>
          <w:szCs w:val="20"/>
          <w:color w:val="231F20"/>
          <w:spacing w:val="2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名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研究人员独立完成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质量评价结果见表</w:t>
      </w:r>
      <w:r>
        <w:rPr>
          <w:rFonts w:ascii="SimSun" w:hAnsi="SimSun" w:eastAsia="SimSun" w:cs="SimSun"/>
          <w:sz w:val="19"/>
          <w:szCs w:val="19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9"/>
          <w:position w:val="-1"/>
        </w:rPr>
        <w:t>3</w:t>
      </w:r>
      <w:r>
        <w:rPr>
          <w:sz w:val="19"/>
          <w:szCs w:val="19"/>
          <w:color w:val="231F20"/>
          <w:spacing w:val="9"/>
        </w:rPr>
        <w:t>。</w:t>
      </w:r>
    </w:p>
    <w:p>
      <w:pPr>
        <w:spacing w:line="216" w:lineRule="auto"/>
        <w:sectPr>
          <w:type w:val="continuous"/>
          <w:pgSz w:w="11905" w:h="16836"/>
          <w:pgMar w:top="400" w:right="529" w:bottom="0" w:left="407" w:header="0" w:footer="0" w:gutter="0"/>
          <w:cols w:equalWidth="0" w:num="2">
            <w:col w:w="5648" w:space="100"/>
            <w:col w:w="5219" w:space="0"/>
          </w:cols>
        </w:sectPr>
        <w:rPr>
          <w:sz w:val="19"/>
          <w:szCs w:val="19"/>
        </w:rPr>
      </w:pPr>
    </w:p>
    <w:p>
      <w:pPr>
        <w:pStyle w:val="BodyText"/>
        <w:ind w:left="4328"/>
        <w:spacing w:before="226" w:line="175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12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12"/>
        </w:rPr>
        <w:t xml:space="preserve"> </w:t>
      </w:r>
      <w:r>
        <w:rPr>
          <w:color w:val="231F20"/>
          <w:spacing w:val="12"/>
          <w:position w:val="-1"/>
        </w:rPr>
        <w:t>3</w:t>
      </w:r>
      <w:r>
        <w:rPr>
          <w:color w:val="231F20"/>
          <w:spacing w:val="14"/>
          <w:w w:val="101"/>
          <w:position w:val="-1"/>
        </w:rPr>
        <w:t xml:space="preserve">   </w:t>
      </w:r>
      <w:r>
        <w:rPr>
          <w:rFonts w:ascii="SimHei" w:hAnsi="SimHei" w:eastAsia="SimHei" w:cs="SimHei"/>
          <w:sz w:val="16"/>
          <w:szCs w:val="16"/>
          <w:color w:val="231F20"/>
          <w:spacing w:val="12"/>
        </w:rPr>
        <w:t>系统评价的质量评价结果</w:t>
      </w:r>
    </w:p>
    <w:tbl>
      <w:tblPr>
        <w:tblStyle w:val="TableNormal"/>
        <w:tblW w:w="9638" w:type="dxa"/>
        <w:tblInd w:w="72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88"/>
        <w:gridCol w:w="819"/>
        <w:gridCol w:w="819"/>
        <w:gridCol w:w="930"/>
        <w:gridCol w:w="858"/>
        <w:gridCol w:w="896"/>
        <w:gridCol w:w="870"/>
        <w:gridCol w:w="825"/>
        <w:gridCol w:w="761"/>
        <w:gridCol w:w="786"/>
        <w:gridCol w:w="786"/>
      </w:tblGrid>
      <w:tr>
        <w:trPr>
          <w:trHeight w:val="210" w:hRule="atLeast"/>
        </w:trPr>
        <w:tc>
          <w:tcPr>
            <w:tcW w:w="1288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329"/>
              <w:spacing w:before="151" w:line="21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作者</w:t>
            </w:r>
          </w:p>
        </w:tc>
        <w:tc>
          <w:tcPr>
            <w:tcW w:w="1638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31"/>
              <w:spacing w:before="44" w:line="156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"/>
                <w:position w:val="-1"/>
              </w:rPr>
              <w:t>问题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8"/>
                <w:position w:val="-1"/>
              </w:rPr>
              <w:t xml:space="preserve"> </w:t>
            </w:r>
            <w:r>
              <w:rPr>
                <w:color w:val="231F20"/>
                <w:spacing w:val="1"/>
                <w:position w:val="-1"/>
              </w:rPr>
              <w:t>1</w:t>
            </w:r>
          </w:p>
        </w:tc>
        <w:tc>
          <w:tcPr>
            <w:tcW w:w="1788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43"/>
              <w:spacing w:before="39" w:line="161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"/>
              </w:rPr>
              <w:t>问题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1"/>
              </w:rPr>
              <w:t>2</w:t>
            </w:r>
          </w:p>
        </w:tc>
        <w:tc>
          <w:tcPr>
            <w:tcW w:w="1766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02"/>
              <w:spacing w:before="39" w:line="161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"/>
              </w:rPr>
              <w:t>问题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1"/>
              </w:rPr>
              <w:t>3</w:t>
            </w:r>
          </w:p>
        </w:tc>
        <w:tc>
          <w:tcPr>
            <w:tcW w:w="1586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44"/>
              <w:spacing w:before="33" w:line="167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"/>
              </w:rPr>
              <w:t>问题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1"/>
              </w:rPr>
              <w:t>4</w:t>
            </w:r>
          </w:p>
        </w:tc>
        <w:tc>
          <w:tcPr>
            <w:tcW w:w="1572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31"/>
              <w:spacing w:before="46" w:line="153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"/>
              </w:rPr>
              <w:t>问题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1"/>
              </w:rPr>
              <w:t>5</w:t>
            </w:r>
          </w:p>
        </w:tc>
      </w:tr>
      <w:tr>
        <w:trPr>
          <w:trHeight w:val="213" w:hRule="atLeast"/>
        </w:trPr>
        <w:tc>
          <w:tcPr>
            <w:tcW w:w="1288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15"/>
              <w:spacing w:before="44" w:line="159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评价者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10"/>
              </w:rPr>
              <w:t>1</w:t>
            </w:r>
          </w:p>
        </w:tc>
        <w:tc>
          <w:tcPr>
            <w:tcW w:w="81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48"/>
              <w:spacing w:before="44" w:line="159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评价者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10"/>
              </w:rPr>
              <w:t>2</w:t>
            </w:r>
          </w:p>
        </w:tc>
        <w:tc>
          <w:tcPr>
            <w:tcW w:w="93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05"/>
              <w:spacing w:before="44" w:line="159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评价者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10"/>
              </w:rPr>
              <w:t>1</w:t>
            </w:r>
          </w:p>
        </w:tc>
        <w:tc>
          <w:tcPr>
            <w:tcW w:w="85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9"/>
              <w:spacing w:before="44" w:line="159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评价者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10"/>
              </w:rPr>
              <w:t>2</w:t>
            </w:r>
          </w:p>
        </w:tc>
        <w:tc>
          <w:tcPr>
            <w:tcW w:w="89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81"/>
              <w:spacing w:before="44" w:line="159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评价者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10"/>
              </w:rPr>
              <w:t>1</w:t>
            </w:r>
          </w:p>
        </w:tc>
        <w:tc>
          <w:tcPr>
            <w:tcW w:w="87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44" w:line="159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评价者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10"/>
              </w:rPr>
              <w:t>2</w:t>
            </w:r>
          </w:p>
        </w:tc>
        <w:tc>
          <w:tcPr>
            <w:tcW w:w="8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46"/>
              <w:spacing w:before="44" w:line="159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评价者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10"/>
              </w:rPr>
              <w:t>1</w:t>
            </w:r>
          </w:p>
        </w:tc>
        <w:tc>
          <w:tcPr>
            <w:tcW w:w="7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22"/>
              <w:spacing w:before="44" w:line="159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评价者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10"/>
              </w:rPr>
              <w:t>2</w:t>
            </w:r>
          </w:p>
        </w:tc>
        <w:tc>
          <w:tcPr>
            <w:tcW w:w="78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43"/>
              <w:spacing w:before="44" w:line="159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评价者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10"/>
              </w:rPr>
              <w:t>1</w:t>
            </w:r>
          </w:p>
        </w:tc>
        <w:tc>
          <w:tcPr>
            <w:tcW w:w="78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38"/>
              <w:spacing w:before="44" w:line="159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评价者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10"/>
              </w:rPr>
              <w:t>2</w:t>
            </w:r>
          </w:p>
        </w:tc>
      </w:tr>
      <w:tr>
        <w:trPr>
          <w:trHeight w:val="220" w:hRule="atLeast"/>
        </w:trPr>
        <w:tc>
          <w:tcPr>
            <w:tcW w:w="12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"/>
              <w:spacing w:before="59" w:line="151" w:lineRule="exact"/>
              <w:rPr>
                <w:sz w:val="8"/>
                <w:szCs w:val="8"/>
              </w:rPr>
            </w:pPr>
            <w:r>
              <w:rPr>
                <w:color w:val="231F20"/>
                <w:spacing w:val="-12"/>
                <w:position w:val="-1"/>
              </w:rPr>
              <w:t>Horibe</w:t>
            </w:r>
            <w:r>
              <w:rPr>
                <w:color w:val="231F20"/>
                <w:spacing w:val="15"/>
                <w:position w:val="-1"/>
              </w:rPr>
              <w:t xml:space="preserve"> </w:t>
            </w:r>
            <w:r>
              <w:rPr>
                <w:color w:val="231F20"/>
                <w:spacing w:val="-12"/>
                <w:position w:val="-1"/>
              </w:rPr>
              <w:t>et</w:t>
            </w:r>
            <w:r>
              <w:rPr>
                <w:color w:val="231F20"/>
                <w:spacing w:val="14"/>
                <w:position w:val="-1"/>
              </w:rPr>
              <w:t xml:space="preserve"> </w:t>
            </w:r>
            <w:r>
              <w:rPr>
                <w:color w:val="231F20"/>
                <w:spacing w:val="-12"/>
                <w:position w:val="-1"/>
              </w:rPr>
              <w:t>al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[29]</w:t>
            </w:r>
          </w:p>
        </w:tc>
        <w:tc>
          <w:tcPr>
            <w:tcW w:w="819" w:type="dxa"/>
            <w:vAlign w:val="top"/>
            <w:tcBorders>
              <w:top w:val="single" w:color="231F20" w:sz="2" w:space="0"/>
            </w:tcBorders>
          </w:tcPr>
          <w:p>
            <w:pPr>
              <w:ind w:left="336"/>
              <w:spacing w:before="49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19" w:type="dxa"/>
            <w:vAlign w:val="top"/>
            <w:tcBorders>
              <w:top w:val="single" w:color="231F20" w:sz="2" w:space="0"/>
            </w:tcBorders>
          </w:tcPr>
          <w:p>
            <w:pPr>
              <w:ind w:left="371"/>
              <w:spacing w:before="49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30" w:type="dxa"/>
            <w:vAlign w:val="top"/>
            <w:tcBorders>
              <w:top w:val="single" w:color="231F20" w:sz="2" w:space="0"/>
            </w:tcBorders>
          </w:tcPr>
          <w:p>
            <w:pPr>
              <w:ind w:left="425"/>
              <w:spacing w:before="49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58" w:type="dxa"/>
            <w:vAlign w:val="top"/>
            <w:tcBorders>
              <w:top w:val="single" w:color="231F20" w:sz="2" w:space="0"/>
            </w:tcBorders>
          </w:tcPr>
          <w:p>
            <w:pPr>
              <w:ind w:left="390"/>
              <w:spacing w:before="49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96" w:type="dxa"/>
            <w:vAlign w:val="top"/>
            <w:tcBorders>
              <w:top w:val="single" w:color="231F20" w:sz="2" w:space="0"/>
            </w:tcBorders>
          </w:tcPr>
          <w:p>
            <w:pPr>
              <w:ind w:left="403"/>
              <w:spacing w:before="49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70" w:type="dxa"/>
            <w:vAlign w:val="top"/>
            <w:tcBorders>
              <w:top w:val="single" w:color="231F20" w:sz="2" w:space="0"/>
            </w:tcBorders>
          </w:tcPr>
          <w:p>
            <w:pPr>
              <w:ind w:left="382"/>
              <w:spacing w:before="49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25" w:type="dxa"/>
            <w:vAlign w:val="top"/>
            <w:tcBorders>
              <w:top w:val="single" w:color="231F20" w:sz="2" w:space="0"/>
            </w:tcBorders>
          </w:tcPr>
          <w:p>
            <w:pPr>
              <w:ind w:left="368"/>
              <w:spacing w:before="49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761" w:type="dxa"/>
            <w:vAlign w:val="top"/>
            <w:tcBorders>
              <w:top w:val="single" w:color="231F20" w:sz="2" w:space="0"/>
            </w:tcBorders>
          </w:tcPr>
          <w:p>
            <w:pPr>
              <w:ind w:left="343"/>
              <w:spacing w:before="49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786" w:type="dxa"/>
            <w:vAlign w:val="top"/>
            <w:tcBorders>
              <w:top w:val="single" w:color="231F20" w:sz="2" w:space="0"/>
            </w:tcBorders>
          </w:tcPr>
          <w:p>
            <w:pPr>
              <w:ind w:left="364"/>
              <w:spacing w:before="49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786" w:type="dxa"/>
            <w:vAlign w:val="top"/>
            <w:tcBorders>
              <w:top w:val="single" w:color="231F20" w:sz="2" w:space="0"/>
            </w:tcBorders>
          </w:tcPr>
          <w:p>
            <w:pPr>
              <w:ind w:left="360"/>
              <w:spacing w:before="49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</w:tr>
      <w:tr>
        <w:trPr>
          <w:trHeight w:val="237" w:hRule="atLeast"/>
        </w:trPr>
        <w:tc>
          <w:tcPr>
            <w:tcW w:w="1288" w:type="dxa"/>
            <w:vAlign w:val="top"/>
          </w:tcPr>
          <w:p>
            <w:pPr>
              <w:pStyle w:val="TableText"/>
              <w:ind w:left="3"/>
              <w:spacing w:before="60" w:line="166" w:lineRule="exact"/>
              <w:rPr>
                <w:sz w:val="8"/>
                <w:szCs w:val="8"/>
              </w:rPr>
            </w:pPr>
            <w:r>
              <w:rPr>
                <w:color w:val="231F20"/>
                <w:spacing w:val="-13"/>
                <w:position w:val="1"/>
              </w:rPr>
              <w:t>Vaughn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spacing w:val="-13"/>
                <w:position w:val="1"/>
              </w:rPr>
              <w:t>et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spacing w:val="-13"/>
                <w:position w:val="1"/>
              </w:rPr>
              <w:t>al</w:t>
            </w:r>
            <w:r>
              <w:rPr>
                <w:sz w:val="8"/>
                <w:szCs w:val="8"/>
                <w:color w:val="231F20"/>
                <w:spacing w:val="-3"/>
                <w:position w:val="6"/>
              </w:rPr>
              <w:t>[30]</w:t>
            </w:r>
          </w:p>
        </w:tc>
        <w:tc>
          <w:tcPr>
            <w:tcW w:w="819" w:type="dxa"/>
            <w:vAlign w:val="top"/>
          </w:tcPr>
          <w:p>
            <w:pPr>
              <w:ind w:left="336"/>
              <w:spacing w:before="50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19" w:type="dxa"/>
            <w:vAlign w:val="top"/>
          </w:tcPr>
          <w:p>
            <w:pPr>
              <w:ind w:left="371"/>
              <w:spacing w:before="50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30" w:type="dxa"/>
            <w:vAlign w:val="top"/>
          </w:tcPr>
          <w:p>
            <w:pPr>
              <w:ind w:left="425"/>
              <w:spacing w:before="50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58" w:type="dxa"/>
            <w:vAlign w:val="top"/>
          </w:tcPr>
          <w:p>
            <w:pPr>
              <w:ind w:left="390"/>
              <w:spacing w:before="50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96" w:type="dxa"/>
            <w:vAlign w:val="top"/>
          </w:tcPr>
          <w:p>
            <w:pPr>
              <w:ind w:left="403"/>
              <w:spacing w:before="50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70" w:type="dxa"/>
            <w:vAlign w:val="top"/>
          </w:tcPr>
          <w:p>
            <w:pPr>
              <w:ind w:left="382"/>
              <w:spacing w:before="50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25" w:type="dxa"/>
            <w:vAlign w:val="top"/>
          </w:tcPr>
          <w:p>
            <w:pPr>
              <w:ind w:left="368"/>
              <w:spacing w:before="50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761" w:type="dxa"/>
            <w:vAlign w:val="top"/>
          </w:tcPr>
          <w:p>
            <w:pPr>
              <w:ind w:left="343"/>
              <w:spacing w:before="50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786" w:type="dxa"/>
            <w:vAlign w:val="top"/>
          </w:tcPr>
          <w:p>
            <w:pPr>
              <w:ind w:left="364"/>
              <w:spacing w:before="50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786" w:type="dxa"/>
            <w:vAlign w:val="top"/>
          </w:tcPr>
          <w:p>
            <w:pPr>
              <w:ind w:left="360"/>
              <w:spacing w:before="50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</w:tr>
      <w:tr>
        <w:trPr>
          <w:trHeight w:val="199" w:hRule="atLeast"/>
        </w:trPr>
        <w:tc>
          <w:tcPr>
            <w:tcW w:w="1288" w:type="dxa"/>
            <w:vAlign w:val="top"/>
          </w:tcPr>
          <w:p>
            <w:pPr>
              <w:pStyle w:val="TableText"/>
              <w:ind w:left="10"/>
              <w:spacing w:before="34" w:line="204" w:lineRule="auto"/>
              <w:rPr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6"/>
                <w:position w:val="-1"/>
              </w:rPr>
              <w:t>赵茂晶等</w:t>
            </w:r>
            <w:r>
              <w:rPr>
                <w:sz w:val="8"/>
                <w:szCs w:val="8"/>
                <w:color w:val="231F20"/>
                <w:spacing w:val="6"/>
                <w:position w:val="3"/>
              </w:rPr>
              <w:t>[31]</w:t>
            </w:r>
          </w:p>
        </w:tc>
        <w:tc>
          <w:tcPr>
            <w:tcW w:w="819" w:type="dxa"/>
            <w:vAlign w:val="top"/>
          </w:tcPr>
          <w:p>
            <w:pPr>
              <w:ind w:left="336"/>
              <w:spacing w:before="36" w:line="20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19" w:type="dxa"/>
            <w:vAlign w:val="top"/>
          </w:tcPr>
          <w:p>
            <w:pPr>
              <w:ind w:left="371"/>
              <w:spacing w:before="36" w:line="20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30" w:type="dxa"/>
            <w:vAlign w:val="top"/>
          </w:tcPr>
          <w:p>
            <w:pPr>
              <w:ind w:left="425"/>
              <w:spacing w:before="36" w:line="20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58" w:type="dxa"/>
            <w:vAlign w:val="top"/>
          </w:tcPr>
          <w:p>
            <w:pPr>
              <w:ind w:left="390"/>
              <w:spacing w:before="36" w:line="20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96" w:type="dxa"/>
            <w:vAlign w:val="top"/>
          </w:tcPr>
          <w:p>
            <w:pPr>
              <w:ind w:left="403"/>
              <w:spacing w:before="36" w:line="20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70" w:type="dxa"/>
            <w:vAlign w:val="top"/>
          </w:tcPr>
          <w:p>
            <w:pPr>
              <w:ind w:left="382"/>
              <w:spacing w:before="36" w:line="20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25" w:type="dxa"/>
            <w:vAlign w:val="top"/>
          </w:tcPr>
          <w:p>
            <w:pPr>
              <w:ind w:left="368"/>
              <w:spacing w:before="36" w:line="20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761" w:type="dxa"/>
            <w:vAlign w:val="top"/>
          </w:tcPr>
          <w:p>
            <w:pPr>
              <w:ind w:left="343"/>
              <w:spacing w:before="36" w:line="20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786" w:type="dxa"/>
            <w:vAlign w:val="top"/>
          </w:tcPr>
          <w:p>
            <w:pPr>
              <w:ind w:left="364"/>
              <w:spacing w:before="36" w:line="20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786" w:type="dxa"/>
            <w:vAlign w:val="top"/>
          </w:tcPr>
          <w:p>
            <w:pPr>
              <w:ind w:left="360"/>
              <w:spacing w:before="36" w:line="20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</w:tr>
      <w:tr>
        <w:trPr>
          <w:trHeight w:val="223" w:hRule="atLeast"/>
        </w:trPr>
        <w:tc>
          <w:tcPr>
            <w:tcW w:w="1288" w:type="dxa"/>
            <w:vAlign w:val="top"/>
          </w:tcPr>
          <w:p>
            <w:pPr>
              <w:pStyle w:val="TableText"/>
              <w:ind w:left="12"/>
              <w:spacing w:before="58" w:line="204" w:lineRule="auto"/>
              <w:rPr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4"/>
                <w:position w:val="-1"/>
              </w:rPr>
              <w:t>王强等</w:t>
            </w:r>
            <w:r>
              <w:rPr>
                <w:sz w:val="8"/>
                <w:szCs w:val="8"/>
                <w:color w:val="231F20"/>
                <w:spacing w:val="4"/>
                <w:position w:val="3"/>
              </w:rPr>
              <w:t>[32]</w:t>
            </w:r>
          </w:p>
        </w:tc>
        <w:tc>
          <w:tcPr>
            <w:tcW w:w="819" w:type="dxa"/>
            <w:vAlign w:val="top"/>
          </w:tcPr>
          <w:p>
            <w:pPr>
              <w:ind w:left="336"/>
              <w:spacing w:before="59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19" w:type="dxa"/>
            <w:vAlign w:val="top"/>
          </w:tcPr>
          <w:p>
            <w:pPr>
              <w:ind w:left="371"/>
              <w:spacing w:before="59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30" w:type="dxa"/>
            <w:vAlign w:val="top"/>
          </w:tcPr>
          <w:p>
            <w:pPr>
              <w:ind w:left="425"/>
              <w:spacing w:before="59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58" w:type="dxa"/>
            <w:vAlign w:val="top"/>
          </w:tcPr>
          <w:p>
            <w:pPr>
              <w:ind w:left="390"/>
              <w:spacing w:before="59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96" w:type="dxa"/>
            <w:vAlign w:val="top"/>
          </w:tcPr>
          <w:p>
            <w:pPr>
              <w:ind w:left="403"/>
              <w:spacing w:before="59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70" w:type="dxa"/>
            <w:vAlign w:val="top"/>
          </w:tcPr>
          <w:p>
            <w:pPr>
              <w:ind w:left="382"/>
              <w:spacing w:before="59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25" w:type="dxa"/>
            <w:vAlign w:val="top"/>
          </w:tcPr>
          <w:p>
            <w:pPr>
              <w:ind w:left="368"/>
              <w:spacing w:before="59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761" w:type="dxa"/>
            <w:vAlign w:val="top"/>
          </w:tcPr>
          <w:p>
            <w:pPr>
              <w:ind w:left="343"/>
              <w:spacing w:before="59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786" w:type="dxa"/>
            <w:vAlign w:val="top"/>
          </w:tcPr>
          <w:p>
            <w:pPr>
              <w:ind w:left="364"/>
              <w:spacing w:before="59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786" w:type="dxa"/>
            <w:vAlign w:val="top"/>
          </w:tcPr>
          <w:p>
            <w:pPr>
              <w:ind w:left="360"/>
              <w:spacing w:before="59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</w:tr>
      <w:tr>
        <w:trPr>
          <w:trHeight w:val="226" w:hRule="atLeast"/>
        </w:trPr>
        <w:tc>
          <w:tcPr>
            <w:tcW w:w="1288" w:type="dxa"/>
            <w:vAlign w:val="top"/>
          </w:tcPr>
          <w:p>
            <w:pPr>
              <w:pStyle w:val="TableText"/>
              <w:ind w:left="6"/>
              <w:spacing w:before="68" w:line="147" w:lineRule="exact"/>
              <w:rPr>
                <w:sz w:val="8"/>
                <w:szCs w:val="8"/>
              </w:rPr>
            </w:pPr>
            <w:r>
              <w:rPr>
                <w:color w:val="231F20"/>
                <w:spacing w:val="-12"/>
                <w:position w:val="-1"/>
              </w:rPr>
              <w:t>Bevan</w:t>
            </w:r>
            <w:r>
              <w:rPr>
                <w:color w:val="231F20"/>
                <w:spacing w:val="16"/>
                <w:w w:val="102"/>
                <w:position w:val="-1"/>
              </w:rPr>
              <w:t xml:space="preserve"> </w:t>
            </w:r>
            <w:r>
              <w:rPr>
                <w:color w:val="231F20"/>
                <w:spacing w:val="-12"/>
                <w:position w:val="-1"/>
              </w:rPr>
              <w:t>et</w:t>
            </w:r>
            <w:r>
              <w:rPr>
                <w:color w:val="231F20"/>
                <w:spacing w:val="13"/>
                <w:w w:val="102"/>
                <w:position w:val="-1"/>
              </w:rPr>
              <w:t xml:space="preserve"> </w:t>
            </w:r>
            <w:r>
              <w:rPr>
                <w:color w:val="231F20"/>
                <w:spacing w:val="-12"/>
                <w:position w:val="-1"/>
              </w:rPr>
              <w:t>al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[33]</w:t>
            </w:r>
          </w:p>
        </w:tc>
        <w:tc>
          <w:tcPr>
            <w:tcW w:w="819" w:type="dxa"/>
            <w:vAlign w:val="top"/>
          </w:tcPr>
          <w:p>
            <w:pPr>
              <w:ind w:left="336"/>
              <w:spacing w:before="59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19" w:type="dxa"/>
            <w:vAlign w:val="top"/>
          </w:tcPr>
          <w:p>
            <w:pPr>
              <w:ind w:left="371"/>
              <w:spacing w:before="59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30" w:type="dxa"/>
            <w:vAlign w:val="top"/>
          </w:tcPr>
          <w:p>
            <w:pPr>
              <w:ind w:left="425"/>
              <w:spacing w:before="59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58" w:type="dxa"/>
            <w:vAlign w:val="top"/>
          </w:tcPr>
          <w:p>
            <w:pPr>
              <w:ind w:left="390"/>
              <w:spacing w:before="59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96" w:type="dxa"/>
            <w:vAlign w:val="top"/>
          </w:tcPr>
          <w:p>
            <w:pPr>
              <w:ind w:left="403"/>
              <w:spacing w:before="59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70" w:type="dxa"/>
            <w:vAlign w:val="top"/>
          </w:tcPr>
          <w:p>
            <w:pPr>
              <w:ind w:left="382"/>
              <w:spacing w:before="59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25" w:type="dxa"/>
            <w:vAlign w:val="top"/>
          </w:tcPr>
          <w:p>
            <w:pPr>
              <w:ind w:left="368"/>
              <w:spacing w:before="59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761" w:type="dxa"/>
            <w:vAlign w:val="top"/>
          </w:tcPr>
          <w:p>
            <w:pPr>
              <w:ind w:left="343"/>
              <w:spacing w:before="59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786" w:type="dxa"/>
            <w:vAlign w:val="top"/>
          </w:tcPr>
          <w:p>
            <w:pPr>
              <w:ind w:left="364"/>
              <w:spacing w:before="59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786" w:type="dxa"/>
            <w:vAlign w:val="top"/>
          </w:tcPr>
          <w:p>
            <w:pPr>
              <w:ind w:left="360"/>
              <w:spacing w:before="59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</w:tr>
      <w:tr>
        <w:trPr>
          <w:trHeight w:val="221" w:hRule="atLeast"/>
        </w:trPr>
        <w:tc>
          <w:tcPr>
            <w:tcW w:w="1288" w:type="dxa"/>
            <w:vAlign w:val="top"/>
          </w:tcPr>
          <w:p>
            <w:pPr>
              <w:pStyle w:val="TableText"/>
              <w:ind w:left="6"/>
              <w:spacing w:before="64" w:line="146" w:lineRule="exact"/>
              <w:rPr>
                <w:sz w:val="8"/>
                <w:szCs w:val="8"/>
              </w:rPr>
            </w:pPr>
            <w:r>
              <w:rPr>
                <w:color w:val="231F20"/>
                <w:spacing w:val="-9"/>
                <w:position w:val="-1"/>
              </w:rPr>
              <w:t>Krishnan</w:t>
            </w:r>
            <w:r>
              <w:rPr>
                <w:color w:val="231F20"/>
                <w:spacing w:val="16"/>
                <w:w w:val="101"/>
                <w:position w:val="-1"/>
              </w:rPr>
              <w:t xml:space="preserve"> </w:t>
            </w:r>
            <w:r>
              <w:rPr>
                <w:color w:val="231F20"/>
                <w:spacing w:val="-9"/>
                <w:position w:val="-1"/>
              </w:rPr>
              <w:t>et</w:t>
            </w:r>
            <w:r>
              <w:rPr>
                <w:color w:val="231F20"/>
                <w:spacing w:val="14"/>
                <w:position w:val="-1"/>
              </w:rPr>
              <w:t xml:space="preserve"> </w:t>
            </w:r>
            <w:r>
              <w:rPr>
                <w:color w:val="231F20"/>
                <w:spacing w:val="-9"/>
                <w:position w:val="-1"/>
              </w:rPr>
              <w:t>al</w:t>
            </w:r>
            <w:r>
              <w:rPr>
                <w:sz w:val="8"/>
                <w:szCs w:val="8"/>
                <w:color w:val="231F20"/>
                <w:spacing w:val="-4"/>
                <w:position w:val="4"/>
              </w:rPr>
              <w:t>[34]</w:t>
            </w:r>
          </w:p>
        </w:tc>
        <w:tc>
          <w:tcPr>
            <w:tcW w:w="819" w:type="dxa"/>
            <w:vAlign w:val="top"/>
          </w:tcPr>
          <w:p>
            <w:pPr>
              <w:ind w:left="336"/>
              <w:spacing w:before="54" w:line="20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19" w:type="dxa"/>
            <w:vAlign w:val="top"/>
          </w:tcPr>
          <w:p>
            <w:pPr>
              <w:ind w:left="371"/>
              <w:spacing w:before="54" w:line="20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30" w:type="dxa"/>
            <w:vAlign w:val="top"/>
          </w:tcPr>
          <w:p>
            <w:pPr>
              <w:ind w:left="425"/>
              <w:spacing w:before="54" w:line="20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58" w:type="dxa"/>
            <w:vAlign w:val="top"/>
          </w:tcPr>
          <w:p>
            <w:pPr>
              <w:ind w:left="390"/>
              <w:spacing w:before="54" w:line="20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96" w:type="dxa"/>
            <w:vAlign w:val="top"/>
          </w:tcPr>
          <w:p>
            <w:pPr>
              <w:ind w:left="244"/>
              <w:spacing w:before="52" w:line="20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  <w:tc>
          <w:tcPr>
            <w:tcW w:w="870" w:type="dxa"/>
            <w:vAlign w:val="top"/>
          </w:tcPr>
          <w:p>
            <w:pPr>
              <w:ind w:left="223"/>
              <w:spacing w:before="52" w:line="20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  <w:tc>
          <w:tcPr>
            <w:tcW w:w="825" w:type="dxa"/>
            <w:vAlign w:val="top"/>
          </w:tcPr>
          <w:p>
            <w:pPr>
              <w:ind w:left="370"/>
              <w:spacing w:before="54" w:line="20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761" w:type="dxa"/>
            <w:vAlign w:val="top"/>
          </w:tcPr>
          <w:p>
            <w:pPr>
              <w:ind w:left="345"/>
              <w:spacing w:before="54" w:line="20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786" w:type="dxa"/>
            <w:vAlign w:val="top"/>
          </w:tcPr>
          <w:p>
            <w:pPr>
              <w:ind w:left="366"/>
              <w:spacing w:before="54" w:line="20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786" w:type="dxa"/>
            <w:vAlign w:val="top"/>
          </w:tcPr>
          <w:p>
            <w:pPr>
              <w:ind w:left="362"/>
              <w:spacing w:before="54" w:line="20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</w:tr>
      <w:tr>
        <w:trPr>
          <w:trHeight w:val="221" w:hRule="atLeast"/>
        </w:trPr>
        <w:tc>
          <w:tcPr>
            <w:tcW w:w="1288" w:type="dxa"/>
            <w:vAlign w:val="top"/>
          </w:tcPr>
          <w:p>
            <w:pPr>
              <w:pStyle w:val="TableText"/>
              <w:ind w:left="3"/>
              <w:spacing w:before="66" w:line="144" w:lineRule="exact"/>
              <w:rPr>
                <w:sz w:val="8"/>
                <w:szCs w:val="8"/>
              </w:rPr>
            </w:pPr>
            <w:r>
              <w:rPr>
                <w:color w:val="231F20"/>
                <w:spacing w:val="-13"/>
                <w:position w:val="-2"/>
              </w:rPr>
              <w:t>Petrov</w:t>
            </w:r>
            <w:r>
              <w:rPr>
                <w:color w:val="231F20"/>
                <w:spacing w:val="14"/>
                <w:position w:val="-2"/>
              </w:rPr>
              <w:t xml:space="preserve"> </w:t>
            </w:r>
            <w:r>
              <w:rPr>
                <w:color w:val="231F20"/>
                <w:spacing w:val="-13"/>
                <w:position w:val="-2"/>
              </w:rPr>
              <w:t>et</w:t>
            </w:r>
            <w:r>
              <w:rPr>
                <w:color w:val="231F20"/>
                <w:spacing w:val="14"/>
                <w:position w:val="-2"/>
              </w:rPr>
              <w:t xml:space="preserve"> </w:t>
            </w:r>
            <w:r>
              <w:rPr>
                <w:color w:val="231F20"/>
                <w:spacing w:val="-13"/>
                <w:position w:val="-2"/>
              </w:rPr>
              <w:t>al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[35]</w:t>
            </w:r>
          </w:p>
        </w:tc>
        <w:tc>
          <w:tcPr>
            <w:tcW w:w="819" w:type="dxa"/>
            <w:vAlign w:val="top"/>
          </w:tcPr>
          <w:p>
            <w:pPr>
              <w:ind w:left="336"/>
              <w:spacing w:before="56" w:line="20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19" w:type="dxa"/>
            <w:vAlign w:val="top"/>
          </w:tcPr>
          <w:p>
            <w:pPr>
              <w:ind w:left="371"/>
              <w:spacing w:before="56" w:line="20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30" w:type="dxa"/>
            <w:vAlign w:val="top"/>
          </w:tcPr>
          <w:p>
            <w:pPr>
              <w:ind w:left="425"/>
              <w:spacing w:before="56" w:line="20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58" w:type="dxa"/>
            <w:vAlign w:val="top"/>
          </w:tcPr>
          <w:p>
            <w:pPr>
              <w:ind w:left="390"/>
              <w:spacing w:before="56" w:line="20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96" w:type="dxa"/>
            <w:vAlign w:val="top"/>
          </w:tcPr>
          <w:p>
            <w:pPr>
              <w:ind w:left="244"/>
              <w:spacing w:before="54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  <w:tc>
          <w:tcPr>
            <w:tcW w:w="870" w:type="dxa"/>
            <w:vAlign w:val="top"/>
          </w:tcPr>
          <w:p>
            <w:pPr>
              <w:ind w:left="223"/>
              <w:spacing w:before="54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  <w:tc>
          <w:tcPr>
            <w:tcW w:w="825" w:type="dxa"/>
            <w:vAlign w:val="top"/>
          </w:tcPr>
          <w:p>
            <w:pPr>
              <w:ind w:left="370"/>
              <w:spacing w:before="57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761" w:type="dxa"/>
            <w:vAlign w:val="top"/>
          </w:tcPr>
          <w:p>
            <w:pPr>
              <w:ind w:left="345"/>
              <w:spacing w:before="57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786" w:type="dxa"/>
            <w:vAlign w:val="top"/>
          </w:tcPr>
          <w:p>
            <w:pPr>
              <w:ind w:left="366"/>
              <w:spacing w:before="57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786" w:type="dxa"/>
            <w:vAlign w:val="top"/>
          </w:tcPr>
          <w:p>
            <w:pPr>
              <w:ind w:left="362"/>
              <w:spacing w:before="57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</w:tr>
      <w:tr>
        <w:trPr>
          <w:trHeight w:val="238" w:hRule="atLeast"/>
        </w:trPr>
        <w:tc>
          <w:tcPr>
            <w:tcW w:w="1288" w:type="dxa"/>
            <w:vAlign w:val="top"/>
          </w:tcPr>
          <w:p>
            <w:pPr>
              <w:pStyle w:val="TableText"/>
              <w:ind w:left="5"/>
              <w:spacing w:before="66" w:line="161" w:lineRule="exact"/>
              <w:rPr>
                <w:sz w:val="8"/>
                <w:szCs w:val="8"/>
              </w:rPr>
            </w:pPr>
            <w:r>
              <w:rPr>
                <w:color w:val="231F20"/>
                <w:spacing w:val="-11"/>
                <w:position w:val="1"/>
              </w:rPr>
              <w:t>Stigliano</w:t>
            </w:r>
            <w:r>
              <w:rPr>
                <w:color w:val="231F20"/>
                <w:spacing w:val="12"/>
                <w:w w:val="102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et</w:t>
            </w:r>
            <w:r>
              <w:rPr>
                <w:color w:val="231F20"/>
                <w:spacing w:val="13"/>
                <w:w w:val="102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al</w:t>
            </w:r>
            <w:r>
              <w:rPr>
                <w:sz w:val="8"/>
                <w:szCs w:val="8"/>
                <w:color w:val="231F20"/>
                <w:spacing w:val="-2"/>
                <w:position w:val="6"/>
              </w:rPr>
              <w:t>[36]</w:t>
            </w:r>
          </w:p>
        </w:tc>
        <w:tc>
          <w:tcPr>
            <w:tcW w:w="819" w:type="dxa"/>
            <w:vAlign w:val="top"/>
          </w:tcPr>
          <w:p>
            <w:pPr>
              <w:ind w:left="336"/>
              <w:spacing w:before="56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19" w:type="dxa"/>
            <w:vAlign w:val="top"/>
          </w:tcPr>
          <w:p>
            <w:pPr>
              <w:ind w:left="371"/>
              <w:spacing w:before="56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30" w:type="dxa"/>
            <w:vAlign w:val="top"/>
          </w:tcPr>
          <w:p>
            <w:pPr>
              <w:ind w:left="425"/>
              <w:spacing w:before="56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58" w:type="dxa"/>
            <w:vAlign w:val="top"/>
          </w:tcPr>
          <w:p>
            <w:pPr>
              <w:ind w:left="390"/>
              <w:spacing w:before="56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96" w:type="dxa"/>
            <w:vAlign w:val="top"/>
          </w:tcPr>
          <w:p>
            <w:pPr>
              <w:ind w:left="244"/>
              <w:spacing w:before="54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  <w:tc>
          <w:tcPr>
            <w:tcW w:w="870" w:type="dxa"/>
            <w:vAlign w:val="top"/>
          </w:tcPr>
          <w:p>
            <w:pPr>
              <w:ind w:left="223"/>
              <w:spacing w:before="54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  <w:tc>
          <w:tcPr>
            <w:tcW w:w="825" w:type="dxa"/>
            <w:vAlign w:val="top"/>
          </w:tcPr>
          <w:p>
            <w:pPr>
              <w:ind w:left="370"/>
              <w:spacing w:before="57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761" w:type="dxa"/>
            <w:vAlign w:val="top"/>
          </w:tcPr>
          <w:p>
            <w:pPr>
              <w:ind w:left="345"/>
              <w:spacing w:before="57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786" w:type="dxa"/>
            <w:vAlign w:val="top"/>
          </w:tcPr>
          <w:p>
            <w:pPr>
              <w:ind w:left="366"/>
              <w:spacing w:before="57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786" w:type="dxa"/>
            <w:vAlign w:val="top"/>
          </w:tcPr>
          <w:p>
            <w:pPr>
              <w:ind w:left="362"/>
              <w:spacing w:before="57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</w:tr>
      <w:tr>
        <w:trPr>
          <w:trHeight w:val="198" w:hRule="atLeast"/>
        </w:trPr>
        <w:tc>
          <w:tcPr>
            <w:tcW w:w="1288" w:type="dxa"/>
            <w:vAlign w:val="top"/>
          </w:tcPr>
          <w:p>
            <w:pPr>
              <w:pStyle w:val="TableText"/>
              <w:ind w:left="11"/>
              <w:spacing w:before="39" w:line="196" w:lineRule="auto"/>
              <w:rPr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6"/>
                <w:position w:val="-1"/>
              </w:rPr>
              <w:t>彭昱锦等</w:t>
            </w:r>
            <w:r>
              <w:rPr>
                <w:sz w:val="8"/>
                <w:szCs w:val="8"/>
                <w:color w:val="231F20"/>
                <w:spacing w:val="6"/>
                <w:position w:val="3"/>
              </w:rPr>
              <w:t>[37]</w:t>
            </w:r>
          </w:p>
        </w:tc>
        <w:tc>
          <w:tcPr>
            <w:tcW w:w="819" w:type="dxa"/>
            <w:vAlign w:val="top"/>
          </w:tcPr>
          <w:p>
            <w:pPr>
              <w:ind w:left="336"/>
              <w:spacing w:before="41" w:line="19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19" w:type="dxa"/>
            <w:vAlign w:val="top"/>
          </w:tcPr>
          <w:p>
            <w:pPr>
              <w:ind w:left="371"/>
              <w:spacing w:before="41" w:line="19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30" w:type="dxa"/>
            <w:vAlign w:val="top"/>
          </w:tcPr>
          <w:p>
            <w:pPr>
              <w:ind w:left="425"/>
              <w:spacing w:before="41" w:line="19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58" w:type="dxa"/>
            <w:vAlign w:val="top"/>
          </w:tcPr>
          <w:p>
            <w:pPr>
              <w:ind w:left="390"/>
              <w:spacing w:before="41" w:line="19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96" w:type="dxa"/>
            <w:vAlign w:val="top"/>
          </w:tcPr>
          <w:p>
            <w:pPr>
              <w:ind w:left="244"/>
              <w:spacing w:before="40" w:line="19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  <w:tc>
          <w:tcPr>
            <w:tcW w:w="870" w:type="dxa"/>
            <w:vAlign w:val="top"/>
          </w:tcPr>
          <w:p>
            <w:pPr>
              <w:ind w:left="223"/>
              <w:spacing w:before="40" w:line="19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  <w:tc>
          <w:tcPr>
            <w:tcW w:w="825" w:type="dxa"/>
            <w:vAlign w:val="top"/>
          </w:tcPr>
          <w:p>
            <w:pPr>
              <w:ind w:left="370"/>
              <w:spacing w:before="42" w:line="19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761" w:type="dxa"/>
            <w:vAlign w:val="top"/>
          </w:tcPr>
          <w:p>
            <w:pPr>
              <w:ind w:left="345"/>
              <w:spacing w:before="42" w:line="19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786" w:type="dxa"/>
            <w:vAlign w:val="top"/>
          </w:tcPr>
          <w:p>
            <w:pPr>
              <w:ind w:left="366"/>
              <w:spacing w:before="42" w:line="19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786" w:type="dxa"/>
            <w:vAlign w:val="top"/>
          </w:tcPr>
          <w:p>
            <w:pPr>
              <w:ind w:left="362"/>
              <w:spacing w:before="42" w:line="19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</w:tr>
      <w:tr>
        <w:trPr>
          <w:trHeight w:val="221" w:hRule="atLeast"/>
        </w:trPr>
        <w:tc>
          <w:tcPr>
            <w:tcW w:w="1288" w:type="dxa"/>
            <w:vAlign w:val="top"/>
          </w:tcPr>
          <w:p>
            <w:pPr>
              <w:pStyle w:val="TableText"/>
              <w:ind w:left="13"/>
              <w:spacing w:before="62" w:line="196" w:lineRule="auto"/>
              <w:rPr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5"/>
                <w:position w:val="-1"/>
              </w:rPr>
              <w:t>窦晓坛等</w:t>
            </w:r>
            <w:r>
              <w:rPr>
                <w:sz w:val="8"/>
                <w:szCs w:val="8"/>
                <w:color w:val="231F20"/>
                <w:spacing w:val="5"/>
                <w:position w:val="3"/>
              </w:rPr>
              <w:t>[38]</w:t>
            </w:r>
          </w:p>
        </w:tc>
        <w:tc>
          <w:tcPr>
            <w:tcW w:w="819" w:type="dxa"/>
            <w:vAlign w:val="top"/>
          </w:tcPr>
          <w:p>
            <w:pPr>
              <w:ind w:left="336"/>
              <w:spacing w:before="65" w:line="19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19" w:type="dxa"/>
            <w:vAlign w:val="top"/>
          </w:tcPr>
          <w:p>
            <w:pPr>
              <w:ind w:left="371"/>
              <w:spacing w:before="65" w:line="19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30" w:type="dxa"/>
            <w:vAlign w:val="top"/>
          </w:tcPr>
          <w:p>
            <w:pPr>
              <w:ind w:left="425"/>
              <w:spacing w:before="65" w:line="19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58" w:type="dxa"/>
            <w:vAlign w:val="top"/>
          </w:tcPr>
          <w:p>
            <w:pPr>
              <w:ind w:left="390"/>
              <w:spacing w:before="65" w:line="19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96" w:type="dxa"/>
            <w:vAlign w:val="top"/>
          </w:tcPr>
          <w:p>
            <w:pPr>
              <w:ind w:left="244"/>
              <w:spacing w:before="63" w:line="19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  <w:tc>
          <w:tcPr>
            <w:tcW w:w="870" w:type="dxa"/>
            <w:vAlign w:val="top"/>
          </w:tcPr>
          <w:p>
            <w:pPr>
              <w:ind w:left="223"/>
              <w:spacing w:before="63" w:line="19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  <w:tc>
          <w:tcPr>
            <w:tcW w:w="825" w:type="dxa"/>
            <w:vAlign w:val="top"/>
          </w:tcPr>
          <w:p>
            <w:pPr>
              <w:ind w:left="370"/>
              <w:spacing w:before="66" w:line="19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761" w:type="dxa"/>
            <w:vAlign w:val="top"/>
          </w:tcPr>
          <w:p>
            <w:pPr>
              <w:ind w:left="345"/>
              <w:spacing w:before="66" w:line="19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786" w:type="dxa"/>
            <w:vAlign w:val="top"/>
          </w:tcPr>
          <w:p>
            <w:pPr>
              <w:ind w:left="366"/>
              <w:spacing w:before="66" w:line="19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786" w:type="dxa"/>
            <w:vAlign w:val="top"/>
          </w:tcPr>
          <w:p>
            <w:pPr>
              <w:ind w:left="362"/>
              <w:spacing w:before="66" w:line="19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</w:tr>
      <w:tr>
        <w:trPr>
          <w:trHeight w:val="246" w:hRule="atLeast"/>
        </w:trPr>
        <w:tc>
          <w:tcPr>
            <w:tcW w:w="128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"/>
              <w:spacing w:before="64" w:line="217" w:lineRule="auto"/>
              <w:rPr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4"/>
                <w:position w:val="-1"/>
              </w:rPr>
              <w:t>魏星等</w:t>
            </w:r>
            <w:r>
              <w:rPr>
                <w:sz w:val="8"/>
                <w:szCs w:val="8"/>
                <w:color w:val="231F20"/>
                <w:spacing w:val="4"/>
                <w:position w:val="3"/>
              </w:rPr>
              <w:t>[39]</w:t>
            </w:r>
          </w:p>
        </w:tc>
        <w:tc>
          <w:tcPr>
            <w:tcW w:w="819" w:type="dxa"/>
            <w:vAlign w:val="top"/>
            <w:tcBorders>
              <w:bottom w:val="single" w:color="231F20" w:sz="6" w:space="0"/>
            </w:tcBorders>
          </w:tcPr>
          <w:p>
            <w:pPr>
              <w:ind w:left="336"/>
              <w:spacing w:before="67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19" w:type="dxa"/>
            <w:vAlign w:val="top"/>
            <w:tcBorders>
              <w:bottom w:val="single" w:color="231F20" w:sz="6" w:space="0"/>
            </w:tcBorders>
          </w:tcPr>
          <w:p>
            <w:pPr>
              <w:ind w:left="371"/>
              <w:spacing w:before="67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30" w:type="dxa"/>
            <w:vAlign w:val="top"/>
            <w:tcBorders>
              <w:bottom w:val="single" w:color="231F20" w:sz="6" w:space="0"/>
            </w:tcBorders>
          </w:tcPr>
          <w:p>
            <w:pPr>
              <w:ind w:left="425"/>
              <w:spacing w:before="67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58" w:type="dxa"/>
            <w:vAlign w:val="top"/>
            <w:tcBorders>
              <w:bottom w:val="single" w:color="231F20" w:sz="6" w:space="0"/>
            </w:tcBorders>
          </w:tcPr>
          <w:p>
            <w:pPr>
              <w:ind w:left="390"/>
              <w:spacing w:before="67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96" w:type="dxa"/>
            <w:vAlign w:val="top"/>
            <w:tcBorders>
              <w:bottom w:val="single" w:color="231F20" w:sz="6" w:space="0"/>
            </w:tcBorders>
          </w:tcPr>
          <w:p>
            <w:pPr>
              <w:ind w:left="244"/>
              <w:spacing w:before="65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  <w:tc>
          <w:tcPr>
            <w:tcW w:w="870" w:type="dxa"/>
            <w:vAlign w:val="top"/>
            <w:tcBorders>
              <w:bottom w:val="single" w:color="231F20" w:sz="6" w:space="0"/>
            </w:tcBorders>
          </w:tcPr>
          <w:p>
            <w:pPr>
              <w:ind w:left="223"/>
              <w:spacing w:before="65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  <w:tc>
          <w:tcPr>
            <w:tcW w:w="825" w:type="dxa"/>
            <w:vAlign w:val="top"/>
            <w:tcBorders>
              <w:bottom w:val="single" w:color="231F20" w:sz="6" w:space="0"/>
            </w:tcBorders>
          </w:tcPr>
          <w:p>
            <w:pPr>
              <w:ind w:left="370"/>
              <w:spacing w:before="67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761" w:type="dxa"/>
            <w:vAlign w:val="top"/>
            <w:tcBorders>
              <w:bottom w:val="single" w:color="231F20" w:sz="6" w:space="0"/>
            </w:tcBorders>
          </w:tcPr>
          <w:p>
            <w:pPr>
              <w:ind w:left="345"/>
              <w:spacing w:before="67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786" w:type="dxa"/>
            <w:vAlign w:val="top"/>
            <w:tcBorders>
              <w:bottom w:val="single" w:color="231F20" w:sz="6" w:space="0"/>
            </w:tcBorders>
          </w:tcPr>
          <w:p>
            <w:pPr>
              <w:ind w:left="366"/>
              <w:spacing w:before="67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786" w:type="dxa"/>
            <w:vAlign w:val="top"/>
            <w:tcBorders>
              <w:bottom w:val="single" w:color="231F20" w:sz="6" w:space="0"/>
            </w:tcBorders>
          </w:tcPr>
          <w:p>
            <w:pPr>
              <w:ind w:left="362"/>
              <w:spacing w:before="67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</w:tr>
    </w:tbl>
    <w:p>
      <w:pPr>
        <w:pStyle w:val="BodyText"/>
        <w:ind w:left="1108" w:right="602" w:hanging="216"/>
        <w:spacing w:before="50" w:line="218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注</w:t>
      </w:r>
      <w:r>
        <w:rPr>
          <w:sz w:val="14"/>
          <w:szCs w:val="14"/>
          <w:color w:val="231F20"/>
          <w:spacing w:val="8"/>
        </w:rPr>
        <w:t>：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问题</w:t>
      </w:r>
      <w:r>
        <w:rPr>
          <w:rFonts w:ascii="SimSun" w:hAnsi="SimSun" w:eastAsia="SimSun" w:cs="SimSun"/>
          <w:sz w:val="14"/>
          <w:szCs w:val="14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8"/>
        </w:rPr>
        <w:t>1</w:t>
      </w:r>
      <w:r>
        <w:rPr>
          <w:sz w:val="14"/>
          <w:szCs w:val="14"/>
          <w:color w:val="231F20"/>
          <w:spacing w:val="8"/>
        </w:rPr>
        <w:t>：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是否清晰地阐述了循证问题</w:t>
      </w:r>
      <w:r>
        <w:rPr>
          <w:sz w:val="14"/>
          <w:szCs w:val="14"/>
          <w:color w:val="231F20"/>
          <w:spacing w:val="8"/>
        </w:rPr>
        <w:t>？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问题</w:t>
      </w:r>
      <w:r>
        <w:rPr>
          <w:rFonts w:ascii="SimSun" w:hAnsi="SimSun" w:eastAsia="SimSun" w:cs="SimSun"/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8"/>
        </w:rPr>
        <w:t>2</w:t>
      </w:r>
      <w:r>
        <w:rPr>
          <w:sz w:val="14"/>
          <w:szCs w:val="14"/>
          <w:color w:val="231F20"/>
          <w:spacing w:val="8"/>
        </w:rPr>
        <w:t>：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检索的研究类型是否恰当</w:t>
      </w:r>
      <w:r>
        <w:rPr>
          <w:sz w:val="14"/>
          <w:szCs w:val="14"/>
          <w:color w:val="231F20"/>
          <w:spacing w:val="8"/>
        </w:rPr>
        <w:t>？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问题</w:t>
      </w:r>
      <w:r>
        <w:rPr>
          <w:rFonts w:ascii="SimSun" w:hAnsi="SimSun" w:eastAsia="SimSun" w:cs="SimSun"/>
          <w:sz w:val="14"/>
          <w:szCs w:val="14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8"/>
        </w:rPr>
        <w:t>3</w:t>
      </w:r>
      <w:r>
        <w:rPr>
          <w:sz w:val="14"/>
          <w:szCs w:val="14"/>
          <w:color w:val="231F20"/>
          <w:spacing w:val="8"/>
        </w:rPr>
        <w:t>：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是否纳入了所有与循证问题相关的重要研究</w:t>
      </w:r>
      <w:r>
        <w:rPr>
          <w:sz w:val="14"/>
          <w:szCs w:val="14"/>
          <w:color w:val="231F20"/>
          <w:spacing w:val="8"/>
        </w:rPr>
        <w:t>？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问题</w:t>
      </w:r>
      <w:r>
        <w:rPr>
          <w:rFonts w:ascii="SimSun" w:hAnsi="SimSun" w:eastAsia="SimSun" w:cs="SimSun"/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8"/>
        </w:rPr>
        <w:t>4</w:t>
      </w:r>
      <w:r>
        <w:rPr>
          <w:sz w:val="14"/>
          <w:szCs w:val="14"/>
          <w:color w:val="231F20"/>
          <w:spacing w:val="8"/>
        </w:rPr>
        <w:t>：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是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3"/>
        </w:rPr>
        <w:t>否对纳入研究进行了充分的质量评价</w:t>
      </w:r>
      <w:r>
        <w:rPr>
          <w:sz w:val="14"/>
          <w:szCs w:val="14"/>
          <w:color w:val="231F20"/>
          <w:spacing w:val="13"/>
        </w:rPr>
        <w:t>？ </w:t>
      </w:r>
      <w:r>
        <w:rPr>
          <w:rFonts w:ascii="SimSun" w:hAnsi="SimSun" w:eastAsia="SimSun" w:cs="SimSun"/>
          <w:sz w:val="14"/>
          <w:szCs w:val="14"/>
          <w:color w:val="231F20"/>
          <w:spacing w:val="13"/>
        </w:rPr>
        <w:t>问题</w:t>
      </w:r>
      <w:r>
        <w:rPr>
          <w:rFonts w:ascii="SimSun" w:hAnsi="SimSun" w:eastAsia="SimSun" w:cs="SimSun"/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2"/>
        </w:rPr>
        <w:t>5</w:t>
      </w:r>
      <w:r>
        <w:rPr>
          <w:sz w:val="14"/>
          <w:szCs w:val="14"/>
          <w:color w:val="231F20"/>
          <w:spacing w:val="12"/>
        </w:rPr>
        <w:t>：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是否对原始研究的结果进行了合并</w:t>
      </w:r>
      <w:r>
        <w:rPr>
          <w:sz w:val="14"/>
          <w:szCs w:val="14"/>
          <w:color w:val="231F20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方法是否恰当</w:t>
      </w:r>
      <w:r>
        <w:rPr>
          <w:sz w:val="14"/>
          <w:szCs w:val="14"/>
          <w:color w:val="231F20"/>
          <w:spacing w:val="12"/>
        </w:rPr>
        <w:t>？</w:t>
      </w:r>
    </w:p>
    <w:p>
      <w:pPr>
        <w:spacing w:line="201" w:lineRule="exact"/>
        <w:rPr/>
      </w:pPr>
      <w:r/>
    </w:p>
    <w:p>
      <w:pPr>
        <w:spacing w:line="201" w:lineRule="exact"/>
        <w:sectPr>
          <w:type w:val="continuous"/>
          <w:pgSz w:w="11905" w:h="16836"/>
          <w:pgMar w:top="400" w:right="529" w:bottom="0" w:left="407" w:header="0" w:footer="0" w:gutter="0"/>
          <w:cols w:equalWidth="0" w:num="1">
            <w:col w:w="10967" w:space="0"/>
          </w:cols>
        </w:sectPr>
        <w:rPr/>
      </w:pPr>
    </w:p>
    <w:p>
      <w:pPr>
        <w:pStyle w:val="BodyText"/>
        <w:ind w:left="738" w:right="303" w:firstLine="10"/>
        <w:spacing w:before="46" w:line="22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1"/>
          <w:position w:val="-1"/>
        </w:rPr>
        <w:t>1.3.4</w:t>
      </w:r>
      <w:r>
        <w:rPr>
          <w:sz w:val="20"/>
          <w:szCs w:val="20"/>
          <w:color w:val="231F20"/>
          <w:spacing w:val="25"/>
          <w:position w:val="-1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随机对照研究质量评价  本研究共纳入随机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8"/>
          <w:position w:val="1"/>
        </w:rPr>
        <w:t>对</w:t>
      </w:r>
      <w:r>
        <w:rPr>
          <w:rFonts w:ascii="SimSun" w:hAnsi="SimSun" w:eastAsia="SimSun" w:cs="SimSun"/>
          <w:sz w:val="19"/>
          <w:szCs w:val="19"/>
          <w:color w:val="231F20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8"/>
          <w:position w:val="1"/>
        </w:rPr>
        <w:t>照研</w:t>
      </w:r>
      <w:r>
        <w:rPr>
          <w:rFonts w:ascii="SimSun" w:hAnsi="SimSun" w:eastAsia="SimSun" w:cs="SimSun"/>
          <w:sz w:val="19"/>
          <w:szCs w:val="19"/>
          <w:color w:val="231F20"/>
          <w:spacing w:val="-5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8"/>
          <w:position w:val="1"/>
        </w:rPr>
        <w:t>究 </w:t>
      </w:r>
      <w:r>
        <w:rPr>
          <w:sz w:val="20"/>
          <w:szCs w:val="20"/>
          <w:color w:val="231F20"/>
          <w:spacing w:val="-8"/>
        </w:rPr>
        <w:t>3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8"/>
          <w:position w:val="1"/>
        </w:rPr>
        <w:t>篇</w:t>
      </w:r>
      <w:r>
        <w:rPr>
          <w:sz w:val="19"/>
          <w:szCs w:val="19"/>
          <w:color w:val="231F20"/>
          <w:spacing w:val="-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8"/>
          <w:position w:val="1"/>
        </w:rPr>
        <w:t>运用 </w:t>
      </w:r>
      <w:r>
        <w:rPr>
          <w:sz w:val="20"/>
          <w:szCs w:val="20"/>
          <w:color w:val="231F20"/>
          <w:spacing w:val="-8"/>
        </w:rPr>
        <w:t>CASP</w:t>
      </w:r>
      <w:r>
        <w:rPr>
          <w:sz w:val="19"/>
          <w:szCs w:val="19"/>
          <w:color w:val="231F20"/>
          <w:spacing w:val="-8"/>
        </w:rPr>
        <w:t>（</w:t>
      </w:r>
      <w:r>
        <w:rPr>
          <w:sz w:val="20"/>
          <w:szCs w:val="20"/>
          <w:color w:val="231F20"/>
          <w:spacing w:val="-8"/>
        </w:rPr>
        <w:t>Critical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Appraisal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Skills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530" w:hanging="9"/>
        <w:spacing w:before="45" w:line="220" w:lineRule="auto"/>
        <w:rPr>
          <w:sz w:val="19"/>
          <w:szCs w:val="19"/>
        </w:rPr>
      </w:pPr>
      <w:r>
        <w:rPr>
          <w:sz w:val="20"/>
          <w:szCs w:val="20"/>
          <w:color w:val="231F20"/>
        </w:rPr>
        <w:t>Programme</w:t>
      </w:r>
      <w:r>
        <w:rPr>
          <w:sz w:val="19"/>
          <w:szCs w:val="19"/>
          <w:color w:val="231F20"/>
          <w:spacing w:val="3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随机对照研究质量评价标准进行质量评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价</w:t>
      </w:r>
      <w:r>
        <w:rPr>
          <w:sz w:val="11"/>
          <w:szCs w:val="11"/>
          <w:color w:val="231F20"/>
          <w:spacing w:val="-7"/>
          <w:position w:val="6"/>
        </w:rPr>
        <w:t>[47]</w:t>
      </w:r>
      <w:r>
        <w:rPr>
          <w:sz w:val="19"/>
          <w:szCs w:val="19"/>
          <w:color w:val="231F20"/>
          <w:spacing w:val="4"/>
          <w:position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由项目组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4"/>
          <w:position w:val="-1"/>
        </w:rPr>
        <w:t>2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名研究人员独立完成</w:t>
      </w:r>
      <w:r>
        <w:rPr>
          <w:sz w:val="19"/>
          <w:szCs w:val="19"/>
          <w:color w:val="231F20"/>
          <w:spacing w:val="4"/>
          <w:position w:val="-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结果见表</w:t>
      </w:r>
      <w:r>
        <w:rPr>
          <w:rFonts w:ascii="SimSun" w:hAnsi="SimSun" w:eastAsia="SimSun" w:cs="SimSun"/>
          <w:sz w:val="19"/>
          <w:szCs w:val="19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4"/>
          <w:position w:val="-1"/>
        </w:rPr>
        <w:t>4</w:t>
      </w:r>
      <w:r>
        <w:rPr>
          <w:sz w:val="19"/>
          <w:szCs w:val="19"/>
          <w:color w:val="231F20"/>
          <w:spacing w:val="4"/>
          <w:position w:val="-1"/>
        </w:rPr>
        <w:t>。</w:t>
      </w:r>
    </w:p>
    <w:p>
      <w:pPr>
        <w:spacing w:line="220" w:lineRule="auto"/>
        <w:sectPr>
          <w:type w:val="continuous"/>
          <w:pgSz w:w="11905" w:h="16836"/>
          <w:pgMar w:top="400" w:right="529" w:bottom="0" w:left="407" w:header="0" w:footer="0" w:gutter="0"/>
          <w:cols w:equalWidth="0" w:num="2">
            <w:col w:w="5646" w:space="100"/>
            <w:col w:w="5221" w:space="0"/>
          </w:cols>
        </w:sectPr>
        <w:rPr>
          <w:sz w:val="19"/>
          <w:szCs w:val="19"/>
        </w:rPr>
      </w:pPr>
    </w:p>
    <w:p>
      <w:pPr>
        <w:pStyle w:val="BodyText"/>
        <w:ind w:left="4148"/>
        <w:spacing w:before="177" w:line="162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13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15"/>
        </w:rPr>
        <w:t xml:space="preserve"> </w:t>
      </w:r>
      <w:r>
        <w:rPr>
          <w:color w:val="231F20"/>
          <w:spacing w:val="13"/>
          <w:position w:val="-1"/>
        </w:rPr>
        <w:t>4</w:t>
      </w:r>
      <w:r>
        <w:rPr>
          <w:color w:val="231F20"/>
          <w:spacing w:val="14"/>
          <w:w w:val="101"/>
          <w:position w:val="-1"/>
        </w:rPr>
        <w:t xml:space="preserve">   </w:t>
      </w:r>
      <w:r>
        <w:rPr>
          <w:rFonts w:ascii="SimHei" w:hAnsi="SimHei" w:eastAsia="SimHei" w:cs="SimHei"/>
          <w:sz w:val="16"/>
          <w:szCs w:val="16"/>
          <w:color w:val="231F20"/>
          <w:spacing w:val="13"/>
        </w:rPr>
        <w:t>随机对照研究的质量评价结果</w:t>
      </w:r>
    </w:p>
    <w:tbl>
      <w:tblPr>
        <w:tblStyle w:val="TableNormal"/>
        <w:tblW w:w="9637" w:type="dxa"/>
        <w:tblInd w:w="7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166"/>
        <w:gridCol w:w="901"/>
        <w:gridCol w:w="939"/>
        <w:gridCol w:w="891"/>
        <w:gridCol w:w="916"/>
        <w:gridCol w:w="911"/>
        <w:gridCol w:w="913"/>
      </w:tblGrid>
      <w:tr>
        <w:trPr>
          <w:trHeight w:val="215" w:hRule="atLeast"/>
        </w:trPr>
        <w:tc>
          <w:tcPr>
            <w:tcW w:w="4166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1367"/>
              <w:spacing w:before="146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9"/>
              </w:rPr>
              <w:t>项目</w:t>
            </w:r>
          </w:p>
        </w:tc>
        <w:tc>
          <w:tcPr>
            <w:tcW w:w="1840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86"/>
              <w:spacing w:before="59" w:line="146" w:lineRule="exact"/>
              <w:rPr>
                <w:sz w:val="8"/>
                <w:szCs w:val="8"/>
              </w:rPr>
            </w:pPr>
            <w:r>
              <w:rPr>
                <w:color w:val="231F20"/>
                <w:spacing w:val="-6"/>
                <w:position w:val="-2"/>
              </w:rPr>
              <w:t>Li</w:t>
            </w:r>
            <w:r>
              <w:rPr>
                <w:color w:val="231F20"/>
                <w:spacing w:val="19"/>
                <w:w w:val="101"/>
                <w:position w:val="-2"/>
              </w:rPr>
              <w:t xml:space="preserve"> </w:t>
            </w:r>
            <w:r>
              <w:rPr>
                <w:color w:val="231F20"/>
                <w:spacing w:val="-6"/>
                <w:position w:val="-2"/>
              </w:rPr>
              <w:t>et</w:t>
            </w:r>
            <w:r>
              <w:rPr>
                <w:color w:val="231F20"/>
                <w:spacing w:val="14"/>
                <w:position w:val="-2"/>
              </w:rPr>
              <w:t xml:space="preserve"> </w:t>
            </w:r>
            <w:r>
              <w:rPr>
                <w:color w:val="231F20"/>
                <w:spacing w:val="-6"/>
                <w:position w:val="-2"/>
              </w:rPr>
              <w:t>al</w:t>
            </w:r>
            <w:r>
              <w:rPr>
                <w:sz w:val="8"/>
                <w:szCs w:val="8"/>
                <w:color w:val="231F20"/>
                <w:spacing w:val="-6"/>
                <w:position w:val="3"/>
              </w:rPr>
              <w:t>[40]</w:t>
            </w:r>
          </w:p>
        </w:tc>
        <w:tc>
          <w:tcPr>
            <w:tcW w:w="1807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5"/>
              <w:spacing w:before="43" w:line="213" w:lineRule="auto"/>
              <w:rPr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4"/>
                <w:position w:val="-1"/>
              </w:rPr>
              <w:t>杨军等</w:t>
            </w:r>
            <w:r>
              <w:rPr>
                <w:sz w:val="8"/>
                <w:szCs w:val="8"/>
                <w:color w:val="231F20"/>
                <w:spacing w:val="4"/>
                <w:position w:val="3"/>
              </w:rPr>
              <w:t>[41]</w:t>
            </w:r>
          </w:p>
        </w:tc>
        <w:tc>
          <w:tcPr>
            <w:tcW w:w="1824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51"/>
              <w:spacing w:before="67" w:line="138" w:lineRule="exact"/>
              <w:rPr>
                <w:sz w:val="8"/>
                <w:szCs w:val="8"/>
              </w:rPr>
            </w:pPr>
            <w:r>
              <w:rPr>
                <w:color w:val="231F20"/>
                <w:spacing w:val="-14"/>
                <w:position w:val="-2"/>
              </w:rPr>
              <w:t>Zhao</w:t>
            </w:r>
            <w:r>
              <w:rPr>
                <w:color w:val="231F20"/>
                <w:spacing w:val="14"/>
                <w:w w:val="101"/>
                <w:position w:val="-2"/>
              </w:rPr>
              <w:t xml:space="preserve"> </w:t>
            </w:r>
            <w:r>
              <w:rPr>
                <w:color w:val="231F20"/>
                <w:spacing w:val="-14"/>
                <w:position w:val="-2"/>
              </w:rPr>
              <w:t>et</w:t>
            </w:r>
            <w:r>
              <w:rPr>
                <w:color w:val="231F20"/>
                <w:spacing w:val="14"/>
                <w:position w:val="-2"/>
              </w:rPr>
              <w:t xml:space="preserve"> </w:t>
            </w:r>
            <w:r>
              <w:rPr>
                <w:color w:val="231F20"/>
                <w:spacing w:val="-14"/>
                <w:position w:val="-2"/>
              </w:rPr>
              <w:t>al</w:t>
            </w:r>
            <w:r>
              <w:rPr>
                <w:sz w:val="8"/>
                <w:szCs w:val="8"/>
                <w:color w:val="231F20"/>
                <w:spacing w:val="-3"/>
                <w:position w:val="3"/>
              </w:rPr>
              <w:t>[42]</w:t>
            </w:r>
          </w:p>
        </w:tc>
      </w:tr>
      <w:tr>
        <w:trPr>
          <w:trHeight w:val="212" w:hRule="atLeast"/>
        </w:trPr>
        <w:tc>
          <w:tcPr>
            <w:tcW w:w="416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70"/>
              <w:spacing w:before="46" w:line="156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评价者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10"/>
              </w:rPr>
              <w:t>1</w:t>
            </w:r>
          </w:p>
        </w:tc>
        <w:tc>
          <w:tcPr>
            <w:tcW w:w="93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24"/>
              <w:spacing w:before="46" w:line="156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评价者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10"/>
              </w:rPr>
              <w:t>2</w:t>
            </w:r>
          </w:p>
        </w:tc>
        <w:tc>
          <w:tcPr>
            <w:tcW w:w="89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84"/>
              <w:spacing w:before="46" w:line="156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评价者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10"/>
              </w:rPr>
              <w:t>1</w:t>
            </w:r>
          </w:p>
        </w:tc>
        <w:tc>
          <w:tcPr>
            <w:tcW w:w="91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01"/>
              <w:spacing w:before="46" w:line="156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评价者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10"/>
              </w:rPr>
              <w:t>2</w:t>
            </w:r>
          </w:p>
        </w:tc>
        <w:tc>
          <w:tcPr>
            <w:tcW w:w="91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03"/>
              <w:spacing w:before="46" w:line="156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评价者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10"/>
              </w:rPr>
              <w:t>1</w:t>
            </w:r>
          </w:p>
        </w:tc>
        <w:tc>
          <w:tcPr>
            <w:tcW w:w="91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00"/>
              <w:spacing w:before="46" w:line="156" w:lineRule="exact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评价者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10"/>
              </w:rPr>
              <w:t>2</w:t>
            </w:r>
          </w:p>
        </w:tc>
      </w:tr>
      <w:tr>
        <w:trPr>
          <w:trHeight w:val="219" w:hRule="atLeast"/>
        </w:trPr>
        <w:tc>
          <w:tcPr>
            <w:tcW w:w="41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"/>
              <w:spacing w:before="49" w:line="160" w:lineRule="exac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14"/>
              </w:rPr>
              <w:t>1.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是否清晰阐述了具体的研究问题</w:t>
            </w:r>
          </w:p>
        </w:tc>
        <w:tc>
          <w:tcPr>
            <w:tcW w:w="901" w:type="dxa"/>
            <w:vAlign w:val="top"/>
            <w:tcBorders>
              <w:top w:val="single" w:color="231F20" w:sz="2" w:space="0"/>
            </w:tcBorders>
          </w:tcPr>
          <w:p>
            <w:pPr>
              <w:ind w:left="390"/>
              <w:spacing w:before="52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39" w:type="dxa"/>
            <w:vAlign w:val="top"/>
            <w:tcBorders>
              <w:top w:val="single" w:color="231F20" w:sz="2" w:space="0"/>
            </w:tcBorders>
          </w:tcPr>
          <w:p>
            <w:pPr>
              <w:ind w:left="446"/>
              <w:spacing w:before="52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91" w:type="dxa"/>
            <w:vAlign w:val="top"/>
            <w:tcBorders>
              <w:top w:val="single" w:color="231F20" w:sz="2" w:space="0"/>
            </w:tcBorders>
          </w:tcPr>
          <w:p>
            <w:pPr>
              <w:ind w:left="406"/>
              <w:spacing w:before="52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16" w:type="dxa"/>
            <w:vAlign w:val="top"/>
            <w:tcBorders>
              <w:top w:val="single" w:color="231F20" w:sz="2" w:space="0"/>
            </w:tcBorders>
          </w:tcPr>
          <w:p>
            <w:pPr>
              <w:ind w:left="423"/>
              <w:spacing w:before="52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11" w:type="dxa"/>
            <w:vAlign w:val="top"/>
            <w:tcBorders>
              <w:top w:val="single" w:color="231F20" w:sz="2" w:space="0"/>
            </w:tcBorders>
          </w:tcPr>
          <w:p>
            <w:pPr>
              <w:ind w:left="425"/>
              <w:spacing w:before="52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13" w:type="dxa"/>
            <w:vAlign w:val="top"/>
            <w:tcBorders>
              <w:top w:val="single" w:color="231F20" w:sz="2" w:space="0"/>
            </w:tcBorders>
          </w:tcPr>
          <w:p>
            <w:pPr>
              <w:ind w:left="422"/>
              <w:spacing w:before="52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</w:tr>
      <w:tr>
        <w:trPr>
          <w:trHeight w:val="221" w:hRule="atLeast"/>
        </w:trPr>
        <w:tc>
          <w:tcPr>
            <w:tcW w:w="4166" w:type="dxa"/>
            <w:vAlign w:val="top"/>
          </w:tcPr>
          <w:p>
            <w:pPr>
              <w:pStyle w:val="TableText"/>
              <w:ind w:left="4"/>
              <w:spacing w:before="51" w:line="159" w:lineRule="exac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14"/>
              </w:rPr>
              <w:t>2.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是否采用了随机分组方法</w:t>
            </w:r>
          </w:p>
        </w:tc>
        <w:tc>
          <w:tcPr>
            <w:tcW w:w="901" w:type="dxa"/>
            <w:vAlign w:val="top"/>
          </w:tcPr>
          <w:p>
            <w:pPr>
              <w:ind w:left="390"/>
              <w:spacing w:before="54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39" w:type="dxa"/>
            <w:vAlign w:val="top"/>
          </w:tcPr>
          <w:p>
            <w:pPr>
              <w:ind w:left="446"/>
              <w:spacing w:before="54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91" w:type="dxa"/>
            <w:vAlign w:val="top"/>
          </w:tcPr>
          <w:p>
            <w:pPr>
              <w:ind w:left="406"/>
              <w:spacing w:before="54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16" w:type="dxa"/>
            <w:vAlign w:val="top"/>
          </w:tcPr>
          <w:p>
            <w:pPr>
              <w:ind w:left="423"/>
              <w:spacing w:before="54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11" w:type="dxa"/>
            <w:vAlign w:val="top"/>
          </w:tcPr>
          <w:p>
            <w:pPr>
              <w:ind w:left="425"/>
              <w:spacing w:before="54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13" w:type="dxa"/>
            <w:vAlign w:val="top"/>
          </w:tcPr>
          <w:p>
            <w:pPr>
              <w:ind w:left="422"/>
              <w:spacing w:before="54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</w:tr>
      <w:tr>
        <w:trPr>
          <w:trHeight w:val="229" w:hRule="atLeast"/>
        </w:trPr>
        <w:tc>
          <w:tcPr>
            <w:tcW w:w="4166" w:type="dxa"/>
            <w:vAlign w:val="top"/>
          </w:tcPr>
          <w:p>
            <w:pPr>
              <w:pStyle w:val="TableText"/>
              <w:ind w:left="6"/>
              <w:spacing w:before="53" w:line="166" w:lineRule="exac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14"/>
              </w:rPr>
              <w:t>3.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是否对研究对象</w:t>
            </w:r>
            <w:r>
              <w:rPr>
                <w:sz w:val="14"/>
                <w:szCs w:val="14"/>
                <w:color w:val="231F20"/>
                <w:spacing w:val="14"/>
              </w:rPr>
              <w:t>、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干预措施者及结果测评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3"/>
              </w:rPr>
              <w:t>者采取了盲法</w:t>
            </w:r>
          </w:p>
        </w:tc>
        <w:tc>
          <w:tcPr>
            <w:tcW w:w="901" w:type="dxa"/>
            <w:vAlign w:val="top"/>
          </w:tcPr>
          <w:p>
            <w:pPr>
              <w:ind w:left="231"/>
              <w:spacing w:before="54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  <w:tc>
          <w:tcPr>
            <w:tcW w:w="939" w:type="dxa"/>
            <w:vAlign w:val="top"/>
          </w:tcPr>
          <w:p>
            <w:pPr>
              <w:ind w:left="287"/>
              <w:spacing w:before="54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  <w:tc>
          <w:tcPr>
            <w:tcW w:w="891" w:type="dxa"/>
            <w:vAlign w:val="top"/>
          </w:tcPr>
          <w:p>
            <w:pPr>
              <w:ind w:left="247"/>
              <w:spacing w:before="54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  <w:tc>
          <w:tcPr>
            <w:tcW w:w="916" w:type="dxa"/>
            <w:vAlign w:val="top"/>
          </w:tcPr>
          <w:p>
            <w:pPr>
              <w:ind w:left="264"/>
              <w:spacing w:before="54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不清楚</w:t>
            </w:r>
          </w:p>
        </w:tc>
        <w:tc>
          <w:tcPr>
            <w:tcW w:w="911" w:type="dxa"/>
            <w:vAlign w:val="top"/>
          </w:tcPr>
          <w:p>
            <w:pPr>
              <w:ind w:left="427"/>
              <w:spacing w:before="56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913" w:type="dxa"/>
            <w:vAlign w:val="top"/>
          </w:tcPr>
          <w:p>
            <w:pPr>
              <w:ind w:left="424"/>
              <w:spacing w:before="56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</w:tr>
      <w:tr>
        <w:trPr>
          <w:trHeight w:val="213" w:hRule="atLeast"/>
        </w:trPr>
        <w:tc>
          <w:tcPr>
            <w:tcW w:w="4166" w:type="dxa"/>
            <w:vAlign w:val="top"/>
          </w:tcPr>
          <w:p>
            <w:pPr>
              <w:pStyle w:val="TableText"/>
              <w:ind w:left="1"/>
              <w:spacing w:before="46" w:line="156" w:lineRule="exac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15"/>
              </w:rPr>
              <w:t>4.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5"/>
              </w:rPr>
              <w:t>组间基线是否具有可比性</w:t>
            </w:r>
          </w:p>
        </w:tc>
        <w:tc>
          <w:tcPr>
            <w:tcW w:w="901" w:type="dxa"/>
            <w:vAlign w:val="top"/>
          </w:tcPr>
          <w:p>
            <w:pPr>
              <w:ind w:left="390"/>
              <w:spacing w:before="49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39" w:type="dxa"/>
            <w:vAlign w:val="top"/>
          </w:tcPr>
          <w:p>
            <w:pPr>
              <w:ind w:left="446"/>
              <w:spacing w:before="49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91" w:type="dxa"/>
            <w:vAlign w:val="top"/>
          </w:tcPr>
          <w:p>
            <w:pPr>
              <w:ind w:left="406"/>
              <w:spacing w:before="49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16" w:type="dxa"/>
            <w:vAlign w:val="top"/>
          </w:tcPr>
          <w:p>
            <w:pPr>
              <w:ind w:left="423"/>
              <w:spacing w:before="49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11" w:type="dxa"/>
            <w:vAlign w:val="top"/>
          </w:tcPr>
          <w:p>
            <w:pPr>
              <w:ind w:left="425"/>
              <w:spacing w:before="49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13" w:type="dxa"/>
            <w:vAlign w:val="top"/>
          </w:tcPr>
          <w:p>
            <w:pPr>
              <w:ind w:left="422"/>
              <w:spacing w:before="49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</w:tr>
      <w:tr>
        <w:trPr>
          <w:trHeight w:val="232" w:hRule="atLeast"/>
        </w:trPr>
        <w:tc>
          <w:tcPr>
            <w:tcW w:w="4166" w:type="dxa"/>
            <w:vAlign w:val="top"/>
          </w:tcPr>
          <w:p>
            <w:pPr>
              <w:pStyle w:val="TableText"/>
              <w:ind w:left="4"/>
              <w:spacing w:before="56" w:line="166" w:lineRule="exac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14"/>
              </w:rPr>
              <w:t>5.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除了要验证的干预措施外</w:t>
            </w:r>
            <w:r>
              <w:rPr>
                <w:sz w:val="14"/>
                <w:szCs w:val="14"/>
                <w:color w:val="231F20"/>
                <w:spacing w:val="14"/>
              </w:rPr>
              <w:t>，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各组接受的其他措施是否相同</w:t>
            </w:r>
          </w:p>
        </w:tc>
        <w:tc>
          <w:tcPr>
            <w:tcW w:w="901" w:type="dxa"/>
            <w:vAlign w:val="top"/>
          </w:tcPr>
          <w:p>
            <w:pPr>
              <w:ind w:left="390"/>
              <w:spacing w:before="59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39" w:type="dxa"/>
            <w:vAlign w:val="top"/>
          </w:tcPr>
          <w:p>
            <w:pPr>
              <w:ind w:left="446"/>
              <w:spacing w:before="59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91" w:type="dxa"/>
            <w:vAlign w:val="top"/>
          </w:tcPr>
          <w:p>
            <w:pPr>
              <w:ind w:left="406"/>
              <w:spacing w:before="59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16" w:type="dxa"/>
            <w:vAlign w:val="top"/>
          </w:tcPr>
          <w:p>
            <w:pPr>
              <w:ind w:left="423"/>
              <w:spacing w:before="59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11" w:type="dxa"/>
            <w:vAlign w:val="top"/>
          </w:tcPr>
          <w:p>
            <w:pPr>
              <w:ind w:left="425"/>
              <w:spacing w:before="59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13" w:type="dxa"/>
            <w:vAlign w:val="top"/>
          </w:tcPr>
          <w:p>
            <w:pPr>
              <w:ind w:left="422"/>
              <w:spacing w:before="59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</w:tr>
      <w:tr>
        <w:trPr>
          <w:trHeight w:val="220" w:hRule="atLeast"/>
        </w:trPr>
        <w:tc>
          <w:tcPr>
            <w:tcW w:w="416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"/>
              <w:spacing w:before="45" w:line="165" w:lineRule="exac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16"/>
              </w:rPr>
              <w:t>6.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6"/>
              </w:rPr>
              <w:t>是否将所有入选的研究对象均纳入结果分析中</w:t>
            </w:r>
          </w:p>
        </w:tc>
        <w:tc>
          <w:tcPr>
            <w:tcW w:w="901" w:type="dxa"/>
            <w:vAlign w:val="top"/>
            <w:tcBorders>
              <w:bottom w:val="single" w:color="231F20" w:sz="6" w:space="0"/>
            </w:tcBorders>
          </w:tcPr>
          <w:p>
            <w:pPr>
              <w:ind w:left="390"/>
              <w:spacing w:before="48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39" w:type="dxa"/>
            <w:vAlign w:val="top"/>
            <w:tcBorders>
              <w:bottom w:val="single" w:color="231F20" w:sz="6" w:space="0"/>
            </w:tcBorders>
          </w:tcPr>
          <w:p>
            <w:pPr>
              <w:ind w:left="446"/>
              <w:spacing w:before="48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891" w:type="dxa"/>
            <w:vAlign w:val="top"/>
            <w:tcBorders>
              <w:bottom w:val="single" w:color="231F20" w:sz="6" w:space="0"/>
            </w:tcBorders>
          </w:tcPr>
          <w:p>
            <w:pPr>
              <w:ind w:left="406"/>
              <w:spacing w:before="48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16" w:type="dxa"/>
            <w:vAlign w:val="top"/>
            <w:tcBorders>
              <w:bottom w:val="single" w:color="231F20" w:sz="6" w:space="0"/>
            </w:tcBorders>
          </w:tcPr>
          <w:p>
            <w:pPr>
              <w:ind w:left="423"/>
              <w:spacing w:before="48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是</w:t>
            </w:r>
          </w:p>
        </w:tc>
        <w:tc>
          <w:tcPr>
            <w:tcW w:w="911" w:type="dxa"/>
            <w:vAlign w:val="top"/>
            <w:tcBorders>
              <w:bottom w:val="single" w:color="231F20" w:sz="6" w:space="0"/>
            </w:tcBorders>
          </w:tcPr>
          <w:p>
            <w:pPr>
              <w:ind w:left="427"/>
              <w:spacing w:before="48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  <w:tc>
          <w:tcPr>
            <w:tcW w:w="913" w:type="dxa"/>
            <w:vAlign w:val="top"/>
            <w:tcBorders>
              <w:bottom w:val="single" w:color="231F20" w:sz="6" w:space="0"/>
            </w:tcBorders>
          </w:tcPr>
          <w:p>
            <w:pPr>
              <w:ind w:left="424"/>
              <w:spacing w:before="48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否</w:t>
            </w:r>
          </w:p>
        </w:tc>
      </w:tr>
    </w:tbl>
    <w:p>
      <w:pPr>
        <w:spacing w:line="224" w:lineRule="exact"/>
        <w:rPr>
          <w:rFonts w:ascii="Arial"/>
          <w:sz w:val="19"/>
        </w:rPr>
      </w:pPr>
      <w:r/>
    </w:p>
    <w:p>
      <w:pPr>
        <w:spacing w:line="224" w:lineRule="exact"/>
        <w:sectPr>
          <w:type w:val="continuous"/>
          <w:pgSz w:w="11905" w:h="16836"/>
          <w:pgMar w:top="400" w:right="529" w:bottom="0" w:left="407" w:header="0" w:footer="0" w:gutter="0"/>
          <w:cols w:equalWidth="0" w:num="1">
            <w:col w:w="10967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left="740" w:right="237" w:firstLine="4"/>
        <w:spacing w:before="46" w:line="228" w:lineRule="auto"/>
        <w:rPr>
          <w:sz w:val="19"/>
          <w:szCs w:val="19"/>
        </w:rPr>
      </w:pPr>
      <w:r>
        <w:rPr>
          <w:rFonts w:ascii="NSimSun" w:hAnsi="NSimSun" w:eastAsia="NSimSun" w:cs="NSimSun"/>
          <w:sz w:val="20"/>
          <w:szCs w:val="20"/>
          <w:color w:val="231F20"/>
          <w:spacing w:val="10"/>
        </w:rPr>
        <w:t>1.4</w:t>
      </w:r>
      <w:r>
        <w:rPr>
          <w:rFonts w:ascii="NSimSun" w:hAnsi="NSimSun" w:eastAsia="NSimSun" w:cs="NSimSun"/>
          <w:sz w:val="20"/>
          <w:szCs w:val="20"/>
          <w:color w:val="231F20"/>
          <w:spacing w:val="4"/>
        </w:rPr>
        <w:t xml:space="preserve">  </w:t>
      </w:r>
      <w:r>
        <w:rPr>
          <w:rFonts w:ascii="NSimSun" w:hAnsi="NSimSun" w:eastAsia="NSimSun" w:cs="NSimSun"/>
          <w:sz w:val="20"/>
          <w:szCs w:val="20"/>
          <w:color w:val="231F20"/>
          <w:spacing w:val="10"/>
        </w:rPr>
        <w:t>证据总结</w:t>
      </w:r>
      <w:r>
        <w:rPr>
          <w:rFonts w:ascii="NSimSun" w:hAnsi="NSimSun" w:eastAsia="NSimSun" w:cs="NSimSun"/>
          <w:sz w:val="20"/>
          <w:szCs w:val="20"/>
          <w:color w:val="231F20"/>
          <w:spacing w:val="1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采用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</w:rPr>
        <w:t>JBI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10"/>
        </w:rPr>
        <w:t>2014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版证据预分级和推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荐级别系统</w:t>
      </w:r>
      <w:r>
        <w:rPr>
          <w:sz w:val="11"/>
          <w:szCs w:val="11"/>
          <w:color w:val="231F20"/>
          <w:spacing w:val="18"/>
          <w:position w:val="5"/>
        </w:rPr>
        <w:t>[48]</w:t>
      </w:r>
      <w:r>
        <w:rPr>
          <w:sz w:val="11"/>
          <w:szCs w:val="11"/>
          <w:color w:val="231F20"/>
          <w:position w:val="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对证据进行质量及推荐级别的界定</w:t>
      </w:r>
      <w:r>
        <w:rPr>
          <w:sz w:val="19"/>
          <w:szCs w:val="19"/>
          <w:color w:val="231F20"/>
          <w:spacing w:val="18"/>
          <w:position w:val="-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hanging="2"/>
        <w:spacing w:before="44" w:line="272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汇总与急性胰腺炎患者早期进食有关的最佳证据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最终纳入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1"/>
          <w:position w:val="-1"/>
        </w:rPr>
        <w:t>9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条证据</w:t>
      </w:r>
      <w:r>
        <w:rPr>
          <w:sz w:val="19"/>
          <w:szCs w:val="19"/>
          <w:color w:val="231F20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见表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1"/>
          <w:position w:val="-1"/>
        </w:rPr>
        <w:t>5</w:t>
      </w:r>
      <w:r>
        <w:rPr>
          <w:sz w:val="19"/>
          <w:szCs w:val="19"/>
          <w:color w:val="231F20"/>
          <w:spacing w:val="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2"/>
        <w:spacing w:before="204" w:line="114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4"/>
        </w:rPr>
        <w:t>,</w:t>
      </w:r>
    </w:p>
    <w:p>
      <w:pPr>
        <w:spacing w:line="114" w:lineRule="exact"/>
        <w:sectPr>
          <w:type w:val="continuous"/>
          <w:pgSz w:w="11905" w:h="16836"/>
          <w:pgMar w:top="400" w:right="529" w:bottom="0" w:left="407" w:header="0" w:footer="0" w:gutter="0"/>
          <w:cols w:equalWidth="0" w:num="3">
            <w:col w:w="5655" w:space="100"/>
            <w:col w:w="4492" w:space="0"/>
            <w:col w:w="720" w:space="0"/>
          </w:cols>
        </w:sectPr>
        <w:rPr>
          <w:sz w:val="19"/>
          <w:szCs w:val="19"/>
        </w:rPr>
      </w:pPr>
    </w:p>
    <w:p>
      <w:pPr>
        <w:pStyle w:val="BodyText"/>
        <w:ind w:left="3791"/>
        <w:spacing w:before="175" w:line="177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14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10"/>
        </w:rPr>
        <w:t xml:space="preserve"> </w:t>
      </w:r>
      <w:r>
        <w:rPr>
          <w:color w:val="231F20"/>
          <w:spacing w:val="14"/>
          <w:position w:val="-1"/>
        </w:rPr>
        <w:t>5   </w:t>
      </w:r>
      <w:r>
        <w:rPr>
          <w:rFonts w:ascii="SimHei" w:hAnsi="SimHei" w:eastAsia="SimHei" w:cs="SimHei"/>
          <w:sz w:val="16"/>
          <w:szCs w:val="16"/>
          <w:color w:val="231F20"/>
          <w:spacing w:val="14"/>
        </w:rPr>
        <w:t>急性胰腺炎患者早期经口进食证据总结</w:t>
      </w:r>
    </w:p>
    <w:tbl>
      <w:tblPr>
        <w:tblStyle w:val="TableNormal"/>
        <w:tblW w:w="9637" w:type="dxa"/>
        <w:tblInd w:w="7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96"/>
        <w:gridCol w:w="1541"/>
      </w:tblGrid>
      <w:tr>
        <w:trPr>
          <w:trHeight w:val="232" w:hRule="atLeast"/>
        </w:trPr>
        <w:tc>
          <w:tcPr>
            <w:tcW w:w="9637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2210"/>
              <w:spacing w:before="53" w:line="21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6"/>
              </w:rPr>
              <w:t>证据总结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"/>
              </w:rPr>
              <w:t xml:space="preserve">                                           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 xml:space="preserve">                               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6"/>
              </w:rPr>
              <w:t>证据等级及推荐级别</w:t>
            </w:r>
          </w:p>
        </w:tc>
      </w:tr>
      <w:tr>
        <w:trPr>
          <w:trHeight w:val="227" w:hRule="atLeast"/>
        </w:trPr>
        <w:tc>
          <w:tcPr>
            <w:tcW w:w="80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"/>
              <w:spacing w:before="38" w:line="166" w:lineRule="auto"/>
              <w:rPr>
                <w:sz w:val="8"/>
                <w:szCs w:val="8"/>
              </w:rPr>
            </w:pPr>
            <w:r>
              <w:rPr>
                <w:color w:val="231F20"/>
                <w:spacing w:val="11"/>
              </w:rPr>
              <w:t>1.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1"/>
              </w:rPr>
              <w:t>对口服喂养不耐受的急性胰腺炎患者</w:t>
            </w:r>
            <w:r>
              <w:rPr>
                <w:sz w:val="14"/>
                <w:szCs w:val="14"/>
                <w:color w:val="231F20"/>
                <w:spacing w:val="11"/>
              </w:rPr>
              <w:t>，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1"/>
              </w:rPr>
              <w:t>再考虑肠内营养</w:t>
            </w:r>
            <w:r>
              <w:rPr>
                <w:sz w:val="8"/>
                <w:szCs w:val="8"/>
                <w:color w:val="231F20"/>
                <w:spacing w:val="11"/>
                <w:position w:val="4"/>
              </w:rPr>
              <w:t>[18]</w:t>
            </w:r>
          </w:p>
        </w:tc>
        <w:tc>
          <w:tcPr>
            <w:tcW w:w="154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2"/>
              <w:spacing w:before="41" w:line="16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-1"/>
              </w:rPr>
              <w:t>Ⅰ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级证据</w:t>
            </w:r>
            <w:r>
              <w:rPr>
                <w:sz w:val="14"/>
                <w:szCs w:val="14"/>
                <w:color w:val="231F20"/>
                <w:spacing w:val="-1"/>
              </w:rPr>
              <w:t>，</w:t>
            </w:r>
            <w:r>
              <w:rPr>
                <w:color w:val="231F20"/>
                <w:spacing w:val="-1"/>
              </w:rPr>
              <w:t>A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级推荐</w:t>
            </w:r>
          </w:p>
        </w:tc>
      </w:tr>
      <w:tr>
        <w:trPr>
          <w:trHeight w:val="221" w:hRule="atLeast"/>
        </w:trPr>
        <w:tc>
          <w:tcPr>
            <w:tcW w:w="8096" w:type="dxa"/>
            <w:vAlign w:val="top"/>
          </w:tcPr>
          <w:p>
            <w:pPr>
              <w:pStyle w:val="TableText"/>
              <w:ind w:left="2"/>
              <w:spacing w:before="35" w:line="164" w:lineRule="auto"/>
              <w:rPr>
                <w:sz w:val="8"/>
                <w:szCs w:val="8"/>
              </w:rPr>
            </w:pPr>
            <w:r>
              <w:rPr>
                <w:color w:val="231F20"/>
                <w:spacing w:val="13"/>
              </w:rPr>
              <w:t>2.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3"/>
              </w:rPr>
              <w:t>急性胰腺炎早期口服进食是安全的</w:t>
            </w:r>
            <w:r>
              <w:rPr>
                <w:sz w:val="14"/>
                <w:szCs w:val="14"/>
                <w:color w:val="231F20"/>
                <w:spacing w:val="13"/>
              </w:rPr>
              <w:t>，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3"/>
              </w:rPr>
              <w:t>与标准口服给药相比可降低住院天数</w:t>
            </w:r>
            <w:r>
              <w:rPr>
                <w:sz w:val="8"/>
                <w:szCs w:val="8"/>
                <w:color w:val="231F20"/>
                <w:spacing w:val="13"/>
                <w:position w:val="4"/>
              </w:rPr>
              <w:t>[18]</w:t>
            </w:r>
          </w:p>
        </w:tc>
        <w:tc>
          <w:tcPr>
            <w:tcW w:w="1541" w:type="dxa"/>
            <w:vAlign w:val="top"/>
          </w:tcPr>
          <w:p>
            <w:pPr>
              <w:pStyle w:val="TableText"/>
              <w:ind w:left="184"/>
              <w:spacing w:before="37" w:line="16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-1"/>
              </w:rPr>
              <w:t>Ⅰ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级证据</w:t>
            </w:r>
            <w:r>
              <w:rPr>
                <w:sz w:val="14"/>
                <w:szCs w:val="14"/>
                <w:color w:val="231F20"/>
                <w:spacing w:val="-1"/>
              </w:rPr>
              <w:t>，</w:t>
            </w:r>
            <w:r>
              <w:rPr>
                <w:color w:val="231F20"/>
                <w:spacing w:val="-1"/>
              </w:rPr>
              <w:t>A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级推荐</w:t>
            </w:r>
          </w:p>
        </w:tc>
      </w:tr>
      <w:tr>
        <w:trPr>
          <w:trHeight w:val="443" w:hRule="atLeast"/>
        </w:trPr>
        <w:tc>
          <w:tcPr>
            <w:tcW w:w="8096" w:type="dxa"/>
            <w:vAlign w:val="top"/>
          </w:tcPr>
          <w:p>
            <w:pPr>
              <w:pStyle w:val="TableText"/>
              <w:ind w:left="5"/>
              <w:spacing w:before="36" w:line="205" w:lineRule="auto"/>
              <w:rPr/>
            </w:pPr>
            <w:r>
              <w:rPr>
                <w:color w:val="231F20"/>
                <w:spacing w:val="15"/>
              </w:rPr>
              <w:t>3.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5"/>
              </w:rPr>
              <w:t>在临床应用时仍需掌握其适应证</w:t>
            </w:r>
            <w:r>
              <w:rPr>
                <w:sz w:val="14"/>
                <w:szCs w:val="14"/>
                <w:color w:val="231F20"/>
                <w:spacing w:val="15"/>
              </w:rPr>
              <w:t>，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5"/>
              </w:rPr>
              <w:t>根据文献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报道并结合临床实际</w:t>
            </w:r>
            <w:r>
              <w:rPr>
                <w:sz w:val="14"/>
                <w:szCs w:val="14"/>
                <w:color w:val="231F20"/>
                <w:spacing w:val="14"/>
              </w:rPr>
              <w:t>，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以下患者在使用早期进食时需慎重</w:t>
            </w:r>
            <w:r>
              <w:rPr>
                <w:color w:val="231F20"/>
                <w:spacing w:val="14"/>
              </w:rPr>
              <w:t>:</w:t>
            </w:r>
          </w:p>
          <w:p>
            <w:pPr>
              <w:pStyle w:val="TableText"/>
              <w:ind w:left="56"/>
              <w:spacing w:before="1" w:line="16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9"/>
              </w:rPr>
              <w:t>（</w:t>
            </w:r>
            <w:r>
              <w:rPr>
                <w:color w:val="231F20"/>
                <w:spacing w:val="9"/>
              </w:rPr>
              <w:t>1</w:t>
            </w:r>
            <w:r>
              <w:rPr>
                <w:sz w:val="14"/>
                <w:szCs w:val="14"/>
                <w:color w:val="231F20"/>
                <w:spacing w:val="9"/>
              </w:rPr>
              <w:t>）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9"/>
              </w:rPr>
              <w:t>合并糖尿病患者</w:t>
            </w:r>
            <w:r>
              <w:rPr>
                <w:sz w:val="14"/>
                <w:szCs w:val="14"/>
                <w:color w:val="231F20"/>
                <w:spacing w:val="-22"/>
                <w:w w:val="68"/>
              </w:rPr>
              <w:t>；（</w:t>
            </w:r>
            <w:r>
              <w:rPr>
                <w:color w:val="231F20"/>
                <w:spacing w:val="9"/>
              </w:rPr>
              <w:t>2</w:t>
            </w:r>
            <w:r>
              <w:rPr>
                <w:sz w:val="14"/>
                <w:szCs w:val="14"/>
                <w:color w:val="231F20"/>
                <w:spacing w:val="9"/>
              </w:rPr>
              <w:t>）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9"/>
              </w:rPr>
              <w:t>合并其他严重消耗性疾病者</w:t>
            </w:r>
            <w:r>
              <w:rPr>
                <w:sz w:val="14"/>
                <w:szCs w:val="14"/>
                <w:color w:val="231F20"/>
                <w:spacing w:val="-22"/>
                <w:w w:val="68"/>
              </w:rPr>
              <w:t>；（</w:t>
            </w:r>
            <w:r>
              <w:rPr>
                <w:color w:val="231F20"/>
                <w:spacing w:val="9"/>
              </w:rPr>
              <w:t>3</w:t>
            </w:r>
            <w:r>
              <w:rPr>
                <w:sz w:val="14"/>
                <w:szCs w:val="14"/>
                <w:color w:val="231F20"/>
                <w:spacing w:val="9"/>
              </w:rPr>
              <w:t>）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9"/>
              </w:rPr>
              <w:t>疾病等级为重症急性胰腺炎</w:t>
            </w:r>
            <w:r>
              <w:rPr>
                <w:sz w:val="8"/>
                <w:szCs w:val="8"/>
                <w:color w:val="231F20"/>
                <w:spacing w:val="9"/>
                <w:position w:val="4"/>
              </w:rPr>
              <w:t>[20]</w:t>
            </w:r>
          </w:p>
        </w:tc>
        <w:tc>
          <w:tcPr>
            <w:tcW w:w="1541" w:type="dxa"/>
            <w:vAlign w:val="top"/>
          </w:tcPr>
          <w:p>
            <w:pPr>
              <w:pStyle w:val="TableText"/>
              <w:ind w:left="180"/>
              <w:spacing w:before="260" w:line="16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-1"/>
              </w:rPr>
              <w:t>Ⅰ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级证据</w:t>
            </w:r>
            <w:r>
              <w:rPr>
                <w:sz w:val="14"/>
                <w:szCs w:val="14"/>
                <w:color w:val="231F20"/>
                <w:spacing w:val="-1"/>
              </w:rPr>
              <w:t>，</w:t>
            </w:r>
            <w:r>
              <w:rPr>
                <w:color w:val="231F20"/>
                <w:spacing w:val="-1"/>
              </w:rPr>
              <w:t>A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级推荐</w:t>
            </w:r>
          </w:p>
        </w:tc>
      </w:tr>
      <w:tr>
        <w:trPr>
          <w:trHeight w:val="222" w:hRule="atLeast"/>
        </w:trPr>
        <w:tc>
          <w:tcPr>
            <w:tcW w:w="8096" w:type="dxa"/>
            <w:vAlign w:val="top"/>
          </w:tcPr>
          <w:p>
            <w:pPr>
              <w:pStyle w:val="TableText"/>
              <w:spacing w:before="38" w:line="162" w:lineRule="auto"/>
              <w:rPr>
                <w:sz w:val="8"/>
                <w:szCs w:val="8"/>
              </w:rPr>
            </w:pPr>
            <w:r>
              <w:rPr>
                <w:color w:val="231F20"/>
                <w:spacing w:val="12"/>
              </w:rPr>
              <w:t>4.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在轻症急性胰腺炎患者中</w:t>
            </w:r>
            <w:r>
              <w:rPr>
                <w:sz w:val="14"/>
                <w:szCs w:val="14"/>
                <w:color w:val="231F20"/>
                <w:spacing w:val="12"/>
              </w:rPr>
              <w:t>，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患者没有恶心呕吐以及腹痛缓解</w:t>
            </w:r>
            <w:r>
              <w:rPr>
                <w:sz w:val="14"/>
                <w:szCs w:val="14"/>
                <w:color w:val="231F20"/>
                <w:spacing w:val="12"/>
              </w:rPr>
              <w:t>，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可以立即开始口服喂养</w:t>
            </w:r>
            <w:r>
              <w:rPr>
                <w:sz w:val="8"/>
                <w:szCs w:val="8"/>
                <w:color w:val="231F20"/>
                <w:spacing w:val="12"/>
                <w:position w:val="4"/>
              </w:rPr>
              <w:t>[21]</w:t>
            </w:r>
          </w:p>
        </w:tc>
        <w:tc>
          <w:tcPr>
            <w:tcW w:w="1541" w:type="dxa"/>
            <w:vAlign w:val="top"/>
          </w:tcPr>
          <w:p>
            <w:pPr>
              <w:pStyle w:val="TableText"/>
              <w:ind w:left="180"/>
              <w:spacing w:before="40" w:line="16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-1"/>
              </w:rPr>
              <w:t>Ⅰ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级证据</w:t>
            </w:r>
            <w:r>
              <w:rPr>
                <w:sz w:val="14"/>
                <w:szCs w:val="14"/>
                <w:color w:val="231F20"/>
                <w:spacing w:val="-1"/>
              </w:rPr>
              <w:t>，</w:t>
            </w:r>
            <w:r>
              <w:rPr>
                <w:color w:val="231F20"/>
                <w:spacing w:val="-1"/>
              </w:rPr>
              <w:t>A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级推荐</w:t>
            </w:r>
          </w:p>
        </w:tc>
      </w:tr>
      <w:tr>
        <w:trPr>
          <w:trHeight w:val="222" w:hRule="atLeast"/>
        </w:trPr>
        <w:tc>
          <w:tcPr>
            <w:tcW w:w="8096" w:type="dxa"/>
            <w:vAlign w:val="top"/>
          </w:tcPr>
          <w:p>
            <w:pPr>
              <w:pStyle w:val="TableText"/>
              <w:ind w:left="3"/>
              <w:spacing w:before="40" w:line="171" w:lineRule="exact"/>
              <w:rPr>
                <w:sz w:val="8"/>
                <w:szCs w:val="8"/>
              </w:rPr>
            </w:pPr>
            <w:r>
              <w:rPr>
                <w:color w:val="231F20"/>
                <w:spacing w:val="10"/>
              </w:rPr>
              <w:t>5.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轻症和中重症胰腺炎也可能发展成重症胰腺炎</w:t>
            </w:r>
            <w:r>
              <w:rPr>
                <w:sz w:val="14"/>
                <w:szCs w:val="14"/>
                <w:color w:val="231F20"/>
                <w:spacing w:val="10"/>
              </w:rPr>
              <w:t>，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持续评估是必要的</w:t>
            </w:r>
            <w:r>
              <w:rPr>
                <w:sz w:val="14"/>
                <w:szCs w:val="14"/>
                <w:color w:val="231F20"/>
                <w:spacing w:val="10"/>
              </w:rPr>
              <w:t>，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尤其是在发病前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10"/>
                <w:position w:val="-1"/>
              </w:rPr>
              <w:t>3 d</w:t>
            </w:r>
            <w:r>
              <w:rPr>
                <w:color w:val="231F20"/>
                <w:spacing w:val="25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内</w:t>
            </w:r>
            <w:r>
              <w:rPr>
                <w:sz w:val="8"/>
                <w:szCs w:val="8"/>
                <w:color w:val="231F20"/>
                <w:spacing w:val="10"/>
                <w:position w:val="4"/>
              </w:rPr>
              <w:t>[22]</w:t>
            </w:r>
          </w:p>
        </w:tc>
        <w:tc>
          <w:tcPr>
            <w:tcW w:w="1541" w:type="dxa"/>
            <w:vAlign w:val="top"/>
          </w:tcPr>
          <w:p>
            <w:pPr>
              <w:pStyle w:val="TableText"/>
              <w:ind w:left="176"/>
              <w:spacing w:before="41" w:line="15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-1"/>
              </w:rPr>
              <w:t>Ⅰ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级证据</w:t>
            </w:r>
            <w:r>
              <w:rPr>
                <w:sz w:val="14"/>
                <w:szCs w:val="14"/>
                <w:color w:val="231F20"/>
                <w:spacing w:val="-1"/>
              </w:rPr>
              <w:t>，</w:t>
            </w:r>
            <w:r>
              <w:rPr>
                <w:color w:val="231F20"/>
                <w:spacing w:val="-1"/>
              </w:rPr>
              <w:t>A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级推荐</w:t>
            </w:r>
          </w:p>
        </w:tc>
      </w:tr>
      <w:tr>
        <w:trPr>
          <w:trHeight w:val="443" w:hRule="atLeast"/>
        </w:trPr>
        <w:tc>
          <w:tcPr>
            <w:tcW w:w="8096" w:type="dxa"/>
            <w:vAlign w:val="top"/>
          </w:tcPr>
          <w:p>
            <w:pPr>
              <w:pStyle w:val="TableText"/>
              <w:ind w:left="165" w:hanging="162"/>
              <w:spacing w:before="41" w:line="184" w:lineRule="auto"/>
              <w:rPr>
                <w:sz w:val="8"/>
                <w:szCs w:val="8"/>
              </w:rPr>
            </w:pPr>
            <w:r>
              <w:rPr>
                <w:color w:val="231F20"/>
                <w:spacing w:val="11"/>
              </w:rPr>
              <w:t>6.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1"/>
              </w:rPr>
              <w:t>在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11"/>
                <w:position w:val="-1"/>
              </w:rPr>
              <w:t>4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1"/>
              </w:rPr>
              <w:t>项对轻到中度胰腺炎患者的研究中</w:t>
            </w:r>
            <w:r>
              <w:rPr>
                <w:sz w:val="14"/>
                <w:szCs w:val="14"/>
                <w:color w:val="231F20"/>
                <w:spacing w:val="11"/>
              </w:rPr>
              <w:t>，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1"/>
              </w:rPr>
              <w:t>如果患者出现严重恶化的疼痛</w:t>
            </w:r>
            <w:r>
              <w:rPr>
                <w:sz w:val="14"/>
                <w:szCs w:val="14"/>
                <w:color w:val="231F20"/>
                <w:spacing w:val="11"/>
              </w:rPr>
              <w:t>、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1"/>
              </w:rPr>
              <w:t>呕吐或肠梗阻</w:t>
            </w:r>
            <w:r>
              <w:rPr>
                <w:sz w:val="14"/>
                <w:szCs w:val="14"/>
                <w:color w:val="231F20"/>
                <w:spacing w:val="11"/>
              </w:rPr>
              <w:t>，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1"/>
              </w:rPr>
              <w:t>则停止喂养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4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1"/>
              </w:rPr>
              <w:t>。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1"/>
              </w:rPr>
              <w:t>在这些病例中</w:t>
            </w:r>
            <w:r>
              <w:rPr>
                <w:sz w:val="14"/>
                <w:szCs w:val="14"/>
                <w:color w:val="231F20"/>
                <w:spacing w:val="11"/>
              </w:rPr>
              <w:t>，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6"/>
              </w:rPr>
              <w:t>记录</w:t>
            </w:r>
            <w:r>
              <w:rPr>
                <w:sz w:val="14"/>
                <w:szCs w:val="14"/>
                <w:color w:val="231F20"/>
                <w:spacing w:val="6"/>
              </w:rPr>
              <w:t>“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6"/>
              </w:rPr>
              <w:t>喂养不耐受</w:t>
            </w:r>
            <w:r>
              <w:rPr>
                <w:sz w:val="14"/>
                <w:szCs w:val="14"/>
                <w:color w:val="231F20"/>
                <w:spacing w:val="6"/>
              </w:rPr>
              <w:t>”，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6"/>
              </w:rPr>
              <w:t>症状改善后或次日再次尝试喂养</w:t>
            </w:r>
            <w:r>
              <w:rPr>
                <w:sz w:val="8"/>
                <w:szCs w:val="8"/>
                <w:color w:val="231F20"/>
                <w:spacing w:val="6"/>
                <w:position w:val="4"/>
              </w:rPr>
              <w:t>[23]</w:t>
            </w:r>
          </w:p>
        </w:tc>
        <w:tc>
          <w:tcPr>
            <w:tcW w:w="1541" w:type="dxa"/>
            <w:vAlign w:val="top"/>
          </w:tcPr>
          <w:p>
            <w:pPr>
              <w:pStyle w:val="TableText"/>
              <w:ind w:left="186"/>
              <w:spacing w:before="266" w:line="167" w:lineRule="exac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-1"/>
              </w:rPr>
              <w:t>Ⅰ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级证据</w:t>
            </w:r>
            <w:r>
              <w:rPr>
                <w:sz w:val="14"/>
                <w:szCs w:val="14"/>
                <w:color w:val="231F20"/>
                <w:spacing w:val="-1"/>
              </w:rPr>
              <w:t>，</w:t>
            </w:r>
            <w:r>
              <w:rPr>
                <w:color w:val="231F20"/>
                <w:spacing w:val="-1"/>
              </w:rPr>
              <w:t>A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级推荐</w:t>
            </w:r>
          </w:p>
        </w:tc>
      </w:tr>
      <w:tr>
        <w:trPr>
          <w:trHeight w:val="222" w:hRule="atLeast"/>
        </w:trPr>
        <w:tc>
          <w:tcPr>
            <w:tcW w:w="8096" w:type="dxa"/>
            <w:vAlign w:val="top"/>
          </w:tcPr>
          <w:p>
            <w:pPr>
              <w:pStyle w:val="TableText"/>
              <w:ind w:left="1"/>
              <w:spacing w:before="43" w:line="168" w:lineRule="exact"/>
              <w:rPr>
                <w:sz w:val="8"/>
                <w:szCs w:val="8"/>
              </w:rPr>
            </w:pPr>
            <w:r>
              <w:rPr>
                <w:color w:val="231F20"/>
                <w:spacing w:val="10"/>
              </w:rPr>
              <w:t>7.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急性胰腺炎早期进食是指在住院后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10"/>
                <w:position w:val="-1"/>
              </w:rPr>
              <w:t>48 h</w:t>
            </w:r>
            <w:r>
              <w:rPr>
                <w:color w:val="231F20"/>
                <w:spacing w:val="24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内开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9"/>
              </w:rPr>
              <w:t>始进食</w:t>
            </w:r>
            <w:r>
              <w:rPr>
                <w:sz w:val="14"/>
                <w:szCs w:val="14"/>
                <w:color w:val="231F20"/>
                <w:spacing w:val="9"/>
              </w:rPr>
              <w:t>，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9"/>
              </w:rPr>
              <w:t>延迟进食是指在住院后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9"/>
                <w:position w:val="-1"/>
              </w:rPr>
              <w:t>48 h</w:t>
            </w:r>
            <w:r>
              <w:rPr>
                <w:color w:val="231F20"/>
                <w:spacing w:val="23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9"/>
              </w:rPr>
              <w:t>以上开始进食</w:t>
            </w:r>
            <w:r>
              <w:rPr>
                <w:sz w:val="8"/>
                <w:szCs w:val="8"/>
                <w:color w:val="231F20"/>
                <w:spacing w:val="9"/>
                <w:position w:val="4"/>
              </w:rPr>
              <w:t>[23]</w:t>
            </w:r>
          </w:p>
        </w:tc>
        <w:tc>
          <w:tcPr>
            <w:tcW w:w="1541" w:type="dxa"/>
            <w:vAlign w:val="top"/>
          </w:tcPr>
          <w:p>
            <w:pPr>
              <w:pStyle w:val="TableText"/>
              <w:ind w:left="178"/>
              <w:spacing w:before="46" w:line="165" w:lineRule="exac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-1"/>
              </w:rPr>
              <w:t>Ⅰ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级证据</w:t>
            </w:r>
            <w:r>
              <w:rPr>
                <w:sz w:val="14"/>
                <w:szCs w:val="14"/>
                <w:color w:val="231F20"/>
                <w:spacing w:val="-1"/>
              </w:rPr>
              <w:t>，</w:t>
            </w:r>
            <w:r>
              <w:rPr>
                <w:color w:val="231F20"/>
                <w:spacing w:val="-1"/>
              </w:rPr>
              <w:t>A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级推荐</w:t>
            </w:r>
          </w:p>
        </w:tc>
      </w:tr>
      <w:tr>
        <w:trPr>
          <w:trHeight w:val="222" w:hRule="atLeast"/>
        </w:trPr>
        <w:tc>
          <w:tcPr>
            <w:tcW w:w="8096" w:type="dxa"/>
            <w:vAlign w:val="top"/>
          </w:tcPr>
          <w:p>
            <w:pPr>
              <w:pStyle w:val="TableText"/>
              <w:ind w:left="7"/>
              <w:spacing w:before="45" w:line="166" w:lineRule="exact"/>
              <w:rPr>
                <w:sz w:val="8"/>
                <w:szCs w:val="8"/>
              </w:rPr>
            </w:pPr>
            <w:r>
              <w:rPr>
                <w:color w:val="231F20"/>
                <w:spacing w:val="12"/>
              </w:rPr>
              <w:t>8.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轻中度患者症状改善后</w:t>
            </w:r>
            <w:r>
              <w:rPr>
                <w:sz w:val="14"/>
                <w:szCs w:val="14"/>
                <w:color w:val="231F20"/>
                <w:spacing w:val="12"/>
              </w:rPr>
              <w:t>、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或出现饥饿感即可经口进食</w:t>
            </w:r>
            <w:r>
              <w:rPr>
                <w:sz w:val="14"/>
                <w:szCs w:val="14"/>
                <w:color w:val="231F20"/>
                <w:spacing w:val="12"/>
              </w:rPr>
              <w:t>，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除非不能经口进食或进食不耐受</w:t>
            </w:r>
            <w:r>
              <w:rPr>
                <w:sz w:val="8"/>
                <w:szCs w:val="8"/>
                <w:color w:val="231F20"/>
                <w:spacing w:val="12"/>
                <w:position w:val="4"/>
              </w:rPr>
              <w:t>[40]</w:t>
            </w:r>
          </w:p>
        </w:tc>
        <w:tc>
          <w:tcPr>
            <w:tcW w:w="1541" w:type="dxa"/>
            <w:vAlign w:val="top"/>
          </w:tcPr>
          <w:p>
            <w:pPr>
              <w:pStyle w:val="TableText"/>
              <w:ind w:left="174"/>
              <w:spacing w:before="47" w:line="164" w:lineRule="exac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-1"/>
              </w:rPr>
              <w:t>Ⅰ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级证据</w:t>
            </w:r>
            <w:r>
              <w:rPr>
                <w:sz w:val="14"/>
                <w:szCs w:val="14"/>
                <w:color w:val="231F20"/>
                <w:spacing w:val="-1"/>
              </w:rPr>
              <w:t>，</w:t>
            </w:r>
            <w:r>
              <w:rPr>
                <w:color w:val="231F20"/>
                <w:spacing w:val="-1"/>
              </w:rPr>
              <w:t>A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级推荐</w:t>
            </w:r>
          </w:p>
        </w:tc>
      </w:tr>
      <w:tr>
        <w:trPr>
          <w:trHeight w:val="209" w:hRule="atLeast"/>
        </w:trPr>
        <w:tc>
          <w:tcPr>
            <w:tcW w:w="80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"/>
              <w:spacing w:before="46" w:line="152" w:lineRule="exact"/>
              <w:rPr>
                <w:sz w:val="8"/>
                <w:szCs w:val="8"/>
              </w:rPr>
            </w:pPr>
            <w:r>
              <w:rPr>
                <w:color w:val="231F20"/>
                <w:spacing w:val="13"/>
              </w:rPr>
              <w:t>9.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3"/>
              </w:rPr>
              <w:t>中重症及重症急性胰腺炎患者进食标准是自感饥饿</w:t>
            </w:r>
            <w:r>
              <w:rPr>
                <w:sz w:val="14"/>
                <w:szCs w:val="14"/>
                <w:color w:val="231F20"/>
                <w:spacing w:val="13"/>
              </w:rPr>
              <w:t>，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3"/>
              </w:rPr>
              <w:t>优于传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统方式</w:t>
            </w:r>
            <w:r>
              <w:rPr>
                <w:sz w:val="8"/>
                <w:szCs w:val="8"/>
                <w:color w:val="231F20"/>
                <w:spacing w:val="12"/>
                <w:position w:val="4"/>
              </w:rPr>
              <w:t>[42]</w:t>
            </w:r>
          </w:p>
        </w:tc>
        <w:tc>
          <w:tcPr>
            <w:tcW w:w="154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8"/>
              <w:spacing w:before="48" w:line="150" w:lineRule="exac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-1"/>
              </w:rPr>
              <w:t>Ⅰ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级证据</w:t>
            </w:r>
            <w:r>
              <w:rPr>
                <w:sz w:val="14"/>
                <w:szCs w:val="14"/>
                <w:color w:val="231F20"/>
                <w:spacing w:val="-1"/>
              </w:rPr>
              <w:t>，</w:t>
            </w:r>
            <w:r>
              <w:rPr>
                <w:color w:val="231F20"/>
                <w:spacing w:val="-1"/>
              </w:rPr>
              <w:t>A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级推荐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5" w:h="16836"/>
          <w:pgMar w:top="400" w:right="529" w:bottom="0" w:left="407" w:header="0" w:footer="0" w:gutter="0"/>
          <w:cols w:equalWidth="0" w:num="1">
            <w:col w:w="10967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34" w:lineRule="exact"/>
        <w:rPr/>
      </w:pP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720090</wp:posOffset>
            </wp:positionH>
            <wp:positionV relativeFrom="page">
              <wp:posOffset>850265</wp:posOffset>
            </wp:positionV>
            <wp:extent cx="6120129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1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34" w:lineRule="exact"/>
        <w:sectPr>
          <w:headerReference w:type="default" r:id="rId8"/>
          <w:pgSz w:w="11905" w:h="16836"/>
          <w:pgMar w:top="1360" w:right="1058" w:bottom="0" w:left="407" w:header="1025" w:footer="0" w:gutter="0"/>
          <w:cols w:equalWidth="0" w:num="1">
            <w:col w:w="10438" w:space="0"/>
          </w:cols>
        </w:sectPr>
        <w:rPr/>
      </w:pPr>
    </w:p>
    <w:p>
      <w:pPr>
        <w:pStyle w:val="BodyText"/>
        <w:ind w:left="731"/>
        <w:spacing w:before="38" w:line="187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10"/>
          <w:position w:val="-1"/>
        </w:rPr>
        <w:t>2</w:t>
      </w:r>
      <w:r>
        <w:rPr>
          <w:sz w:val="20"/>
          <w:szCs w:val="20"/>
          <w:color w:val="231F20"/>
          <w:spacing w:val="14"/>
          <w:w w:val="101"/>
          <w:position w:val="-1"/>
        </w:rPr>
        <w:t xml:space="preserve">   </w:t>
      </w:r>
      <w:r>
        <w:rPr>
          <w:rFonts w:ascii="SimHei" w:hAnsi="SimHei" w:eastAsia="SimHei" w:cs="SimHei"/>
          <w:sz w:val="19"/>
          <w:szCs w:val="19"/>
          <w:color w:val="231F20"/>
          <w:spacing w:val="10"/>
        </w:rPr>
        <w:t>证据应用</w:t>
      </w:r>
    </w:p>
    <w:p>
      <w:pPr>
        <w:pStyle w:val="BodyText"/>
        <w:ind w:left="738" w:right="304" w:firstLine="421"/>
        <w:spacing w:before="44" w:line="225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经过医院伦理委员会审核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sz w:val="19"/>
          <w:szCs w:val="19"/>
          <w:color w:val="231F20"/>
          <w:spacing w:val="15"/>
        </w:rPr>
        <w:t>，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专家组考虑目前医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疗环境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结合本院实际情况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本循证实践研究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对象限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定为轻</w:t>
      </w:r>
      <w:r>
        <w:rPr>
          <w:sz w:val="19"/>
          <w:szCs w:val="19"/>
          <w:color w:val="231F20"/>
          <w:spacing w:val="7"/>
        </w:rPr>
        <w:t>、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中重症急性胰腺炎患者</w:t>
      </w:r>
      <w:r>
        <w:rPr>
          <w:rFonts w:ascii="SimSun" w:hAnsi="SimSun" w:eastAsia="SimSun" w:cs="SimSun"/>
          <w:sz w:val="19"/>
          <w:szCs w:val="19"/>
          <w:color w:val="231F20"/>
          <w:spacing w:val="-56"/>
        </w:rPr>
        <w:t xml:space="preserve"> </w:t>
      </w:r>
      <w:r>
        <w:rPr>
          <w:sz w:val="19"/>
          <w:szCs w:val="19"/>
          <w:color w:val="231F20"/>
          <w:spacing w:val="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并自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7"/>
        </w:rPr>
        <w:t>2018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年 </w:t>
      </w:r>
      <w:r>
        <w:rPr>
          <w:sz w:val="20"/>
          <w:szCs w:val="20"/>
          <w:color w:val="231F20"/>
          <w:spacing w:val="7"/>
        </w:rPr>
        <w:t>12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月</w:t>
      </w:r>
      <w:r>
        <w:rPr>
          <w:sz w:val="19"/>
          <w:szCs w:val="19"/>
          <w:color w:val="231F20"/>
          <w:spacing w:val="12"/>
        </w:rPr>
        <w:t>—</w:t>
      </w:r>
      <w:r>
        <w:rPr>
          <w:sz w:val="20"/>
          <w:szCs w:val="20"/>
          <w:color w:val="231F20"/>
          <w:spacing w:val="12"/>
        </w:rPr>
        <w:t>2019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年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12"/>
        </w:rPr>
        <w:t>5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月在本院普外科病房开展了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12"/>
        </w:rPr>
        <w:t>2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个阶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段的临床研究</w:t>
      </w:r>
      <w:r>
        <w:rPr>
          <w:rFonts w:ascii="SimSun" w:hAnsi="SimSun" w:eastAsia="SimSun" w:cs="SimSun"/>
          <w:sz w:val="19"/>
          <w:szCs w:val="19"/>
          <w:color w:val="231F20"/>
          <w:spacing w:val="-48"/>
        </w:rPr>
        <w:t xml:space="preserve"> </w:t>
      </w:r>
      <w:r>
        <w:rPr>
          <w:sz w:val="19"/>
          <w:szCs w:val="19"/>
          <w:color w:val="231F20"/>
          <w:spacing w:val="13"/>
        </w:rPr>
        <w:t>，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包括证据应用前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13"/>
          <w:position w:val="-1"/>
        </w:rPr>
        <w:t>2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组的基线审查和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证据应用后效果评价</w:t>
      </w:r>
      <w:r>
        <w:rPr>
          <w:sz w:val="19"/>
          <w:szCs w:val="19"/>
          <w:color w:val="231F20"/>
          <w:spacing w:val="18"/>
        </w:rPr>
        <w:t>。</w:t>
      </w:r>
    </w:p>
    <w:p>
      <w:pPr>
        <w:ind w:left="732"/>
        <w:spacing w:line="221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color w:val="231F20"/>
          <w:spacing w:val="-6"/>
        </w:rPr>
        <w:t>2.</w:t>
      </w:r>
      <w:r>
        <w:rPr>
          <w:rFonts w:ascii="NSimSun" w:hAnsi="NSimSun" w:eastAsia="NSimSun" w:cs="NSimSun"/>
          <w:sz w:val="20"/>
          <w:szCs w:val="20"/>
          <w:color w:val="231F20"/>
          <w:spacing w:val="-50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231F20"/>
          <w:spacing w:val="-6"/>
        </w:rPr>
        <w:t>1</w:t>
      </w:r>
      <w:r>
        <w:rPr>
          <w:rFonts w:ascii="NSimSun" w:hAnsi="NSimSun" w:eastAsia="NSimSun" w:cs="NSimSun"/>
          <w:sz w:val="20"/>
          <w:szCs w:val="20"/>
          <w:color w:val="231F20"/>
          <w:spacing w:val="-6"/>
        </w:rPr>
        <w:t xml:space="preserve">  </w:t>
      </w:r>
      <w:r>
        <w:rPr>
          <w:rFonts w:ascii="NSimSun" w:hAnsi="NSimSun" w:eastAsia="NSimSun" w:cs="NSimSun"/>
          <w:sz w:val="20"/>
          <w:szCs w:val="20"/>
          <w:color w:val="231F20"/>
          <w:spacing w:val="-6"/>
        </w:rPr>
        <w:t>基线审查</w:t>
      </w:r>
    </w:p>
    <w:p>
      <w:pPr>
        <w:pStyle w:val="BodyText"/>
        <w:ind w:left="744" w:right="310" w:hanging="12"/>
        <w:spacing w:before="75" w:line="219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0"/>
        </w:rPr>
        <w:t>2.1.1</w:t>
      </w:r>
      <w:r>
        <w:rPr>
          <w:sz w:val="20"/>
          <w:szCs w:val="20"/>
          <w:color w:val="231F20"/>
          <w:spacing w:val="20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建立审查小组</w:t>
      </w:r>
      <w:r>
        <w:rPr>
          <w:rFonts w:ascii="SimSun" w:hAnsi="SimSun" w:eastAsia="SimSun" w:cs="SimSun"/>
          <w:sz w:val="19"/>
          <w:szCs w:val="19"/>
          <w:color w:val="231F20"/>
          <w:spacing w:val="25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质量审查小组共有 </w:t>
      </w:r>
      <w:r>
        <w:rPr>
          <w:sz w:val="20"/>
          <w:szCs w:val="20"/>
          <w:color w:val="231F20"/>
          <w:spacing w:val="10"/>
        </w:rPr>
        <w:t>10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名成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员</w:t>
      </w:r>
      <w:r>
        <w:rPr>
          <w:sz w:val="19"/>
          <w:szCs w:val="19"/>
          <w:color w:val="231F20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其中 </w:t>
      </w:r>
      <w:r>
        <w:rPr>
          <w:sz w:val="20"/>
          <w:szCs w:val="20"/>
          <w:color w:val="231F20"/>
          <w:spacing w:val="5"/>
          <w:position w:val="-1"/>
        </w:rPr>
        <w:t>1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名普外科护士长担任组长</w:t>
      </w:r>
      <w:r>
        <w:rPr>
          <w:sz w:val="19"/>
          <w:szCs w:val="19"/>
          <w:color w:val="231F20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负责该项目的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总体规划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并对组员进行培训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确保组员在质量审查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中保持客观一致性</w:t>
      </w:r>
      <w:r>
        <w:rPr>
          <w:sz w:val="19"/>
          <w:szCs w:val="19"/>
          <w:color w:val="231F20"/>
          <w:spacing w:val="15"/>
        </w:rPr>
        <w:t>；</w:t>
      </w:r>
      <w:r>
        <w:rPr>
          <w:sz w:val="20"/>
          <w:szCs w:val="20"/>
          <w:color w:val="231F20"/>
          <w:spacing w:val="15"/>
          <w:position w:val="-1"/>
        </w:rPr>
        <w:t>1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名研究生和</w:t>
      </w:r>
      <w:r>
        <w:rPr>
          <w:rFonts w:ascii="SimSun" w:hAnsi="SimSun" w:eastAsia="SimSun" w:cs="SimSun"/>
          <w:sz w:val="19"/>
          <w:szCs w:val="19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15"/>
          <w:position w:val="-1"/>
        </w:rPr>
        <w:t>2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名专科护士负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责证据检索和文献质量评价</w:t>
      </w:r>
      <w:r>
        <w:rPr>
          <w:sz w:val="19"/>
          <w:szCs w:val="19"/>
          <w:color w:val="231F20"/>
          <w:spacing w:val="18"/>
        </w:rPr>
        <w:t>；</w:t>
      </w:r>
      <w:r>
        <w:rPr>
          <w:sz w:val="20"/>
          <w:szCs w:val="20"/>
          <w:color w:val="231F20"/>
          <w:spacing w:val="18"/>
          <w:position w:val="-1"/>
        </w:rPr>
        <w:t>1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名科主任负责流程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决策和项目推进</w:t>
      </w:r>
      <w:r>
        <w:rPr>
          <w:sz w:val="19"/>
          <w:szCs w:val="19"/>
          <w:color w:val="231F20"/>
          <w:spacing w:val="13"/>
        </w:rPr>
        <w:t>；</w:t>
      </w:r>
      <w:r>
        <w:rPr>
          <w:sz w:val="20"/>
          <w:szCs w:val="20"/>
          <w:color w:val="231F20"/>
          <w:spacing w:val="13"/>
          <w:position w:val="-1"/>
        </w:rPr>
        <w:t>2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名病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区医生和</w:t>
      </w:r>
      <w:r>
        <w:rPr>
          <w:rFonts w:ascii="SimSun" w:hAnsi="SimSun" w:eastAsia="SimSun" w:cs="SimSun"/>
          <w:sz w:val="19"/>
          <w:szCs w:val="19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13"/>
          <w:position w:val="-1"/>
        </w:rPr>
        <w:t>2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名护理组长负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责证据应用</w:t>
      </w:r>
      <w:r>
        <w:rPr>
          <w:sz w:val="19"/>
          <w:szCs w:val="19"/>
          <w:color w:val="231F20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数据收集和分析</w:t>
      </w:r>
      <w:r>
        <w:rPr>
          <w:sz w:val="19"/>
          <w:szCs w:val="19"/>
          <w:color w:val="231F20"/>
          <w:spacing w:val="5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本项目由 </w:t>
      </w:r>
      <w:r>
        <w:rPr>
          <w:sz w:val="20"/>
          <w:szCs w:val="20"/>
          <w:color w:val="231F20"/>
          <w:spacing w:val="5"/>
          <w:position w:val="-1"/>
        </w:rPr>
        <w:t>1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名南方医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9"/>
        </w:rPr>
        <w:t>院</w:t>
      </w:r>
      <w:r>
        <w:rPr>
          <w:rFonts w:ascii="SimSun" w:hAnsi="SimSun" w:eastAsia="SimSun" w:cs="SimSun"/>
          <w:sz w:val="19"/>
          <w:szCs w:val="19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position w:val="-1"/>
        </w:rPr>
        <w:t>JBI</w:t>
      </w:r>
      <w:r>
        <w:rPr>
          <w:sz w:val="20"/>
          <w:szCs w:val="20"/>
          <w:color w:val="231F20"/>
          <w:spacing w:val="2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9"/>
        </w:rPr>
        <w:t>循证护理合作中心导师负责项目立项的辅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导</w:t>
      </w:r>
      <w:r>
        <w:rPr>
          <w:sz w:val="19"/>
          <w:szCs w:val="19"/>
          <w:color w:val="231F20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最佳证据的审核及全程方法论指导</w:t>
      </w:r>
      <w:r>
        <w:rPr>
          <w:sz w:val="19"/>
          <w:szCs w:val="19"/>
          <w:color w:val="231F20"/>
          <w:spacing w:val="12"/>
        </w:rPr>
        <w:t>。</w:t>
      </w:r>
    </w:p>
    <w:p>
      <w:pPr>
        <w:pStyle w:val="BodyText"/>
        <w:ind w:left="738" w:right="233" w:hanging="6"/>
        <w:spacing w:before="43" w:line="225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2"/>
          <w:position w:val="-1"/>
        </w:rPr>
        <w:t>2.1.2  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构建审查标准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基于以上系统检索所生成的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证据总结</w:t>
      </w:r>
      <w:r>
        <w:rPr>
          <w:sz w:val="19"/>
          <w:szCs w:val="19"/>
          <w:color w:val="231F20"/>
          <w:spacing w:val="11"/>
          <w:position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本小组成员依据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position w:val="-1"/>
        </w:rPr>
        <w:t>FAME</w:t>
      </w:r>
      <w:r>
        <w:rPr>
          <w:sz w:val="20"/>
          <w:szCs w:val="20"/>
          <w:color w:val="231F20"/>
          <w:spacing w:val="2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原则</w:t>
      </w:r>
      <w:r>
        <w:rPr>
          <w:sz w:val="11"/>
          <w:szCs w:val="11"/>
          <w:color w:val="231F20"/>
          <w:spacing w:val="11"/>
          <w:position w:val="6"/>
        </w:rPr>
        <w:t>[49]</w:t>
      </w:r>
      <w:r>
        <w:rPr>
          <w:sz w:val="11"/>
          <w:szCs w:val="11"/>
          <w:color w:val="231F20"/>
          <w:spacing w:val="-17"/>
          <w:position w:val="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进行证据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可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行</w:t>
      </w:r>
      <w:r>
        <w:rPr>
          <w:rFonts w:ascii="SimSun" w:hAnsi="SimSun" w:eastAsia="SimSun" w:cs="SimSun"/>
          <w:sz w:val="19"/>
          <w:szCs w:val="19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性</w:t>
      </w:r>
      <w:r>
        <w:rPr>
          <w:sz w:val="20"/>
          <w:szCs w:val="20"/>
          <w:color w:val="231F20"/>
          <w:spacing w:val="-10"/>
        </w:rPr>
        <w:t>(feasibility)</w:t>
      </w:r>
      <w:r>
        <w:rPr>
          <w:sz w:val="19"/>
          <w:szCs w:val="19"/>
          <w:color w:val="231F20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适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宜</w:t>
      </w:r>
      <w:r>
        <w:rPr>
          <w:rFonts w:ascii="SimSun" w:hAnsi="SimSun" w:eastAsia="SimSun" w:cs="SimSun"/>
          <w:sz w:val="19"/>
          <w:szCs w:val="19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性</w:t>
      </w:r>
      <w:r>
        <w:rPr>
          <w:sz w:val="20"/>
          <w:szCs w:val="20"/>
          <w:color w:val="231F20"/>
          <w:spacing w:val="-10"/>
        </w:rPr>
        <w:t>(appropriatenes</w:t>
      </w:r>
      <w:r>
        <w:rPr>
          <w:sz w:val="20"/>
          <w:szCs w:val="20"/>
          <w:color w:val="231F20"/>
          <w:spacing w:val="-11"/>
        </w:rPr>
        <w:t>s)</w:t>
      </w:r>
      <w:r>
        <w:rPr>
          <w:sz w:val="19"/>
          <w:szCs w:val="19"/>
          <w:color w:val="231F20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-11"/>
          <w:position w:val="1"/>
        </w:rPr>
        <w:t>临床</w:t>
      </w:r>
      <w:r>
        <w:rPr>
          <w:rFonts w:ascii="SimSun" w:hAnsi="SimSun" w:eastAsia="SimSun" w:cs="SimSun"/>
          <w:sz w:val="19"/>
          <w:szCs w:val="19"/>
          <w:color w:val="231F20"/>
          <w:spacing w:val="-5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1"/>
          <w:position w:val="1"/>
        </w:rPr>
        <w:t>意</w:t>
      </w:r>
      <w:r>
        <w:rPr>
          <w:rFonts w:ascii="SimSun" w:hAnsi="SimSun" w:eastAsia="SimSun" w:cs="SimSun"/>
          <w:sz w:val="19"/>
          <w:szCs w:val="19"/>
          <w:color w:val="231F20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义</w:t>
      </w:r>
      <w:r>
        <w:rPr>
          <w:sz w:val="20"/>
          <w:szCs w:val="20"/>
          <w:color w:val="231F20"/>
          <w:spacing w:val="-11"/>
        </w:rPr>
        <w:t>(meaningfulness)</w:t>
      </w:r>
      <w:r>
        <w:rPr>
          <w:sz w:val="19"/>
          <w:szCs w:val="19"/>
          <w:color w:val="231F20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有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效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性</w:t>
      </w: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>评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>价</w:t>
      </w:r>
      <w:r>
        <w:rPr>
          <w:sz w:val="20"/>
          <w:szCs w:val="20"/>
          <w:color w:val="231F20"/>
          <w:spacing w:val="-12"/>
        </w:rPr>
        <w:t>(effectiveness)</w:t>
      </w:r>
      <w:r>
        <w:rPr>
          <w:sz w:val="19"/>
          <w:szCs w:val="19"/>
          <w:color w:val="231F20"/>
          <w:spacing w:val="-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2"/>
          <w:position w:val="1"/>
        </w:rPr>
        <w:t>并</w:t>
      </w:r>
      <w:r>
        <w:rPr>
          <w:rFonts w:ascii="SimSun" w:hAnsi="SimSun" w:eastAsia="SimSun" w:cs="SimSun"/>
          <w:sz w:val="19"/>
          <w:szCs w:val="19"/>
          <w:color w:val="231F20"/>
          <w:spacing w:val="-5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2"/>
          <w:position w:val="1"/>
        </w:rPr>
        <w:t>依</w:t>
      </w:r>
      <w:r>
        <w:rPr>
          <w:rFonts w:ascii="SimSun" w:hAnsi="SimSun" w:eastAsia="SimSun" w:cs="SimSun"/>
          <w:sz w:val="19"/>
          <w:szCs w:val="19"/>
          <w:color w:val="231F20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据本土化原则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sz w:val="19"/>
          <w:szCs w:val="19"/>
          <w:color w:val="231F20"/>
          <w:spacing w:val="5"/>
        </w:rPr>
        <w:t>，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构建了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5"/>
        </w:rPr>
        <w:t>5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条质量审查指标</w:t>
      </w:r>
      <w:r>
        <w:rPr>
          <w:sz w:val="19"/>
          <w:szCs w:val="19"/>
          <w:color w:val="231F20"/>
          <w:spacing w:val="-37"/>
          <w:w w:val="71"/>
        </w:rPr>
        <w:t>：（</w:t>
      </w:r>
      <w:r>
        <w:rPr>
          <w:sz w:val="20"/>
          <w:szCs w:val="20"/>
          <w:color w:val="231F20"/>
          <w:spacing w:val="5"/>
        </w:rPr>
        <w:t>1</w:t>
      </w:r>
      <w:r>
        <w:rPr>
          <w:sz w:val="19"/>
          <w:szCs w:val="19"/>
          <w:color w:val="231F20"/>
          <w:spacing w:val="4"/>
        </w:rPr>
        <w:t>）</w:t>
      </w:r>
      <w:r>
        <w:rPr>
          <w:sz w:val="20"/>
          <w:szCs w:val="20"/>
          <w:color w:val="231F20"/>
          <w:spacing w:val="4"/>
        </w:rPr>
        <w:t>48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h</w:t>
      </w:r>
      <w:r>
        <w:rPr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内给轻</w:t>
      </w:r>
      <w:r>
        <w:rPr>
          <w:sz w:val="19"/>
          <w:szCs w:val="19"/>
          <w:color w:val="231F20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中重症急性胰腺炎患者经口进食</w:t>
      </w:r>
      <w:r>
        <w:rPr>
          <w:rFonts w:ascii="SimSun" w:hAnsi="SimSun" w:eastAsia="SimSun" w:cs="SimSun"/>
          <w:sz w:val="19"/>
          <w:szCs w:val="19"/>
          <w:color w:val="231F20"/>
          <w:spacing w:val="-56"/>
        </w:rPr>
        <w:t xml:space="preserve"> </w:t>
      </w:r>
      <w:r>
        <w:rPr>
          <w:sz w:val="19"/>
          <w:szCs w:val="19"/>
          <w:color w:val="231F20"/>
          <w:spacing w:val="3"/>
        </w:rPr>
        <w:t>。（</w:t>
      </w:r>
      <w:r>
        <w:rPr>
          <w:sz w:val="20"/>
          <w:szCs w:val="20"/>
          <w:color w:val="231F20"/>
          <w:spacing w:val="3"/>
        </w:rPr>
        <w:t>2</w:t>
      </w:r>
      <w:r>
        <w:rPr>
          <w:sz w:val="19"/>
          <w:szCs w:val="19"/>
          <w:color w:val="231F20"/>
          <w:spacing w:val="3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医护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人员每天评估早期经口进食的必要性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记录于护理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电子病历中</w:t>
      </w:r>
      <w:r>
        <w:rPr>
          <w:sz w:val="19"/>
          <w:szCs w:val="19"/>
          <w:color w:val="231F20"/>
          <w:spacing w:val="-5"/>
        </w:rPr>
        <w:t>。（</w:t>
      </w:r>
      <w:r>
        <w:rPr>
          <w:sz w:val="20"/>
          <w:szCs w:val="20"/>
          <w:color w:val="231F20"/>
          <w:spacing w:val="-5"/>
        </w:rPr>
        <w:t>3</w:t>
      </w:r>
      <w:r>
        <w:rPr>
          <w:sz w:val="19"/>
          <w:szCs w:val="19"/>
          <w:color w:val="231F20"/>
          <w:spacing w:val="-5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患者出现疼痛加重则停止进食</w:t>
      </w:r>
      <w:r>
        <w:rPr>
          <w:sz w:val="19"/>
          <w:szCs w:val="19"/>
          <w:color w:val="231F20"/>
          <w:spacing w:val="-5"/>
        </w:rPr>
        <w:t>。（</w:t>
      </w:r>
      <w:r>
        <w:rPr>
          <w:sz w:val="20"/>
          <w:szCs w:val="20"/>
          <w:color w:val="231F20"/>
          <w:spacing w:val="-5"/>
        </w:rPr>
        <w:t>4</w:t>
      </w:r>
      <w:r>
        <w:rPr>
          <w:sz w:val="19"/>
          <w:szCs w:val="19"/>
          <w:color w:val="231F20"/>
          <w:spacing w:val="-5"/>
        </w:rPr>
        <w:t>）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患者出现恶心</w:t>
      </w:r>
      <w:r>
        <w:rPr>
          <w:sz w:val="19"/>
          <w:szCs w:val="19"/>
          <w:color w:val="231F20"/>
          <w:spacing w:val="-3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呕吐则停止进食</w:t>
      </w:r>
      <w:r>
        <w:rPr>
          <w:sz w:val="19"/>
          <w:szCs w:val="19"/>
          <w:color w:val="231F20"/>
          <w:spacing w:val="-3"/>
        </w:rPr>
        <w:t>。（</w:t>
      </w:r>
      <w:r>
        <w:rPr>
          <w:sz w:val="20"/>
          <w:szCs w:val="20"/>
          <w:color w:val="231F20"/>
          <w:spacing w:val="-3"/>
        </w:rPr>
        <w:t>5</w:t>
      </w:r>
      <w:r>
        <w:rPr>
          <w:sz w:val="19"/>
          <w:szCs w:val="19"/>
          <w:color w:val="231F20"/>
          <w:spacing w:val="-3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合并糖尿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病</w:t>
      </w:r>
      <w:r>
        <w:rPr>
          <w:sz w:val="19"/>
          <w:szCs w:val="19"/>
          <w:color w:val="231F20"/>
          <w:spacing w:val="-4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其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他严重消耗性疾病者以及重症胰腺炎患者不纳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入早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期进食</w:t>
      </w:r>
      <w:r>
        <w:rPr>
          <w:sz w:val="19"/>
          <w:szCs w:val="19"/>
          <w:color w:val="231F20"/>
          <w:spacing w:val="15"/>
        </w:rPr>
        <w:t>。</w:t>
      </w:r>
    </w:p>
    <w:p>
      <w:pPr>
        <w:pStyle w:val="BodyText"/>
        <w:ind w:left="651" w:right="232" w:firstLine="80"/>
        <w:spacing w:before="43" w:line="221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3"/>
        </w:rPr>
        <w:t>2.1.3</w:t>
      </w:r>
      <w:r>
        <w:rPr>
          <w:sz w:val="20"/>
          <w:szCs w:val="20"/>
          <w:color w:val="231F20"/>
          <w:spacing w:val="19"/>
          <w:w w:val="101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数据收集  采用以下方法进行资料收集</w:t>
      </w:r>
      <w:r>
        <w:rPr>
          <w:sz w:val="19"/>
          <w:szCs w:val="19"/>
          <w:color w:val="231F20"/>
          <w:spacing w:val="3"/>
        </w:rPr>
        <w:t>。（</w:t>
      </w:r>
      <w:r>
        <w:rPr>
          <w:sz w:val="20"/>
          <w:szCs w:val="20"/>
          <w:color w:val="231F20"/>
          <w:spacing w:val="3"/>
        </w:rPr>
        <w:t>1</w:t>
      </w:r>
      <w:r>
        <w:rPr>
          <w:sz w:val="19"/>
          <w:szCs w:val="19"/>
          <w:color w:val="231F20"/>
          <w:spacing w:val="3"/>
        </w:rPr>
        <w:t>）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观察法</w:t>
      </w:r>
      <w:r>
        <w:rPr>
          <w:sz w:val="19"/>
          <w:szCs w:val="19"/>
          <w:color w:val="231F20"/>
          <w:spacing w:val="21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针对指标 </w:t>
      </w:r>
      <w:r>
        <w:rPr>
          <w:sz w:val="20"/>
          <w:szCs w:val="20"/>
          <w:color w:val="231F20"/>
          <w:spacing w:val="21"/>
          <w:position w:val="-1"/>
        </w:rPr>
        <w:t>1</w:t>
      </w:r>
      <w:r>
        <w:rPr>
          <w:sz w:val="19"/>
          <w:szCs w:val="19"/>
          <w:color w:val="231F20"/>
          <w:spacing w:val="2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护士长及责任组长每天通过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现场观察</w:t>
      </w:r>
      <w:r>
        <w:rPr>
          <w:sz w:val="19"/>
          <w:szCs w:val="19"/>
          <w:color w:val="231F20"/>
          <w:spacing w:val="2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记录轻</w:t>
      </w:r>
      <w:r>
        <w:rPr>
          <w:sz w:val="19"/>
          <w:szCs w:val="19"/>
          <w:color w:val="231F20"/>
          <w:spacing w:val="23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中重症急性胰腺炎患者是</w:t>
      </w:r>
      <w:r>
        <w:rPr>
          <w:rFonts w:ascii="SimSun" w:hAnsi="SimSun" w:eastAsia="SimSun" w:cs="SimSun"/>
          <w:sz w:val="19"/>
          <w:szCs w:val="19"/>
          <w:color w:val="231F20"/>
          <w:spacing w:val="22"/>
        </w:rPr>
        <w:t>否早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期经</w:t>
      </w:r>
      <w:r>
        <w:rPr>
          <w:rFonts w:ascii="SimSun" w:hAnsi="SimSun" w:eastAsia="SimSun" w:cs="SimSun"/>
          <w:sz w:val="19"/>
          <w:szCs w:val="19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口进食</w:t>
      </w:r>
      <w:r>
        <w:rPr>
          <w:rFonts w:ascii="SimSun" w:hAnsi="SimSun" w:eastAsia="SimSun" w:cs="SimSun"/>
          <w:sz w:val="19"/>
          <w:szCs w:val="19"/>
          <w:color w:val="231F20"/>
          <w:spacing w:val="-53"/>
        </w:rPr>
        <w:t xml:space="preserve"> </w:t>
      </w:r>
      <w:r>
        <w:rPr>
          <w:sz w:val="19"/>
          <w:szCs w:val="19"/>
          <w:color w:val="231F20"/>
          <w:spacing w:val="-1"/>
        </w:rPr>
        <w:t>。（</w:t>
      </w:r>
      <w:r>
        <w:rPr>
          <w:sz w:val="20"/>
          <w:szCs w:val="20"/>
          <w:color w:val="231F20"/>
          <w:spacing w:val="-1"/>
        </w:rPr>
        <w:t>2</w:t>
      </w:r>
      <w:r>
        <w:rPr>
          <w:sz w:val="19"/>
          <w:szCs w:val="19"/>
          <w:color w:val="231F20"/>
          <w:spacing w:val="-1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查检表</w:t>
      </w:r>
      <w:r>
        <w:rPr>
          <w:sz w:val="19"/>
          <w:szCs w:val="19"/>
          <w:color w:val="231F20"/>
          <w:spacing w:val="-1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针对指标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1"/>
        </w:rPr>
        <w:t>3</w:t>
      </w:r>
      <w:r>
        <w:rPr>
          <w:sz w:val="19"/>
          <w:szCs w:val="19"/>
          <w:color w:val="231F20"/>
          <w:spacing w:val="-1"/>
        </w:rPr>
        <w:t>、</w:t>
      </w:r>
      <w:r>
        <w:rPr>
          <w:sz w:val="20"/>
          <w:szCs w:val="20"/>
          <w:color w:val="231F20"/>
          <w:spacing w:val="-1"/>
        </w:rPr>
        <w:t>4</w:t>
      </w:r>
      <w:r>
        <w:rPr>
          <w:sz w:val="19"/>
          <w:szCs w:val="19"/>
          <w:color w:val="231F20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自行设计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2"/>
        </w:rPr>
        <w:t>“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轻</w:t>
      </w:r>
      <w:r>
        <w:rPr>
          <w:sz w:val="19"/>
          <w:szCs w:val="19"/>
          <w:color w:val="231F20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中度胰腺炎患者病情观察查检表</w:t>
      </w:r>
      <w:r>
        <w:rPr>
          <w:rFonts w:ascii="SimSun" w:hAnsi="SimSun" w:eastAsia="SimSun" w:cs="SimSun"/>
          <w:sz w:val="19"/>
          <w:szCs w:val="19"/>
          <w:color w:val="231F20"/>
          <w:spacing w:val="-56"/>
        </w:rPr>
        <w:t xml:space="preserve"> </w:t>
      </w:r>
      <w:r>
        <w:rPr>
          <w:sz w:val="19"/>
          <w:szCs w:val="19"/>
          <w:color w:val="231F20"/>
          <w:spacing w:val="12"/>
        </w:rPr>
        <w:t>”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查看患者是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否出现疼痛加重或恶心呕吐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sz w:val="19"/>
          <w:szCs w:val="19"/>
          <w:color w:val="231F20"/>
          <w:spacing w:val="19"/>
        </w:rPr>
        <w:t>，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如有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sz w:val="19"/>
          <w:szCs w:val="19"/>
          <w:color w:val="231F20"/>
          <w:spacing w:val="19"/>
        </w:rPr>
        <w:t>，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则停止进食</w:t>
      </w:r>
      <w:r>
        <w:rPr>
          <w:sz w:val="19"/>
          <w:szCs w:val="19"/>
          <w:color w:val="231F20"/>
          <w:spacing w:val="19"/>
        </w:rPr>
        <w:t>。</w:t>
      </w:r>
    </w:p>
    <w:p>
      <w:pPr>
        <w:pStyle w:val="BodyText"/>
        <w:ind w:left="740" w:right="310" w:hanging="80"/>
        <w:spacing w:before="41" w:line="22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（</w:t>
      </w:r>
      <w:r>
        <w:rPr>
          <w:sz w:val="20"/>
          <w:szCs w:val="20"/>
          <w:color w:val="231F20"/>
          <w:spacing w:val="3"/>
        </w:rPr>
        <w:t>3</w:t>
      </w:r>
      <w:r>
        <w:rPr>
          <w:sz w:val="19"/>
          <w:szCs w:val="19"/>
          <w:color w:val="231F20"/>
          <w:spacing w:val="3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护理</w:t>
      </w:r>
      <w:r>
        <w:rPr>
          <w:rFonts w:ascii="SimSun" w:hAnsi="SimSun" w:eastAsia="SimSun" w:cs="SimSun"/>
          <w:sz w:val="19"/>
          <w:szCs w:val="19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电子病历</w:t>
      </w:r>
      <w:r>
        <w:rPr>
          <w:sz w:val="19"/>
          <w:szCs w:val="19"/>
          <w:color w:val="231F20"/>
          <w:spacing w:val="3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针对指标</w:t>
      </w:r>
      <w:r>
        <w:rPr>
          <w:rFonts w:ascii="SimSun" w:hAnsi="SimSun" w:eastAsia="SimSun" w:cs="SimSun"/>
          <w:sz w:val="19"/>
          <w:szCs w:val="19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3"/>
          <w:position w:val="-1"/>
        </w:rPr>
        <w:t>2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和</w:t>
      </w:r>
      <w:r>
        <w:rPr>
          <w:rFonts w:ascii="SimSun" w:hAnsi="SimSun" w:eastAsia="SimSun" w:cs="SimSun"/>
          <w:sz w:val="19"/>
          <w:szCs w:val="19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3"/>
          <w:position w:val="-1"/>
        </w:rPr>
        <w:t>5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通过查看护理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电子病历</w:t>
      </w:r>
      <w:r>
        <w:rPr>
          <w:sz w:val="19"/>
          <w:szCs w:val="19"/>
          <w:color w:val="231F20"/>
          <w:spacing w:val="1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了解护医护每天评估早期进食及入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组患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者的情况</w:t>
      </w:r>
      <w:r>
        <w:rPr>
          <w:sz w:val="19"/>
          <w:szCs w:val="19"/>
          <w:color w:val="231F20"/>
          <w:spacing w:val="19"/>
        </w:rPr>
        <w:t>。</w:t>
      </w:r>
    </w:p>
    <w:p>
      <w:pPr>
        <w:pStyle w:val="BodyText"/>
        <w:ind w:left="728" w:right="230" w:firstLine="3"/>
        <w:spacing w:before="9" w:line="224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4"/>
        </w:rPr>
        <w:t>2.1.4</w:t>
      </w:r>
      <w:r>
        <w:rPr>
          <w:sz w:val="20"/>
          <w:szCs w:val="20"/>
          <w:color w:val="231F20"/>
          <w:spacing w:val="19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基线审查对象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基线审查对象为</w:t>
      </w:r>
      <w:r>
        <w:rPr>
          <w:rFonts w:ascii="SimSun" w:hAnsi="SimSun" w:eastAsia="SimSun" w:cs="SimSun"/>
          <w:sz w:val="19"/>
          <w:szCs w:val="19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4"/>
        </w:rPr>
        <w:t>2018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年 </w:t>
      </w:r>
      <w:r>
        <w:rPr>
          <w:sz w:val="20"/>
          <w:szCs w:val="20"/>
          <w:color w:val="231F20"/>
          <w:spacing w:val="4"/>
        </w:rPr>
        <w:t>12</w:t>
      </w:r>
      <w:r>
        <w:rPr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月 </w:t>
      </w:r>
      <w:r>
        <w:rPr>
          <w:sz w:val="20"/>
          <w:szCs w:val="20"/>
          <w:color w:val="231F20"/>
          <w:spacing w:val="2"/>
        </w:rPr>
        <w:t>1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日</w:t>
      </w:r>
      <w:r>
        <w:rPr>
          <w:sz w:val="19"/>
          <w:szCs w:val="19"/>
          <w:color w:val="231F20"/>
          <w:spacing w:val="2"/>
        </w:rPr>
        <w:t>—</w:t>
      </w:r>
      <w:r>
        <w:rPr>
          <w:sz w:val="20"/>
          <w:szCs w:val="20"/>
          <w:color w:val="231F20"/>
          <w:spacing w:val="2"/>
        </w:rPr>
        <w:t>2019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年 </w:t>
      </w:r>
      <w:r>
        <w:rPr>
          <w:sz w:val="20"/>
          <w:szCs w:val="20"/>
          <w:color w:val="231F20"/>
          <w:spacing w:val="2"/>
        </w:rPr>
        <w:t>1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月</w:t>
      </w:r>
      <w:r>
        <w:rPr>
          <w:rFonts w:ascii="SimSun" w:hAnsi="SimSun" w:eastAsia="SimSun" w:cs="SimSun"/>
          <w:sz w:val="19"/>
          <w:szCs w:val="19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2"/>
        </w:rPr>
        <w:t>31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日入住本院普外科的轻</w:t>
      </w:r>
      <w:r>
        <w:rPr>
          <w:sz w:val="19"/>
          <w:szCs w:val="19"/>
          <w:color w:val="231F20"/>
          <w:spacing w:val="2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中重症急性胰腺炎患者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排除合并糖尿病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其他严重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消耗性疾病者以及重症胰腺炎患者和本次入院需要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手术及不愿入组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中途退出的患者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最后纳入患者共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4"/>
        </w:rPr>
        <w:t>45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例</w:t>
      </w:r>
      <w:r>
        <w:rPr>
          <w:sz w:val="19"/>
          <w:szCs w:val="19"/>
          <w:color w:val="231F20"/>
          <w:spacing w:val="4"/>
        </w:rPr>
        <w:t>；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同时纳入本科室 </w:t>
      </w:r>
      <w:r>
        <w:rPr>
          <w:sz w:val="20"/>
          <w:szCs w:val="20"/>
          <w:color w:val="231F20"/>
          <w:spacing w:val="4"/>
        </w:rPr>
        <w:t>13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名护士和 </w:t>
      </w:r>
      <w:r>
        <w:rPr>
          <w:sz w:val="20"/>
          <w:szCs w:val="20"/>
          <w:color w:val="231F20"/>
          <w:spacing w:val="4"/>
        </w:rPr>
        <w:t>10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名医生作为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基线审查对象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以评价医护人员对轻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中重症急性胰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83"/>
        <w:spacing w:before="36" w:line="261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腺炎早期进食的评估标准及流程相关知识的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掌握情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况</w:t>
      </w:r>
      <w:r>
        <w:rPr>
          <w:sz w:val="19"/>
          <w:szCs w:val="19"/>
          <w:color w:val="231F20"/>
          <w:spacing w:val="10"/>
        </w:rPr>
        <w:t>。</w:t>
      </w:r>
    </w:p>
    <w:p>
      <w:pPr>
        <w:pStyle w:val="BodyText"/>
        <w:ind w:left="5" w:right="1" w:hanging="5"/>
        <w:spacing w:before="28" w:line="226" w:lineRule="auto"/>
        <w:rPr>
          <w:sz w:val="19"/>
          <w:szCs w:val="19"/>
        </w:rPr>
      </w:pPr>
      <w:r>
        <w:rPr>
          <w:rFonts w:ascii="NSimSun" w:hAnsi="NSimSun" w:eastAsia="NSimSun" w:cs="NSimSun"/>
          <w:sz w:val="20"/>
          <w:szCs w:val="20"/>
          <w:color w:val="231F20"/>
          <w:spacing w:val="-7"/>
        </w:rPr>
        <w:t>2.2</w:t>
      </w:r>
      <w:r>
        <w:rPr>
          <w:rFonts w:ascii="NSimSun" w:hAnsi="NSimSun" w:eastAsia="NSimSun" w:cs="NSimSun"/>
          <w:sz w:val="20"/>
          <w:szCs w:val="20"/>
          <w:color w:val="231F20"/>
          <w:spacing w:val="23"/>
        </w:rPr>
        <w:t xml:space="preserve">  </w:t>
      </w:r>
      <w:r>
        <w:rPr>
          <w:rFonts w:ascii="NSimSun" w:hAnsi="NSimSun" w:eastAsia="NSimSun" w:cs="NSimSun"/>
          <w:sz w:val="20"/>
          <w:szCs w:val="20"/>
          <w:color w:val="231F20"/>
          <w:spacing w:val="-7"/>
        </w:rPr>
        <w:t>实施</w:t>
      </w:r>
      <w:r>
        <w:rPr>
          <w:rFonts w:ascii="NSimSun" w:hAnsi="NSimSun" w:eastAsia="NSimSun" w:cs="NSimSun"/>
          <w:sz w:val="20"/>
          <w:szCs w:val="20"/>
          <w:color w:val="231F20"/>
          <w:spacing w:val="-53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231F20"/>
          <w:spacing w:val="-7"/>
        </w:rPr>
        <w:t>变革</w:t>
      </w:r>
      <w:r>
        <w:rPr>
          <w:rFonts w:ascii="NSimSun" w:hAnsi="NSimSun" w:eastAsia="NSimSun" w:cs="NSimSun"/>
          <w:sz w:val="20"/>
          <w:szCs w:val="20"/>
          <w:color w:val="231F20"/>
          <w:spacing w:val="35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实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施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时</w:t>
      </w:r>
      <w:r>
        <w:rPr>
          <w:rFonts w:ascii="SimSun" w:hAnsi="SimSun" w:eastAsia="SimSun" w:cs="SimSun"/>
          <w:sz w:val="19"/>
          <w:szCs w:val="19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间</w:t>
      </w:r>
      <w:r>
        <w:rPr>
          <w:rFonts w:ascii="SimSun" w:hAnsi="SimSun" w:eastAsia="SimSun" w:cs="SimSun"/>
          <w:sz w:val="19"/>
          <w:szCs w:val="19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为 </w:t>
      </w:r>
      <w:r>
        <w:rPr>
          <w:sz w:val="20"/>
          <w:szCs w:val="20"/>
          <w:color w:val="231F20"/>
          <w:spacing w:val="-7"/>
        </w:rPr>
        <w:t>2019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年 </w:t>
      </w:r>
      <w:r>
        <w:rPr>
          <w:sz w:val="20"/>
          <w:szCs w:val="20"/>
          <w:color w:val="231F20"/>
          <w:spacing w:val="-7"/>
        </w:rPr>
        <w:t>2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月 </w:t>
      </w:r>
      <w:r>
        <w:rPr>
          <w:sz w:val="20"/>
          <w:szCs w:val="20"/>
          <w:color w:val="231F20"/>
          <w:spacing w:val="-7"/>
        </w:rPr>
        <w:t>1</w:t>
      </w:r>
      <w:r>
        <w:rPr>
          <w:sz w:val="19"/>
          <w:szCs w:val="19"/>
          <w:color w:val="231F20"/>
          <w:spacing w:val="-7"/>
        </w:rPr>
        <w:t>—</w:t>
      </w:r>
      <w:r>
        <w:rPr>
          <w:sz w:val="20"/>
          <w:szCs w:val="20"/>
          <w:color w:val="231F20"/>
          <w:spacing w:val="-7"/>
        </w:rPr>
        <w:t>20</w:t>
      </w:r>
      <w:r>
        <w:rPr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日</w:t>
      </w:r>
      <w:r>
        <w:rPr>
          <w:sz w:val="19"/>
          <w:szCs w:val="19"/>
          <w:color w:val="231F20"/>
          <w:spacing w:val="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小组成员提炼出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7"/>
          <w:position w:val="-1"/>
        </w:rPr>
        <w:t>4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个主要障碍因素</w:t>
      </w:r>
      <w:r>
        <w:rPr>
          <w:sz w:val="19"/>
          <w:szCs w:val="19"/>
          <w:color w:val="231F20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并制订如下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行动策略</w:t>
      </w:r>
      <w:r>
        <w:rPr>
          <w:sz w:val="19"/>
          <w:szCs w:val="19"/>
          <w:color w:val="231F20"/>
          <w:spacing w:val="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障碍因素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1</w:t>
      </w:r>
      <w:r>
        <w:rPr>
          <w:sz w:val="19"/>
          <w:szCs w:val="19"/>
          <w:color w:val="231F20"/>
          <w:spacing w:val="9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早期禁食为急性胰腺炎的常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规治疗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医护人员对早期进食的证据缺乏认知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审查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小组制订的行动策略为</w:t>
      </w:r>
      <w:r>
        <w:rPr>
          <w:sz w:val="19"/>
          <w:szCs w:val="19"/>
          <w:color w:val="231F20"/>
          <w:spacing w:val="17"/>
        </w:rPr>
        <w:t>：</w:t>
      </w:r>
      <w:r>
        <w:rPr>
          <w:sz w:val="19"/>
          <w:szCs w:val="19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由科室住院总医师及责任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组长负责组织晨间专题证据解读</w:t>
      </w:r>
      <w:r>
        <w:rPr>
          <w:rFonts w:ascii="SimSun" w:hAnsi="SimSun" w:eastAsia="SimSun" w:cs="SimSun"/>
          <w:sz w:val="19"/>
          <w:szCs w:val="19"/>
          <w:color w:val="231F20"/>
          <w:spacing w:val="-47"/>
        </w:rPr>
        <w:t xml:space="preserve"> </w:t>
      </w:r>
      <w:r>
        <w:rPr>
          <w:sz w:val="19"/>
          <w:szCs w:val="19"/>
          <w:color w:val="231F20"/>
          <w:spacing w:val="16"/>
        </w:rPr>
        <w:t>，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包括阅读和分析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相关指南</w:t>
      </w:r>
      <w:r>
        <w:rPr>
          <w:sz w:val="19"/>
          <w:szCs w:val="19"/>
          <w:color w:val="231F20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共识</w:t>
      </w:r>
      <w:r>
        <w:rPr>
          <w:sz w:val="19"/>
          <w:szCs w:val="19"/>
          <w:color w:val="231F20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系统评价等</w:t>
      </w:r>
      <w:r>
        <w:rPr>
          <w:sz w:val="19"/>
          <w:szCs w:val="19"/>
          <w:color w:val="231F20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转变传统理念</w:t>
      </w:r>
      <w:r>
        <w:rPr>
          <w:sz w:val="19"/>
          <w:szCs w:val="19"/>
          <w:color w:val="231F20"/>
          <w:spacing w:val="1"/>
        </w:rPr>
        <w:t>；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开展科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内业务学习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利用每天晨间阅读时间进行提问考核</w:t>
      </w:r>
      <w:r>
        <w:rPr>
          <w:sz w:val="19"/>
          <w:szCs w:val="19"/>
          <w:color w:val="231F20"/>
          <w:spacing w:val="13"/>
        </w:rPr>
        <w:t>，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加强对证据的系统学习和复习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sz w:val="19"/>
          <w:szCs w:val="19"/>
          <w:color w:val="231F20"/>
          <w:spacing w:val="15"/>
        </w:rPr>
        <w:t>；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同时将晨间证据解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读资料整理成</w:t>
      </w:r>
      <w:r>
        <w:rPr>
          <w:rFonts w:ascii="SimSun" w:hAnsi="SimSun" w:eastAsia="SimSun" w:cs="SimSun"/>
          <w:sz w:val="19"/>
          <w:szCs w:val="19"/>
          <w:color w:val="231F20"/>
          <w:spacing w:val="-56"/>
        </w:rPr>
        <w:t xml:space="preserve"> </w:t>
      </w:r>
      <w:r>
        <w:rPr>
          <w:sz w:val="19"/>
          <w:szCs w:val="19"/>
          <w:color w:val="231F20"/>
          <w:spacing w:val="16"/>
        </w:rPr>
        <w:t>“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晨读汇编</w:t>
      </w:r>
      <w:r>
        <w:rPr>
          <w:rFonts w:ascii="SimSun" w:hAnsi="SimSun" w:eastAsia="SimSun" w:cs="SimSun"/>
          <w:sz w:val="19"/>
          <w:szCs w:val="19"/>
          <w:color w:val="231F20"/>
          <w:spacing w:val="-66"/>
        </w:rPr>
        <w:t xml:space="preserve"> </w:t>
      </w:r>
      <w:r>
        <w:rPr>
          <w:sz w:val="19"/>
          <w:szCs w:val="19"/>
          <w:color w:val="231F20"/>
          <w:spacing w:val="16"/>
        </w:rPr>
        <w:t>”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放于科室培训文件资料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中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并将该证据应用项目纳入岗前培训计划中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对新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进人员进行规范化培训与考核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确保培训持续有效</w:t>
      </w:r>
      <w:r>
        <w:rPr>
          <w:sz w:val="19"/>
          <w:szCs w:val="19"/>
          <w:color w:val="231F20"/>
          <w:spacing w:val="13"/>
        </w:rPr>
        <w:t>。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障碍因素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10"/>
        </w:rPr>
        <w:t>2</w:t>
      </w:r>
      <w:r>
        <w:rPr>
          <w:sz w:val="19"/>
          <w:szCs w:val="19"/>
          <w:color w:val="231F20"/>
          <w:spacing w:val="10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科室无急性胰腺炎早期进食的标准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缺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乏统一的宣教内容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针对此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成立以科主任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医疗组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长</w:t>
      </w:r>
      <w:r>
        <w:rPr>
          <w:sz w:val="19"/>
          <w:szCs w:val="19"/>
          <w:color w:val="231F20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护士长为核心的质量小组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医护人员共同讨论</w:t>
      </w:r>
      <w:r>
        <w:rPr>
          <w:sz w:val="19"/>
          <w:szCs w:val="19"/>
          <w:color w:val="231F20"/>
          <w:spacing w:val="13"/>
        </w:rPr>
        <w:t>，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根据胰腺炎疾病特征及医疗环境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确定轻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中重症急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性胰腺炎患者可早期进食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并制作了</w:t>
      </w:r>
      <w:r>
        <w:rPr>
          <w:sz w:val="19"/>
          <w:szCs w:val="19"/>
          <w:color w:val="231F20"/>
          <w:spacing w:val="10"/>
        </w:rPr>
        <w:t>“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轻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中重症急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性胰腺炎健康宣教</w:t>
      </w:r>
      <w:r>
        <w:rPr>
          <w:rFonts w:ascii="SimSun" w:hAnsi="SimSun" w:eastAsia="SimSun" w:cs="SimSun"/>
          <w:sz w:val="19"/>
          <w:szCs w:val="19"/>
          <w:color w:val="231F20"/>
          <w:spacing w:val="-50"/>
        </w:rPr>
        <w:t xml:space="preserve"> </w:t>
      </w:r>
      <w:r>
        <w:rPr>
          <w:sz w:val="19"/>
          <w:szCs w:val="19"/>
          <w:color w:val="231F20"/>
          <w:spacing w:val="15"/>
        </w:rPr>
        <w:t>”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单</w:t>
      </w:r>
      <w:r>
        <w:rPr>
          <w:rFonts w:ascii="SimSun" w:hAnsi="SimSun" w:eastAsia="SimSun" w:cs="SimSun"/>
          <w:sz w:val="19"/>
          <w:szCs w:val="19"/>
          <w:color w:val="231F20"/>
          <w:spacing w:val="-50"/>
        </w:rPr>
        <w:t xml:space="preserve"> </w:t>
      </w:r>
      <w:r>
        <w:rPr>
          <w:sz w:val="19"/>
          <w:szCs w:val="19"/>
          <w:color w:val="231F20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达到宣教的同质化和统一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化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障碍因素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10"/>
        </w:rPr>
        <w:t>3</w:t>
      </w:r>
      <w:r>
        <w:rPr>
          <w:sz w:val="19"/>
          <w:szCs w:val="19"/>
          <w:color w:val="231F20"/>
          <w:spacing w:val="10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科室无早期进食的标准流程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审查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小组制订的行动策略为</w:t>
      </w:r>
      <w:r>
        <w:rPr>
          <w:sz w:val="19"/>
          <w:szCs w:val="19"/>
          <w:color w:val="231F20"/>
          <w:spacing w:val="10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制订</w:t>
      </w:r>
      <w:r>
        <w:rPr>
          <w:sz w:val="19"/>
          <w:szCs w:val="19"/>
          <w:color w:val="231F20"/>
          <w:spacing w:val="10"/>
        </w:rPr>
        <w:t>“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轻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中重症急性胰腺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</w:rPr>
        <w:t>炎患者早期进食</w:t>
      </w:r>
      <w:r>
        <w:rPr>
          <w:sz w:val="19"/>
          <w:szCs w:val="19"/>
          <w:color w:val="231F20"/>
        </w:rPr>
        <w:t>”</w:t>
      </w:r>
      <w:r>
        <w:rPr>
          <w:rFonts w:ascii="SimSun" w:hAnsi="SimSun" w:eastAsia="SimSun" w:cs="SimSun"/>
          <w:sz w:val="19"/>
          <w:szCs w:val="19"/>
          <w:color w:val="231F20"/>
        </w:rPr>
        <w:t>的标准化作业流程</w:t>
      </w:r>
      <w:r>
        <w:rPr>
          <w:sz w:val="19"/>
          <w:szCs w:val="19"/>
          <w:color w:val="231F20"/>
        </w:rPr>
        <w:t>。（</w:t>
      </w:r>
      <w:r>
        <w:rPr>
          <w:sz w:val="20"/>
          <w:szCs w:val="20"/>
          <w:color w:val="231F20"/>
        </w:rPr>
        <w:t>1</w:t>
      </w:r>
      <w:r>
        <w:rPr>
          <w:sz w:val="19"/>
          <w:szCs w:val="19"/>
          <w:color w:val="231F20"/>
        </w:rPr>
        <w:t>）</w:t>
      </w:r>
      <w:r>
        <w:rPr>
          <w:rFonts w:ascii="SimSun" w:hAnsi="SimSun" w:eastAsia="SimSun" w:cs="SimSun"/>
          <w:sz w:val="19"/>
          <w:szCs w:val="19"/>
          <w:color w:val="231F20"/>
        </w:rPr>
        <w:t>明确职责</w:t>
      </w:r>
      <w:r>
        <w:rPr>
          <w:sz w:val="19"/>
          <w:szCs w:val="19"/>
          <w:color w:val="231F20"/>
        </w:rPr>
        <w:t>，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患者入院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医护则评价是什么程度的胰腺炎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并记录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于护理电子病历中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sz w:val="19"/>
          <w:szCs w:val="19"/>
          <w:color w:val="231F20"/>
          <w:spacing w:val="16"/>
        </w:rPr>
        <w:t>，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之后每天早上再医护人员共同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评估</w:t>
      </w:r>
      <w:r>
        <w:rPr>
          <w:sz w:val="19"/>
          <w:szCs w:val="19"/>
          <w:color w:val="231F20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患者无恶心</w:t>
      </w:r>
      <w:r>
        <w:rPr>
          <w:sz w:val="19"/>
          <w:szCs w:val="19"/>
          <w:color w:val="231F20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呕吐</w:t>
      </w:r>
      <w:r>
        <w:rPr>
          <w:sz w:val="19"/>
          <w:szCs w:val="19"/>
          <w:color w:val="231F20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血压平稳及腹痛减轻</w:t>
      </w:r>
      <w:r>
        <w:rPr>
          <w:sz w:val="19"/>
          <w:szCs w:val="19"/>
          <w:color w:val="231F20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则开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放饮食</w:t>
      </w:r>
      <w:r>
        <w:rPr>
          <w:sz w:val="19"/>
          <w:szCs w:val="19"/>
          <w:color w:val="231F20"/>
          <w:spacing w:val="4"/>
        </w:rPr>
        <w:t>。（</w:t>
      </w:r>
      <w:r>
        <w:rPr>
          <w:sz w:val="20"/>
          <w:szCs w:val="20"/>
          <w:color w:val="231F20"/>
          <w:spacing w:val="4"/>
        </w:rPr>
        <w:t>2</w:t>
      </w:r>
      <w:r>
        <w:rPr>
          <w:sz w:val="19"/>
          <w:szCs w:val="19"/>
          <w:color w:val="231F20"/>
          <w:spacing w:val="4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进食后仍需每天早上医护共同评估</w:t>
      </w:r>
      <w:r>
        <w:rPr>
          <w:sz w:val="19"/>
          <w:szCs w:val="19"/>
          <w:color w:val="231F20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发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现有恶心</w:t>
      </w:r>
      <w:r>
        <w:rPr>
          <w:sz w:val="19"/>
          <w:szCs w:val="19"/>
          <w:color w:val="231F20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呕吐或是腹部疼痛发生</w:t>
      </w:r>
      <w:r>
        <w:rPr>
          <w:sz w:val="19"/>
          <w:szCs w:val="19"/>
          <w:color w:val="231F20"/>
          <w:spacing w:val="15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加重</w:t>
      </w:r>
      <w:r>
        <w:rPr>
          <w:sz w:val="19"/>
          <w:szCs w:val="19"/>
          <w:color w:val="231F20"/>
          <w:spacing w:val="-26"/>
          <w:w w:val="58"/>
        </w:rPr>
        <w:t>），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则禁食</w:t>
      </w:r>
      <w:r>
        <w:rPr>
          <w:sz w:val="19"/>
          <w:szCs w:val="19"/>
          <w:color w:val="231F20"/>
          <w:spacing w:val="15"/>
        </w:rPr>
        <w:t>。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责任组长及医疗组长加强质控</w:t>
      </w:r>
      <w:r>
        <w:rPr>
          <w:rFonts w:ascii="SimSun" w:hAnsi="SimSun" w:eastAsia="SimSun" w:cs="SimSun"/>
          <w:sz w:val="19"/>
          <w:szCs w:val="19"/>
          <w:color w:val="231F20"/>
          <w:spacing w:val="-47"/>
        </w:rPr>
        <w:t xml:space="preserve"> </w:t>
      </w:r>
      <w:r>
        <w:rPr>
          <w:sz w:val="19"/>
          <w:szCs w:val="19"/>
          <w:color w:val="231F20"/>
          <w:spacing w:val="16"/>
        </w:rPr>
        <w:t>，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每天查看医护人员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对新流程的执行情况</w:t>
      </w:r>
      <w:r>
        <w:rPr>
          <w:sz w:val="19"/>
          <w:szCs w:val="19"/>
          <w:color w:val="231F20"/>
          <w:spacing w:val="1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定期分析新标准实施过程中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的问题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持续质量改进</w:t>
      </w:r>
      <w:r>
        <w:rPr>
          <w:sz w:val="19"/>
          <w:szCs w:val="19"/>
          <w:color w:val="231F20"/>
          <w:spacing w:val="9"/>
        </w:rPr>
        <w:t>。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障碍因素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9"/>
        </w:rPr>
        <w:t>4</w:t>
      </w:r>
      <w:r>
        <w:rPr>
          <w:sz w:val="19"/>
          <w:szCs w:val="19"/>
          <w:color w:val="231F20"/>
          <w:spacing w:val="9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没有认知度和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依从性的评估标准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审查小组制订的行动策略为</w:t>
      </w:r>
      <w:r>
        <w:rPr>
          <w:sz w:val="19"/>
          <w:szCs w:val="19"/>
          <w:color w:val="231F20"/>
          <w:spacing w:val="10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科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内医护人员达成共识</w:t>
      </w:r>
      <w:r>
        <w:rPr>
          <w:sz w:val="19"/>
          <w:szCs w:val="19"/>
          <w:color w:val="231F20"/>
          <w:spacing w:val="-28"/>
          <w:w w:val="63"/>
        </w:rPr>
        <w:t>，（</w:t>
      </w:r>
      <w:r>
        <w:rPr>
          <w:sz w:val="20"/>
          <w:szCs w:val="20"/>
          <w:color w:val="231F20"/>
          <w:spacing w:val="14"/>
        </w:rPr>
        <w:t>1</w:t>
      </w:r>
      <w:r>
        <w:rPr>
          <w:sz w:val="19"/>
          <w:szCs w:val="19"/>
          <w:color w:val="231F20"/>
          <w:spacing w:val="14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制定轻</w:t>
      </w:r>
      <w:r>
        <w:rPr>
          <w:sz w:val="19"/>
          <w:szCs w:val="19"/>
          <w:color w:val="231F20"/>
          <w:spacing w:val="14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中重症急性胰腺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炎患者健康宣教实施查检表</w:t>
      </w:r>
      <w:r>
        <w:rPr>
          <w:sz w:val="19"/>
          <w:szCs w:val="19"/>
          <w:color w:val="231F20"/>
          <w:spacing w:val="4"/>
        </w:rPr>
        <w:t>。（</w:t>
      </w:r>
      <w:r>
        <w:rPr>
          <w:sz w:val="20"/>
          <w:szCs w:val="20"/>
          <w:color w:val="231F20"/>
          <w:spacing w:val="4"/>
        </w:rPr>
        <w:t>2</w:t>
      </w:r>
      <w:r>
        <w:rPr>
          <w:sz w:val="19"/>
          <w:szCs w:val="19"/>
          <w:color w:val="231F20"/>
          <w:spacing w:val="4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每天晨间医护共同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查房</w:t>
      </w:r>
      <w:r>
        <w:rPr>
          <w:sz w:val="19"/>
          <w:szCs w:val="19"/>
          <w:color w:val="231F20"/>
          <w:spacing w:val="-3"/>
        </w:rPr>
        <w:t>。（</w:t>
      </w:r>
      <w:r>
        <w:rPr>
          <w:sz w:val="20"/>
          <w:szCs w:val="20"/>
          <w:color w:val="231F20"/>
          <w:spacing w:val="-3"/>
        </w:rPr>
        <w:t>3</w:t>
      </w:r>
      <w:r>
        <w:rPr>
          <w:sz w:val="19"/>
          <w:szCs w:val="19"/>
          <w:color w:val="231F20"/>
          <w:spacing w:val="-3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护士长</w:t>
      </w:r>
      <w:r>
        <w:rPr>
          <w:sz w:val="19"/>
          <w:szCs w:val="19"/>
          <w:color w:val="231F20"/>
          <w:spacing w:val="-3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护理组长通过现场观察医护人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员行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>为</w:t>
      </w:r>
      <w:r>
        <w:rPr>
          <w:sz w:val="19"/>
          <w:szCs w:val="19"/>
          <w:color w:val="231F20"/>
          <w:spacing w:val="-2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>按照是否符合审查指标记为</w:t>
      </w:r>
      <w:r>
        <w:rPr>
          <w:sz w:val="19"/>
          <w:szCs w:val="19"/>
          <w:color w:val="231F20"/>
          <w:spacing w:val="-21"/>
        </w:rPr>
        <w:t>“</w:t>
      </w:r>
      <w:r>
        <w:rPr>
          <w:sz w:val="20"/>
          <w:szCs w:val="20"/>
          <w:color w:val="231F20"/>
          <w:spacing w:val="-21"/>
        </w:rPr>
        <w:t>Y</w:t>
      </w:r>
      <w:r>
        <w:rPr>
          <w:sz w:val="19"/>
          <w:szCs w:val="19"/>
          <w:color w:val="231F20"/>
          <w:spacing w:val="-21"/>
        </w:rPr>
        <w:t>”、“</w:t>
      </w:r>
      <w:r>
        <w:rPr>
          <w:sz w:val="20"/>
          <w:szCs w:val="20"/>
          <w:color w:val="231F20"/>
          <w:spacing w:val="-21"/>
        </w:rPr>
        <w:t>N</w:t>
      </w:r>
      <w:r>
        <w:rPr>
          <w:sz w:val="19"/>
          <w:szCs w:val="19"/>
          <w:color w:val="231F20"/>
          <w:spacing w:val="-21"/>
        </w:rPr>
        <w:t>”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>或</w:t>
      </w:r>
      <w:r>
        <w:rPr>
          <w:sz w:val="19"/>
          <w:szCs w:val="19"/>
          <w:color w:val="231F20"/>
          <w:spacing w:val="-21"/>
        </w:rPr>
        <w:t>“</w:t>
      </w:r>
      <w:r>
        <w:rPr>
          <w:sz w:val="20"/>
          <w:szCs w:val="20"/>
          <w:color w:val="231F20"/>
          <w:spacing w:val="-21"/>
        </w:rPr>
        <w:t>NA</w:t>
      </w:r>
      <w:r>
        <w:rPr>
          <w:sz w:val="19"/>
          <w:szCs w:val="19"/>
          <w:color w:val="231F20"/>
          <w:spacing w:val="-21"/>
        </w:rPr>
        <w:t>”。</w:t>
      </w:r>
    </w:p>
    <w:p>
      <w:pPr>
        <w:pStyle w:val="BodyText"/>
        <w:ind w:left="6" w:hanging="6"/>
        <w:spacing w:before="33" w:line="215" w:lineRule="auto"/>
        <w:rPr>
          <w:sz w:val="19"/>
          <w:szCs w:val="19"/>
        </w:rPr>
      </w:pPr>
      <w:r>
        <w:rPr>
          <w:rFonts w:ascii="NSimSun" w:hAnsi="NSimSun" w:eastAsia="NSimSun" w:cs="NSimSun"/>
          <w:sz w:val="20"/>
          <w:szCs w:val="20"/>
          <w:color w:val="231F20"/>
        </w:rPr>
        <w:t>2.3</w:t>
      </w:r>
      <w:r>
        <w:rPr>
          <w:rFonts w:ascii="NSimSun" w:hAnsi="NSimSun" w:eastAsia="NSimSun" w:cs="NSimSun"/>
          <w:sz w:val="20"/>
          <w:szCs w:val="20"/>
          <w:color w:val="231F20"/>
        </w:rPr>
        <w:t xml:space="preserve">  </w:t>
      </w:r>
      <w:r>
        <w:rPr>
          <w:rFonts w:ascii="NSimSun" w:hAnsi="NSimSun" w:eastAsia="NSimSun" w:cs="NSimSun"/>
          <w:sz w:val="20"/>
          <w:szCs w:val="20"/>
          <w:color w:val="231F20"/>
        </w:rPr>
        <w:t>证据应用后效果评价</w:t>
      </w:r>
      <w:r>
        <w:rPr>
          <w:rFonts w:ascii="NSimSun" w:hAnsi="NSimSun" w:eastAsia="NSimSun" w:cs="NSimSun"/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</w:rPr>
        <w:t>2019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年 </w:t>
      </w:r>
      <w:r>
        <w:rPr>
          <w:sz w:val="20"/>
          <w:szCs w:val="20"/>
          <w:color w:val="231F20"/>
        </w:rPr>
        <w:t>3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月 </w:t>
      </w:r>
      <w:r>
        <w:rPr>
          <w:sz w:val="20"/>
          <w:szCs w:val="20"/>
          <w:color w:val="231F20"/>
        </w:rPr>
        <w:t>1 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日</w:t>
      </w:r>
      <w:r>
        <w:rPr>
          <w:sz w:val="19"/>
          <w:szCs w:val="19"/>
          <w:color w:val="231F20"/>
          <w:spacing w:val="-1"/>
        </w:rPr>
        <w:t>—</w:t>
      </w:r>
      <w:r>
        <w:rPr>
          <w:sz w:val="20"/>
          <w:szCs w:val="20"/>
          <w:color w:val="231F20"/>
          <w:spacing w:val="-1"/>
        </w:rPr>
        <w:t>5</w:t>
      </w:r>
      <w:r>
        <w:rPr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月 </w:t>
      </w:r>
      <w:r>
        <w:rPr>
          <w:sz w:val="20"/>
          <w:szCs w:val="20"/>
          <w:color w:val="231F20"/>
          <w:spacing w:val="-1"/>
        </w:rPr>
        <w:t>10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日将本科室 </w:t>
      </w:r>
      <w:r>
        <w:rPr>
          <w:sz w:val="20"/>
          <w:szCs w:val="20"/>
          <w:color w:val="231F20"/>
          <w:spacing w:val="-1"/>
        </w:rPr>
        <w:t>13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名护士和 </w:t>
      </w:r>
      <w:r>
        <w:rPr>
          <w:sz w:val="20"/>
          <w:szCs w:val="20"/>
          <w:color w:val="231F20"/>
          <w:spacing w:val="-1"/>
        </w:rPr>
        <w:t>10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名医生</w:t>
      </w:r>
      <w:r>
        <w:rPr>
          <w:sz w:val="19"/>
          <w:szCs w:val="19"/>
          <w:color w:val="231F20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符合纳入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标准的普外科轻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中重症急性胰腺炎患者</w:t>
      </w:r>
      <w:r>
        <w:rPr>
          <w:rFonts w:ascii="SimSun" w:hAnsi="SimSun" w:eastAsia="SimSun" w:cs="SimSun"/>
          <w:sz w:val="19"/>
          <w:szCs w:val="19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10"/>
          <w:position w:val="-1"/>
        </w:rPr>
        <w:t>40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例作为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证据应用后审查对象</w:t>
      </w:r>
      <w:r>
        <w:rPr>
          <w:rFonts w:ascii="SimSun" w:hAnsi="SimSun" w:eastAsia="SimSun" w:cs="SimSun"/>
          <w:sz w:val="19"/>
          <w:szCs w:val="19"/>
          <w:color w:val="231F20"/>
          <w:spacing w:val="-47"/>
        </w:rPr>
        <w:t xml:space="preserve"> </w:t>
      </w:r>
      <w:r>
        <w:rPr>
          <w:sz w:val="19"/>
          <w:szCs w:val="19"/>
          <w:color w:val="231F20"/>
          <w:spacing w:val="12"/>
        </w:rPr>
        <w:t>，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比较证据应用前后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12"/>
          <w:position w:val="-1"/>
        </w:rPr>
        <w:t>6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条审查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指标的达标情况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采用自行设计的</w:t>
      </w:r>
      <w:r>
        <w:rPr>
          <w:sz w:val="19"/>
          <w:szCs w:val="19"/>
          <w:color w:val="231F20"/>
          <w:spacing w:val="10"/>
        </w:rPr>
        <w:t>“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轻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中重症急性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胰腺炎患者早期进食查检表</w:t>
      </w:r>
      <w:r>
        <w:rPr>
          <w:sz w:val="19"/>
          <w:szCs w:val="19"/>
          <w:color w:val="231F20"/>
          <w:spacing w:val="7"/>
        </w:rPr>
        <w:t>”，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比较证据应用后</w:t>
      </w:r>
      <w:r>
        <w:rPr>
          <w:rFonts w:ascii="SimSun" w:hAnsi="SimSun" w:eastAsia="SimSun" w:cs="SimSun"/>
          <w:sz w:val="19"/>
          <w:szCs w:val="19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7"/>
          <w:position w:val="-1"/>
        </w:rPr>
        <w:t>2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恶心</w:t>
      </w:r>
      <w:r>
        <w:rPr>
          <w:sz w:val="19"/>
          <w:szCs w:val="19"/>
          <w:color w:val="231F20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呕吐发生率</w:t>
      </w:r>
      <w:r>
        <w:rPr>
          <w:sz w:val="19"/>
          <w:szCs w:val="19"/>
          <w:color w:val="231F20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腹胀</w:t>
      </w:r>
      <w:r>
        <w:rPr>
          <w:sz w:val="19"/>
          <w:szCs w:val="19"/>
          <w:color w:val="231F20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腹痛发生率</w:t>
      </w:r>
      <w:r>
        <w:rPr>
          <w:sz w:val="19"/>
          <w:szCs w:val="19"/>
          <w:color w:val="231F20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血清淀粉酶</w:t>
      </w:r>
      <w:r>
        <w:rPr>
          <w:sz w:val="19"/>
          <w:szCs w:val="19"/>
          <w:color w:val="231F20"/>
          <w:spacing w:val="5"/>
        </w:rPr>
        <w:t>、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脂肪酶变化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入院后第</w:t>
      </w:r>
      <w:r>
        <w:rPr>
          <w:rFonts w:ascii="SimSun" w:hAnsi="SimSun" w:eastAsia="SimSun" w:cs="SimSun"/>
          <w:sz w:val="19"/>
          <w:szCs w:val="19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10"/>
          <w:position w:val="-1"/>
        </w:rPr>
        <w:t>1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次进食时间以及住院时间</w:t>
      </w:r>
      <w:r>
        <w:rPr>
          <w:sz w:val="19"/>
          <w:szCs w:val="19"/>
          <w:color w:val="231F20"/>
          <w:spacing w:val="10"/>
        </w:rPr>
        <w:t>。</w:t>
      </w:r>
    </w:p>
    <w:p>
      <w:pPr>
        <w:spacing w:line="215" w:lineRule="auto"/>
        <w:sectPr>
          <w:type w:val="continuous"/>
          <w:pgSz w:w="11905" w:h="16836"/>
          <w:pgMar w:top="1360" w:right="1058" w:bottom="0" w:left="407" w:header="1025" w:footer="0" w:gutter="0"/>
          <w:cols w:equalWidth="0" w:num="2">
            <w:col w:w="5650" w:space="100"/>
            <w:col w:w="4689" w:space="0"/>
          </w:cols>
        </w:sectPr>
        <w:rPr>
          <w:sz w:val="19"/>
          <w:szCs w:val="19"/>
        </w:rPr>
      </w:pPr>
    </w:p>
    <w:p>
      <w:pPr>
        <w:spacing w:line="150" w:lineRule="exact"/>
        <w:rPr/>
      </w:pPr>
      <w:r/>
    </w:p>
    <w:p>
      <w:pPr>
        <w:spacing w:line="150" w:lineRule="exact"/>
        <w:sectPr>
          <w:headerReference w:type="default" r:id="rId10"/>
          <w:pgSz w:w="11905" w:h="16836"/>
          <w:pgMar w:top="1335" w:right="1072" w:bottom="0" w:left="407" w:header="979" w:footer="0" w:gutter="0"/>
          <w:cols w:equalWidth="0" w:num="1">
            <w:col w:w="10424" w:space="0"/>
          </w:cols>
        </w:sectPr>
        <w:rPr/>
      </w:pPr>
    </w:p>
    <w:p>
      <w:pPr>
        <w:pStyle w:val="BodyText"/>
        <w:ind w:left="738" w:right="240"/>
        <w:spacing w:before="50" w:line="21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证据应用前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按照常规要求以患者腹胀</w:t>
      </w:r>
      <w:r>
        <w:rPr>
          <w:sz w:val="19"/>
          <w:szCs w:val="19"/>
          <w:color w:val="231F20"/>
          <w:spacing w:val="16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腹痛消失</w:t>
      </w:r>
      <w:r>
        <w:rPr>
          <w:sz w:val="20"/>
          <w:szCs w:val="20"/>
          <w:color w:val="231F20"/>
          <w:spacing w:val="16"/>
          <w:position w:val="-1"/>
        </w:rPr>
        <w:t>,</w:t>
      </w:r>
      <w:r>
        <w:rPr>
          <w:sz w:val="20"/>
          <w:szCs w:val="20"/>
          <w:color w:val="231F20"/>
          <w:spacing w:val="4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无明显压痛</w:t>
      </w:r>
      <w:r>
        <w:rPr>
          <w:sz w:val="20"/>
          <w:szCs w:val="20"/>
          <w:color w:val="231F20"/>
          <w:spacing w:val="19"/>
          <w:position w:val="-1"/>
        </w:rPr>
        <w:t>,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肠鸣音正常</w:t>
      </w:r>
      <w:r>
        <w:rPr>
          <w:sz w:val="20"/>
          <w:szCs w:val="20"/>
          <w:color w:val="231F20"/>
          <w:spacing w:val="19"/>
          <w:position w:val="-1"/>
        </w:rPr>
        <w:t>,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有饥饿感</w:t>
      </w:r>
      <w:r>
        <w:rPr>
          <w:sz w:val="20"/>
          <w:szCs w:val="20"/>
          <w:color w:val="231F20"/>
          <w:spacing w:val="19"/>
          <w:position w:val="-1"/>
        </w:rPr>
        <w:t>,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并且患者血淀粉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酶和脂肪酶降至参考值上限的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16"/>
          <w:position w:val="-1"/>
        </w:rPr>
        <w:t>2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倍以下时为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进食时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机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sz w:val="19"/>
          <w:szCs w:val="19"/>
          <w:color w:val="231F20"/>
          <w:spacing w:val="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证据应用后</w:t>
      </w:r>
      <w:r>
        <w:rPr>
          <w:sz w:val="19"/>
          <w:szCs w:val="19"/>
          <w:color w:val="231F20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以患者腹胀</w:t>
      </w:r>
      <w:r>
        <w:rPr>
          <w:sz w:val="19"/>
          <w:szCs w:val="19"/>
          <w:color w:val="231F20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腹痛缓解</w:t>
      </w:r>
      <w:r>
        <w:rPr>
          <w:sz w:val="20"/>
          <w:szCs w:val="20"/>
          <w:color w:val="231F20"/>
          <w:spacing w:val="7"/>
          <w:position w:val="-1"/>
        </w:rPr>
        <w:t>,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入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院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7"/>
          <w:position w:val="-1"/>
        </w:rPr>
        <w:t>48</w:t>
      </w:r>
      <w:r>
        <w:rPr>
          <w:sz w:val="20"/>
          <w:szCs w:val="20"/>
          <w:color w:val="231F20"/>
          <w:spacing w:val="23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7"/>
          <w:position w:val="-1"/>
        </w:rPr>
        <w:t>h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内为进食时机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证据应用前后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10"/>
          <w:position w:val="-1"/>
        </w:rPr>
        <w:t>2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组患者恶心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呕吐</w:t>
      </w:r>
      <w:r>
        <w:rPr>
          <w:sz w:val="19"/>
          <w:szCs w:val="19"/>
          <w:color w:val="231F20"/>
          <w:spacing w:val="10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腹胀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腹痛发生率收集时间均为进食后</w:t>
      </w:r>
      <w:r>
        <w:rPr>
          <w:rFonts w:ascii="SimSun" w:hAnsi="SimSun" w:eastAsia="SimSun" w:cs="SimSun"/>
          <w:sz w:val="19"/>
          <w:szCs w:val="19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9"/>
          <w:position w:val="-1"/>
        </w:rPr>
        <w:t>24 h</w:t>
      </w:r>
      <w:r>
        <w:rPr>
          <w:sz w:val="20"/>
          <w:szCs w:val="20"/>
          <w:color w:val="231F20"/>
          <w:spacing w:val="3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内收集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的数据</w:t>
      </w:r>
      <w:r>
        <w:rPr>
          <w:sz w:val="19"/>
          <w:szCs w:val="19"/>
          <w:color w:val="231F20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血清淀粉酶</w:t>
      </w:r>
      <w:r>
        <w:rPr>
          <w:sz w:val="19"/>
          <w:szCs w:val="19"/>
          <w:color w:val="231F20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脂肪酶均为收集入院</w:t>
      </w:r>
      <w:r>
        <w:rPr>
          <w:rFonts w:ascii="SimSun" w:hAnsi="SimSun" w:eastAsia="SimSun" w:cs="SimSun"/>
          <w:sz w:val="19"/>
          <w:szCs w:val="19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6"/>
          <w:position w:val="-1"/>
        </w:rPr>
        <w:t>3</w:t>
      </w:r>
      <w:r>
        <w:rPr>
          <w:sz w:val="20"/>
          <w:szCs w:val="20"/>
          <w:color w:val="231F20"/>
          <w:spacing w:val="19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6"/>
          <w:position w:val="-1"/>
        </w:rPr>
        <w:t>d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后的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数据</w:t>
      </w:r>
      <w:r>
        <w:rPr>
          <w:sz w:val="19"/>
          <w:szCs w:val="19"/>
          <w:color w:val="231F20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为正常值的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7"/>
          <w:position w:val="-1"/>
        </w:rPr>
        <w:t>2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倍以内定义为无变化</w:t>
      </w:r>
      <w:r>
        <w:rPr>
          <w:sz w:val="19"/>
          <w:szCs w:val="19"/>
          <w:color w:val="231F20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为正常值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的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12"/>
          <w:position w:val="-1"/>
        </w:rPr>
        <w:t>2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倍以上定义为有变化</w:t>
      </w:r>
      <w:r>
        <w:rPr>
          <w:sz w:val="19"/>
          <w:szCs w:val="19"/>
          <w:color w:val="231F20"/>
          <w:spacing w:val="12"/>
        </w:rPr>
        <w:t>。</w:t>
      </w:r>
    </w:p>
    <w:p>
      <w:pPr>
        <w:pStyle w:val="BodyText"/>
        <w:ind w:left="739" w:right="240" w:hanging="7"/>
        <w:spacing w:line="22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NSimSun" w:hAnsi="NSimSun" w:eastAsia="NSimSun" w:cs="NSimSun"/>
          <w:sz w:val="20"/>
          <w:szCs w:val="20"/>
          <w:color w:val="231F20"/>
          <w:spacing w:val="5"/>
        </w:rPr>
        <w:t>2.4</w:t>
      </w:r>
      <w:r>
        <w:rPr>
          <w:rFonts w:ascii="NSimSun" w:hAnsi="NSimSun" w:eastAsia="NSimSun" w:cs="NSimSun"/>
          <w:sz w:val="20"/>
          <w:szCs w:val="20"/>
          <w:color w:val="231F20"/>
          <w:spacing w:val="5"/>
        </w:rPr>
        <w:t xml:space="preserve">  </w:t>
      </w:r>
      <w:r>
        <w:rPr>
          <w:rFonts w:ascii="NSimSun" w:hAnsi="NSimSun" w:eastAsia="NSimSun" w:cs="NSimSun"/>
          <w:sz w:val="20"/>
          <w:szCs w:val="20"/>
          <w:color w:val="231F20"/>
          <w:spacing w:val="5"/>
        </w:rPr>
        <w:t>统计学方法</w:t>
      </w:r>
      <w:r>
        <w:rPr>
          <w:rFonts w:ascii="NSimSun" w:hAnsi="NSimSun" w:eastAsia="NSimSun" w:cs="NSimSun"/>
          <w:sz w:val="20"/>
          <w:szCs w:val="20"/>
          <w:color w:val="231F20"/>
          <w:spacing w:val="27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采用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SPSS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5"/>
        </w:rPr>
        <w:t>20.0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进行统计分析</w:t>
      </w:r>
      <w:r>
        <w:rPr>
          <w:sz w:val="19"/>
          <w:szCs w:val="19"/>
          <w:color w:val="231F20"/>
          <w:spacing w:val="5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正态分布定量资料采用均数</w:t>
      </w:r>
      <w:r>
        <w:rPr>
          <w:sz w:val="20"/>
          <w:szCs w:val="20"/>
          <w:color w:val="231F20"/>
          <w:spacing w:val="11"/>
          <w:position w:val="-1"/>
        </w:rPr>
        <w:t>±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标准差表示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非正态分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>布定量资料采用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5"/>
        </w:rPr>
        <w:t>M</w:t>
      </w:r>
      <w:r>
        <w:rPr>
          <w:sz w:val="19"/>
          <w:szCs w:val="19"/>
          <w:color w:val="231F20"/>
          <w:spacing w:val="-5"/>
        </w:rPr>
        <w:t>（</w:t>
      </w:r>
      <w:r>
        <w:rPr>
          <w:sz w:val="20"/>
          <w:szCs w:val="20"/>
          <w:color w:val="231F20"/>
          <w:spacing w:val="-5"/>
        </w:rPr>
        <w:t>P</w:t>
      </w:r>
      <w:r>
        <w:rPr>
          <w:sz w:val="11"/>
          <w:szCs w:val="11"/>
          <w:color w:val="231F20"/>
          <w:spacing w:val="-5"/>
          <w:position w:val="-3"/>
        </w:rPr>
        <w:t>25</w:t>
      </w:r>
      <w:r>
        <w:rPr>
          <w:sz w:val="19"/>
          <w:szCs w:val="19"/>
          <w:color w:val="231F20"/>
          <w:spacing w:val="-5"/>
          <w:position w:val="-3"/>
        </w:rPr>
        <w:t>，</w:t>
      </w:r>
      <w:r>
        <w:rPr>
          <w:sz w:val="20"/>
          <w:szCs w:val="20"/>
          <w:color w:val="231F20"/>
          <w:spacing w:val="-5"/>
        </w:rPr>
        <w:t>P</w:t>
      </w:r>
      <w:r>
        <w:rPr>
          <w:sz w:val="11"/>
          <w:szCs w:val="11"/>
          <w:color w:val="231F20"/>
          <w:spacing w:val="-5"/>
          <w:position w:val="-3"/>
        </w:rPr>
        <w:t>75</w:t>
      </w:r>
      <w:r>
        <w:rPr>
          <w:sz w:val="19"/>
          <w:szCs w:val="19"/>
          <w:color w:val="231F20"/>
          <w:spacing w:val="10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表示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计数资料采用百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分比表示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15"/>
        </w:rPr>
        <w:t>；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正态分布定量资料两样本均数的比较采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用独立样本</w:t>
      </w:r>
      <w:r>
        <w:rPr>
          <w:rFonts w:ascii="SimSun" w:hAnsi="SimSun" w:eastAsia="SimSun" w:cs="SimSun"/>
          <w:sz w:val="19"/>
          <w:szCs w:val="19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14"/>
          <w:position w:val="-1"/>
        </w:rPr>
        <w:t>t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检验</w:t>
      </w:r>
      <w:r>
        <w:rPr>
          <w:rFonts w:ascii="SimSun" w:hAnsi="SimSun" w:eastAsia="SimSun" w:cs="SimSun"/>
          <w:sz w:val="19"/>
          <w:szCs w:val="19"/>
          <w:color w:val="231F20"/>
          <w:spacing w:val="-48"/>
        </w:rPr>
        <w:t xml:space="preserve"> </w:t>
      </w:r>
      <w:r>
        <w:rPr>
          <w:sz w:val="19"/>
          <w:szCs w:val="19"/>
          <w:color w:val="231F20"/>
          <w:spacing w:val="14"/>
        </w:rPr>
        <w:t>，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非正态分布定量资料两独立样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本的比较采用非参数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 xml:space="preserve"> </w:t>
      </w:r>
      <w:r>
        <w:rPr>
          <w:sz w:val="20"/>
          <w:szCs w:val="20"/>
          <w:color w:val="231F20"/>
        </w:rPr>
        <w:t>Mann</w:t>
      </w:r>
      <w:r>
        <w:rPr>
          <w:sz w:val="20"/>
          <w:szCs w:val="20"/>
          <w:color w:val="231F20"/>
          <w:spacing w:val="5"/>
        </w:rPr>
        <w:t>-</w:t>
      </w:r>
      <w:r>
        <w:rPr>
          <w:sz w:val="20"/>
          <w:szCs w:val="20"/>
          <w:color w:val="231F20"/>
        </w:rPr>
        <w:t>Whitney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检验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sz w:val="19"/>
          <w:szCs w:val="19"/>
          <w:color w:val="231F20"/>
          <w:spacing w:val="5"/>
        </w:rPr>
        <w:t>，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率的比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right="66" w:hanging="2"/>
        <w:spacing w:before="43" w:line="228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较采用</w:t>
      </w:r>
      <w:r>
        <w:rPr>
          <w:rFonts w:ascii="SimSun" w:hAnsi="SimSun" w:eastAsia="SimSun" w:cs="SimSun"/>
          <w:sz w:val="19"/>
          <w:szCs w:val="19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7"/>
        </w:rPr>
        <w:t>χ</w:t>
      </w:r>
      <w:r>
        <w:rPr>
          <w:sz w:val="11"/>
          <w:szCs w:val="11"/>
          <w:color w:val="231F20"/>
          <w:spacing w:val="-7"/>
          <w:position w:val="6"/>
        </w:rPr>
        <w:t>2</w:t>
      </w:r>
      <w:r>
        <w:rPr>
          <w:sz w:val="11"/>
          <w:szCs w:val="11"/>
          <w:color w:val="231F20"/>
          <w:spacing w:val="27"/>
          <w:w w:val="101"/>
          <w:position w:val="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检验或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7"/>
        </w:rPr>
        <w:t>Fisher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-7"/>
        </w:rPr>
        <w:t>’</w:t>
      </w:r>
      <w:r>
        <w:rPr>
          <w:sz w:val="20"/>
          <w:szCs w:val="20"/>
          <w:color w:val="231F20"/>
          <w:spacing w:val="-4"/>
        </w:rPr>
        <w:t>s 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确切概率法</w:t>
      </w:r>
      <w:r>
        <w:rPr>
          <w:sz w:val="19"/>
          <w:szCs w:val="19"/>
          <w:color w:val="231F20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以</w:t>
      </w:r>
      <w:r>
        <w:rPr>
          <w:rFonts w:ascii="SimSun" w:hAnsi="SimSun" w:eastAsia="SimSun" w:cs="SimSun"/>
          <w:sz w:val="19"/>
          <w:szCs w:val="19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4"/>
        </w:rPr>
        <w:t>P&lt;0.05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为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差异有统计学意义</w:t>
      </w:r>
      <w:r>
        <w:rPr>
          <w:sz w:val="19"/>
          <w:szCs w:val="19"/>
          <w:color w:val="231F20"/>
          <w:spacing w:val="17"/>
        </w:rPr>
        <w:t>。</w:t>
      </w:r>
    </w:p>
    <w:p>
      <w:pPr>
        <w:pStyle w:val="BodyText"/>
        <w:ind w:left="4"/>
        <w:spacing w:before="311" w:line="179" w:lineRule="auto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3"/>
        </w:rPr>
        <w:t>3</w:t>
      </w:r>
      <w:r>
        <w:rPr>
          <w:sz w:val="20"/>
          <w:szCs w:val="20"/>
          <w:color w:val="231F20"/>
          <w:spacing w:val="15"/>
        </w:rPr>
        <w:t xml:space="preserve">   </w:t>
      </w:r>
      <w:r>
        <w:rPr>
          <w:rFonts w:ascii="SimHei" w:hAnsi="SimHei" w:eastAsia="SimHei" w:cs="SimHei"/>
          <w:sz w:val="19"/>
          <w:szCs w:val="19"/>
          <w:color w:val="231F20"/>
          <w:spacing w:val="3"/>
        </w:rPr>
        <w:t>结果</w:t>
      </w:r>
    </w:p>
    <w:p>
      <w:pPr>
        <w:pStyle w:val="BodyText"/>
        <w:ind w:right="66" w:firstLine="5"/>
        <w:spacing w:before="51" w:line="229" w:lineRule="auto"/>
        <w:rPr>
          <w:sz w:val="19"/>
          <w:szCs w:val="19"/>
        </w:rPr>
      </w:pPr>
      <w:r>
        <w:rPr>
          <w:rFonts w:ascii="NSimSun" w:hAnsi="NSimSun" w:eastAsia="NSimSun" w:cs="NSimSun"/>
          <w:sz w:val="20"/>
          <w:szCs w:val="20"/>
          <w:color w:val="231F20"/>
          <w:spacing w:val="9"/>
        </w:rPr>
        <w:t>3.</w:t>
      </w:r>
      <w:r>
        <w:rPr>
          <w:rFonts w:ascii="NSimSun" w:hAnsi="NSimSun" w:eastAsia="NSimSun" w:cs="NSimSun"/>
          <w:sz w:val="20"/>
          <w:szCs w:val="20"/>
          <w:color w:val="231F20"/>
          <w:spacing w:val="-43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231F20"/>
          <w:spacing w:val="9"/>
        </w:rPr>
        <w:t>1</w:t>
      </w:r>
      <w:r>
        <w:rPr>
          <w:rFonts w:ascii="NSimSun" w:hAnsi="NSimSun" w:eastAsia="NSimSun" w:cs="NSimSun"/>
          <w:sz w:val="20"/>
          <w:szCs w:val="20"/>
          <w:color w:val="231F20"/>
          <w:spacing w:val="9"/>
        </w:rPr>
        <w:t xml:space="preserve">  </w:t>
      </w:r>
      <w:r>
        <w:rPr>
          <w:rFonts w:ascii="NSimSun" w:hAnsi="NSimSun" w:eastAsia="NSimSun" w:cs="NSimSun"/>
          <w:sz w:val="20"/>
          <w:szCs w:val="20"/>
          <w:color w:val="231F20"/>
          <w:spacing w:val="9"/>
        </w:rPr>
        <w:t>证据应用前后</w:t>
      </w:r>
      <w:r>
        <w:rPr>
          <w:rFonts w:ascii="NSimSun" w:hAnsi="NSimSun" w:eastAsia="NSimSun" w:cs="NSimSun"/>
          <w:sz w:val="20"/>
          <w:szCs w:val="20"/>
          <w:color w:val="231F20"/>
          <w:spacing w:val="-32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231F20"/>
          <w:spacing w:val="9"/>
        </w:rPr>
        <w:t>2</w:t>
      </w:r>
      <w:r>
        <w:rPr>
          <w:rFonts w:ascii="NSimSun" w:hAnsi="NSimSun" w:eastAsia="NSimSun" w:cs="NSimSun"/>
          <w:sz w:val="20"/>
          <w:szCs w:val="20"/>
          <w:color w:val="231F20"/>
          <w:spacing w:val="-35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231F20"/>
          <w:spacing w:val="9"/>
        </w:rPr>
        <w:t>组审查指标的达标情况</w:t>
      </w:r>
      <w:r>
        <w:rPr>
          <w:rFonts w:ascii="NSimSun" w:hAnsi="NSimSun" w:eastAsia="NSimSun" w:cs="NSimSun"/>
          <w:sz w:val="20"/>
          <w:szCs w:val="20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证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据应用前</w:t>
      </w:r>
      <w:r>
        <w:rPr>
          <w:sz w:val="19"/>
          <w:szCs w:val="19"/>
          <w:color w:val="231F20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指标 </w:t>
      </w:r>
      <w:r>
        <w:rPr>
          <w:sz w:val="20"/>
          <w:szCs w:val="20"/>
          <w:color w:val="231F20"/>
          <w:spacing w:val="-6"/>
          <w:position w:val="-1"/>
        </w:rPr>
        <w:t>1</w:t>
      </w:r>
      <w:r>
        <w:rPr>
          <w:sz w:val="19"/>
          <w:szCs w:val="19"/>
          <w:color w:val="231F20"/>
          <w:spacing w:val="-6"/>
        </w:rPr>
        <w:t>、</w:t>
      </w:r>
      <w:r>
        <w:rPr>
          <w:sz w:val="20"/>
          <w:szCs w:val="20"/>
          <w:color w:val="231F20"/>
          <w:spacing w:val="-6"/>
          <w:position w:val="-1"/>
        </w:rPr>
        <w:t>2 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达标率均为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6"/>
          <w:position w:val="-1"/>
        </w:rPr>
        <w:t>0</w:t>
      </w:r>
      <w:r>
        <w:rPr>
          <w:sz w:val="19"/>
          <w:szCs w:val="19"/>
          <w:color w:val="231F20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指标</w:t>
      </w:r>
      <w:r>
        <w:rPr>
          <w:rFonts w:ascii="SimSun" w:hAnsi="SimSun" w:eastAsia="SimSun" w:cs="SimSun"/>
          <w:sz w:val="19"/>
          <w:szCs w:val="19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6"/>
          <w:position w:val="-1"/>
        </w:rPr>
        <w:t>3</w:t>
      </w:r>
      <w:r>
        <w:rPr>
          <w:sz w:val="19"/>
          <w:szCs w:val="19"/>
          <w:color w:val="231F20"/>
          <w:spacing w:val="-6"/>
        </w:rPr>
        <w:t>、</w:t>
      </w:r>
      <w:r>
        <w:rPr>
          <w:sz w:val="20"/>
          <w:szCs w:val="20"/>
          <w:color w:val="231F20"/>
          <w:spacing w:val="-6"/>
          <w:position w:val="-1"/>
        </w:rPr>
        <w:t>4</w:t>
      </w:r>
      <w:r>
        <w:rPr>
          <w:sz w:val="20"/>
          <w:szCs w:val="20"/>
          <w:color w:val="231F20"/>
          <w:spacing w:val="2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的达标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率为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53％</w:t>
      </w:r>
      <w:r>
        <w:rPr>
          <w:rFonts w:ascii="SimSun" w:hAnsi="SimSun" w:eastAsia="SimSun" w:cs="SimSun"/>
          <w:sz w:val="19"/>
          <w:szCs w:val="19"/>
          <w:color w:val="231F20"/>
        </w:rPr>
        <w:t>和</w:t>
      </w:r>
      <w:r>
        <w:rPr>
          <w:rFonts w:ascii="SimSun" w:hAnsi="SimSun" w:eastAsia="SimSun" w:cs="SimSun"/>
          <w:sz w:val="19"/>
          <w:szCs w:val="19"/>
          <w:color w:val="231F20"/>
          <w:spacing w:val="-25"/>
        </w:rPr>
        <w:t xml:space="preserve"> </w:t>
      </w:r>
      <w:r>
        <w:rPr>
          <w:sz w:val="20"/>
          <w:szCs w:val="20"/>
          <w:color w:val="231F20"/>
        </w:rPr>
        <w:t>70%</w:t>
      </w:r>
      <w:r>
        <w:rPr>
          <w:sz w:val="19"/>
          <w:szCs w:val="19"/>
          <w:color w:val="231F2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</w:rPr>
        <w:t>指标</w:t>
      </w:r>
      <w:r>
        <w:rPr>
          <w:rFonts w:ascii="SimSun" w:hAnsi="SimSun" w:eastAsia="SimSun" w:cs="SimSun"/>
          <w:sz w:val="19"/>
          <w:szCs w:val="19"/>
          <w:color w:val="231F20"/>
          <w:spacing w:val="-22"/>
        </w:rPr>
        <w:t xml:space="preserve"> </w:t>
      </w:r>
      <w:r>
        <w:rPr>
          <w:sz w:val="20"/>
          <w:szCs w:val="20"/>
          <w:color w:val="231F20"/>
        </w:rPr>
        <w:t>5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的达标率为 </w:t>
      </w:r>
      <w:r>
        <w:rPr>
          <w:sz w:val="20"/>
          <w:szCs w:val="20"/>
          <w:color w:val="231F20"/>
        </w:rPr>
        <w:t>100</w:t>
      </w:r>
      <w:r>
        <w:rPr>
          <w:sz w:val="20"/>
          <w:szCs w:val="20"/>
          <w:color w:val="231F20"/>
          <w:spacing w:val="-37"/>
          <w:w w:val="78"/>
        </w:rPr>
        <w:t>％</w:t>
      </w:r>
      <w:r>
        <w:rPr>
          <w:sz w:val="19"/>
          <w:szCs w:val="19"/>
          <w:color w:val="231F20"/>
          <w:spacing w:val="-37"/>
          <w:w w:val="78"/>
        </w:rPr>
        <w:t>；</w:t>
      </w:r>
      <w:r>
        <w:rPr>
          <w:rFonts w:ascii="SimSun" w:hAnsi="SimSun" w:eastAsia="SimSun" w:cs="SimSun"/>
          <w:sz w:val="19"/>
          <w:szCs w:val="19"/>
          <w:color w:val="231F20"/>
        </w:rPr>
        <w:t>证据运 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用后除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4"/>
        </w:rPr>
        <w:t>48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内患者进食率为</w:t>
      </w:r>
      <w:r>
        <w:rPr>
          <w:rFonts w:ascii="SimSun" w:hAnsi="SimSun" w:eastAsia="SimSun" w:cs="SimSun"/>
          <w:sz w:val="19"/>
          <w:szCs w:val="19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4"/>
        </w:rPr>
        <w:t>98%</w:t>
      </w:r>
      <w:r>
        <w:rPr>
          <w:sz w:val="19"/>
          <w:szCs w:val="19"/>
          <w:color w:val="231F20"/>
          <w:spacing w:val="-4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指标 </w:t>
      </w:r>
      <w:r>
        <w:rPr>
          <w:sz w:val="20"/>
          <w:szCs w:val="20"/>
          <w:color w:val="231F20"/>
          <w:spacing w:val="-4"/>
        </w:rPr>
        <w:t>1</w:t>
      </w:r>
      <w:r>
        <w:rPr>
          <w:sz w:val="19"/>
          <w:szCs w:val="19"/>
          <w:color w:val="231F20"/>
          <w:spacing w:val="-4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外</w:t>
      </w:r>
      <w:r>
        <w:rPr>
          <w:sz w:val="19"/>
          <w:szCs w:val="19"/>
          <w:color w:val="231F20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其余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4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条指标的达标率均达到 </w:t>
      </w:r>
      <w:r>
        <w:rPr>
          <w:sz w:val="20"/>
          <w:szCs w:val="20"/>
          <w:color w:val="231F20"/>
          <w:spacing w:val="4"/>
        </w:rPr>
        <w:t>100％</w:t>
      </w:r>
      <w:r>
        <w:rPr>
          <w:sz w:val="19"/>
          <w:szCs w:val="19"/>
          <w:color w:val="231F20"/>
          <w:spacing w:val="4"/>
        </w:rPr>
        <w:t>。</w:t>
      </w:r>
    </w:p>
    <w:p>
      <w:pPr>
        <w:pStyle w:val="BodyText"/>
        <w:ind w:left="10" w:hanging="5"/>
        <w:spacing w:before="13" w:line="230" w:lineRule="auto"/>
        <w:rPr>
          <w:sz w:val="19"/>
          <w:szCs w:val="19"/>
        </w:rPr>
      </w:pPr>
      <w:r>
        <w:rPr>
          <w:rFonts w:ascii="NSimSun" w:hAnsi="NSimSun" w:eastAsia="NSimSun" w:cs="NSimSun"/>
          <w:sz w:val="20"/>
          <w:szCs w:val="20"/>
          <w:color w:val="231F20"/>
          <w:spacing w:val="14"/>
        </w:rPr>
        <w:t>3.2</w:t>
      </w:r>
      <w:r>
        <w:rPr>
          <w:rFonts w:ascii="NSimSun" w:hAnsi="NSimSun" w:eastAsia="NSimSun" w:cs="NSimSun"/>
          <w:sz w:val="20"/>
          <w:szCs w:val="20"/>
          <w:color w:val="231F20"/>
          <w:spacing w:val="11"/>
        </w:rPr>
        <w:t xml:space="preserve">  </w:t>
      </w:r>
      <w:r>
        <w:rPr>
          <w:rFonts w:ascii="NSimSun" w:hAnsi="NSimSun" w:eastAsia="NSimSun" w:cs="NSimSun"/>
          <w:sz w:val="20"/>
          <w:szCs w:val="20"/>
          <w:color w:val="231F20"/>
          <w:spacing w:val="14"/>
        </w:rPr>
        <w:t>证据应用前后患者相关指标比较</w:t>
      </w:r>
      <w:r>
        <w:rPr>
          <w:rFonts w:ascii="NSimSun" w:hAnsi="NSimSun" w:eastAsia="NSimSun" w:cs="NSimSun"/>
          <w:sz w:val="20"/>
          <w:szCs w:val="20"/>
          <w:color w:val="231F20"/>
          <w:spacing w:val="14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证据应用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前后</w:t>
      </w:r>
      <w:r>
        <w:rPr>
          <w:sz w:val="19"/>
          <w:szCs w:val="19"/>
          <w:color w:val="231F20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患者恶心</w:t>
      </w:r>
      <w:r>
        <w:rPr>
          <w:sz w:val="19"/>
          <w:szCs w:val="19"/>
          <w:color w:val="231F20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呕吐</w:t>
      </w:r>
      <w:r>
        <w:rPr>
          <w:sz w:val="19"/>
          <w:szCs w:val="19"/>
          <w:color w:val="231F20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腹痛</w:t>
      </w:r>
      <w:r>
        <w:rPr>
          <w:sz w:val="19"/>
          <w:szCs w:val="19"/>
          <w:color w:val="231F20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腹胀</w:t>
      </w:r>
      <w:r>
        <w:rPr>
          <w:sz w:val="19"/>
          <w:szCs w:val="19"/>
          <w:color w:val="231F20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血清淀粉酶及脂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肪酶变化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比较</w:t>
      </w:r>
      <w:r>
        <w:rPr>
          <w:sz w:val="19"/>
          <w:szCs w:val="19"/>
          <w:color w:val="231F20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差异均无统计学意义</w:t>
      </w:r>
      <w:r>
        <w:rPr>
          <w:sz w:val="19"/>
          <w:szCs w:val="19"/>
          <w:color w:val="231F20"/>
          <w:spacing w:val="7"/>
        </w:rPr>
        <w:t>（</w:t>
      </w:r>
      <w:r>
        <w:rPr>
          <w:sz w:val="20"/>
          <w:szCs w:val="20"/>
          <w:color w:val="231F20"/>
          <w:spacing w:val="7"/>
        </w:rPr>
        <w:t>P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均</w:t>
      </w:r>
      <w:r>
        <w:rPr>
          <w:sz w:val="20"/>
          <w:szCs w:val="20"/>
          <w:color w:val="231F20"/>
          <w:spacing w:val="7"/>
        </w:rPr>
        <w:t>&gt;0.05</w:t>
      </w:r>
      <w:r>
        <w:rPr>
          <w:sz w:val="19"/>
          <w:szCs w:val="19"/>
          <w:color w:val="231F20"/>
          <w:spacing w:val="-45"/>
        </w:rPr>
        <w:t>），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证据应用后</w:t>
      </w:r>
      <w:r>
        <w:rPr>
          <w:sz w:val="19"/>
          <w:szCs w:val="19"/>
          <w:color w:val="231F20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患者入院后第 </w:t>
      </w:r>
      <w:r>
        <w:rPr>
          <w:sz w:val="20"/>
          <w:szCs w:val="20"/>
          <w:color w:val="231F20"/>
          <w:spacing w:val="6"/>
          <w:position w:val="-1"/>
        </w:rPr>
        <w:t>1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次进食时间</w:t>
      </w:r>
      <w:r>
        <w:rPr>
          <w:sz w:val="19"/>
          <w:szCs w:val="19"/>
          <w:color w:val="231F20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住院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时间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均较证据应用前明显缩短</w:t>
      </w:r>
      <w:r>
        <w:rPr>
          <w:sz w:val="19"/>
          <w:szCs w:val="19"/>
          <w:color w:val="231F20"/>
          <w:spacing w:val="3"/>
        </w:rPr>
        <w:t>（</w:t>
      </w:r>
      <w:r>
        <w:rPr>
          <w:sz w:val="20"/>
          <w:szCs w:val="20"/>
          <w:color w:val="231F20"/>
          <w:spacing w:val="3"/>
        </w:rPr>
        <w:t>P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均</w:t>
      </w:r>
      <w:r>
        <w:rPr>
          <w:sz w:val="20"/>
          <w:szCs w:val="20"/>
          <w:color w:val="231F20"/>
          <w:spacing w:val="3"/>
        </w:rPr>
        <w:t>&lt;0.001</w:t>
      </w:r>
      <w:r>
        <w:rPr>
          <w:sz w:val="19"/>
          <w:szCs w:val="19"/>
          <w:color w:val="231F20"/>
          <w:spacing w:val="-29"/>
          <w:w w:val="65"/>
        </w:rPr>
        <w:t>），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见表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3"/>
        </w:rPr>
        <w:t>6</w:t>
      </w:r>
      <w:r>
        <w:rPr>
          <w:sz w:val="19"/>
          <w:szCs w:val="19"/>
          <w:color w:val="231F20"/>
          <w:spacing w:val="3"/>
        </w:rPr>
        <w:t>。</w:t>
      </w:r>
    </w:p>
    <w:p>
      <w:pPr>
        <w:spacing w:line="230" w:lineRule="auto"/>
        <w:sectPr>
          <w:type w:val="continuous"/>
          <w:pgSz w:w="11905" w:h="16836"/>
          <w:pgMar w:top="1335" w:right="1072" w:bottom="0" w:left="407" w:header="979" w:footer="0" w:gutter="0"/>
          <w:cols w:equalWidth="0" w:num="2">
            <w:col w:w="5646" w:space="100"/>
            <w:col w:w="4679" w:space="0"/>
          </w:cols>
        </w:sectPr>
        <w:rPr>
          <w:sz w:val="19"/>
          <w:szCs w:val="19"/>
        </w:rPr>
      </w:pPr>
    </w:p>
    <w:p>
      <w:pPr>
        <w:pStyle w:val="BodyText"/>
        <w:ind w:left="4059"/>
        <w:spacing w:before="220" w:line="168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14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0"/>
        </w:rPr>
        <w:t xml:space="preserve"> </w:t>
      </w:r>
      <w:r>
        <w:rPr>
          <w:color w:val="231F20"/>
          <w:spacing w:val="14"/>
          <w:position w:val="-1"/>
        </w:rPr>
        <w:t>6</w:t>
      </w:r>
      <w:r>
        <w:rPr>
          <w:color w:val="231F20"/>
          <w:spacing w:val="13"/>
          <w:position w:val="-1"/>
        </w:rPr>
        <w:t xml:space="preserve">   </w:t>
      </w:r>
      <w:r>
        <w:rPr>
          <w:rFonts w:ascii="SimHei" w:hAnsi="SimHei" w:eastAsia="SimHei" w:cs="SimHei"/>
          <w:sz w:val="16"/>
          <w:szCs w:val="16"/>
          <w:color w:val="231F20"/>
          <w:spacing w:val="14"/>
        </w:rPr>
        <w:t>证据应用前后患者相关指标比较</w:t>
      </w:r>
    </w:p>
    <w:tbl>
      <w:tblPr>
        <w:tblStyle w:val="TableNormal"/>
        <w:tblW w:w="9637" w:type="dxa"/>
        <w:tblInd w:w="7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32"/>
        <w:gridCol w:w="464"/>
        <w:gridCol w:w="1016"/>
        <w:gridCol w:w="1043"/>
        <w:gridCol w:w="1169"/>
        <w:gridCol w:w="1544"/>
        <w:gridCol w:w="1678"/>
        <w:gridCol w:w="1791"/>
      </w:tblGrid>
      <w:tr>
        <w:trPr>
          <w:trHeight w:val="428" w:hRule="atLeast"/>
        </w:trPr>
        <w:tc>
          <w:tcPr>
            <w:tcW w:w="93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230"/>
              <w:spacing w:before="138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9"/>
              </w:rPr>
              <w:t>项目</w:t>
            </w:r>
          </w:p>
        </w:tc>
        <w:tc>
          <w:tcPr>
            <w:tcW w:w="46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2"/>
              <w:spacing w:before="173" w:line="165" w:lineRule="auto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101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0"/>
              <w:spacing w:before="36" w:line="19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恶心</w:t>
            </w:r>
            <w:r>
              <w:rPr>
                <w:sz w:val="14"/>
                <w:szCs w:val="14"/>
                <w:color w:val="231F20"/>
                <w:spacing w:val="-1"/>
              </w:rPr>
              <w:t>、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呕吐</w:t>
            </w:r>
          </w:p>
          <w:p>
            <w:pPr>
              <w:pStyle w:val="TableText"/>
              <w:ind w:left="205"/>
              <w:spacing w:before="26" w:line="1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（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6"/>
              </w:rPr>
              <w:t>例</w:t>
            </w:r>
            <w:r>
              <w:rPr>
                <w:sz w:val="14"/>
                <w:szCs w:val="14"/>
                <w:color w:val="231F20"/>
                <w:spacing w:val="-16"/>
              </w:rPr>
              <w:t>，</w:t>
            </w:r>
            <w:r>
              <w:rPr>
                <w:color w:val="231F20"/>
                <w:spacing w:val="-16"/>
              </w:rPr>
              <w:t>%</w:t>
            </w:r>
            <w:r>
              <w:rPr>
                <w:sz w:val="14"/>
                <w:szCs w:val="14"/>
                <w:color w:val="231F20"/>
                <w:spacing w:val="-16"/>
              </w:rPr>
              <w:t>）</w:t>
            </w:r>
          </w:p>
        </w:tc>
        <w:tc>
          <w:tcPr>
            <w:tcW w:w="104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5"/>
              <w:spacing w:before="34" w:line="19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腹痛</w:t>
            </w:r>
            <w:r>
              <w:rPr>
                <w:sz w:val="14"/>
                <w:szCs w:val="14"/>
                <w:color w:val="231F20"/>
                <w:spacing w:val="-1"/>
              </w:rPr>
              <w:t>、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腹胀</w:t>
            </w:r>
          </w:p>
          <w:p>
            <w:pPr>
              <w:pStyle w:val="TableText"/>
              <w:ind w:left="209"/>
              <w:spacing w:before="26" w:line="1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（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6"/>
              </w:rPr>
              <w:t>例</w:t>
            </w:r>
            <w:r>
              <w:rPr>
                <w:sz w:val="14"/>
                <w:szCs w:val="14"/>
                <w:color w:val="231F20"/>
                <w:spacing w:val="-16"/>
              </w:rPr>
              <w:t>，</w:t>
            </w:r>
            <w:r>
              <w:rPr>
                <w:color w:val="231F20"/>
                <w:spacing w:val="-16"/>
              </w:rPr>
              <w:t>%</w:t>
            </w:r>
            <w:r>
              <w:rPr>
                <w:sz w:val="14"/>
                <w:szCs w:val="14"/>
                <w:color w:val="231F20"/>
                <w:spacing w:val="-16"/>
              </w:rPr>
              <w:t>）</w:t>
            </w:r>
          </w:p>
        </w:tc>
        <w:tc>
          <w:tcPr>
            <w:tcW w:w="116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88"/>
              <w:spacing w:before="34" w:line="21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5"/>
              </w:rPr>
              <w:t>脂肪酶变化</w:t>
            </w:r>
          </w:p>
          <w:p>
            <w:pPr>
              <w:pStyle w:val="TableText"/>
              <w:ind w:left="271"/>
              <w:spacing w:before="60" w:line="1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（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6"/>
              </w:rPr>
              <w:t>例</w:t>
            </w:r>
            <w:r>
              <w:rPr>
                <w:sz w:val="14"/>
                <w:szCs w:val="14"/>
                <w:color w:val="231F20"/>
                <w:spacing w:val="-16"/>
              </w:rPr>
              <w:t>，</w:t>
            </w:r>
            <w:r>
              <w:rPr>
                <w:color w:val="231F20"/>
                <w:spacing w:val="-16"/>
              </w:rPr>
              <w:t>%</w:t>
            </w:r>
            <w:r>
              <w:rPr>
                <w:sz w:val="14"/>
                <w:szCs w:val="14"/>
                <w:color w:val="231F20"/>
                <w:spacing w:val="-16"/>
              </w:rPr>
              <w:t>）</w:t>
            </w:r>
          </w:p>
        </w:tc>
        <w:tc>
          <w:tcPr>
            <w:tcW w:w="154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211"/>
              <w:spacing w:before="34" w:line="21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6"/>
              </w:rPr>
              <w:t>血清淀粉酶变化</w:t>
            </w:r>
          </w:p>
          <w:p>
            <w:pPr>
              <w:pStyle w:val="TableText"/>
              <w:ind w:left="454"/>
              <w:spacing w:before="60" w:line="1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（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6"/>
              </w:rPr>
              <w:t>例</w:t>
            </w:r>
            <w:r>
              <w:rPr>
                <w:sz w:val="14"/>
                <w:szCs w:val="14"/>
                <w:color w:val="231F20"/>
                <w:spacing w:val="-16"/>
              </w:rPr>
              <w:t>，</w:t>
            </w:r>
            <w:r>
              <w:rPr>
                <w:color w:val="231F20"/>
                <w:spacing w:val="-16"/>
              </w:rPr>
              <w:t>%</w:t>
            </w:r>
            <w:r>
              <w:rPr>
                <w:sz w:val="14"/>
                <w:szCs w:val="14"/>
                <w:color w:val="231F20"/>
                <w:spacing w:val="-16"/>
              </w:rPr>
              <w:t>）</w:t>
            </w:r>
          </w:p>
        </w:tc>
        <w:tc>
          <w:tcPr>
            <w:tcW w:w="167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58" w:right="178" w:hanging="13"/>
              <w:spacing w:before="35" w:line="176" w:lineRule="auto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8"/>
              </w:rPr>
              <w:t>入院后第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8"/>
                <w:position w:val="-1"/>
              </w:rPr>
              <w:t>1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8"/>
              </w:rPr>
              <w:t>次进食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1"/>
              </w:rPr>
              <w:t>时间</w:t>
            </w:r>
            <w:r>
              <w:rPr>
                <w:color w:val="231F20"/>
                <w:spacing w:val="-11"/>
              </w:rPr>
              <w:t>[M</w:t>
            </w:r>
            <w:r>
              <w:rPr>
                <w:sz w:val="14"/>
                <w:szCs w:val="14"/>
                <w:color w:val="231F20"/>
                <w:spacing w:val="-11"/>
              </w:rPr>
              <w:t>（</w:t>
            </w:r>
            <w:r>
              <w:rPr>
                <w:color w:val="231F20"/>
                <w:spacing w:val="-11"/>
              </w:rPr>
              <w:t>P</w:t>
            </w:r>
            <w:r>
              <w:rPr>
                <w:sz w:val="8"/>
                <w:szCs w:val="8"/>
                <w:color w:val="231F20"/>
                <w:spacing w:val="-11"/>
                <w:position w:val="-1"/>
              </w:rPr>
              <w:t>25</w:t>
            </w:r>
            <w:r>
              <w:rPr>
                <w:sz w:val="14"/>
                <w:szCs w:val="14"/>
                <w:color w:val="231F20"/>
                <w:spacing w:val="-26"/>
                <w:w w:val="97"/>
                <w:position w:val="-1"/>
              </w:rPr>
              <w:t>，</w:t>
            </w:r>
            <w:r>
              <w:rPr>
                <w:color w:val="231F20"/>
                <w:spacing w:val="-26"/>
                <w:w w:val="97"/>
              </w:rPr>
              <w:t>P</w:t>
            </w:r>
            <w:r>
              <w:rPr>
                <w:sz w:val="8"/>
                <w:szCs w:val="8"/>
                <w:color w:val="231F20"/>
                <w:spacing w:val="-11"/>
                <w:position w:val="-1"/>
              </w:rPr>
              <w:t>75</w:t>
            </w:r>
            <w:r>
              <w:rPr>
                <w:sz w:val="14"/>
                <w:szCs w:val="14"/>
                <w:color w:val="231F20"/>
                <w:spacing w:val="-24"/>
                <w:w w:val="74"/>
              </w:rPr>
              <w:t>），</w:t>
            </w:r>
            <w:r>
              <w:rPr>
                <w:color w:val="231F20"/>
                <w:spacing w:val="-11"/>
              </w:rPr>
              <w:t>h]</w:t>
            </w:r>
          </w:p>
        </w:tc>
        <w:tc>
          <w:tcPr>
            <w:tcW w:w="179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86"/>
              <w:spacing w:before="138" w:line="202" w:lineRule="auto"/>
              <w:rPr/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7"/>
              </w:rPr>
              <w:t>住院时间</w:t>
            </w:r>
            <w:r>
              <w:rPr>
                <w:color w:val="231F20"/>
                <w:spacing w:val="-7"/>
              </w:rPr>
              <w:t>[M</w:t>
            </w:r>
            <w:r>
              <w:rPr>
                <w:sz w:val="14"/>
                <w:szCs w:val="14"/>
                <w:color w:val="231F20"/>
                <w:spacing w:val="-7"/>
              </w:rPr>
              <w:t>（</w:t>
            </w:r>
            <w:r>
              <w:rPr>
                <w:color w:val="231F20"/>
                <w:spacing w:val="-7"/>
              </w:rPr>
              <w:t>P</w:t>
            </w:r>
            <w:r>
              <w:rPr>
                <w:sz w:val="8"/>
                <w:szCs w:val="8"/>
                <w:color w:val="231F20"/>
                <w:spacing w:val="-7"/>
                <w:position w:val="-2"/>
              </w:rPr>
              <w:t>25</w:t>
            </w:r>
            <w:r>
              <w:rPr>
                <w:sz w:val="7"/>
                <w:szCs w:val="7"/>
                <w:color w:val="231F20"/>
                <w:spacing w:val="-7"/>
                <w:position w:val="-1"/>
              </w:rPr>
              <w:t>，</w:t>
            </w:r>
            <w:r>
              <w:rPr>
                <w:color w:val="231F20"/>
                <w:spacing w:val="7"/>
              </w:rPr>
              <w:t>P</w:t>
            </w:r>
            <w:r>
              <w:rPr>
                <w:sz w:val="8"/>
                <w:szCs w:val="8"/>
                <w:color w:val="231F20"/>
                <w:spacing w:val="-10"/>
                <w:position w:val="-2"/>
              </w:rPr>
              <w:t>75</w:t>
            </w:r>
            <w:r>
              <w:rPr>
                <w:sz w:val="14"/>
                <w:szCs w:val="14"/>
                <w:color w:val="231F20"/>
                <w:spacing w:val="-24"/>
                <w:w w:val="74"/>
              </w:rPr>
              <w:t>），</w:t>
            </w:r>
            <w:r>
              <w:rPr>
                <w:color w:val="231F20"/>
                <w:spacing w:val="-10"/>
              </w:rPr>
              <w:t>d]</w:t>
            </w:r>
          </w:p>
        </w:tc>
      </w:tr>
      <w:tr>
        <w:trPr>
          <w:trHeight w:val="229" w:hRule="atLeast"/>
        </w:trPr>
        <w:tc>
          <w:tcPr>
            <w:tcW w:w="932" w:type="dxa"/>
            <w:vAlign w:val="top"/>
            <w:tcBorders>
              <w:top w:val="single" w:color="231F20" w:sz="2" w:space="0"/>
            </w:tcBorders>
          </w:tcPr>
          <w:p>
            <w:pPr>
              <w:ind w:left="11"/>
              <w:spacing w:before="46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5"/>
              </w:rPr>
              <w:t>证据应用前</w:t>
            </w:r>
          </w:p>
        </w:tc>
        <w:tc>
          <w:tcPr>
            <w:tcW w:w="4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0"/>
              <w:spacing w:before="69" w:line="150" w:lineRule="exact"/>
              <w:rPr/>
            </w:pPr>
            <w:r>
              <w:rPr>
                <w:color w:val="231F20"/>
                <w:spacing w:val="-6"/>
                <w:position w:val="-1"/>
              </w:rPr>
              <w:t>45</w:t>
            </w:r>
          </w:p>
        </w:tc>
        <w:tc>
          <w:tcPr>
            <w:tcW w:w="10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3"/>
              <w:spacing w:before="69" w:line="150" w:lineRule="exact"/>
              <w:rPr/>
            </w:pPr>
            <w:r>
              <w:rPr>
                <w:color w:val="231F20"/>
                <w:position w:val="-1"/>
              </w:rPr>
              <w:t>0</w:t>
            </w:r>
          </w:p>
        </w:tc>
        <w:tc>
          <w:tcPr>
            <w:tcW w:w="104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6"/>
              <w:spacing w:before="68" w:line="151" w:lineRule="exact"/>
              <w:rPr>
                <w:sz w:val="14"/>
                <w:szCs w:val="14"/>
              </w:rPr>
            </w:pPr>
            <w:r>
              <w:rPr>
                <w:color w:val="231F20"/>
                <w:spacing w:val="-16"/>
                <w:w w:val="96"/>
              </w:rPr>
              <w:t>2</w:t>
            </w:r>
            <w:r>
              <w:rPr>
                <w:sz w:val="14"/>
                <w:szCs w:val="14"/>
                <w:color w:val="231F20"/>
                <w:spacing w:val="-16"/>
                <w:w w:val="96"/>
              </w:rPr>
              <w:t>（</w:t>
            </w:r>
            <w:r>
              <w:rPr>
                <w:color w:val="231F20"/>
                <w:spacing w:val="-16"/>
                <w:w w:val="96"/>
              </w:rPr>
              <w:t>4</w:t>
            </w:r>
            <w:r>
              <w:rPr>
                <w:sz w:val="14"/>
                <w:szCs w:val="14"/>
                <w:color w:val="231F20"/>
                <w:spacing w:val="-16"/>
                <w:w w:val="96"/>
              </w:rPr>
              <w:t>）</w:t>
            </w:r>
          </w:p>
        </w:tc>
        <w:tc>
          <w:tcPr>
            <w:tcW w:w="11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32"/>
              <w:spacing w:before="68" w:line="151" w:lineRule="exact"/>
              <w:rPr>
                <w:sz w:val="14"/>
                <w:szCs w:val="14"/>
              </w:rPr>
            </w:pPr>
            <w:r>
              <w:rPr>
                <w:color w:val="231F20"/>
                <w:spacing w:val="-24"/>
              </w:rPr>
              <w:t>1</w:t>
            </w:r>
            <w:r>
              <w:rPr>
                <w:sz w:val="14"/>
                <w:szCs w:val="14"/>
                <w:color w:val="231F20"/>
                <w:spacing w:val="-24"/>
              </w:rPr>
              <w:t>（</w:t>
            </w:r>
            <w:r>
              <w:rPr>
                <w:color w:val="231F20"/>
                <w:spacing w:val="-24"/>
              </w:rPr>
              <w:t>2</w:t>
            </w:r>
            <w:r>
              <w:rPr>
                <w:sz w:val="14"/>
                <w:szCs w:val="14"/>
                <w:color w:val="231F20"/>
                <w:spacing w:val="-24"/>
              </w:rPr>
              <w:t>）</w:t>
            </w:r>
          </w:p>
        </w:tc>
        <w:tc>
          <w:tcPr>
            <w:tcW w:w="15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1"/>
              <w:spacing w:before="68" w:line="151" w:lineRule="exact"/>
              <w:rPr>
                <w:sz w:val="14"/>
                <w:szCs w:val="14"/>
              </w:rPr>
            </w:pPr>
            <w:r>
              <w:rPr>
                <w:color w:val="231F20"/>
                <w:spacing w:val="-16"/>
                <w:w w:val="96"/>
              </w:rPr>
              <w:t>2</w:t>
            </w:r>
            <w:r>
              <w:rPr>
                <w:sz w:val="14"/>
                <w:szCs w:val="14"/>
                <w:color w:val="231F20"/>
                <w:spacing w:val="-16"/>
                <w:w w:val="96"/>
              </w:rPr>
              <w:t>（</w:t>
            </w:r>
            <w:r>
              <w:rPr>
                <w:color w:val="231F20"/>
                <w:spacing w:val="-16"/>
                <w:w w:val="96"/>
              </w:rPr>
              <w:t>4</w:t>
            </w:r>
            <w:r>
              <w:rPr>
                <w:sz w:val="14"/>
                <w:szCs w:val="14"/>
                <w:color w:val="231F20"/>
                <w:spacing w:val="-16"/>
                <w:w w:val="96"/>
              </w:rPr>
              <w:t>）</w:t>
            </w:r>
          </w:p>
        </w:tc>
        <w:tc>
          <w:tcPr>
            <w:tcW w:w="16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5"/>
              <w:spacing w:before="68" w:line="151" w:lineRule="exact"/>
              <w:rPr>
                <w:sz w:val="14"/>
                <w:szCs w:val="14"/>
              </w:rPr>
            </w:pPr>
            <w:r>
              <w:rPr>
                <w:color w:val="231F20"/>
                <w:spacing w:val="-13"/>
              </w:rPr>
              <w:t>82.0</w:t>
            </w:r>
            <w:r>
              <w:rPr>
                <w:sz w:val="14"/>
                <w:szCs w:val="14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65.0</w:t>
            </w:r>
            <w:r>
              <w:rPr>
                <w:sz w:val="14"/>
                <w:szCs w:val="14"/>
                <w:color w:val="231F20"/>
                <w:spacing w:val="-13"/>
              </w:rPr>
              <w:t>，</w:t>
            </w:r>
            <w:r>
              <w:rPr>
                <w:color w:val="231F20"/>
                <w:spacing w:val="-13"/>
              </w:rPr>
              <w:t>118.0</w:t>
            </w:r>
            <w:r>
              <w:rPr>
                <w:sz w:val="14"/>
                <w:szCs w:val="14"/>
                <w:color w:val="231F20"/>
                <w:spacing w:val="-13"/>
              </w:rPr>
              <w:t>）</w:t>
            </w:r>
          </w:p>
        </w:tc>
        <w:tc>
          <w:tcPr>
            <w:tcW w:w="179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52"/>
              <w:spacing w:before="68" w:line="151" w:lineRule="exact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8.0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6.0</w:t>
            </w:r>
            <w:r>
              <w:rPr>
                <w:sz w:val="14"/>
                <w:szCs w:val="14"/>
                <w:color w:val="231F20"/>
                <w:spacing w:val="-14"/>
              </w:rPr>
              <w:t>，</w:t>
            </w:r>
            <w:r>
              <w:rPr>
                <w:color w:val="231F20"/>
                <w:spacing w:val="-14"/>
              </w:rPr>
              <w:t>10.0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</w:tr>
      <w:tr>
        <w:trPr>
          <w:trHeight w:val="219" w:hRule="atLeast"/>
        </w:trPr>
        <w:tc>
          <w:tcPr>
            <w:tcW w:w="932" w:type="dxa"/>
            <w:vAlign w:val="top"/>
          </w:tcPr>
          <w:p>
            <w:pPr>
              <w:ind w:left="11"/>
              <w:spacing w:before="38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5"/>
              </w:rPr>
              <w:t>证据应用后</w:t>
            </w:r>
          </w:p>
        </w:tc>
        <w:tc>
          <w:tcPr>
            <w:tcW w:w="464" w:type="dxa"/>
            <w:vAlign w:val="top"/>
          </w:tcPr>
          <w:p>
            <w:pPr>
              <w:pStyle w:val="TableText"/>
              <w:ind w:left="150"/>
              <w:spacing w:before="61" w:line="148" w:lineRule="exact"/>
              <w:rPr/>
            </w:pPr>
            <w:r>
              <w:rPr>
                <w:color w:val="231F20"/>
                <w:spacing w:val="-5"/>
                <w:position w:val="-1"/>
              </w:rPr>
              <w:t>40</w:t>
            </w:r>
          </w:p>
        </w:tc>
        <w:tc>
          <w:tcPr>
            <w:tcW w:w="1016" w:type="dxa"/>
            <w:vAlign w:val="top"/>
          </w:tcPr>
          <w:p>
            <w:pPr>
              <w:pStyle w:val="TableText"/>
              <w:ind w:left="372"/>
              <w:spacing w:before="60" w:line="149" w:lineRule="exact"/>
              <w:rPr>
                <w:sz w:val="14"/>
                <w:szCs w:val="14"/>
              </w:rPr>
            </w:pPr>
            <w:r>
              <w:rPr>
                <w:color w:val="231F20"/>
                <w:spacing w:val="-24"/>
              </w:rPr>
              <w:t>1</w:t>
            </w:r>
            <w:r>
              <w:rPr>
                <w:sz w:val="14"/>
                <w:szCs w:val="14"/>
                <w:color w:val="231F20"/>
                <w:spacing w:val="-24"/>
              </w:rPr>
              <w:t>（</w:t>
            </w:r>
            <w:r>
              <w:rPr>
                <w:color w:val="231F20"/>
                <w:spacing w:val="-24"/>
              </w:rPr>
              <w:t>3</w:t>
            </w:r>
            <w:r>
              <w:rPr>
                <w:sz w:val="14"/>
                <w:szCs w:val="14"/>
                <w:color w:val="231F20"/>
                <w:spacing w:val="-24"/>
              </w:rPr>
              <w:t>）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40"/>
              <w:spacing w:before="60" w:line="149" w:lineRule="exact"/>
              <w:rPr>
                <w:sz w:val="14"/>
                <w:szCs w:val="14"/>
              </w:rPr>
            </w:pPr>
            <w:r>
              <w:rPr>
                <w:color w:val="231F20"/>
                <w:spacing w:val="-21"/>
              </w:rPr>
              <w:t>2</w:t>
            </w:r>
            <w:r>
              <w:rPr>
                <w:sz w:val="14"/>
                <w:szCs w:val="14"/>
                <w:color w:val="231F20"/>
                <w:spacing w:val="-21"/>
              </w:rPr>
              <w:t>（</w:t>
            </w:r>
            <w:r>
              <w:rPr>
                <w:color w:val="231F20"/>
                <w:spacing w:val="-21"/>
              </w:rPr>
              <w:t>5</w:t>
            </w:r>
            <w:r>
              <w:rPr>
                <w:sz w:val="14"/>
                <w:szCs w:val="14"/>
                <w:color w:val="231F20"/>
                <w:spacing w:val="-21"/>
              </w:rPr>
              <w:t>）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419"/>
              <w:spacing w:before="60" w:line="149" w:lineRule="exact"/>
              <w:rPr>
                <w:sz w:val="14"/>
                <w:szCs w:val="14"/>
              </w:rPr>
            </w:pPr>
            <w:r>
              <w:rPr>
                <w:color w:val="231F20"/>
                <w:spacing w:val="-21"/>
              </w:rPr>
              <w:t>2</w:t>
            </w:r>
            <w:r>
              <w:rPr>
                <w:sz w:val="14"/>
                <w:szCs w:val="14"/>
                <w:color w:val="231F20"/>
                <w:spacing w:val="-21"/>
              </w:rPr>
              <w:t>（</w:t>
            </w:r>
            <w:r>
              <w:rPr>
                <w:color w:val="231F20"/>
                <w:spacing w:val="-21"/>
              </w:rPr>
              <w:t>5</w:t>
            </w:r>
            <w:r>
              <w:rPr>
                <w:sz w:val="14"/>
                <w:szCs w:val="14"/>
                <w:color w:val="231F20"/>
                <w:spacing w:val="-21"/>
              </w:rPr>
              <w:t>）</w:t>
            </w:r>
          </w:p>
        </w:tc>
        <w:tc>
          <w:tcPr>
            <w:tcW w:w="1544" w:type="dxa"/>
            <w:vAlign w:val="top"/>
          </w:tcPr>
          <w:p>
            <w:pPr>
              <w:pStyle w:val="TableText"/>
              <w:ind w:left="603"/>
              <w:spacing w:before="60" w:line="149" w:lineRule="exact"/>
              <w:rPr>
                <w:sz w:val="14"/>
                <w:szCs w:val="14"/>
              </w:rPr>
            </w:pPr>
            <w:r>
              <w:rPr>
                <w:color w:val="231F20"/>
                <w:spacing w:val="-22"/>
              </w:rPr>
              <w:t>3</w:t>
            </w:r>
            <w:r>
              <w:rPr>
                <w:sz w:val="14"/>
                <w:szCs w:val="14"/>
                <w:color w:val="231F20"/>
                <w:spacing w:val="-22"/>
              </w:rPr>
              <w:t>（</w:t>
            </w:r>
            <w:r>
              <w:rPr>
                <w:color w:val="231F20"/>
                <w:spacing w:val="-22"/>
              </w:rPr>
              <w:t>8</w:t>
            </w:r>
            <w:r>
              <w:rPr>
                <w:sz w:val="14"/>
                <w:szCs w:val="14"/>
                <w:color w:val="231F20"/>
                <w:spacing w:val="-22"/>
              </w:rPr>
              <w:t>）</w:t>
            </w:r>
          </w:p>
        </w:tc>
        <w:tc>
          <w:tcPr>
            <w:tcW w:w="1678" w:type="dxa"/>
            <w:vAlign w:val="top"/>
          </w:tcPr>
          <w:p>
            <w:pPr>
              <w:pStyle w:val="TableText"/>
              <w:ind w:left="345"/>
              <w:spacing w:before="60" w:line="149" w:lineRule="exact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31.8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26.4</w:t>
            </w:r>
            <w:r>
              <w:rPr>
                <w:sz w:val="14"/>
                <w:szCs w:val="14"/>
                <w:color w:val="231F20"/>
                <w:spacing w:val="-14"/>
              </w:rPr>
              <w:t>，</w:t>
            </w:r>
            <w:r>
              <w:rPr>
                <w:color w:val="231F20"/>
                <w:spacing w:val="-14"/>
              </w:rPr>
              <w:t>38.9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  <w:tc>
          <w:tcPr>
            <w:tcW w:w="1791" w:type="dxa"/>
            <w:vAlign w:val="top"/>
          </w:tcPr>
          <w:p>
            <w:pPr>
              <w:pStyle w:val="TableText"/>
              <w:ind w:left="540"/>
              <w:spacing w:before="60" w:line="149" w:lineRule="exact"/>
              <w:rPr>
                <w:sz w:val="14"/>
                <w:szCs w:val="14"/>
              </w:rPr>
            </w:pPr>
            <w:r>
              <w:rPr>
                <w:color w:val="231F20"/>
                <w:spacing w:val="-15"/>
              </w:rPr>
              <w:t>5.0</w:t>
            </w:r>
            <w:r>
              <w:rPr>
                <w:sz w:val="14"/>
                <w:szCs w:val="14"/>
                <w:color w:val="231F20"/>
                <w:spacing w:val="-15"/>
              </w:rPr>
              <w:t>（</w:t>
            </w:r>
            <w:r>
              <w:rPr>
                <w:color w:val="231F20"/>
                <w:spacing w:val="-15"/>
              </w:rPr>
              <w:t>4.3</w:t>
            </w:r>
            <w:r>
              <w:rPr>
                <w:sz w:val="14"/>
                <w:szCs w:val="14"/>
                <w:color w:val="231F20"/>
                <w:spacing w:val="-15"/>
              </w:rPr>
              <w:t>，</w:t>
            </w:r>
            <w:r>
              <w:rPr>
                <w:color w:val="231F20"/>
                <w:spacing w:val="-15"/>
              </w:rPr>
              <w:t>7.0</w:t>
            </w:r>
            <w:r>
              <w:rPr>
                <w:sz w:val="14"/>
                <w:szCs w:val="14"/>
                <w:color w:val="231F20"/>
                <w:spacing w:val="-15"/>
              </w:rPr>
              <w:t>）</w:t>
            </w:r>
          </w:p>
        </w:tc>
      </w:tr>
      <w:tr>
        <w:trPr>
          <w:trHeight w:val="231" w:hRule="atLeast"/>
        </w:trPr>
        <w:tc>
          <w:tcPr>
            <w:tcW w:w="932" w:type="dxa"/>
            <w:vAlign w:val="top"/>
          </w:tcPr>
          <w:p>
            <w:pPr>
              <w:ind w:left="14"/>
              <w:spacing w:before="43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统计值</w:t>
            </w:r>
          </w:p>
        </w:tc>
        <w:tc>
          <w:tcPr>
            <w:tcW w:w="464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1016" w:type="dxa"/>
            <w:vAlign w:val="top"/>
          </w:tcPr>
          <w:p>
            <w:pPr>
              <w:pStyle w:val="TableText"/>
              <w:ind w:left="469"/>
              <w:spacing w:before="133" w:line="87" w:lineRule="exact"/>
              <w:rPr/>
            </w:pPr>
            <w:r>
              <w:rPr>
                <w:color w:val="231F20"/>
                <w:spacing w:val="14"/>
                <w:position w:val="-6"/>
              </w:rPr>
              <w:t>-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339"/>
              <w:spacing w:before="54" w:line="166" w:lineRule="exact"/>
              <w:rPr/>
            </w:pPr>
            <w:r>
              <w:rPr>
                <w:color w:val="231F20"/>
                <w:spacing w:val="-4"/>
                <w:position w:val="1"/>
              </w:rPr>
              <w:t>χ</w:t>
            </w:r>
            <w:r>
              <w:rPr>
                <w:sz w:val="8"/>
                <w:szCs w:val="8"/>
                <w:color w:val="231F20"/>
                <w:spacing w:val="-4"/>
                <w:position w:val="6"/>
              </w:rPr>
              <w:t>2</w:t>
            </w:r>
            <w:r>
              <w:rPr>
                <w:color w:val="231F20"/>
                <w:spacing w:val="-11"/>
                <w:position w:val="1"/>
              </w:rPr>
              <w:t>=0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292"/>
              <w:spacing w:before="54" w:line="166" w:lineRule="exact"/>
              <w:rPr/>
            </w:pPr>
            <w:r>
              <w:rPr>
                <w:color w:val="231F20"/>
                <w:spacing w:val="-4"/>
                <w:position w:val="1"/>
              </w:rPr>
              <w:t>χ</w:t>
            </w:r>
            <w:r>
              <w:rPr>
                <w:sz w:val="8"/>
                <w:szCs w:val="8"/>
                <w:color w:val="231F20"/>
                <w:spacing w:val="-4"/>
                <w:position w:val="6"/>
              </w:rPr>
              <w:t>2</w:t>
            </w:r>
            <w:r>
              <w:rPr>
                <w:color w:val="231F20"/>
                <w:spacing w:val="-9"/>
                <w:position w:val="1"/>
              </w:rPr>
              <w:t>=0.011</w:t>
            </w:r>
          </w:p>
        </w:tc>
        <w:tc>
          <w:tcPr>
            <w:tcW w:w="1544" w:type="dxa"/>
            <w:vAlign w:val="top"/>
          </w:tcPr>
          <w:p>
            <w:pPr>
              <w:pStyle w:val="TableText"/>
              <w:ind w:left="421"/>
              <w:spacing w:before="54" w:line="166" w:lineRule="exact"/>
              <w:rPr/>
            </w:pPr>
            <w:r>
              <w:rPr>
                <w:color w:val="231F20"/>
                <w:spacing w:val="-4"/>
                <w:position w:val="1"/>
              </w:rPr>
              <w:t>χ</w:t>
            </w:r>
            <w:r>
              <w:rPr>
                <w:sz w:val="8"/>
                <w:szCs w:val="8"/>
                <w:color w:val="231F20"/>
                <w:spacing w:val="-4"/>
                <w:position w:val="6"/>
              </w:rPr>
              <w:t>2</w:t>
            </w:r>
            <w:r>
              <w:rPr>
                <w:color w:val="231F20"/>
                <w:spacing w:val="-9"/>
                <w:position w:val="1"/>
              </w:rPr>
              <w:t>=0.018</w:t>
            </w:r>
          </w:p>
        </w:tc>
        <w:tc>
          <w:tcPr>
            <w:tcW w:w="1678" w:type="dxa"/>
            <w:vAlign w:val="top"/>
          </w:tcPr>
          <w:p>
            <w:pPr>
              <w:pStyle w:val="TableText"/>
              <w:ind w:left="603"/>
              <w:spacing w:before="66" w:line="154" w:lineRule="exact"/>
              <w:rPr/>
            </w:pPr>
            <w:r>
              <w:rPr>
                <w:color w:val="231F20"/>
                <w:spacing w:val="-8"/>
                <w:position w:val="-1"/>
              </w:rPr>
              <w:t>Z=7.930</w:t>
            </w:r>
          </w:p>
        </w:tc>
        <w:tc>
          <w:tcPr>
            <w:tcW w:w="1791" w:type="dxa"/>
            <w:vAlign w:val="top"/>
          </w:tcPr>
          <w:p>
            <w:pPr>
              <w:pStyle w:val="TableText"/>
              <w:ind w:left="685"/>
              <w:spacing w:before="66" w:line="154" w:lineRule="exact"/>
              <w:rPr/>
            </w:pPr>
            <w:r>
              <w:rPr>
                <w:color w:val="231F20"/>
                <w:spacing w:val="-8"/>
                <w:position w:val="-1"/>
              </w:rPr>
              <w:t>Z=4.730</w:t>
            </w:r>
          </w:p>
        </w:tc>
      </w:tr>
      <w:tr>
        <w:trPr>
          <w:trHeight w:val="203" w:hRule="atLeast"/>
        </w:trPr>
        <w:tc>
          <w:tcPr>
            <w:tcW w:w="9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08"/>
              <w:spacing w:before="61" w:line="131" w:lineRule="exact"/>
              <w:rPr/>
            </w:pPr>
            <w:r>
              <w:rPr>
                <w:color w:val="231F20"/>
                <w:spacing w:val="6"/>
                <w:position w:val="-3"/>
              </w:rPr>
              <w:t>P</w:t>
            </w:r>
          </w:p>
        </w:tc>
        <w:tc>
          <w:tcPr>
            <w:tcW w:w="464" w:type="dxa"/>
            <w:vAlign w:val="top"/>
            <w:tcBorders>
              <w:bottom w:val="single" w:color="231F20" w:sz="6" w:space="0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101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13"/>
              <w:spacing w:before="44" w:line="148" w:lineRule="exact"/>
              <w:rPr>
                <w:sz w:val="8"/>
                <w:szCs w:val="8"/>
              </w:rPr>
            </w:pPr>
            <w:r>
              <w:rPr>
                <w:color w:val="231F20"/>
                <w:spacing w:val="-7"/>
                <w:position w:val="-1"/>
              </w:rPr>
              <w:t>0.471</w:t>
            </w:r>
            <w:r>
              <w:rPr>
                <w:sz w:val="8"/>
                <w:szCs w:val="8"/>
                <w:color w:val="231F20"/>
                <w:spacing w:val="8"/>
                <w:position w:val="4"/>
              </w:rPr>
              <w:t>*</w:t>
            </w:r>
          </w:p>
        </w:tc>
        <w:tc>
          <w:tcPr>
            <w:tcW w:w="104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49"/>
              <w:spacing w:before="56" w:line="136" w:lineRule="exact"/>
              <w:rPr/>
            </w:pPr>
            <w:r>
              <w:rPr>
                <w:color w:val="231F20"/>
                <w:spacing w:val="-9"/>
                <w:position w:val="-2"/>
              </w:rPr>
              <w:t>1.000</w:t>
            </w:r>
          </w:p>
        </w:tc>
        <w:tc>
          <w:tcPr>
            <w:tcW w:w="116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03"/>
              <w:spacing w:before="56" w:line="136" w:lineRule="exact"/>
              <w:rPr/>
            </w:pPr>
            <w:r>
              <w:rPr>
                <w:color w:val="231F20"/>
                <w:spacing w:val="-6"/>
                <w:position w:val="-2"/>
              </w:rPr>
              <w:t>0.917</w:t>
            </w:r>
          </w:p>
        </w:tc>
        <w:tc>
          <w:tcPr>
            <w:tcW w:w="154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80"/>
              <w:spacing w:before="56" w:line="136" w:lineRule="exact"/>
              <w:rPr/>
            </w:pPr>
            <w:r>
              <w:rPr>
                <w:color w:val="231F20"/>
                <w:spacing w:val="-6"/>
                <w:position w:val="-2"/>
              </w:rPr>
              <w:t>0.892</w:t>
            </w:r>
          </w:p>
        </w:tc>
        <w:tc>
          <w:tcPr>
            <w:tcW w:w="167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93"/>
              <w:spacing w:before="56" w:line="136" w:lineRule="exact"/>
              <w:rPr/>
            </w:pPr>
            <w:r>
              <w:rPr>
                <w:color w:val="231F20"/>
                <w:spacing w:val="-9"/>
                <w:position w:val="-2"/>
              </w:rPr>
              <w:t>&lt;0.001</w:t>
            </w:r>
          </w:p>
        </w:tc>
        <w:tc>
          <w:tcPr>
            <w:tcW w:w="179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75"/>
              <w:spacing w:before="56" w:line="136" w:lineRule="exact"/>
              <w:rPr/>
            </w:pPr>
            <w:r>
              <w:rPr>
                <w:color w:val="231F20"/>
                <w:spacing w:val="-9"/>
                <w:position w:val="-2"/>
              </w:rPr>
              <w:t>&lt;0.001</w:t>
            </w:r>
          </w:p>
        </w:tc>
      </w:tr>
    </w:tbl>
    <w:p>
      <w:pPr>
        <w:pStyle w:val="BodyText"/>
        <w:ind w:left="855"/>
        <w:spacing w:before="40" w:line="21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-24"/>
        </w:rPr>
        <w:t>注</w:t>
      </w:r>
      <w:r>
        <w:rPr>
          <w:sz w:val="14"/>
          <w:szCs w:val="14"/>
          <w:color w:val="231F20"/>
          <w:spacing w:val="-24"/>
        </w:rPr>
        <w:t>：</w:t>
      </w:r>
      <w:r>
        <w:rPr>
          <w:sz w:val="8"/>
          <w:szCs w:val="8"/>
          <w:color w:val="231F20"/>
          <w:spacing w:val="1"/>
          <w:position w:val="5"/>
        </w:rPr>
        <w:t>*</w:t>
      </w:r>
      <w:r>
        <w:rPr>
          <w:sz w:val="8"/>
          <w:szCs w:val="8"/>
          <w:color w:val="231F20"/>
          <w:spacing w:val="23"/>
          <w:w w:val="103"/>
          <w:position w:val="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为使用</w:t>
      </w:r>
      <w:r>
        <w:rPr>
          <w:rFonts w:ascii="SimSun" w:hAnsi="SimSun" w:eastAsia="SimSun" w:cs="SimSun"/>
          <w:sz w:val="14"/>
          <w:szCs w:val="14"/>
          <w:color w:val="231F20"/>
          <w:spacing w:val="-20"/>
        </w:rPr>
        <w:t xml:space="preserve"> </w:t>
      </w:r>
      <w:r>
        <w:rPr>
          <w:sz w:val="15"/>
          <w:szCs w:val="15"/>
          <w:color w:val="231F20"/>
        </w:rPr>
        <w:t>Fisher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4"/>
          <w:szCs w:val="14"/>
          <w:color w:val="231F20"/>
          <w:spacing w:val="-1"/>
        </w:rPr>
        <w:t>’</w:t>
      </w:r>
      <w:r>
        <w:rPr>
          <w:sz w:val="15"/>
          <w:szCs w:val="15"/>
          <w:color w:val="231F20"/>
          <w:spacing w:val="-1"/>
        </w:rPr>
        <w:t>s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确切概率法</w:t>
      </w:r>
    </w:p>
    <w:p>
      <w:pPr>
        <w:spacing w:line="197" w:lineRule="exact"/>
        <w:rPr/>
      </w:pPr>
      <w:r/>
    </w:p>
    <w:p>
      <w:pPr>
        <w:spacing w:line="197" w:lineRule="exact"/>
        <w:sectPr>
          <w:type w:val="continuous"/>
          <w:pgSz w:w="11905" w:h="16836"/>
          <w:pgMar w:top="1335" w:right="1072" w:bottom="0" w:left="407" w:header="979" w:footer="0" w:gutter="0"/>
          <w:cols w:equalWidth="0" w:num="1">
            <w:col w:w="10424" w:space="0"/>
          </w:cols>
        </w:sectPr>
        <w:rPr/>
      </w:pPr>
    </w:p>
    <w:p>
      <w:pPr>
        <w:pStyle w:val="BodyText"/>
        <w:ind w:left="731"/>
        <w:spacing w:before="43" w:line="187" w:lineRule="auto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3"/>
          <w:position w:val="-1"/>
        </w:rPr>
        <w:t>4</w:t>
      </w:r>
      <w:r>
        <w:rPr>
          <w:sz w:val="20"/>
          <w:szCs w:val="20"/>
          <w:color w:val="231F20"/>
          <w:spacing w:val="15"/>
          <w:w w:val="101"/>
          <w:position w:val="-1"/>
        </w:rPr>
        <w:t xml:space="preserve">   </w:t>
      </w:r>
      <w:r>
        <w:rPr>
          <w:rFonts w:ascii="SimHei" w:hAnsi="SimHei" w:eastAsia="SimHei" w:cs="SimHei"/>
          <w:sz w:val="19"/>
          <w:szCs w:val="19"/>
          <w:color w:val="231F20"/>
          <w:spacing w:val="3"/>
        </w:rPr>
        <w:t>讨论</w:t>
      </w:r>
    </w:p>
    <w:p>
      <w:pPr>
        <w:pStyle w:val="BodyText"/>
        <w:ind w:left="728" w:right="226"/>
        <w:spacing w:before="35" w:line="226" w:lineRule="auto"/>
        <w:rPr>
          <w:sz w:val="19"/>
          <w:szCs w:val="19"/>
        </w:rPr>
      </w:pPr>
      <w:r>
        <w:rPr>
          <w:rFonts w:ascii="NSimSun" w:hAnsi="NSimSun" w:eastAsia="NSimSun" w:cs="NSimSun"/>
          <w:sz w:val="20"/>
          <w:szCs w:val="20"/>
          <w:color w:val="231F20"/>
          <w:spacing w:val="2"/>
        </w:rPr>
        <w:t>4.</w:t>
      </w:r>
      <w:r>
        <w:rPr>
          <w:rFonts w:ascii="NSimSun" w:hAnsi="NSimSun" w:eastAsia="NSimSun" w:cs="NSimSun"/>
          <w:sz w:val="20"/>
          <w:szCs w:val="20"/>
          <w:color w:val="231F20"/>
          <w:spacing w:val="-36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231F20"/>
          <w:spacing w:val="2"/>
        </w:rPr>
        <w:t>1</w:t>
      </w:r>
      <w:r>
        <w:rPr>
          <w:rFonts w:ascii="NSimSun" w:hAnsi="NSimSun" w:eastAsia="NSimSun" w:cs="NSimSun"/>
          <w:sz w:val="20"/>
          <w:szCs w:val="20"/>
          <w:color w:val="231F20"/>
          <w:spacing w:val="2"/>
        </w:rPr>
        <w:t xml:space="preserve">  </w:t>
      </w:r>
      <w:r>
        <w:rPr>
          <w:rFonts w:ascii="NSimSun" w:hAnsi="NSimSun" w:eastAsia="NSimSun" w:cs="NSimSun"/>
          <w:sz w:val="20"/>
          <w:szCs w:val="20"/>
          <w:color w:val="231F20"/>
          <w:spacing w:val="2"/>
        </w:rPr>
        <w:t>最佳证据应用可加速轻</w:t>
      </w:r>
      <w:r>
        <w:rPr>
          <w:sz w:val="20"/>
          <w:szCs w:val="20"/>
          <w:color w:val="231F20"/>
          <w:spacing w:val="2"/>
        </w:rPr>
        <w:t>、</w:t>
      </w:r>
      <w:r>
        <w:rPr>
          <w:rFonts w:ascii="NSimSun" w:hAnsi="NSimSun" w:eastAsia="NSimSun" w:cs="NSimSun"/>
          <w:sz w:val="20"/>
          <w:szCs w:val="20"/>
          <w:color w:val="231F20"/>
          <w:spacing w:val="2"/>
        </w:rPr>
        <w:t>中重症急性胰腺炎患</w:t>
      </w:r>
      <w:r>
        <w:rPr>
          <w:rFonts w:ascii="NSimSun" w:hAnsi="NSimSun" w:eastAsia="NSimSun" w:cs="NSimSun"/>
          <w:sz w:val="20"/>
          <w:szCs w:val="20"/>
          <w:color w:val="231F20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231F20"/>
          <w:spacing w:val="4"/>
        </w:rPr>
        <w:t>者康复，有效改善患者结局</w:t>
      </w:r>
      <w:r>
        <w:rPr>
          <w:rFonts w:ascii="NSimSun" w:hAnsi="NSimSun" w:eastAsia="NSimSun" w:cs="NSimSun"/>
          <w:sz w:val="20"/>
          <w:szCs w:val="20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轻</w:t>
      </w:r>
      <w:r>
        <w:rPr>
          <w:sz w:val="19"/>
          <w:szCs w:val="19"/>
          <w:color w:val="231F20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中重症急性胰腺炎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患者早期进食最佳证据应用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提高了患者早期</w:t>
      </w:r>
      <w:r>
        <w:rPr>
          <w:sz w:val="19"/>
          <w:szCs w:val="19"/>
          <w:color w:val="231F20"/>
          <w:spacing w:val="10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入院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3"/>
          <w:position w:val="-1"/>
        </w:rPr>
        <w:t>48</w:t>
      </w:r>
      <w:r>
        <w:rPr>
          <w:sz w:val="20"/>
          <w:szCs w:val="20"/>
          <w:color w:val="231F20"/>
          <w:spacing w:val="36"/>
          <w:position w:val="-1"/>
        </w:rPr>
        <w:t xml:space="preserve"> </w:t>
      </w:r>
      <w:r>
        <w:rPr>
          <w:sz w:val="20"/>
          <w:szCs w:val="20"/>
          <w:color w:val="231F20"/>
          <w:spacing w:val="3"/>
          <w:position w:val="-1"/>
        </w:rPr>
        <w:t>h</w:t>
      </w:r>
      <w:r>
        <w:rPr>
          <w:sz w:val="20"/>
          <w:szCs w:val="20"/>
          <w:color w:val="231F20"/>
          <w:spacing w:val="3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内</w:t>
      </w:r>
      <w:r>
        <w:rPr>
          <w:sz w:val="19"/>
          <w:szCs w:val="19"/>
          <w:color w:val="231F20"/>
          <w:spacing w:val="3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进食率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减少患者因饥饿带来的不适感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促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进胃肠功能恢复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加速患者康复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缩短了住院时间</w:t>
      </w:r>
      <w:r>
        <w:rPr>
          <w:sz w:val="19"/>
          <w:szCs w:val="19"/>
          <w:color w:val="231F20"/>
          <w:spacing w:val="13"/>
        </w:rPr>
        <w:t>。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近年来</w:t>
      </w:r>
      <w:r>
        <w:rPr>
          <w:sz w:val="19"/>
          <w:szCs w:val="19"/>
          <w:color w:val="231F20"/>
          <w:spacing w:val="2"/>
        </w:rPr>
        <w:t>，“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胰腺休息</w:t>
      </w:r>
      <w:r>
        <w:rPr>
          <w:sz w:val="19"/>
          <w:szCs w:val="19"/>
          <w:color w:val="231F20"/>
          <w:spacing w:val="2"/>
        </w:rPr>
        <w:t>”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理论不断受到质疑和挑战</w:t>
      </w:r>
      <w:r>
        <w:rPr>
          <w:sz w:val="19"/>
          <w:szCs w:val="19"/>
          <w:color w:val="231F20"/>
          <w:spacing w:val="2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有研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究</w:t>
      </w:r>
      <w:r>
        <w:rPr>
          <w:sz w:val="11"/>
          <w:szCs w:val="11"/>
          <w:color w:val="231F20"/>
          <w:spacing w:val="16"/>
          <w:position w:val="5"/>
        </w:rPr>
        <w:t>[50]</w:t>
      </w:r>
      <w:r>
        <w:rPr>
          <w:sz w:val="11"/>
          <w:szCs w:val="11"/>
          <w:color w:val="231F20"/>
          <w:spacing w:val="-13"/>
          <w:position w:val="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发现</w:t>
      </w:r>
      <w:r>
        <w:rPr>
          <w:sz w:val="19"/>
          <w:szCs w:val="19"/>
          <w:color w:val="231F20"/>
          <w:spacing w:val="16"/>
          <w:position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急性胰腺炎患者早期进食或肠内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营养有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助于维持肠道内环境稳定</w:t>
      </w:r>
      <w:r>
        <w:rPr>
          <w:sz w:val="19"/>
          <w:szCs w:val="19"/>
          <w:color w:val="231F20"/>
          <w:spacing w:val="8"/>
          <w:position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改善患者预后</w:t>
      </w:r>
      <w:r>
        <w:rPr>
          <w:sz w:val="11"/>
          <w:szCs w:val="11"/>
          <w:color w:val="231F20"/>
          <w:spacing w:val="8"/>
          <w:position w:val="5"/>
        </w:rPr>
        <w:t>[51]</w:t>
      </w:r>
      <w:r>
        <w:rPr>
          <w:sz w:val="19"/>
          <w:szCs w:val="19"/>
          <w:color w:val="231F20"/>
          <w:spacing w:val="8"/>
          <w:position w:val="-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本研究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将最佳证据应用于轻</w:t>
      </w:r>
      <w:r>
        <w:rPr>
          <w:sz w:val="19"/>
          <w:szCs w:val="19"/>
          <w:color w:val="231F20"/>
          <w:spacing w:val="18"/>
        </w:rPr>
        <w:t>、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中重症急性胰腺炎的护理实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践中</w:t>
      </w:r>
      <w:r>
        <w:rPr>
          <w:sz w:val="19"/>
          <w:szCs w:val="19"/>
          <w:color w:val="231F20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使早期进食率由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"/>
        </w:rPr>
        <w:t>0%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上升到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98%</w:t>
      </w:r>
      <w:r>
        <w:rPr>
          <w:sz w:val="19"/>
          <w:szCs w:val="19"/>
          <w:color w:val="231F20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患者恶心</w:t>
      </w:r>
      <w:r>
        <w:rPr>
          <w:sz w:val="19"/>
          <w:szCs w:val="19"/>
          <w:color w:val="231F20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呕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吐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腹痛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腹胀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血清淀粉酶及脂肪酶变化与延迟进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食差异无统计学意义</w:t>
      </w:r>
      <w:r>
        <w:rPr>
          <w:sz w:val="19"/>
          <w:szCs w:val="19"/>
          <w:color w:val="231F20"/>
          <w:spacing w:val="7"/>
        </w:rPr>
        <w:t>（</w:t>
      </w:r>
      <w:r>
        <w:rPr>
          <w:sz w:val="20"/>
          <w:szCs w:val="20"/>
          <w:color w:val="231F20"/>
          <w:spacing w:val="7"/>
        </w:rPr>
        <w:t>P&gt;0.05</w:t>
      </w:r>
      <w:r>
        <w:rPr>
          <w:sz w:val="19"/>
          <w:szCs w:val="19"/>
          <w:color w:val="231F20"/>
          <w:spacing w:val="-40"/>
          <w:w w:val="89"/>
        </w:rPr>
        <w:t>），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降低</w:t>
      </w:r>
      <w:r>
        <w:rPr>
          <w:rFonts w:ascii="SimSun" w:hAnsi="SimSun" w:eastAsia="SimSun" w:cs="SimSun"/>
          <w:sz w:val="19"/>
          <w:szCs w:val="19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了患者</w:t>
      </w:r>
      <w:r>
        <w:rPr>
          <w:rFonts w:ascii="SimSun" w:hAnsi="SimSun" w:eastAsia="SimSun" w:cs="SimSun"/>
          <w:sz w:val="19"/>
          <w:szCs w:val="19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因为长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时间禁食而出现的饥饿等不适感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sz w:val="19"/>
          <w:szCs w:val="19"/>
          <w:color w:val="231F20"/>
          <w:spacing w:val="16"/>
        </w:rPr>
        <w:t>，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并且住院时间缩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短</w:t>
      </w:r>
      <w:r>
        <w:rPr>
          <w:sz w:val="19"/>
          <w:szCs w:val="19"/>
          <w:color w:val="231F20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差异均有统计学意义</w:t>
      </w:r>
      <w:r>
        <w:rPr>
          <w:sz w:val="19"/>
          <w:szCs w:val="19"/>
          <w:color w:val="231F20"/>
          <w:spacing w:val="-1"/>
        </w:rPr>
        <w:t>（</w:t>
      </w:r>
      <w:r>
        <w:rPr>
          <w:sz w:val="20"/>
          <w:szCs w:val="20"/>
          <w:color w:val="231F20"/>
          <w:spacing w:val="-1"/>
        </w:rPr>
        <w:t>P&lt;0.001</w:t>
      </w:r>
      <w:r>
        <w:rPr>
          <w:sz w:val="19"/>
          <w:szCs w:val="19"/>
          <w:color w:val="231F20"/>
          <w:spacing w:val="-1"/>
        </w:rPr>
        <w:t>）</w:t>
      </w:r>
      <w:r>
        <w:rPr>
          <w:sz w:val="19"/>
          <w:szCs w:val="19"/>
          <w:color w:val="231F20"/>
          <w:spacing w:val="-2"/>
        </w:rPr>
        <w:t>。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该最佳证据的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应用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以解决临床实际问题为出发点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重视患者的主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观感受和体验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促进了患者康复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有效改善了患者结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局</w:t>
      </w:r>
      <w:r>
        <w:rPr>
          <w:sz w:val="19"/>
          <w:szCs w:val="19"/>
          <w:color w:val="231F20"/>
          <w:spacing w:val="16"/>
        </w:rPr>
        <w:t>。</w:t>
      </w:r>
    </w:p>
    <w:p>
      <w:pPr>
        <w:pStyle w:val="BodyText"/>
        <w:ind w:left="734" w:right="238" w:hanging="6"/>
        <w:spacing w:before="45" w:line="237" w:lineRule="auto"/>
        <w:rPr>
          <w:sz w:val="19"/>
          <w:szCs w:val="19"/>
        </w:rPr>
      </w:pPr>
      <w:r>
        <w:rPr>
          <w:rFonts w:ascii="NSimSun" w:hAnsi="NSimSun" w:eastAsia="NSimSun" w:cs="NSimSun"/>
          <w:sz w:val="20"/>
          <w:szCs w:val="20"/>
          <w:color w:val="231F20"/>
          <w:spacing w:val="4"/>
        </w:rPr>
        <w:t>4.2</w:t>
      </w:r>
      <w:r>
        <w:rPr>
          <w:rFonts w:ascii="NSimSun" w:hAnsi="NSimSun" w:eastAsia="NSimSun" w:cs="NSimSun"/>
          <w:sz w:val="20"/>
          <w:szCs w:val="20"/>
          <w:color w:val="231F20"/>
          <w:spacing w:val="4"/>
        </w:rPr>
        <w:t xml:space="preserve">  </w:t>
      </w:r>
      <w:r>
        <w:rPr>
          <w:rFonts w:ascii="NSimSun" w:hAnsi="NSimSun" w:eastAsia="NSimSun" w:cs="NSimSun"/>
          <w:sz w:val="20"/>
          <w:szCs w:val="20"/>
          <w:color w:val="231F20"/>
          <w:spacing w:val="4"/>
        </w:rPr>
        <w:t>最佳证据应用有利于降低护理风险，减轻护士</w:t>
      </w:r>
      <w:r>
        <w:rPr>
          <w:rFonts w:ascii="NSimSun" w:hAnsi="NSimSun" w:eastAsia="NSimSun" w:cs="NSimSun"/>
          <w:sz w:val="20"/>
          <w:szCs w:val="20"/>
          <w:color w:val="231F20"/>
          <w:spacing w:val="13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231F20"/>
          <w:spacing w:val="21"/>
        </w:rPr>
        <w:t>工作量及照顾者负担</w:t>
      </w:r>
      <w:r>
        <w:rPr>
          <w:rFonts w:ascii="NSimSun" w:hAnsi="NSimSun" w:eastAsia="NSimSun" w:cs="NSimSun"/>
          <w:sz w:val="20"/>
          <w:szCs w:val="20"/>
          <w:color w:val="231F20"/>
          <w:spacing w:val="45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目前认为过长时间禁食禁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水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易导致胰岛素抵抗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使患者长时间有饥饿感和焦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虑</w:t>
      </w:r>
      <w:r>
        <w:rPr>
          <w:sz w:val="11"/>
          <w:szCs w:val="11"/>
          <w:color w:val="231F20"/>
          <w:spacing w:val="-6"/>
          <w:position w:val="6"/>
        </w:rPr>
        <w:t>[52]</w:t>
      </w:r>
      <w:r>
        <w:rPr>
          <w:sz w:val="19"/>
          <w:szCs w:val="19"/>
          <w:color w:val="231F20"/>
          <w:spacing w:val="15"/>
          <w:position w:val="-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而过长时间的禁食必然会加重患者营养消耗</w:t>
      </w:r>
      <w:r>
        <w:rPr>
          <w:sz w:val="19"/>
          <w:szCs w:val="19"/>
          <w:color w:val="231F20"/>
          <w:spacing w:val="15"/>
          <w:position w:val="-1"/>
        </w:rPr>
        <w:t>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/>
        <w:spacing w:before="39" w:line="22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6"/>
          <w:position w:val="-1"/>
        </w:rPr>
        <w:t>增加静脉输液量</w:t>
      </w:r>
      <w:r>
        <w:rPr>
          <w:sz w:val="11"/>
          <w:szCs w:val="11"/>
          <w:color w:val="231F20"/>
          <w:spacing w:val="6"/>
          <w:position w:val="5"/>
        </w:rPr>
        <w:t>[53]</w:t>
      </w:r>
      <w:r>
        <w:rPr>
          <w:sz w:val="11"/>
          <w:szCs w:val="11"/>
          <w:color w:val="231F20"/>
          <w:position w:val="5"/>
        </w:rPr>
        <w:t xml:space="preserve"> </w:t>
      </w:r>
      <w:r>
        <w:rPr>
          <w:sz w:val="19"/>
          <w:szCs w:val="19"/>
          <w:color w:val="231F20"/>
          <w:spacing w:val="6"/>
          <w:position w:val="-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6"/>
          <w:position w:val="-1"/>
        </w:rPr>
        <w:t>研究报道</w:t>
      </w:r>
      <w:r>
        <w:rPr>
          <w:sz w:val="11"/>
          <w:szCs w:val="11"/>
          <w:color w:val="231F20"/>
          <w:spacing w:val="6"/>
          <w:position w:val="5"/>
        </w:rPr>
        <w:t>[54-55]</w:t>
      </w:r>
      <w:r>
        <w:rPr>
          <w:sz w:val="19"/>
          <w:szCs w:val="19"/>
          <w:color w:val="231F20"/>
          <w:spacing w:val="6"/>
          <w:position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6"/>
          <w:position w:val="-1"/>
        </w:rPr>
        <w:t>静脉输液是发生</w:t>
      </w:r>
      <w:r>
        <w:rPr>
          <w:rFonts w:ascii="SimSun" w:hAnsi="SimSun" w:eastAsia="SimSun" w:cs="SimSun"/>
          <w:sz w:val="19"/>
          <w:szCs w:val="19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护患纠纷最多的治疗环节</w:t>
      </w:r>
      <w:r>
        <w:rPr>
          <w:sz w:val="19"/>
          <w:szCs w:val="19"/>
          <w:color w:val="231F20"/>
          <w:spacing w:val="1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疾病和住院使患者承受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着巨大的压力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他们很关注实施穿刺的护士知识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技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能和态度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因此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护士需要在静脉输液中花费很多的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时间及精力</w:t>
      </w:r>
      <w:r>
        <w:rPr>
          <w:sz w:val="19"/>
          <w:szCs w:val="19"/>
          <w:color w:val="231F20"/>
          <w:spacing w:val="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急性胰腺炎患者入院</w:t>
      </w:r>
      <w:r>
        <w:rPr>
          <w:rFonts w:ascii="SimSun" w:hAnsi="SimSun" w:eastAsia="SimSun" w:cs="SimSun"/>
          <w:sz w:val="19"/>
          <w:szCs w:val="19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9"/>
          <w:position w:val="-1"/>
        </w:rPr>
        <w:t>48 h</w:t>
      </w:r>
      <w:r>
        <w:rPr>
          <w:sz w:val="20"/>
          <w:szCs w:val="20"/>
          <w:color w:val="231F20"/>
          <w:spacing w:val="3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内进食率提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高</w:t>
      </w:r>
      <w:r>
        <w:rPr>
          <w:sz w:val="19"/>
          <w:szCs w:val="19"/>
          <w:color w:val="231F20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减少了输液量</w:t>
      </w:r>
      <w:r>
        <w:rPr>
          <w:sz w:val="19"/>
          <w:szCs w:val="19"/>
          <w:color w:val="231F20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继而减少护士工作量</w:t>
      </w:r>
      <w:r>
        <w:rPr>
          <w:sz w:val="19"/>
          <w:szCs w:val="19"/>
          <w:color w:val="231F20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降低风险</w:t>
      </w:r>
      <w:r>
        <w:rPr>
          <w:sz w:val="19"/>
          <w:szCs w:val="19"/>
          <w:color w:val="231F20"/>
          <w:spacing w:val="4"/>
        </w:rPr>
        <w:t>。</w:t>
      </w:r>
    </w:p>
    <w:p>
      <w:pPr>
        <w:pStyle w:val="BodyText"/>
        <w:ind w:left="4" w:right="61" w:hanging="4"/>
        <w:spacing w:before="4" w:line="235" w:lineRule="auto"/>
        <w:jc w:val="both"/>
        <w:rPr>
          <w:sz w:val="19"/>
          <w:szCs w:val="19"/>
        </w:rPr>
      </w:pPr>
      <w:r>
        <w:rPr>
          <w:rFonts w:ascii="NSimSun" w:hAnsi="NSimSun" w:eastAsia="NSimSun" w:cs="NSimSun"/>
          <w:sz w:val="20"/>
          <w:szCs w:val="20"/>
          <w:color w:val="231F20"/>
          <w:spacing w:val="14"/>
        </w:rPr>
        <w:t>4.3</w:t>
      </w:r>
      <w:r>
        <w:rPr>
          <w:rFonts w:ascii="NSimSun" w:hAnsi="NSimSun" w:eastAsia="NSimSun" w:cs="NSimSun"/>
          <w:sz w:val="20"/>
          <w:szCs w:val="20"/>
          <w:color w:val="231F20"/>
          <w:spacing w:val="5"/>
        </w:rPr>
        <w:t xml:space="preserve">  </w:t>
      </w:r>
      <w:r>
        <w:rPr>
          <w:rFonts w:ascii="NSimSun" w:hAnsi="NSimSun" w:eastAsia="NSimSun" w:cs="NSimSun"/>
          <w:sz w:val="20"/>
          <w:szCs w:val="20"/>
          <w:color w:val="231F20"/>
          <w:spacing w:val="14"/>
        </w:rPr>
        <w:t>基于循证的实践方案有利于临床护理质量的</w:t>
      </w:r>
      <w:r>
        <w:rPr>
          <w:rFonts w:ascii="NSimSun" w:hAnsi="NSimSun" w:eastAsia="NSimSun" w:cs="NSimSun"/>
          <w:sz w:val="20"/>
          <w:szCs w:val="20"/>
          <w:color w:val="231F20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231F20"/>
          <w:spacing w:val="13"/>
        </w:rPr>
        <w:t>持续改进</w:t>
      </w:r>
      <w:r>
        <w:rPr>
          <w:rFonts w:ascii="NSimSun" w:hAnsi="NSimSun" w:eastAsia="NSimSun" w:cs="NSimSun"/>
          <w:sz w:val="20"/>
          <w:szCs w:val="20"/>
          <w:color w:val="231F20"/>
          <w:spacing w:val="13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本科室在实施快速康复的过程中</w:t>
      </w:r>
      <w:r>
        <w:rPr>
          <w:rFonts w:ascii="SimSun" w:hAnsi="SimSun" w:eastAsia="SimSun" w:cs="SimSun"/>
          <w:sz w:val="19"/>
          <w:szCs w:val="19"/>
          <w:color w:val="231F20"/>
          <w:spacing w:val="-46"/>
        </w:rPr>
        <w:t xml:space="preserve"> </w:t>
      </w:r>
      <w:r>
        <w:rPr>
          <w:sz w:val="19"/>
          <w:szCs w:val="19"/>
          <w:color w:val="231F20"/>
          <w:spacing w:val="13"/>
        </w:rPr>
        <w:t>，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虽然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已经关注到早期进食的重要性</w:t>
      </w:r>
      <w:r>
        <w:rPr>
          <w:rFonts w:ascii="SimSun" w:hAnsi="SimSun" w:eastAsia="SimSun" w:cs="SimSun"/>
          <w:sz w:val="19"/>
          <w:szCs w:val="19"/>
          <w:color w:val="231F20"/>
          <w:spacing w:val="-42"/>
        </w:rPr>
        <w:t xml:space="preserve"> 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但仍将长时间禁食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作为急性胰腺炎的诊疗常规</w:t>
      </w:r>
      <w:r>
        <w:rPr>
          <w:sz w:val="19"/>
          <w:szCs w:val="19"/>
          <w:color w:val="231F20"/>
          <w:spacing w:val="18"/>
        </w:rPr>
        <w:t>。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随着医学的进步和发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展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急性胰腺炎早期进食的理念应该改变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早期进食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流程应该合理化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规范化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个体化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且明确早期进食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的适应证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基于以上证据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科内修订了轻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中重症急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性胰腺炎早期进食的标准化流程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并修订了轻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中重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症急性胰腺炎诊疗常规</w:t>
      </w:r>
      <w:r>
        <w:rPr>
          <w:sz w:val="19"/>
          <w:szCs w:val="19"/>
          <w:color w:val="231F20"/>
          <w:spacing w:val="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经第</w:t>
      </w: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7"/>
          <w:position w:val="-1"/>
        </w:rPr>
        <w:t>2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轮审查</w:t>
      </w:r>
      <w:r>
        <w:rPr>
          <w:sz w:val="19"/>
          <w:szCs w:val="19"/>
          <w:color w:val="231F20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除早期进食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情况达标率为</w:t>
      </w:r>
      <w:r>
        <w:rPr>
          <w:rFonts w:ascii="SimSun" w:hAnsi="SimSun" w:eastAsia="SimSun" w:cs="SimSun"/>
          <w:sz w:val="19"/>
          <w:szCs w:val="19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8"/>
        </w:rPr>
        <w:t>98％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外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sz w:val="19"/>
          <w:szCs w:val="19"/>
          <w:color w:val="231F20"/>
          <w:spacing w:val="8"/>
        </w:rPr>
        <w:t>，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其余</w:t>
      </w:r>
      <w:r>
        <w:rPr>
          <w:rFonts w:ascii="SimSun" w:hAnsi="SimSun" w:eastAsia="SimSun" w:cs="SimSun"/>
          <w:sz w:val="19"/>
          <w:szCs w:val="19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8"/>
          <w:position w:val="-1"/>
        </w:rPr>
        <w:t>4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条指标的达标率均达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3"/>
          <w:position w:val="1"/>
        </w:rPr>
        <w:t>到 </w:t>
      </w:r>
      <w:r>
        <w:rPr>
          <w:sz w:val="20"/>
          <w:szCs w:val="20"/>
          <w:color w:val="231F20"/>
          <w:spacing w:val="-13"/>
        </w:rPr>
        <w:t>100％</w:t>
      </w:r>
      <w:r>
        <w:rPr>
          <w:sz w:val="19"/>
          <w:szCs w:val="19"/>
          <w:color w:val="231F20"/>
          <w:spacing w:val="-13"/>
        </w:rPr>
        <w:t>。</w:t>
      </w:r>
    </w:p>
    <w:p>
      <w:pPr>
        <w:pStyle w:val="BodyText"/>
        <w:ind w:left="4"/>
        <w:spacing w:before="268" w:line="188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3"/>
          <w:position w:val="-1"/>
        </w:rPr>
        <w:t>5</w:t>
      </w:r>
      <w:r>
        <w:rPr>
          <w:sz w:val="20"/>
          <w:szCs w:val="20"/>
          <w:color w:val="231F20"/>
          <w:spacing w:val="15"/>
          <w:position w:val="-1"/>
        </w:rPr>
        <w:t xml:space="preserve">   </w:t>
      </w:r>
      <w:r>
        <w:rPr>
          <w:rFonts w:ascii="SimHei" w:hAnsi="SimHei" w:eastAsia="SimHei" w:cs="SimHei"/>
          <w:sz w:val="19"/>
          <w:szCs w:val="19"/>
          <w:color w:val="231F20"/>
          <w:spacing w:val="3"/>
        </w:rPr>
        <w:t>结论</w:t>
      </w:r>
    </w:p>
    <w:p>
      <w:pPr>
        <w:pStyle w:val="BodyText"/>
        <w:ind w:left="11" w:right="66" w:firstLine="419"/>
        <w:spacing w:before="44" w:line="203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轻</w:t>
      </w:r>
      <w:r>
        <w:rPr>
          <w:sz w:val="19"/>
          <w:szCs w:val="19"/>
          <w:color w:val="231F20"/>
          <w:spacing w:val="17"/>
        </w:rPr>
        <w:t>、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中重症急性胰腺炎患者早期进食最佳证据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应用</w:t>
      </w:r>
      <w:r>
        <w:rPr>
          <w:sz w:val="19"/>
          <w:szCs w:val="19"/>
          <w:color w:val="231F20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提高了患者早期</w:t>
      </w:r>
      <w:r>
        <w:rPr>
          <w:sz w:val="19"/>
          <w:szCs w:val="19"/>
          <w:color w:val="231F20"/>
          <w:spacing w:val="-2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入</w:t>
      </w:r>
      <w:r>
        <w:rPr>
          <w:rFonts w:ascii="SimSun" w:hAnsi="SimSun" w:eastAsia="SimSun" w:cs="SimSun"/>
          <w:sz w:val="19"/>
          <w:szCs w:val="19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院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48</w:t>
      </w:r>
      <w:r>
        <w:rPr>
          <w:sz w:val="20"/>
          <w:szCs w:val="20"/>
          <w:color w:val="231F20"/>
          <w:spacing w:val="23"/>
          <w:position w:val="-1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h</w:t>
      </w:r>
      <w:r>
        <w:rPr>
          <w:sz w:val="20"/>
          <w:szCs w:val="20"/>
          <w:color w:val="231F20"/>
          <w:spacing w:val="3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内</w:t>
      </w:r>
      <w:r>
        <w:rPr>
          <w:sz w:val="19"/>
          <w:szCs w:val="19"/>
          <w:color w:val="231F20"/>
          <w:spacing w:val="-2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进食率</w:t>
      </w:r>
      <w:r>
        <w:rPr>
          <w:sz w:val="19"/>
          <w:szCs w:val="19"/>
          <w:color w:val="231F20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减少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患者因饥饿带来的不适感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促进胃肠功能恢复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加速</w:t>
      </w:r>
    </w:p>
    <w:p>
      <w:pPr>
        <w:spacing w:line="203" w:lineRule="auto"/>
        <w:sectPr>
          <w:type w:val="continuous"/>
          <w:pgSz w:w="11905" w:h="16836"/>
          <w:pgMar w:top="1335" w:right="1072" w:bottom="0" w:left="407" w:header="979" w:footer="0" w:gutter="0"/>
          <w:cols w:equalWidth="0" w:num="2">
            <w:col w:w="5644" w:space="100"/>
            <w:col w:w="4681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129" w:lineRule="exact"/>
        <w:rPr/>
      </w:pP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720090</wp:posOffset>
            </wp:positionH>
            <wp:positionV relativeFrom="page">
              <wp:posOffset>850265</wp:posOffset>
            </wp:positionV>
            <wp:extent cx="6120129" cy="635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1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29" w:lineRule="exact"/>
        <w:sectPr>
          <w:headerReference w:type="default" r:id="rId11"/>
          <w:pgSz w:w="11905" w:h="16836"/>
          <w:pgMar w:top="1360" w:right="1122" w:bottom="0" w:left="407" w:header="1025" w:footer="0" w:gutter="0"/>
          <w:cols w:equalWidth="0" w:num="1">
            <w:col w:w="10374" w:space="0"/>
          </w:cols>
        </w:sectPr>
        <w:rPr/>
      </w:pPr>
    </w:p>
    <w:p>
      <w:pPr>
        <w:pStyle w:val="BodyText"/>
        <w:ind w:left="738" w:right="312" w:firstLine="10"/>
        <w:spacing w:before="44" w:line="231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患者康复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减少了住院时间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提高了医生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护士对证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据的知晓率</w:t>
      </w:r>
      <w:r>
        <w:rPr>
          <w:sz w:val="19"/>
          <w:szCs w:val="19"/>
          <w:color w:val="231F20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接受度</w:t>
      </w:r>
      <w:r>
        <w:rPr>
          <w:sz w:val="19"/>
          <w:szCs w:val="19"/>
          <w:color w:val="231F20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执行率</w:t>
      </w:r>
      <w:r>
        <w:rPr>
          <w:sz w:val="19"/>
          <w:szCs w:val="19"/>
          <w:color w:val="231F20"/>
          <w:spacing w:val="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因时间限制</w:t>
      </w:r>
      <w:r>
        <w:rPr>
          <w:sz w:val="19"/>
          <w:szCs w:val="19"/>
          <w:color w:val="231F20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本循征实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践活动也存在一定的局限性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15"/>
        </w:rPr>
        <w:t>，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仍需扩大样本量进一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步研究</w:t>
      </w:r>
      <w:r>
        <w:rPr>
          <w:sz w:val="19"/>
          <w:szCs w:val="19"/>
          <w:color w:val="231F20"/>
          <w:spacing w:val="15"/>
        </w:rPr>
        <w:t>。</w:t>
      </w:r>
    </w:p>
    <w:p>
      <w:pPr>
        <w:pStyle w:val="BodyText"/>
        <w:ind w:left="748" w:right="314" w:firstLine="409"/>
        <w:spacing w:before="2" w:line="225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6"/>
        </w:rPr>
        <w:t>[</w:t>
      </w:r>
      <w:r>
        <w:rPr>
          <w:rFonts w:ascii="SimHei" w:hAnsi="SimHei" w:eastAsia="SimHei" w:cs="SimHei"/>
          <w:sz w:val="19"/>
          <w:szCs w:val="19"/>
          <w:color w:val="231F20"/>
          <w:spacing w:val="16"/>
        </w:rPr>
        <w:t>致谢</w:t>
      </w:r>
      <w:r>
        <w:rPr>
          <w:sz w:val="20"/>
          <w:szCs w:val="20"/>
          <w:color w:val="231F20"/>
          <w:spacing w:val="16"/>
        </w:rPr>
        <w:t>]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感谢我院统计室梁永晴统计员对于该研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究统计分析的帮助</w:t>
      </w:r>
      <w:r>
        <w:rPr>
          <w:sz w:val="19"/>
          <w:szCs w:val="19"/>
          <w:color w:val="231F20"/>
          <w:spacing w:val="16"/>
        </w:rPr>
        <w:t>。</w:t>
      </w:r>
    </w:p>
    <w:p>
      <w:pPr>
        <w:pStyle w:val="BodyText"/>
        <w:ind w:left="2396"/>
        <w:spacing w:line="193" w:lineRule="auto"/>
        <w:rPr/>
      </w:pPr>
      <w:r>
        <w:rPr>
          <w:color w:val="231F20"/>
          <w:spacing w:val="5"/>
        </w:rPr>
        <w:t>[</w:t>
      </w:r>
      <w:r>
        <w:rPr>
          <w:rFonts w:ascii="SimHei" w:hAnsi="SimHei" w:eastAsia="SimHei" w:cs="SimHei"/>
          <w:sz w:val="16"/>
          <w:szCs w:val="16"/>
          <w:color w:val="231F20"/>
          <w:spacing w:val="5"/>
        </w:rPr>
        <w:t>参</w:t>
      </w:r>
      <w:r>
        <w:rPr>
          <w:rFonts w:ascii="SimHei" w:hAnsi="SimHei" w:eastAsia="SimHei" w:cs="SimHei"/>
          <w:sz w:val="16"/>
          <w:szCs w:val="16"/>
          <w:color w:val="231F20"/>
          <w:spacing w:val="5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5"/>
        </w:rPr>
        <w:t>考</w:t>
      </w:r>
      <w:r>
        <w:rPr>
          <w:rFonts w:ascii="SimHei" w:hAnsi="SimHei" w:eastAsia="SimHei" w:cs="SimHei"/>
          <w:sz w:val="16"/>
          <w:szCs w:val="16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5"/>
        </w:rPr>
        <w:t>文</w:t>
      </w:r>
      <w:r>
        <w:rPr>
          <w:rFonts w:ascii="SimHei" w:hAnsi="SimHei" w:eastAsia="SimHei" w:cs="SimHei"/>
          <w:sz w:val="16"/>
          <w:szCs w:val="16"/>
          <w:color w:val="231F20"/>
          <w:spacing w:val="5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5"/>
        </w:rPr>
        <w:t>献</w:t>
      </w:r>
      <w:r>
        <w:rPr>
          <w:color w:val="231F20"/>
          <w:spacing w:val="5"/>
        </w:rPr>
        <w:t>]</w:t>
      </w:r>
    </w:p>
    <w:p>
      <w:pPr>
        <w:pStyle w:val="BodyText"/>
        <w:ind w:left="982" w:right="306" w:hanging="248"/>
        <w:spacing w:before="74" w:line="192" w:lineRule="auto"/>
        <w:rPr/>
      </w:pPr>
      <w:r>
        <w:rPr>
          <w:color w:val="231F20"/>
          <w:spacing w:val="-14"/>
        </w:rPr>
        <w:t>[1]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4"/>
        </w:rPr>
        <w:t>Vege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4"/>
        </w:rPr>
        <w:t>SS,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4"/>
        </w:rPr>
        <w:t>Gardner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TB,Chari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4"/>
        </w:rPr>
        <w:t>ST,et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4"/>
        </w:rPr>
        <w:t>al．Low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Mortality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4"/>
        </w:rPr>
        <w:t>High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Morbidity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2"/>
        </w:rPr>
        <w:t>Severe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2"/>
        </w:rPr>
        <w:t>Acute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2"/>
        </w:rPr>
        <w:t>Pancreat</w:t>
      </w:r>
      <w:r>
        <w:rPr>
          <w:color w:val="231F20"/>
          <w:spacing w:val="-13"/>
        </w:rPr>
        <w:t>itis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3"/>
        </w:rPr>
        <w:t>without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3"/>
        </w:rPr>
        <w:t>Organ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3"/>
        </w:rPr>
        <w:t>Fail-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ure</w:t>
      </w:r>
      <w:r>
        <w:rPr>
          <w:sz w:val="16"/>
          <w:szCs w:val="16"/>
          <w:color w:val="231F20"/>
          <w:spacing w:val="-11"/>
        </w:rPr>
        <w:t>：</w:t>
      </w:r>
      <w:r>
        <w:rPr>
          <w:color w:val="231F20"/>
          <w:spacing w:val="-11"/>
        </w:rPr>
        <w:t>A  Case  for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1"/>
        </w:rPr>
        <w:t>Revisin</w:t>
      </w:r>
      <w:r>
        <w:rPr>
          <w:color w:val="231F20"/>
          <w:spacing w:val="-12"/>
        </w:rPr>
        <w:t>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2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2"/>
        </w:rPr>
        <w:t>Atlanta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2"/>
        </w:rPr>
        <w:t>Classification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to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2"/>
        </w:rPr>
        <w:t>In-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clude</w:t>
      </w:r>
      <w:r>
        <w:rPr>
          <w:sz w:val="16"/>
          <w:szCs w:val="16"/>
          <w:color w:val="231F20"/>
          <w:spacing w:val="-15"/>
        </w:rPr>
        <w:t>“</w:t>
      </w:r>
      <w:r>
        <w:rPr>
          <w:color w:val="231F20"/>
          <w:spacing w:val="-15"/>
        </w:rPr>
        <w:t>Moderately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5"/>
        </w:rPr>
        <w:t>Severe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5"/>
        </w:rPr>
        <w:t>Acute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5"/>
        </w:rPr>
        <w:t>P</w:t>
      </w:r>
      <w:r>
        <w:rPr>
          <w:color w:val="231F20"/>
          <w:spacing w:val="-16"/>
        </w:rPr>
        <w:t>ancreatitis</w:t>
      </w:r>
      <w:r>
        <w:rPr>
          <w:sz w:val="16"/>
          <w:szCs w:val="16"/>
          <w:color w:val="231F20"/>
          <w:spacing w:val="-16"/>
        </w:rPr>
        <w:t>”</w:t>
      </w:r>
      <w:r>
        <w:rPr>
          <w:color w:val="231F20"/>
          <w:spacing w:val="-16"/>
        </w:rPr>
        <w:t>[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6"/>
        </w:rPr>
        <w:t>J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6"/>
        </w:rPr>
        <w:t>]．Am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6"/>
        </w:rPr>
        <w:t>J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6"/>
        </w:rPr>
        <w:t>Gas-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troenterol,2009,104(3):710-715.D</w:t>
      </w:r>
      <w:r>
        <w:rPr>
          <w:color w:val="231F20"/>
          <w:spacing w:val="-9"/>
        </w:rPr>
        <w:t>OI:10.1038/ajg.2008.77.</w:t>
      </w:r>
    </w:p>
    <w:p>
      <w:pPr>
        <w:pStyle w:val="BodyText"/>
        <w:ind w:left="984" w:right="309" w:hanging="250"/>
        <w:spacing w:before="42" w:line="193" w:lineRule="auto"/>
        <w:rPr/>
      </w:pPr>
      <w:r>
        <w:rPr>
          <w:color w:val="231F20"/>
          <w:spacing w:val="-9"/>
        </w:rPr>
        <w:t>[2]  Ragins  H,  Levenson  SM,  Signer  R,  et  al.  Intra</w:t>
      </w:r>
      <w:r>
        <w:rPr>
          <w:color w:val="231F20"/>
          <w:spacing w:val="-10"/>
        </w:rPr>
        <w:t>jejunal  Ad-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ministration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2"/>
        </w:rPr>
        <w:t>Elementa</w:t>
      </w:r>
      <w:r>
        <w:rPr>
          <w:color w:val="231F20"/>
          <w:spacing w:val="-13"/>
        </w:rPr>
        <w:t>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3"/>
        </w:rPr>
        <w:t>Diet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3"/>
        </w:rPr>
        <w:t>at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3"/>
        </w:rPr>
        <w:t>Neutral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PH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Avoids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Pn-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creatic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9"/>
        </w:rPr>
        <w:t>Stimulation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[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J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].  Am  J  Surg,   </w:t>
      </w:r>
      <w:r>
        <w:rPr>
          <w:color w:val="231F20"/>
          <w:spacing w:val="-10"/>
        </w:rPr>
        <w:t>1973,126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(5):606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-614.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DOI:10.1016/s0002-9610(73)8</w:t>
      </w:r>
      <w:r>
        <w:rPr>
          <w:color w:val="231F20"/>
          <w:spacing w:val="-8"/>
        </w:rPr>
        <w:t>0007-8.</w:t>
      </w:r>
    </w:p>
    <w:p>
      <w:pPr>
        <w:pStyle w:val="BodyText"/>
        <w:ind w:left="981" w:right="310" w:hanging="247"/>
        <w:spacing w:before="29" w:line="190" w:lineRule="auto"/>
        <w:rPr/>
      </w:pPr>
      <w:r>
        <w:rPr>
          <w:color w:val="231F20"/>
          <w:spacing w:val="-9"/>
        </w:rPr>
        <w:t>[3]  Petrov  MS,  McIlro</w:t>
      </w:r>
      <w:r>
        <w:rPr>
          <w:color w:val="231F20"/>
          <w:spacing w:val="-10"/>
        </w:rPr>
        <w:t>y  K,  Grayson  L,  et  al.  Early  Nasogastric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Tube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4"/>
        </w:rPr>
        <w:t>Feeding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4"/>
        </w:rPr>
        <w:t>Versus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4"/>
        </w:rPr>
        <w:t>Nil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4"/>
        </w:rPr>
        <w:t>Per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4"/>
        </w:rPr>
        <w:t>Os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4"/>
        </w:rPr>
        <w:t>Mild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4"/>
        </w:rPr>
        <w:t>to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4"/>
        </w:rPr>
        <w:t>Moderate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4"/>
        </w:rPr>
        <w:t>Acute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Pancreatitis:  A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Randomized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Controlled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Tria</w:t>
      </w:r>
      <w:r>
        <w:rPr>
          <w:color w:val="231F20"/>
          <w:spacing w:val="-10"/>
        </w:rPr>
        <w:t>l[ J ].  Clin  Nutr,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2013,32(5):697-703.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DO</w:t>
      </w:r>
      <w:r>
        <w:rPr>
          <w:color w:val="231F20"/>
          <w:spacing w:val="-7"/>
        </w:rPr>
        <w:t>I:10.1016/j.clnu.2012.12.011.</w:t>
      </w:r>
    </w:p>
    <w:p>
      <w:pPr>
        <w:pStyle w:val="BodyText"/>
        <w:ind w:left="982" w:right="309" w:hanging="248"/>
        <w:spacing w:before="38" w:line="199" w:lineRule="auto"/>
        <w:rPr/>
      </w:pPr>
      <w:r>
        <w:rPr>
          <w:color w:val="231F20"/>
          <w:spacing w:val="-11"/>
        </w:rPr>
        <w:t>[4]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Jacobson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1"/>
        </w:rPr>
        <w:t>BC,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1"/>
        </w:rPr>
        <w:t>Vander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Vl</w:t>
      </w:r>
      <w:r>
        <w:rPr>
          <w:color w:val="231F20"/>
          <w:spacing w:val="-12"/>
        </w:rPr>
        <w:t>iet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MB,Hughes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MD,et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al.A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2"/>
        </w:rPr>
        <w:t>Prospec-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tive,Randomized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Trial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Clear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0"/>
        </w:rPr>
        <w:t>Liquids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Versus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Low-fa</w:t>
      </w:r>
      <w:r>
        <w:rPr>
          <w:color w:val="231F20"/>
          <w:spacing w:val="-11"/>
        </w:rPr>
        <w:t>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1"/>
        </w:rPr>
        <w:t>Solid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Diet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as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Initial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Meal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Mild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Acute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Pancrea</w:t>
      </w:r>
      <w:r>
        <w:rPr>
          <w:color w:val="231F20"/>
          <w:spacing w:val="-10"/>
        </w:rPr>
        <w:t>titis[ J ].  Clin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Gastroenterol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Hepatol,2007,5(8):946-951.DOI:10.1016</w:t>
      </w:r>
      <w:r>
        <w:rPr>
          <w:color w:val="231F20"/>
          <w:spacing w:val="-10"/>
        </w:rPr>
        <w:t>/j.cgh.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2007.04.012.</w:t>
      </w:r>
    </w:p>
    <w:p>
      <w:pPr>
        <w:pStyle w:val="BodyText"/>
        <w:ind w:left="984" w:right="308" w:hanging="250"/>
        <w:spacing w:before="5" w:line="198" w:lineRule="auto"/>
        <w:rPr/>
      </w:pPr>
      <w:r>
        <w:rPr>
          <w:color w:val="231F20"/>
          <w:spacing w:val="-9"/>
        </w:rPr>
        <w:t>[5]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Sathiaraj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E,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Murthy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S,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Mansard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MJ,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et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al.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Clin</w:t>
      </w:r>
      <w:r>
        <w:rPr>
          <w:color w:val="231F20"/>
          <w:spacing w:val="-10"/>
        </w:rPr>
        <w:t>ical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Trial: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0"/>
        </w:rPr>
        <w:t>Ar-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Feeding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</w:rPr>
        <w:t>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Soft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Diet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3"/>
        </w:rPr>
        <w:t>Compared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Clear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</w:rPr>
        <w:t>Liqui</w:t>
      </w:r>
      <w:r>
        <w:rPr>
          <w:color w:val="231F20"/>
          <w:spacing w:val="-14"/>
        </w:rPr>
        <w:t>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4"/>
        </w:rPr>
        <w:t>Ciet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0"/>
        </w:rPr>
        <w:t>Initial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0"/>
        </w:rPr>
        <w:t>Meal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0"/>
        </w:rPr>
        <w:t>Mild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0"/>
        </w:rPr>
        <w:t>Acute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Pancreatitis[ J ].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Ali</w:t>
      </w:r>
      <w:r>
        <w:rPr>
          <w:color w:val="231F20"/>
          <w:spacing w:val="-11"/>
        </w:rPr>
        <w:t>ment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1"/>
        </w:rPr>
        <w:t>Phar-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macol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Ther,2008,28(6):777-781.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DOI:10.1111/j.1365-2036.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2008.03794.x</w:t>
      </w:r>
    </w:p>
    <w:p>
      <w:pPr>
        <w:pStyle w:val="BodyText"/>
        <w:ind w:left="982" w:right="296" w:hanging="248"/>
        <w:spacing w:before="2" w:line="191" w:lineRule="auto"/>
        <w:rPr/>
      </w:pPr>
      <w:r>
        <w:rPr>
          <w:color w:val="231F20"/>
          <w:spacing w:val="-9"/>
        </w:rPr>
        <w:t>[6]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Oláh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A,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Romics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9"/>
        </w:rPr>
        <w:t>Jr.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Eviden</w:t>
      </w:r>
      <w:r>
        <w:rPr>
          <w:color w:val="231F20"/>
          <w:spacing w:val="-10"/>
        </w:rPr>
        <w:t>ce-based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0"/>
        </w:rPr>
        <w:t>Use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Enteral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0"/>
        </w:rPr>
        <w:t>Nutri-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0"/>
        </w:rPr>
        <w:t>Acute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0"/>
        </w:rPr>
        <w:t>Pancreatitis[ J ].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0"/>
        </w:rPr>
        <w:t>Lan</w:t>
      </w:r>
      <w:r>
        <w:rPr>
          <w:color w:val="231F20"/>
          <w:spacing w:val="-11"/>
        </w:rPr>
        <w:t>genbecks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1"/>
        </w:rPr>
        <w:t>Arch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1"/>
        </w:rPr>
        <w:t>Surg,2010,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395(4):309-316.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DOI:10.1007/s00423-010-0631-4.</w:t>
      </w:r>
    </w:p>
    <w:p>
      <w:pPr>
        <w:pStyle w:val="BodyText"/>
        <w:ind w:left="982" w:right="296" w:hanging="248"/>
        <w:spacing w:before="27" w:line="192" w:lineRule="auto"/>
        <w:rPr/>
      </w:pPr>
      <w:r>
        <w:rPr>
          <w:color w:val="231F20"/>
          <w:spacing w:val="-11"/>
        </w:rPr>
        <w:t>[7]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1"/>
        </w:rPr>
        <w:t>Petrov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1"/>
        </w:rPr>
        <w:t>MS,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1"/>
        </w:rPr>
        <w:t>Van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1"/>
        </w:rPr>
        <w:t>Santvoort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1"/>
        </w:rPr>
        <w:t>HC,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1"/>
        </w:rPr>
        <w:t>Bes</w:t>
      </w:r>
      <w:r>
        <w:rPr>
          <w:color w:val="231F20"/>
          <w:spacing w:val="-12"/>
        </w:rPr>
        <w:t>selink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2"/>
        </w:rPr>
        <w:t>MG,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2"/>
        </w:rPr>
        <w:t>et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2"/>
        </w:rPr>
        <w:t>al.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2"/>
        </w:rPr>
        <w:t>Enteral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Nutrition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Risk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Mortality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Infectious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3"/>
        </w:rPr>
        <w:t>Complica-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tions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1"/>
        </w:rPr>
        <w:t>Patients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1"/>
        </w:rPr>
        <w:t>with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1"/>
        </w:rPr>
        <w:t>Severe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1"/>
        </w:rPr>
        <w:t>Acute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1"/>
        </w:rPr>
        <w:t>Pancreatitis:    A  Meta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analysis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Randomized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Trials[ J ].  Arch  Surg,2008,143(11):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1111.DOI:10.1001/arch</w:t>
      </w:r>
      <w:r>
        <w:rPr>
          <w:color w:val="231F20"/>
          <w:spacing w:val="-9"/>
        </w:rPr>
        <w:t>surg.143.11.1111.</w:t>
      </w:r>
    </w:p>
    <w:p>
      <w:pPr>
        <w:pStyle w:val="BodyText"/>
        <w:ind w:left="983" w:right="307" w:hanging="249"/>
        <w:spacing w:before="39" w:line="199" w:lineRule="auto"/>
        <w:rPr/>
      </w:pPr>
      <w:r>
        <w:rPr>
          <w:color w:val="231F20"/>
          <w:spacing w:val="-11"/>
        </w:rPr>
        <w:t>[8]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1"/>
        </w:rPr>
        <w:t>Wang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1"/>
        </w:rPr>
        <w:t>G,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1"/>
        </w:rPr>
        <w:t>Wen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1"/>
        </w:rPr>
        <w:t>J,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1"/>
        </w:rPr>
        <w:t>Xu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1"/>
        </w:rPr>
        <w:t>L,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1"/>
        </w:rPr>
        <w:t>et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al.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1"/>
        </w:rPr>
        <w:t>Effect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Enteral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1"/>
        </w:rPr>
        <w:t>Nutrition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Ecoimmunonutrition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Bacterial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Translocation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Cytokine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Production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Patients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0"/>
        </w:rPr>
        <w:t>Seve</w:t>
      </w:r>
      <w:r>
        <w:rPr>
          <w:color w:val="231F20"/>
          <w:spacing w:val="-11"/>
        </w:rPr>
        <w:t>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1"/>
        </w:rPr>
        <w:t>Acute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1"/>
        </w:rPr>
        <w:t>Pancreatitis[ J ].  J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Surg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7"/>
        </w:rPr>
        <w:t>Res,2013,183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(2):592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-5</w:t>
      </w:r>
      <w:r>
        <w:rPr>
          <w:color w:val="231F20"/>
          <w:spacing w:val="-8"/>
        </w:rPr>
        <w:t>97.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DOI:10.1016/j.jss.2012.12.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010.</w:t>
      </w:r>
    </w:p>
    <w:p>
      <w:pPr>
        <w:pStyle w:val="BodyText"/>
        <w:ind w:left="981" w:right="296" w:hanging="247"/>
        <w:spacing w:before="4" w:line="194" w:lineRule="auto"/>
        <w:rPr/>
      </w:pPr>
      <w:r>
        <w:rPr>
          <w:color w:val="231F20"/>
          <w:spacing w:val="-10"/>
        </w:rPr>
        <w:t>[9]  Casas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0"/>
        </w:rPr>
        <w:t>M,  Mora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0"/>
        </w:rPr>
        <w:t>J,  Fort  E,  et  al.  Total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0"/>
        </w:rPr>
        <w:t>Enteral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0"/>
        </w:rPr>
        <w:t>Nutrition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0"/>
        </w:rPr>
        <w:t>vs.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Total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2"/>
        </w:rPr>
        <w:t>Parenteral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2"/>
        </w:rPr>
        <w:t>Nutrition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Patients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wi</w:t>
      </w:r>
      <w:r>
        <w:rPr>
          <w:color w:val="231F20"/>
          <w:spacing w:val="-13"/>
        </w:rPr>
        <w:t>th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Severe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Acute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Pan-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creatitis[ J ].Rev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Esp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Enferm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D</w:t>
      </w:r>
      <w:r>
        <w:rPr>
          <w:color w:val="231F20"/>
          <w:spacing w:val="-8"/>
        </w:rPr>
        <w:t>ig,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2007,99(5):264-269.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10.4321/s1130-01082007000500004.</w:t>
      </w:r>
    </w:p>
    <w:p>
      <w:pPr>
        <w:pStyle w:val="BodyText"/>
        <w:ind w:left="1066" w:right="310" w:hanging="332"/>
        <w:spacing w:before="20" w:line="196" w:lineRule="auto"/>
        <w:rPr/>
      </w:pPr>
      <w:r>
        <w:rPr>
          <w:color w:val="231F20"/>
          <w:spacing w:val="-10"/>
        </w:rPr>
        <w:t>[10]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0"/>
        </w:rPr>
        <w:t>Gupta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0"/>
        </w:rPr>
        <w:t>R,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Patel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0"/>
        </w:rPr>
        <w:t>K,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0"/>
        </w:rPr>
        <w:t>Calder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PC,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0"/>
        </w:rPr>
        <w:t>et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0"/>
        </w:rPr>
        <w:t>al.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0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0"/>
        </w:rPr>
        <w:t>Randomised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0"/>
        </w:rPr>
        <w:t>Clinical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Trial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1"/>
        </w:rPr>
        <w:t>to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1"/>
        </w:rPr>
        <w:t>Assess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1"/>
        </w:rPr>
        <w:t>Effect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1"/>
        </w:rPr>
        <w:t>Total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1"/>
        </w:rPr>
        <w:t>Enteral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1"/>
        </w:rPr>
        <w:t>Tot</w:t>
      </w:r>
      <w:r>
        <w:rPr>
          <w:color w:val="231F20"/>
          <w:spacing w:val="-12"/>
        </w:rPr>
        <w:t>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2"/>
        </w:rPr>
        <w:t>Par-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enteral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4"/>
        </w:rPr>
        <w:t>Nutritional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4"/>
        </w:rPr>
        <w:t>Support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4"/>
        </w:rPr>
        <w:t>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Metabolic,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4"/>
        </w:rPr>
        <w:t>Infla</w:t>
      </w:r>
      <w:r>
        <w:rPr>
          <w:color w:val="231F20"/>
          <w:spacing w:val="-15"/>
        </w:rPr>
        <w:t>mmatory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Oxidative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2"/>
        </w:rPr>
        <w:t>Markers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2"/>
        </w:rPr>
        <w:t>Patients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2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2"/>
        </w:rPr>
        <w:t>Predic</w:t>
      </w:r>
      <w:r>
        <w:rPr>
          <w:color w:val="231F20"/>
          <w:spacing w:val="-13"/>
        </w:rPr>
        <w:t>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3"/>
        </w:rPr>
        <w:t>Severe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Acute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Pancreatitis(APACHE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9"/>
        </w:rPr>
        <w:t>II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&gt;or=6)[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J ].Pa</w:t>
      </w:r>
      <w:r>
        <w:rPr>
          <w:color w:val="231F20"/>
          <w:spacing w:val="-10"/>
        </w:rPr>
        <w:t>ncreatology,2003,3(5):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406-413.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DOI:10.1159/000073657.</w:t>
      </w:r>
    </w:p>
    <w:p>
      <w:pPr>
        <w:pStyle w:val="BodyText"/>
        <w:ind w:left="1071" w:right="311" w:hanging="337"/>
        <w:spacing w:before="19" w:line="182" w:lineRule="auto"/>
        <w:rPr/>
      </w:pPr>
      <w:r>
        <w:rPr>
          <w:color w:val="231F20"/>
          <w:spacing w:val="-9"/>
        </w:rPr>
        <w:t>[11]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9"/>
        </w:rPr>
        <w:t>Yi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F,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9"/>
        </w:rPr>
        <w:t>Ge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L,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Zhao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J,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9"/>
        </w:rPr>
        <w:t>et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al.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9"/>
        </w:rPr>
        <w:t>Meta-analysis: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9"/>
        </w:rPr>
        <w:t>Total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Parenteral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Nutrition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0"/>
        </w:rPr>
        <w:t>Versus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0"/>
        </w:rPr>
        <w:t>Total  Enteral  Nut</w:t>
      </w:r>
      <w:r>
        <w:rPr>
          <w:color w:val="231F20"/>
          <w:spacing w:val="-11"/>
        </w:rPr>
        <w:t>rition  in  Predicted  Se-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3"/>
        <w:spacing w:before="68" w:line="176" w:lineRule="auto"/>
        <w:jc w:val="right"/>
        <w:rPr/>
      </w:pPr>
      <w:r>
        <w:rPr>
          <w:color w:val="231F20"/>
          <w:spacing w:val="-9"/>
        </w:rPr>
        <w:t>vere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Acute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Pancreatitis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[ J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].  Intern  Med,  2012,51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(6):5</w:t>
      </w:r>
      <w:r>
        <w:rPr>
          <w:color w:val="231F20"/>
          <w:spacing w:val="-10"/>
        </w:rPr>
        <w:t>23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-</w:t>
      </w:r>
    </w:p>
    <w:p>
      <w:pPr>
        <w:pStyle w:val="BodyText"/>
        <w:ind w:left="336"/>
        <w:spacing w:before="26" w:line="183" w:lineRule="auto"/>
        <w:rPr/>
      </w:pPr>
      <w:r>
        <w:rPr>
          <w:color w:val="231F20"/>
          <w:spacing w:val="-9"/>
        </w:rPr>
        <w:t>530.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DOI:10.2169/Internalmedicine.51.6685.</w:t>
      </w:r>
    </w:p>
    <w:p>
      <w:pPr>
        <w:pStyle w:val="BodyText"/>
        <w:ind w:left="331" w:right="12" w:hanging="331"/>
        <w:spacing w:before="18" w:line="199" w:lineRule="auto"/>
        <w:rPr/>
      </w:pPr>
      <w:r>
        <w:rPr>
          <w:color w:val="231F20"/>
          <w:spacing w:val="-12"/>
        </w:rPr>
        <w:t>[12]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2"/>
        </w:rPr>
        <w:t>Aromataris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E,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2"/>
        </w:rPr>
        <w:t>Fernandez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2"/>
        </w:rPr>
        <w:t>R,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2"/>
        </w:rPr>
        <w:t>Godfrey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2"/>
        </w:rPr>
        <w:t>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2"/>
        </w:rPr>
        <w:t>M,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2"/>
        </w:rPr>
        <w:t>et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2"/>
        </w:rPr>
        <w:t>al</w:t>
      </w:r>
      <w:r>
        <w:rPr>
          <w:color w:val="231F20"/>
          <w:spacing w:val="-13"/>
        </w:rPr>
        <w:t>.Summariz-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3"/>
        </w:rPr>
        <w:t>Systematic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3"/>
        </w:rPr>
        <w:t>Reviews:</w:t>
      </w:r>
      <w:r>
        <w:rPr>
          <w:color w:val="231F20"/>
          <w:spacing w:val="-14"/>
        </w:rPr>
        <w:t xml:space="preserve">  Methodological  Development,Con-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duct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Reporting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of 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3"/>
        </w:rPr>
        <w:t>Umbrella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Review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Approach[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J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].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Int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J Evid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Based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Healthc,2015,13(3):132140.DOI:10.1097/XEB.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0000000000000055.</w:t>
      </w:r>
    </w:p>
    <w:p>
      <w:pPr>
        <w:pStyle w:val="BodyText"/>
        <w:ind w:left="333" w:right="11" w:hanging="333"/>
        <w:spacing w:before="1" w:line="193" w:lineRule="auto"/>
        <w:rPr/>
      </w:pPr>
      <w:r>
        <w:rPr>
          <w:color w:val="231F20"/>
          <w:spacing w:val="-9"/>
        </w:rPr>
        <w:t>[13]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Dicenso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A,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Bayley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L,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Haynes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RB.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Accessing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Pre-appraised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Evidence: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1"/>
        </w:rPr>
        <w:t>Fine-tuning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1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1"/>
        </w:rPr>
        <w:t>5S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1"/>
        </w:rPr>
        <w:t>Model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1"/>
        </w:rPr>
        <w:t>into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1"/>
        </w:rPr>
        <w:t>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1"/>
        </w:rPr>
        <w:t>6S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1"/>
        </w:rPr>
        <w:t>Mo</w:t>
      </w:r>
      <w:r>
        <w:rPr>
          <w:color w:val="231F20"/>
          <w:spacing w:val="-12"/>
        </w:rPr>
        <w:t>del[ J ].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Evid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Based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Nurs,2009,12(4):</w:t>
      </w:r>
      <w:r>
        <w:rPr>
          <w:color w:val="231F20"/>
          <w:spacing w:val="-8"/>
        </w:rPr>
        <w:t>99-101.  DOI:10.1136/ebn.12.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4.99-b.</w:t>
      </w:r>
    </w:p>
    <w:p>
      <w:pPr>
        <w:pStyle w:val="BodyText"/>
        <w:ind w:left="336" w:right="9" w:hanging="336"/>
        <w:spacing w:before="2" w:line="198" w:lineRule="auto"/>
        <w:rPr/>
      </w:pPr>
      <w:r>
        <w:rPr>
          <w:color w:val="231F20"/>
          <w:spacing w:val="11"/>
          <w:position w:val="-1"/>
        </w:rPr>
        <w:t>[14]</w:t>
      </w:r>
      <w:r>
        <w:rPr>
          <w:color w:val="231F20"/>
          <w:spacing w:val="40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中华医学会消化病学分会胰腺疾病学组</w:t>
      </w:r>
      <w:r>
        <w:rPr>
          <w:color w:val="231F20"/>
          <w:spacing w:val="11"/>
          <w:position w:val="-1"/>
        </w:rPr>
        <w:t>,</w:t>
      </w:r>
      <w:r>
        <w:rPr>
          <w:sz w:val="16"/>
          <w:szCs w:val="16"/>
          <w:color w:val="231F20"/>
          <w:spacing w:val="11"/>
        </w:rPr>
        <w:t>《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中华胰腺病杂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志</w:t>
      </w:r>
      <w:r>
        <w:rPr>
          <w:sz w:val="16"/>
          <w:szCs w:val="16"/>
          <w:color w:val="231F20"/>
          <w:spacing w:val="1"/>
        </w:rPr>
        <w:t>》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编辑委</w:t>
      </w:r>
      <w:r>
        <w:rPr>
          <w:rFonts w:ascii="SimSun" w:hAnsi="SimSun" w:eastAsia="SimSun" w:cs="SimSun"/>
          <w:sz w:val="16"/>
          <w:szCs w:val="16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员会</w:t>
      </w:r>
      <w:r>
        <w:rPr>
          <w:color w:val="231F20"/>
          <w:spacing w:val="1"/>
          <w:position w:val="-1"/>
        </w:rPr>
        <w:t>,</w:t>
      </w:r>
      <w:r>
        <w:rPr>
          <w:sz w:val="16"/>
          <w:szCs w:val="16"/>
          <w:color w:val="231F20"/>
          <w:spacing w:val="1"/>
        </w:rPr>
        <w:t>《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中华消化杂</w:t>
      </w:r>
      <w:r>
        <w:rPr>
          <w:rFonts w:ascii="SimSun" w:hAnsi="SimSun" w:eastAsia="SimSun" w:cs="SimSun"/>
          <w:sz w:val="16"/>
          <w:szCs w:val="16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志</w:t>
      </w:r>
      <w:r>
        <w:rPr>
          <w:sz w:val="16"/>
          <w:szCs w:val="16"/>
          <w:color w:val="231F20"/>
          <w:spacing w:val="1"/>
        </w:rPr>
        <w:t>》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编辑委</w:t>
      </w:r>
      <w:r>
        <w:rPr>
          <w:rFonts w:ascii="SimSun" w:hAnsi="SimSun" w:eastAsia="SimSun" w:cs="SimSun"/>
          <w:sz w:val="16"/>
          <w:szCs w:val="16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员会</w:t>
      </w:r>
      <w:r>
        <w:rPr>
          <w:color w:val="231F20"/>
          <w:spacing w:val="1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中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国</w:t>
      </w:r>
      <w:r>
        <w:rPr>
          <w:rFonts w:ascii="SimSun" w:hAnsi="SimSun" w:eastAsia="SimSun" w:cs="SimSun"/>
          <w:sz w:val="16"/>
          <w:szCs w:val="16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急性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胰腺炎诊治指南</w:t>
      </w:r>
      <w:r>
        <w:rPr>
          <w:sz w:val="16"/>
          <w:szCs w:val="16"/>
          <w:color w:val="231F20"/>
          <w:spacing w:val="7"/>
        </w:rPr>
        <w:t>（</w:t>
      </w:r>
      <w:r>
        <w:rPr>
          <w:color w:val="231F20"/>
          <w:spacing w:val="7"/>
        </w:rPr>
        <w:t>2013</w:t>
      </w:r>
      <w:r>
        <w:rPr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年</w:t>
      </w:r>
      <w:r>
        <w:rPr>
          <w:color w:val="231F20"/>
          <w:spacing w:val="7"/>
        </w:rPr>
        <w:t>,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上海</w:t>
      </w:r>
      <w:r>
        <w:rPr>
          <w:sz w:val="16"/>
          <w:szCs w:val="16"/>
          <w:color w:val="231F20"/>
          <w:spacing w:val="7"/>
        </w:rPr>
        <w:t>）</w:t>
      </w:r>
      <w:r>
        <w:rPr>
          <w:color w:val="231F20"/>
          <w:spacing w:val="7"/>
        </w:rPr>
        <w:t>[ J ]</w:t>
      </w:r>
      <w:r>
        <w:rPr>
          <w:color w:val="231F20"/>
          <w:spacing w:val="6"/>
        </w:rPr>
        <w:t>．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临床肝胆病杂志</w:t>
      </w:r>
      <w:r>
        <w:rPr>
          <w:color w:val="231F20"/>
          <w:spacing w:val="6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2013,29(9):656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-660．</w:t>
      </w:r>
    </w:p>
    <w:p>
      <w:pPr>
        <w:pStyle w:val="BodyText"/>
        <w:ind w:left="342" w:right="20" w:hanging="342"/>
        <w:spacing w:before="1" w:line="198" w:lineRule="auto"/>
        <w:rPr/>
      </w:pPr>
      <w:r>
        <w:rPr>
          <w:color w:val="231F20"/>
          <w:spacing w:val="12"/>
          <w:position w:val="-1"/>
        </w:rPr>
        <w:t>[15]</w:t>
      </w:r>
      <w:r>
        <w:rPr>
          <w:color w:val="231F20"/>
          <w:spacing w:val="2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吴超君</w:t>
      </w:r>
      <w:r>
        <w:rPr>
          <w:color w:val="231F20"/>
          <w:spacing w:val="12"/>
          <w:position w:val="-1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缪晶</w:t>
      </w:r>
      <w:r>
        <w:rPr>
          <w:color w:val="231F20"/>
          <w:spacing w:val="12"/>
          <w:position w:val="-1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张昕童</w:t>
      </w:r>
      <w:r>
        <w:rPr>
          <w:color w:val="231F20"/>
          <w:spacing w:val="12"/>
          <w:position w:val="-1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等</w:t>
      </w:r>
      <w:r>
        <w:rPr>
          <w:color w:val="231F20"/>
          <w:spacing w:val="12"/>
          <w:position w:val="-1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成人输液港堵塞预防与处理的证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据总结</w:t>
      </w:r>
      <w:r>
        <w:rPr>
          <w:color w:val="231F20"/>
          <w:spacing w:val="1"/>
        </w:rPr>
        <w:t>[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J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].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中华护理杂志</w:t>
      </w:r>
      <w:r>
        <w:rPr>
          <w:color w:val="231F20"/>
          <w:spacing w:val="1"/>
        </w:rPr>
        <w:t>,2018,53(3):346-35</w:t>
      </w:r>
      <w:r>
        <w:rPr>
          <w:color w:val="231F20"/>
        </w:rPr>
        <w:t>1.</w:t>
      </w:r>
    </w:p>
    <w:p>
      <w:pPr>
        <w:pStyle w:val="BodyText"/>
        <w:ind w:left="338" w:right="14" w:hanging="338"/>
        <w:spacing w:before="1" w:line="195" w:lineRule="auto"/>
        <w:rPr/>
      </w:pPr>
      <w:r>
        <w:rPr>
          <w:color w:val="231F20"/>
          <w:spacing w:val="10"/>
        </w:rPr>
        <w:t>[16] 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中国医师协会急诊医师分会</w:t>
      </w:r>
      <w:r>
        <w:rPr>
          <w:color w:val="231F20"/>
          <w:spacing w:val="10"/>
        </w:rPr>
        <w:t>.2013</w:t>
      </w:r>
      <w:r>
        <w:rPr>
          <w:color w:val="231F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中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国急诊急性胰腺炎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临床实践指南</w:t>
      </w:r>
      <w:r>
        <w:rPr>
          <w:color w:val="231F20"/>
          <w:spacing w:val="2"/>
        </w:rPr>
        <w:t>[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J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].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中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国急救医学</w:t>
      </w:r>
      <w:r>
        <w:rPr>
          <w:color w:val="231F20"/>
          <w:spacing w:val="2"/>
        </w:rPr>
        <w:t>,201</w:t>
      </w:r>
      <w:r>
        <w:rPr>
          <w:color w:val="231F20"/>
          <w:spacing w:val="1"/>
        </w:rPr>
        <w:t>3,33(12):1057-1071.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DOI:10.3969/j.issn.10</w:t>
      </w:r>
      <w:r>
        <w:rPr>
          <w:color w:val="231F20"/>
          <w:spacing w:val="-7"/>
        </w:rPr>
        <w:t>02-1949.2013.12.001.</w:t>
      </w:r>
    </w:p>
    <w:p>
      <w:pPr>
        <w:pStyle w:val="BodyText"/>
        <w:ind w:left="345" w:right="18" w:hanging="345"/>
        <w:spacing w:before="14" w:line="199" w:lineRule="auto"/>
        <w:rPr/>
      </w:pPr>
      <w:r>
        <w:rPr>
          <w:color w:val="231F20"/>
          <w:spacing w:val="12"/>
          <w:position w:val="-1"/>
        </w:rPr>
        <w:t>[17]</w:t>
      </w:r>
      <w:r>
        <w:rPr>
          <w:color w:val="231F20"/>
          <w:spacing w:val="53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中华医学会外科学分会胰腺外科学组</w:t>
      </w:r>
      <w:r>
        <w:rPr>
          <w:color w:val="231F20"/>
          <w:spacing w:val="12"/>
          <w:position w:val="-1"/>
        </w:rPr>
        <w:t>．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急性胰腺炎诊治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指南</w:t>
      </w:r>
      <w:r>
        <w:rPr>
          <w:color w:val="231F20"/>
          <w:spacing w:val="-4"/>
        </w:rPr>
        <w:t>(2014)[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J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]．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临床肝胆病杂志</w:t>
      </w:r>
      <w:r>
        <w:rPr>
          <w:color w:val="231F20"/>
          <w:spacing w:val="-4"/>
        </w:rPr>
        <w:t>,2015,31(1):17-20．</w:t>
      </w:r>
    </w:p>
    <w:p>
      <w:pPr>
        <w:pStyle w:val="BodyText"/>
        <w:ind w:left="336" w:right="3" w:hanging="336"/>
        <w:spacing w:before="24" w:line="199" w:lineRule="auto"/>
        <w:rPr/>
      </w:pPr>
      <w:r>
        <w:rPr>
          <w:color w:val="231F20"/>
          <w:spacing w:val="-10"/>
        </w:rPr>
        <w:t>[18]  Te</w:t>
      </w:r>
      <w:r>
        <w:rPr>
          <w:color w:val="231F20"/>
          <w:spacing w:val="-9"/>
        </w:rPr>
        <w:t>nner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9"/>
        </w:rPr>
        <w:t>S,  Baillie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J,  DeWitt  J,  et  al.  American  College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o</w:t>
      </w:r>
      <w:r>
        <w:rPr>
          <w:color w:val="231F20"/>
          <w:spacing w:val="-1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Gastroenterology.    American   College   of   Gastroenterology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1"/>
        </w:rPr>
        <w:t>Guideline:  Management   of   Acute  Pancreatitis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1"/>
        </w:rPr>
        <w:t>[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J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].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1"/>
        </w:rPr>
        <w:t>Am  J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1"/>
        </w:rPr>
        <w:t>Gastroenterol,2013,108(9):1400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1"/>
        </w:rPr>
        <w:t>-1416.DOI:10.1038/ajg.2013.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218.</w:t>
      </w:r>
    </w:p>
    <w:p>
      <w:pPr>
        <w:pStyle w:val="BodyText"/>
        <w:ind w:left="334" w:right="13" w:hanging="334"/>
        <w:spacing w:before="2" w:line="190" w:lineRule="auto"/>
        <w:rPr/>
      </w:pPr>
      <w:r>
        <w:rPr>
          <w:color w:val="231F20"/>
          <w:spacing w:val="-10"/>
        </w:rPr>
        <w:t>[19]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Working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Group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0"/>
        </w:rPr>
        <w:t>IAP/APA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1"/>
        </w:rPr>
        <w:t>Acute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Pancreatitis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1"/>
        </w:rPr>
        <w:t>Guidelines.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1"/>
        </w:rPr>
        <w:t>I-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AP/APA  Evidence -based  Guidelines  for  the  </w:t>
      </w:r>
      <w:r>
        <w:rPr>
          <w:color w:val="231F20"/>
          <w:spacing w:val="-12"/>
        </w:rPr>
        <w:t>Management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Acute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0"/>
        </w:rPr>
        <w:t>Pancreatitis[ J ].Pancreatology,2013,13</w:t>
      </w:r>
      <w:r>
        <w:rPr>
          <w:color w:val="231F20"/>
          <w:spacing w:val="-11"/>
        </w:rPr>
        <w:t>(4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1"/>
        </w:rPr>
        <w:t>Suppl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1"/>
        </w:rPr>
        <w:t>2):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e1-e15.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DOI:10.1016/j.pan.2013</w:t>
      </w:r>
      <w:r>
        <w:rPr>
          <w:color w:val="231F20"/>
          <w:spacing w:val="-8"/>
        </w:rPr>
        <w:t>.07.063.</w:t>
      </w:r>
    </w:p>
    <w:p>
      <w:pPr>
        <w:pStyle w:val="BodyText"/>
        <w:ind w:left="334" w:right="13" w:hanging="334"/>
        <w:spacing w:before="43" w:line="190" w:lineRule="auto"/>
        <w:rPr/>
      </w:pPr>
      <w:r>
        <w:rPr>
          <w:color w:val="231F20"/>
          <w:spacing w:val="-10"/>
        </w:rPr>
        <w:t>[20]  Italian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0"/>
        </w:rPr>
        <w:t>Associ</w:t>
      </w:r>
      <w:r>
        <w:rPr>
          <w:color w:val="231F20"/>
          <w:spacing w:val="-11"/>
        </w:rPr>
        <w:t>ation   for   the  Study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1"/>
        </w:rPr>
        <w:t>Pancreas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1"/>
        </w:rPr>
        <w:t>(AISP),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Pezzilli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1"/>
        </w:rPr>
        <w:t>R,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1"/>
        </w:rPr>
        <w:t>Zerbi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1"/>
        </w:rPr>
        <w:t>A,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1"/>
        </w:rPr>
        <w:t>et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1"/>
        </w:rPr>
        <w:t>al.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1"/>
        </w:rPr>
        <w:t>Consensus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1"/>
        </w:rPr>
        <w:t>Guidelines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1"/>
        </w:rPr>
        <w:t>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1"/>
        </w:rPr>
        <w:t>Severe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Acute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Pancreatitis[ </w:t>
      </w:r>
      <w:r>
        <w:rPr>
          <w:color w:val="231F20"/>
          <w:spacing w:val="-7"/>
        </w:rPr>
        <w:t>J ].  Dig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Liver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Dis,2015,47(7):532-543.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DOI:10.1016/j.dld.2015.03.022.</w:t>
      </w:r>
    </w:p>
    <w:p>
      <w:pPr>
        <w:pStyle w:val="BodyText"/>
        <w:ind w:left="331" w:right="13" w:hanging="331"/>
        <w:spacing w:before="43" w:line="190" w:lineRule="auto"/>
        <w:rPr/>
      </w:pPr>
      <w:r>
        <w:rPr>
          <w:color w:val="231F20"/>
          <w:spacing w:val="-11"/>
        </w:rPr>
        <w:t>[21]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1"/>
        </w:rPr>
        <w:t>Yokoe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1"/>
        </w:rPr>
        <w:t>M,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1"/>
        </w:rPr>
        <w:t>Takada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1"/>
        </w:rPr>
        <w:t>T,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1"/>
        </w:rPr>
        <w:t>Ma</w:t>
      </w:r>
      <w:r>
        <w:rPr>
          <w:color w:val="231F20"/>
          <w:spacing w:val="-12"/>
        </w:rPr>
        <w:t>yumi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T,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2"/>
        </w:rPr>
        <w:t>et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2"/>
        </w:rPr>
        <w:t>al.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2"/>
        </w:rPr>
        <w:t>Japanese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2"/>
        </w:rPr>
        <w:t>Guidelines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Management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of Acu</w:t>
      </w:r>
      <w:r>
        <w:rPr>
          <w:color w:val="231F20"/>
          <w:spacing w:val="-14"/>
        </w:rPr>
        <w:t>te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4"/>
        </w:rPr>
        <w:t>Pancreatitis: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Japanese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4"/>
        </w:rPr>
        <w:t>Guide-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lines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2015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[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J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].  J  Hepatobiliary </w:t>
      </w:r>
      <w:r>
        <w:rPr>
          <w:color w:val="231F20"/>
          <w:spacing w:val="-9"/>
        </w:rPr>
        <w:t xml:space="preserve"> Pancreat  Sci,  2015,22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(6):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405-432.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DOI:10.1002/jhbp.259.</w:t>
      </w:r>
    </w:p>
    <w:p>
      <w:pPr>
        <w:pStyle w:val="BodyText"/>
        <w:ind w:left="337" w:right="13" w:hanging="337"/>
        <w:spacing w:before="42" w:line="187" w:lineRule="auto"/>
        <w:rPr/>
      </w:pPr>
      <w:r>
        <w:rPr>
          <w:color w:val="231F20"/>
          <w:spacing w:val="-10"/>
        </w:rPr>
        <w:t>[22]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0"/>
        </w:rPr>
        <w:t>Greenberg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JA,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0"/>
        </w:rPr>
        <w:t>Hsu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0"/>
        </w:rPr>
        <w:t>J,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0"/>
        </w:rPr>
        <w:t>Bawazeer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0"/>
        </w:rPr>
        <w:t>M,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0"/>
        </w:rPr>
        <w:t>et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al.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0"/>
        </w:rPr>
        <w:t>Clin</w:t>
      </w:r>
      <w:r>
        <w:rPr>
          <w:color w:val="231F20"/>
          <w:spacing w:val="-11"/>
        </w:rPr>
        <w:t>ical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1"/>
        </w:rPr>
        <w:t>Practice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Guideline: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1"/>
        </w:rPr>
        <w:t>Management   of  </w:t>
      </w:r>
      <w:r>
        <w:rPr>
          <w:color w:val="231F20"/>
          <w:spacing w:val="-12"/>
        </w:rPr>
        <w:t>Acute  Pancreatitis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[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J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].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2"/>
        </w:rPr>
        <w:t>Can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2"/>
        </w:rPr>
        <w:t>J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Surg,2016,59(2):128-140</w:t>
      </w:r>
      <w:r>
        <w:rPr>
          <w:color w:val="231F20"/>
          <w:spacing w:val="-8"/>
        </w:rPr>
        <w:t>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DOI:10.1503/cjs.015015.</w:t>
      </w:r>
    </w:p>
    <w:p>
      <w:pPr>
        <w:pStyle w:val="BodyText"/>
        <w:ind w:left="334" w:hanging="334"/>
        <w:spacing w:before="43" w:line="193" w:lineRule="auto"/>
        <w:rPr/>
      </w:pPr>
      <w:r>
        <w:rPr>
          <w:color w:val="231F20"/>
          <w:spacing w:val="-9"/>
        </w:rPr>
        <w:t>[23]  Crockett  SD,  Wani  S,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9"/>
        </w:rPr>
        <w:t>Gardner  TB,  et  al.American  Gas-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troenterological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0"/>
        </w:rPr>
        <w:t>Association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0"/>
        </w:rPr>
        <w:t>Institute  </w:t>
      </w:r>
      <w:r>
        <w:rPr>
          <w:color w:val="231F20"/>
          <w:spacing w:val="-11"/>
        </w:rPr>
        <w:t xml:space="preserve"> Clinical   Guidelines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Committee.    American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2"/>
        </w:rPr>
        <w:t>Gas</w:t>
      </w:r>
      <w:r>
        <w:rPr>
          <w:color w:val="231F20"/>
          <w:spacing w:val="-13"/>
        </w:rPr>
        <w:t>troenterological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3"/>
        </w:rPr>
        <w:t>Association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3"/>
        </w:rPr>
        <w:t>In-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s</w:t>
      </w:r>
      <w:r>
        <w:rPr>
          <w:color w:val="231F20"/>
          <w:spacing w:val="-13"/>
        </w:rPr>
        <w:t>titute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Guideline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</w:rPr>
        <w:t>Initial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Management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</w:rPr>
        <w:t>Acute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Pancreati</w:t>
      </w:r>
      <w:r>
        <w:rPr>
          <w:color w:val="231F20"/>
          <w:spacing w:val="-12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tis [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J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9"/>
        </w:rPr>
        <w:t>].Gastroenterology,2018,154 (4):1096 -</w:t>
      </w:r>
      <w:r>
        <w:rPr>
          <w:color w:val="231F20"/>
          <w:spacing w:val="-10"/>
        </w:rPr>
        <w:t>1101.   DOI:10.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1053/j.gastro.2018.0</w:t>
      </w:r>
      <w:r>
        <w:rPr>
          <w:color w:val="231F20"/>
          <w:spacing w:val="-10"/>
        </w:rPr>
        <w:t>1.032.</w:t>
      </w:r>
    </w:p>
    <w:p>
      <w:pPr>
        <w:pStyle w:val="BodyText"/>
        <w:ind w:left="338" w:right="13" w:hanging="338"/>
        <w:spacing w:before="42" w:line="187" w:lineRule="auto"/>
        <w:rPr/>
      </w:pPr>
      <w:r>
        <w:rPr>
          <w:color w:val="231F20"/>
          <w:spacing w:val="-11"/>
        </w:rPr>
        <w:t>[24]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1"/>
        </w:rPr>
        <w:t>Samarasekera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1"/>
        </w:rPr>
        <w:t>E,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1"/>
        </w:rPr>
        <w:t>Maham</w:t>
      </w:r>
      <w:r>
        <w:rPr>
          <w:color w:val="231F20"/>
          <w:spacing w:val="-12"/>
        </w:rPr>
        <w:t>med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2"/>
        </w:rPr>
        <w:t>S,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2"/>
        </w:rPr>
        <w:t>Carlisle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2"/>
        </w:rPr>
        <w:t>S,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2"/>
        </w:rPr>
        <w:t>et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2"/>
        </w:rPr>
        <w:t>al.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2"/>
        </w:rPr>
        <w:t>Guideline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Committee.  Pancreatitis:  Summary  of  NICE  Guidance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1"/>
        </w:rPr>
        <w:t>[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J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].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BMJ,2018(362):k3443.DOI:10.1136/bmj.k344</w:t>
      </w:r>
      <w:r>
        <w:rPr>
          <w:color w:val="231F20"/>
          <w:spacing w:val="-9"/>
        </w:rPr>
        <w:t>3.</w:t>
      </w:r>
    </w:p>
    <w:p>
      <w:pPr>
        <w:pStyle w:val="BodyText"/>
        <w:ind w:left="346" w:right="10" w:hanging="346"/>
        <w:spacing w:before="16" w:line="201" w:lineRule="auto"/>
        <w:rPr/>
      </w:pPr>
      <w:r>
        <w:rPr>
          <w:color w:val="231F20"/>
          <w:spacing w:val="14"/>
          <w:position w:val="-1"/>
        </w:rPr>
        <w:t>[25]</w:t>
      </w:r>
      <w:r>
        <w:rPr>
          <w:color w:val="231F20"/>
          <w:spacing w:val="5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中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国医师协会胰腺病学专业委员会</w:t>
      </w:r>
      <w:r>
        <w:rPr>
          <w:color w:val="231F20"/>
          <w:spacing w:val="14"/>
          <w:position w:val="-1"/>
        </w:rPr>
        <w:t>.</w:t>
      </w:r>
      <w:r>
        <w:rPr>
          <w:color w:val="231F20"/>
          <w:spacing w:val="-17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中国急性胰腺炎多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学科诊</w:t>
      </w:r>
      <w:r>
        <w:rPr>
          <w:rFonts w:ascii="SimSun" w:hAnsi="SimSun" w:eastAsia="SimSun" w:cs="SimSun"/>
          <w:sz w:val="16"/>
          <w:szCs w:val="16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治共</w:t>
      </w:r>
      <w:r>
        <w:rPr>
          <w:rFonts w:ascii="SimSun" w:hAnsi="SimSun" w:eastAsia="SimSun" w:cs="SimSun"/>
          <w:sz w:val="16"/>
          <w:szCs w:val="16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识</w:t>
      </w:r>
      <w:r>
        <w:rPr>
          <w:rFonts w:ascii="SimSun" w:hAnsi="SimSun" w:eastAsia="SimSun" w:cs="SimSun"/>
          <w:sz w:val="16"/>
          <w:szCs w:val="16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意</w:t>
      </w:r>
      <w:r>
        <w:rPr>
          <w:rFonts w:ascii="SimSun" w:hAnsi="SimSun" w:eastAsia="SimSun" w:cs="SimSun"/>
          <w:sz w:val="16"/>
          <w:szCs w:val="16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见</w:t>
      </w:r>
      <w:r>
        <w:rPr>
          <w:color w:val="231F20"/>
          <w:spacing w:val="5"/>
        </w:rPr>
        <w:t>[ J ].</w:t>
      </w:r>
      <w:r>
        <w:rPr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临床肝胆病杂志</w:t>
      </w:r>
      <w:r>
        <w:rPr>
          <w:color w:val="231F20"/>
          <w:spacing w:val="5"/>
        </w:rPr>
        <w:t>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2015</w:t>
      </w:r>
      <w:r>
        <w:rPr>
          <w:color w:val="231F20"/>
          <w:spacing w:val="4"/>
        </w:rPr>
        <w:t>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31(11):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1770-1775.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DOI:10.396</w:t>
      </w:r>
      <w:r>
        <w:rPr>
          <w:color w:val="231F20"/>
          <w:spacing w:val="-7"/>
        </w:rPr>
        <w:t>9/j.issn.1001-5256.2015.11.003.</w:t>
      </w:r>
    </w:p>
    <w:p>
      <w:pPr>
        <w:pStyle w:val="BodyText"/>
        <w:ind w:left="347" w:right="18" w:hanging="347"/>
        <w:spacing w:before="22" w:line="198" w:lineRule="auto"/>
        <w:rPr/>
      </w:pPr>
      <w:r>
        <w:rPr>
          <w:color w:val="231F20"/>
          <w:spacing w:val="17"/>
          <w:position w:val="-1"/>
        </w:rPr>
        <w:t>[26]</w:t>
      </w:r>
      <w:r>
        <w:rPr>
          <w:color w:val="231F20"/>
          <w:spacing w:val="42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7"/>
        </w:rPr>
        <w:t>浙江省医学会重症医学分会</w:t>
      </w:r>
      <w:r>
        <w:rPr>
          <w:color w:val="231F20"/>
          <w:spacing w:val="17"/>
          <w:position w:val="-1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17"/>
        </w:rPr>
        <w:t>浙江省重症急性胰腺炎诊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治专家共识</w:t>
      </w:r>
      <w:r>
        <w:rPr>
          <w:color w:val="231F20"/>
          <w:spacing w:val="-1"/>
        </w:rPr>
        <w:t>[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J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].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浙江医学</w:t>
      </w:r>
      <w:r>
        <w:rPr>
          <w:color w:val="231F20"/>
          <w:spacing w:val="-1"/>
        </w:rPr>
        <w:t>,2017,39(14):1131-1150,1161.</w:t>
      </w:r>
    </w:p>
    <w:p>
      <w:pPr>
        <w:pStyle w:val="BodyText"/>
        <w:spacing w:line="159" w:lineRule="auto"/>
        <w:rPr>
          <w:rFonts w:ascii="SimSun" w:hAnsi="SimSun" w:eastAsia="SimSun" w:cs="SimSun"/>
          <w:sz w:val="16"/>
          <w:szCs w:val="16"/>
        </w:rPr>
      </w:pPr>
      <w:r>
        <w:rPr>
          <w:color w:val="231F20"/>
          <w:spacing w:val="13"/>
          <w:position w:val="-1"/>
        </w:rPr>
        <w:t>[27]</w:t>
      </w:r>
      <w:r>
        <w:rPr>
          <w:color w:val="231F20"/>
          <w:spacing w:val="53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中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国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中西医结合学会消化系统疾病专业委员会</w:t>
      </w:r>
      <w:r>
        <w:rPr>
          <w:color w:val="231F20"/>
          <w:spacing w:val="13"/>
          <w:position w:val="-1"/>
        </w:rPr>
        <w:t>.</w:t>
      </w:r>
      <w:r>
        <w:rPr>
          <w:color w:val="231F20"/>
          <w:spacing w:val="-27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急性胰</w:t>
      </w:r>
    </w:p>
    <w:p>
      <w:pPr>
        <w:spacing w:line="159" w:lineRule="auto"/>
        <w:sectPr>
          <w:type w:val="continuous"/>
          <w:pgSz w:w="11905" w:h="16836"/>
          <w:pgMar w:top="1360" w:right="1122" w:bottom="0" w:left="407" w:header="1025" w:footer="0" w:gutter="0"/>
          <w:cols w:equalWidth="0" w:num="2">
            <w:col w:w="5652" w:space="100"/>
            <w:col w:w="4622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spacing w:line="158" w:lineRule="exact"/>
        <w:rPr/>
      </w:pPr>
      <w:r/>
    </w:p>
    <w:p>
      <w:pPr>
        <w:spacing w:line="158" w:lineRule="exact"/>
        <w:sectPr>
          <w:headerReference w:type="default" r:id="rId13"/>
          <w:pgSz w:w="11905" w:h="16836"/>
          <w:pgMar w:top="1335" w:right="1130" w:bottom="0" w:left="407" w:header="979" w:footer="0" w:gutter="0"/>
          <w:cols w:equalWidth="0" w:num="1">
            <w:col w:w="10366" w:space="0"/>
          </w:cols>
        </w:sectPr>
        <w:rPr/>
      </w:pPr>
    </w:p>
    <w:p>
      <w:pPr>
        <w:pStyle w:val="BodyText"/>
        <w:ind w:left="1081" w:right="309" w:hanging="2"/>
        <w:spacing w:before="39" w:line="198" w:lineRule="auto"/>
        <w:jc w:val="both"/>
        <w:rPr/>
      </w:pP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腺炎中西医结合诊疗共识意见</w:t>
      </w:r>
      <w:r>
        <w:rPr>
          <w:color w:val="231F20"/>
          <w:spacing w:val="6"/>
        </w:rPr>
        <w:t>(2017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年</w:t>
      </w:r>
      <w:r>
        <w:rPr>
          <w:color w:val="231F20"/>
          <w:spacing w:val="6"/>
        </w:rPr>
        <w:t>)[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J ].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中</w:t>
      </w:r>
      <w:r>
        <w:rPr>
          <w:rFonts w:ascii="SimSun" w:hAnsi="SimSun" w:eastAsia="SimSun" w:cs="SimSun"/>
          <w:sz w:val="16"/>
          <w:szCs w:val="16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国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中西</w:t>
      </w:r>
      <w:r>
        <w:rPr>
          <w:rFonts w:ascii="SimSun" w:hAnsi="SimSun" w:eastAsia="SimSun" w:cs="SimSun"/>
          <w:sz w:val="16"/>
          <w:szCs w:val="16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医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结</w:t>
      </w:r>
      <w:r>
        <w:rPr>
          <w:rFonts w:ascii="SimSun" w:hAnsi="SimSun" w:eastAsia="SimSun" w:cs="SimSun"/>
          <w:sz w:val="16"/>
          <w:szCs w:val="16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合</w:t>
      </w:r>
      <w:r>
        <w:rPr>
          <w:rFonts w:ascii="SimSun" w:hAnsi="SimSun" w:eastAsia="SimSun" w:cs="SimSun"/>
          <w:sz w:val="16"/>
          <w:szCs w:val="16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消</w:t>
      </w:r>
      <w:r>
        <w:rPr>
          <w:rFonts w:ascii="SimSun" w:hAnsi="SimSun" w:eastAsia="SimSun" w:cs="SimSun"/>
          <w:sz w:val="16"/>
          <w:szCs w:val="16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化</w:t>
      </w:r>
      <w:r>
        <w:rPr>
          <w:rFonts w:ascii="SimSun" w:hAnsi="SimSun" w:eastAsia="SimSun" w:cs="SimSun"/>
          <w:sz w:val="16"/>
          <w:szCs w:val="16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杂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志</w:t>
      </w:r>
      <w:r>
        <w:rPr>
          <w:rFonts w:ascii="SimSun" w:hAnsi="SimSun" w:eastAsia="SimSun" w:cs="SimSun"/>
          <w:sz w:val="16"/>
          <w:szCs w:val="16"/>
          <w:color w:val="231F20"/>
          <w:spacing w:val="-47"/>
        </w:rPr>
        <w:t xml:space="preserve"> </w:t>
      </w:r>
      <w:r>
        <w:rPr>
          <w:color w:val="231F20"/>
          <w:spacing w:val="-5"/>
        </w:rPr>
        <w:t>,2017,  25(12):</w:t>
      </w:r>
      <w:r>
        <w:rPr>
          <w:color w:val="231F20"/>
          <w:spacing w:val="-6"/>
        </w:rPr>
        <w:t>901-909.DOI:10.3969/j.issn.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1671-038X.2017.12.03.</w:t>
      </w:r>
    </w:p>
    <w:p>
      <w:pPr>
        <w:pStyle w:val="BodyText"/>
        <w:ind w:left="1072" w:right="307" w:hanging="338"/>
        <w:spacing w:before="2" w:line="198" w:lineRule="auto"/>
        <w:rPr/>
      </w:pPr>
      <w:r>
        <w:rPr>
          <w:color w:val="231F20"/>
          <w:spacing w:val="13"/>
          <w:position w:val="-1"/>
        </w:rPr>
        <w:t>[28]</w:t>
      </w:r>
      <w:r>
        <w:rPr>
          <w:color w:val="231F20"/>
          <w:spacing w:val="45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中华中医药学会脾胃病分会</w:t>
      </w:r>
      <w:r>
        <w:rPr>
          <w:color w:val="231F20"/>
          <w:spacing w:val="13"/>
          <w:position w:val="-1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张声生</w:t>
      </w:r>
      <w:r>
        <w:rPr>
          <w:color w:val="231F20"/>
          <w:spacing w:val="13"/>
          <w:position w:val="-1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李慧臻</w:t>
      </w:r>
      <w:r>
        <w:rPr>
          <w:color w:val="231F20"/>
          <w:spacing w:val="13"/>
          <w:position w:val="-1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急性胰腺炎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中医诊疗专家共识意见</w:t>
      </w:r>
      <w:r>
        <w:rPr>
          <w:color w:val="231F20"/>
          <w:spacing w:val="7"/>
        </w:rPr>
        <w:t>(2017)[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J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].</w:t>
      </w:r>
      <w:r>
        <w:rPr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中华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中医药杂志</w:t>
      </w:r>
      <w:r>
        <w:rPr>
          <w:color w:val="231F20"/>
          <w:spacing w:val="6"/>
        </w:rPr>
        <w:t>,2017,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32(9):4085-4088.</w:t>
      </w:r>
    </w:p>
    <w:p>
      <w:pPr>
        <w:pStyle w:val="BodyText"/>
        <w:ind w:left="1072" w:right="310" w:hanging="338"/>
        <w:spacing w:before="28" w:line="193" w:lineRule="auto"/>
        <w:rPr/>
      </w:pPr>
      <w:r>
        <w:rPr>
          <w:color w:val="231F20"/>
          <w:spacing w:val="-10"/>
        </w:rPr>
        <w:t>[29]  Horibe  M,  Nishizawa  T,  Suzuki  H,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0"/>
        </w:rPr>
        <w:t>et  al.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0"/>
        </w:rPr>
        <w:t>Timing  of  Oral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Refeeding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Acute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1"/>
        </w:rPr>
        <w:t>Pancreatitis:   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Systematic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Review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1"/>
        </w:rPr>
        <w:t>a</w:t>
      </w:r>
      <w:r>
        <w:rPr>
          <w:color w:val="231F20"/>
          <w:spacing w:val="-12"/>
        </w:rPr>
        <w:t>nd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Meta-analysis.  United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0"/>
        </w:rPr>
        <w:t>European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0"/>
        </w:rPr>
        <w:t>Gastroenterol[ J ].  2016,4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(6):725-732.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DOI:10.1177/2050640615</w:t>
      </w:r>
      <w:r>
        <w:rPr>
          <w:color w:val="231F20"/>
          <w:spacing w:val="-9"/>
        </w:rPr>
        <w:t>612368.</w:t>
      </w:r>
    </w:p>
    <w:p>
      <w:pPr>
        <w:pStyle w:val="BodyText"/>
        <w:ind w:left="1071" w:right="310" w:hanging="337"/>
        <w:spacing w:before="27" w:line="193" w:lineRule="auto"/>
        <w:rPr/>
      </w:pPr>
      <w:r>
        <w:rPr>
          <w:color w:val="231F20"/>
          <w:spacing w:val="-12"/>
        </w:rPr>
        <w:t>[30]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2"/>
        </w:rPr>
        <w:t>Vaughn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2"/>
        </w:rPr>
        <w:t>VM,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2"/>
        </w:rPr>
        <w:t>Shuster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2"/>
        </w:rPr>
        <w:t>D,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2"/>
        </w:rPr>
        <w:t>Rogers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2"/>
        </w:rPr>
        <w:t>MAM,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2"/>
        </w:rPr>
        <w:t>et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2"/>
        </w:rPr>
        <w:t>al.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2"/>
        </w:rPr>
        <w:t>Early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2"/>
        </w:rPr>
        <w:t>Versus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Delayed  Feeding  in  Pa</w:t>
      </w:r>
      <w:r>
        <w:rPr>
          <w:color w:val="231F20"/>
          <w:spacing w:val="-10"/>
        </w:rPr>
        <w:t>tients  with  Acute  Pancreatitis:     A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Systematic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9"/>
        </w:rPr>
        <w:t>Review[ J ].Ann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Inter</w:t>
      </w:r>
      <w:r>
        <w:rPr>
          <w:color w:val="231F20"/>
          <w:spacing w:val="-10"/>
        </w:rPr>
        <w:t>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0"/>
        </w:rPr>
        <w:t>Med,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0"/>
        </w:rPr>
        <w:t>2017,166(12):883-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892.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DOI:10.7326/M16-253</w:t>
      </w:r>
      <w:r>
        <w:rPr>
          <w:color w:val="231F20"/>
          <w:spacing w:val="-9"/>
        </w:rPr>
        <w:t>3.</w:t>
      </w:r>
    </w:p>
    <w:p>
      <w:pPr>
        <w:pStyle w:val="BodyText"/>
        <w:ind w:left="1068" w:right="307" w:hanging="334"/>
        <w:spacing w:before="4" w:line="196" w:lineRule="auto"/>
        <w:rPr/>
      </w:pPr>
      <w:r>
        <w:rPr>
          <w:color w:val="231F20"/>
          <w:spacing w:val="12"/>
          <w:position w:val="-1"/>
        </w:rPr>
        <w:t>[31]</w:t>
      </w:r>
      <w:r>
        <w:rPr>
          <w:color w:val="231F20"/>
          <w:spacing w:val="2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赵茂晶</w:t>
      </w:r>
      <w:r>
        <w:rPr>
          <w:color w:val="231F20"/>
          <w:spacing w:val="12"/>
          <w:position w:val="-1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张咏梅</w:t>
      </w:r>
      <w:r>
        <w:rPr>
          <w:color w:val="231F20"/>
          <w:spacing w:val="12"/>
          <w:position w:val="-1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任娜娜</w:t>
      </w:r>
      <w:r>
        <w:rPr>
          <w:color w:val="231F20"/>
          <w:spacing w:val="12"/>
          <w:position w:val="-1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等</w:t>
      </w:r>
      <w:r>
        <w:rPr>
          <w:color w:val="231F20"/>
          <w:spacing w:val="12"/>
          <w:position w:val="-1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早期经口进食对轻症急性胰腺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炎患者预后影响的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分析</w:t>
      </w:r>
      <w:r>
        <w:rPr>
          <w:color w:val="231F20"/>
          <w:spacing w:val="12"/>
        </w:rPr>
        <w:t>[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2"/>
        </w:rPr>
        <w:t>J ]</w:t>
      </w:r>
      <w:r>
        <w:rPr>
          <w:color w:val="231F20"/>
          <w:spacing w:val="12"/>
          <w:position w:val="-1"/>
        </w:rPr>
        <w:t>.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胃肠病学和肝病学杂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志</w:t>
      </w:r>
      <w:r>
        <w:rPr>
          <w:rFonts w:ascii="SimSun" w:hAnsi="SimSun" w:eastAsia="SimSun" w:cs="SimSun"/>
          <w:sz w:val="16"/>
          <w:szCs w:val="16"/>
          <w:color w:val="231F20"/>
          <w:spacing w:val="-48"/>
        </w:rPr>
        <w:t xml:space="preserve"> </w:t>
      </w:r>
      <w:r>
        <w:rPr>
          <w:color w:val="231F20"/>
          <w:spacing w:val="-8"/>
        </w:rPr>
        <w:t>,2017,26(5):576-580.DOI:10.3969/j.issn.1006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-57</w:t>
      </w:r>
      <w:r>
        <w:rPr>
          <w:color w:val="231F20"/>
          <w:spacing w:val="-9"/>
        </w:rPr>
        <w:t>09.2017.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05.027.</w:t>
      </w:r>
    </w:p>
    <w:p>
      <w:pPr>
        <w:pStyle w:val="BodyText"/>
        <w:ind w:left="1070" w:right="307" w:hanging="336"/>
        <w:spacing w:before="3" w:line="194" w:lineRule="auto"/>
        <w:rPr/>
      </w:pPr>
      <w:r>
        <w:rPr>
          <w:color w:val="231F20"/>
          <w:spacing w:val="14"/>
          <w:position w:val="-1"/>
        </w:rPr>
        <w:t>[32]</w:t>
      </w:r>
      <w:r>
        <w:rPr>
          <w:color w:val="231F20"/>
          <w:spacing w:val="22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王强</w:t>
      </w:r>
      <w:r>
        <w:rPr>
          <w:color w:val="231F20"/>
          <w:spacing w:val="14"/>
          <w:position w:val="-1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杜涛</w:t>
      </w:r>
      <w:r>
        <w:rPr>
          <w:color w:val="231F20"/>
          <w:spacing w:val="14"/>
          <w:position w:val="-1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丁雄</w:t>
      </w:r>
      <w:r>
        <w:rPr>
          <w:color w:val="231F20"/>
          <w:spacing w:val="14"/>
          <w:position w:val="-1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早期进食与标准时机进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食治疗急性胰腺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炎效果的系统评价</w:t>
      </w:r>
      <w:r>
        <w:rPr>
          <w:color w:val="231F20"/>
          <w:spacing w:val="7"/>
        </w:rPr>
        <w:t>[ J ].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重庆</w:t>
      </w:r>
      <w:r>
        <w:rPr>
          <w:rFonts w:ascii="SimSun" w:hAnsi="SimSun" w:eastAsia="SimSun" w:cs="SimSun"/>
          <w:sz w:val="16"/>
          <w:szCs w:val="16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医科</w:t>
      </w:r>
      <w:r>
        <w:rPr>
          <w:rFonts w:ascii="SimSun" w:hAnsi="SimSun" w:eastAsia="SimSun" w:cs="SimSun"/>
          <w:sz w:val="16"/>
          <w:szCs w:val="16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大</w:t>
      </w:r>
      <w:r>
        <w:rPr>
          <w:rFonts w:ascii="SimSun" w:hAnsi="SimSun" w:eastAsia="SimSun" w:cs="SimSun"/>
          <w:sz w:val="16"/>
          <w:szCs w:val="16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学</w:t>
      </w:r>
      <w:r>
        <w:rPr>
          <w:rFonts w:ascii="SimSun" w:hAnsi="SimSun" w:eastAsia="SimSun" w:cs="SimSun"/>
          <w:sz w:val="16"/>
          <w:szCs w:val="16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学报</w:t>
      </w:r>
      <w:r>
        <w:rPr>
          <w:color w:val="231F20"/>
          <w:spacing w:val="7"/>
        </w:rPr>
        <w:t>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2</w:t>
      </w:r>
      <w:r>
        <w:rPr>
          <w:color w:val="231F20"/>
          <w:spacing w:val="6"/>
        </w:rPr>
        <w:t>016,41(3):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292-297.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DOI:10.13406/j.cnki.cyxb.000810.</w:t>
      </w:r>
    </w:p>
    <w:p>
      <w:pPr>
        <w:pStyle w:val="BodyText"/>
        <w:ind w:left="1068" w:right="296" w:hanging="334"/>
        <w:spacing w:before="40" w:line="199" w:lineRule="auto"/>
        <w:rPr/>
      </w:pPr>
      <w:r>
        <w:rPr>
          <w:color w:val="231F20"/>
          <w:spacing w:val="-9"/>
        </w:rPr>
        <w:t>[33]  Bevan  MG,  Asrani  VM,  Bharmal  S,  et  </w:t>
      </w:r>
      <w:r>
        <w:rPr>
          <w:color w:val="231F20"/>
          <w:spacing w:val="-10"/>
        </w:rPr>
        <w:t>al.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0"/>
        </w:rPr>
        <w:t>Incidence  and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Predictors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Oral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2"/>
        </w:rPr>
        <w:t>Feeding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2"/>
        </w:rPr>
        <w:t>Intolerance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2"/>
        </w:rPr>
        <w:t>Acute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2"/>
        </w:rPr>
        <w:t>Pancreati-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tis: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1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1"/>
        </w:rPr>
        <w:t>Systematic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1"/>
        </w:rPr>
        <w:t>Review,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1"/>
        </w:rPr>
        <w:t>Meta-analysis,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1"/>
        </w:rPr>
        <w:t>Meta-regres-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sion[ J ].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Clin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Nutr,2017,36(3):722-729.DOI:10.1016/j.c</w:t>
      </w:r>
      <w:r>
        <w:rPr>
          <w:color w:val="231F20"/>
          <w:spacing w:val="-8"/>
        </w:rPr>
        <w:t>lnu.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2016.06.006.</w:t>
      </w:r>
    </w:p>
    <w:p>
      <w:pPr>
        <w:pStyle w:val="BodyText"/>
        <w:ind w:left="1073" w:right="310" w:hanging="339"/>
        <w:spacing w:before="2" w:line="193" w:lineRule="auto"/>
        <w:rPr/>
      </w:pPr>
      <w:r>
        <w:rPr>
          <w:color w:val="231F20"/>
          <w:spacing w:val="-12"/>
        </w:rPr>
        <w:t>[34]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2"/>
        </w:rPr>
        <w:t>Krishnan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2"/>
        </w:rPr>
        <w:t>K.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2"/>
        </w:rPr>
        <w:t>Nutritional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2"/>
        </w:rPr>
        <w:t>Management   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Acute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2"/>
        </w:rPr>
        <w:t>Pancreatitis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[ J ].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9"/>
        </w:rPr>
        <w:t>Curr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Opin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Gastroenterol,2017,33(2):102-106.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DOI:10.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1097/MOG.0000000000000340.</w:t>
      </w:r>
    </w:p>
    <w:p>
      <w:pPr>
        <w:pStyle w:val="BodyText"/>
        <w:ind w:left="1069" w:right="307" w:hanging="335"/>
        <w:spacing w:before="20" w:line="193" w:lineRule="auto"/>
        <w:rPr/>
      </w:pPr>
      <w:r>
        <w:rPr>
          <w:color w:val="231F20"/>
          <w:spacing w:val="-11"/>
        </w:rPr>
        <w:t>[35]  Petrov  MS.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1"/>
        </w:rPr>
        <w:t>Gastric  feeding  and</w:t>
      </w:r>
      <w:r>
        <w:rPr>
          <w:sz w:val="16"/>
          <w:szCs w:val="16"/>
          <w:color w:val="231F20"/>
          <w:spacing w:val="-11"/>
        </w:rPr>
        <w:t>“</w:t>
      </w:r>
      <w:r>
        <w:rPr>
          <w:color w:val="231F20"/>
          <w:spacing w:val="-11"/>
        </w:rPr>
        <w:t>Gut  Rousing</w:t>
      </w:r>
      <w:r>
        <w:rPr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11"/>
        </w:rPr>
        <w:t>”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color w:val="231F20"/>
          <w:spacing w:val="-11"/>
        </w:rPr>
        <w:t>in  Acute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Pancreatitis[ J ].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Nutr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Clin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Pract,2014,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29(</w:t>
      </w:r>
      <w:r>
        <w:rPr>
          <w:color w:val="231F20"/>
          <w:spacing w:val="-8"/>
        </w:rPr>
        <w:t>3):287-290.DOI: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10.1177/0884533614528986.</w:t>
      </w:r>
    </w:p>
    <w:p>
      <w:pPr>
        <w:pStyle w:val="BodyText"/>
        <w:ind w:left="1070" w:right="310" w:hanging="336"/>
        <w:spacing w:before="21" w:line="193" w:lineRule="auto"/>
        <w:rPr/>
      </w:pPr>
      <w:r>
        <w:rPr>
          <w:color w:val="231F20"/>
          <w:spacing w:val="-12"/>
        </w:rPr>
        <w:t>[36]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2"/>
        </w:rPr>
        <w:t>Stigliano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2"/>
        </w:rPr>
        <w:t>S,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2"/>
        </w:rPr>
        <w:t>Sternby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2"/>
        </w:rPr>
        <w:t>H,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2"/>
        </w:rPr>
        <w:t>de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2"/>
        </w:rPr>
        <w:t>Madaria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2"/>
        </w:rPr>
        <w:t>E,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2"/>
        </w:rPr>
        <w:t>et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2"/>
        </w:rPr>
        <w:t>al.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2"/>
        </w:rPr>
        <w:t>Early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2"/>
        </w:rPr>
        <w:t>Manage-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ment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1"/>
        </w:rPr>
        <w:t>of Acute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Pancreatitis: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1"/>
        </w:rPr>
        <w:t>Review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1"/>
        </w:rPr>
        <w:t>of  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1"/>
        </w:rPr>
        <w:t>Best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1"/>
        </w:rPr>
        <w:t>Evidence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[ J ].Dig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Liver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Dis,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2017,49(6):585-594.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DOI:10.1016/j.dld.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2017.01.168.</w:t>
      </w:r>
    </w:p>
    <w:p>
      <w:pPr>
        <w:pStyle w:val="BodyText"/>
        <w:ind w:left="1068" w:right="307" w:hanging="334"/>
        <w:spacing w:before="2" w:line="198" w:lineRule="auto"/>
        <w:rPr/>
      </w:pPr>
      <w:r>
        <w:rPr>
          <w:color w:val="231F20"/>
          <w:spacing w:val="9"/>
        </w:rPr>
        <w:t>[37]</w:t>
      </w:r>
      <w:r>
        <w:rPr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彭昱锦</w:t>
      </w:r>
      <w:r>
        <w:rPr>
          <w:color w:val="231F20"/>
          <w:spacing w:val="9"/>
        </w:rPr>
        <w:t>,</w:t>
      </w:r>
      <w:r>
        <w:rPr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白学松</w:t>
      </w:r>
      <w:r>
        <w:rPr>
          <w:color w:val="231F20"/>
          <w:spacing w:val="9"/>
        </w:rPr>
        <w:t>.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急性胰腺炎的肠内营养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治疗</w:t>
      </w:r>
      <w:r>
        <w:rPr>
          <w:color w:val="231F20"/>
          <w:spacing w:val="8"/>
        </w:rPr>
        <w:t>[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J ].</w:t>
      </w:r>
      <w:r>
        <w:rPr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山</w:t>
      </w:r>
      <w:r>
        <w:rPr>
          <w:rFonts w:ascii="SimSun" w:hAnsi="SimSun" w:eastAsia="SimSun" w:cs="SimSun"/>
          <w:sz w:val="16"/>
          <w:szCs w:val="16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东</w:t>
      </w:r>
      <w:r>
        <w:rPr>
          <w:rFonts w:ascii="SimSun" w:hAnsi="SimSun" w:eastAsia="SimSun" w:cs="SimSun"/>
          <w:sz w:val="16"/>
          <w:szCs w:val="16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医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药</w:t>
      </w:r>
      <w:r>
        <w:rPr>
          <w:color w:val="231F20"/>
          <w:spacing w:val="-7"/>
        </w:rPr>
        <w:t>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2016(7):99-101.DOI:10.3969/j.issn.1002-266X.2016.07.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039.</w:t>
      </w:r>
    </w:p>
    <w:p>
      <w:pPr>
        <w:pStyle w:val="BodyText"/>
        <w:ind w:left="1068" w:right="306" w:hanging="334"/>
        <w:spacing w:before="2" w:line="198" w:lineRule="auto"/>
        <w:rPr/>
      </w:pPr>
      <w:r>
        <w:rPr>
          <w:color w:val="231F20"/>
          <w:spacing w:val="10"/>
        </w:rPr>
        <w:t>[38]</w:t>
      </w:r>
      <w:r>
        <w:rPr>
          <w:color w:val="231F20"/>
          <w:spacing w:val="4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窦</w:t>
      </w:r>
      <w:r>
        <w:rPr>
          <w:rFonts w:ascii="SimSun" w:hAnsi="SimSun" w:eastAsia="SimSun" w:cs="SimSun"/>
          <w:sz w:val="16"/>
          <w:szCs w:val="16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晓坛</w:t>
      </w:r>
      <w:r>
        <w:rPr>
          <w:color w:val="231F20"/>
          <w:spacing w:val="10"/>
        </w:rPr>
        <w:t>,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邹</w:t>
      </w:r>
      <w:r>
        <w:rPr>
          <w:rFonts w:ascii="SimSun" w:hAnsi="SimSun" w:eastAsia="SimSun" w:cs="SimSun"/>
          <w:sz w:val="16"/>
          <w:szCs w:val="16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晓平</w:t>
      </w:r>
      <w:r>
        <w:rPr>
          <w:color w:val="231F20"/>
          <w:spacing w:val="10"/>
        </w:rPr>
        <w:t>.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急性胰腺炎的营养管理</w:t>
      </w:r>
      <w:r>
        <w:rPr>
          <w:color w:val="231F20"/>
          <w:spacing w:val="10"/>
        </w:rPr>
        <w:t>[ J ].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胃肠病</w:t>
      </w:r>
      <w:r>
        <w:rPr>
          <w:rFonts w:ascii="SimSun" w:hAnsi="SimSun" w:eastAsia="SimSun" w:cs="SimSun"/>
          <w:sz w:val="16"/>
          <w:szCs w:val="16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学</w:t>
      </w:r>
      <w:r>
        <w:rPr>
          <w:color w:val="231F20"/>
          <w:spacing w:val="10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2014,19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(6):321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-323.  DOI:10.3969/j.issn.1008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-7125.2014.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06.001.</w:t>
      </w:r>
    </w:p>
    <w:p>
      <w:pPr>
        <w:pStyle w:val="BodyText"/>
        <w:ind w:left="734"/>
        <w:spacing w:before="1" w:line="198" w:lineRule="auto"/>
        <w:rPr/>
      </w:pPr>
      <w:r>
        <w:rPr>
          <w:color w:val="231F20"/>
          <w:spacing w:val="10"/>
        </w:rPr>
        <w:t>[39]</w:t>
      </w:r>
      <w:r>
        <w:rPr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魏星</w:t>
      </w:r>
      <w:r>
        <w:rPr>
          <w:color w:val="231F20"/>
          <w:spacing w:val="10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李文星</w:t>
      </w:r>
      <w:r>
        <w:rPr>
          <w:color w:val="231F20"/>
          <w:spacing w:val="10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急性胰腺炎诊疗新进展及营养支持研究</w:t>
      </w:r>
      <w:r>
        <w:rPr>
          <w:color w:val="231F20"/>
          <w:spacing w:val="10"/>
        </w:rPr>
        <w:t>[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J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0"/>
        </w:rPr>
        <w:t>].</w:t>
      </w:r>
    </w:p>
    <w:p>
      <w:pPr>
        <w:pStyle w:val="BodyText"/>
        <w:ind w:left="1085" w:right="308" w:firstLine="7"/>
        <w:spacing w:before="2" w:line="210" w:lineRule="auto"/>
        <w:rPr/>
      </w:pP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中华临床医师杂志</w:t>
      </w:r>
      <w:r>
        <w:rPr>
          <w:sz w:val="16"/>
          <w:szCs w:val="16"/>
          <w:color w:val="231F20"/>
          <w:spacing w:val="-3"/>
        </w:rPr>
        <w:t>（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电子版</w:t>
      </w:r>
      <w:r>
        <w:rPr>
          <w:sz w:val="16"/>
          <w:szCs w:val="16"/>
          <w:color w:val="231F20"/>
          <w:spacing w:val="-3"/>
        </w:rPr>
        <w:t>）</w:t>
      </w:r>
      <w:r>
        <w:rPr>
          <w:color w:val="231F20"/>
          <w:spacing w:val="-3"/>
        </w:rPr>
        <w:t>,2016,10(7):1037-1041.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10.3877/cma.j.issn.</w:t>
      </w:r>
      <w:r>
        <w:rPr>
          <w:color w:val="231F20"/>
          <w:spacing w:val="-8"/>
        </w:rPr>
        <w:t>1674-0785.2016.07.028.</w:t>
      </w:r>
    </w:p>
    <w:p>
      <w:pPr>
        <w:pStyle w:val="BodyText"/>
        <w:ind w:left="1067" w:right="310" w:hanging="333"/>
        <w:spacing w:before="2" w:line="187" w:lineRule="auto"/>
        <w:rPr/>
      </w:pPr>
      <w:r>
        <w:rPr>
          <w:color w:val="231F20"/>
          <w:spacing w:val="-8"/>
        </w:rPr>
        <w:t>[40]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Li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Xue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GJ,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Liu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YL,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Early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Oral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9"/>
        </w:rPr>
        <w:t>Refeeding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Wisdom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Patients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0"/>
        </w:rPr>
        <w:t>Mild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0"/>
        </w:rPr>
        <w:t>Acute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Pancreatitis[ J ].P</w:t>
      </w:r>
      <w:r>
        <w:rPr>
          <w:color w:val="231F20"/>
          <w:spacing w:val="-11"/>
        </w:rPr>
        <w:t>ancreas,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1"/>
        </w:rPr>
        <w:t>2013,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42(1):88-91.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DOI:10.1097/mpa.0b013e3</w:t>
      </w:r>
      <w:r>
        <w:rPr>
          <w:color w:val="231F20"/>
          <w:spacing w:val="-10"/>
        </w:rPr>
        <w:t>182575fb5.</w:t>
      </w:r>
    </w:p>
    <w:p>
      <w:pPr>
        <w:pStyle w:val="BodyText"/>
        <w:ind w:left="1072" w:right="315" w:hanging="338"/>
        <w:spacing w:before="12" w:line="195" w:lineRule="auto"/>
        <w:rPr/>
      </w:pPr>
      <w:r>
        <w:rPr>
          <w:color w:val="231F20"/>
          <w:spacing w:val="12"/>
          <w:position w:val="-1"/>
        </w:rPr>
        <w:t>[41]</w:t>
      </w:r>
      <w:r>
        <w:rPr>
          <w:color w:val="231F20"/>
          <w:spacing w:val="2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杨军</w:t>
      </w:r>
      <w:r>
        <w:rPr>
          <w:color w:val="231F20"/>
          <w:spacing w:val="12"/>
          <w:position w:val="-1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秦勤</w:t>
      </w:r>
      <w:r>
        <w:rPr>
          <w:color w:val="231F20"/>
          <w:spacing w:val="12"/>
          <w:position w:val="-1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王田</w:t>
      </w:r>
      <w:r>
        <w:rPr>
          <w:color w:val="231F20"/>
          <w:spacing w:val="12"/>
          <w:position w:val="-1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等</w:t>
      </w:r>
      <w:r>
        <w:rPr>
          <w:color w:val="231F20"/>
          <w:spacing w:val="12"/>
          <w:position w:val="-1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极早期进食对急性胰腺炎病人临床结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局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的影</w:t>
      </w:r>
      <w:r>
        <w:rPr>
          <w:rFonts w:ascii="SimSun" w:hAnsi="SimSun" w:eastAsia="SimSun" w:cs="SimSun"/>
          <w:sz w:val="16"/>
          <w:szCs w:val="16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响</w:t>
      </w:r>
      <w:r>
        <w:rPr>
          <w:color w:val="231F20"/>
          <w:spacing w:val="3"/>
        </w:rPr>
        <w:t>[ J ].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肠外与肠内营养</w:t>
      </w:r>
      <w:r>
        <w:rPr>
          <w:color w:val="231F20"/>
          <w:spacing w:val="3"/>
        </w:rPr>
        <w:t>,2018,25</w:t>
      </w:r>
      <w:r>
        <w:rPr>
          <w:color w:val="231F20"/>
          <w:spacing w:val="2"/>
        </w:rPr>
        <w:t>(5):301-303,307.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DOI:10.16151/j.1007-810x.2018.05.011.</w:t>
      </w:r>
    </w:p>
    <w:p>
      <w:pPr>
        <w:pStyle w:val="BodyText"/>
        <w:ind w:left="734"/>
        <w:spacing w:before="43" w:line="165" w:lineRule="exact"/>
        <w:rPr/>
      </w:pPr>
      <w:r>
        <w:rPr>
          <w:color w:val="231F20"/>
          <w:spacing w:val="-7"/>
          <w:position w:val="-1"/>
        </w:rPr>
        <w:t>[42]  Zhao  XL,  Zh</w:t>
      </w:r>
      <w:r>
        <w:rPr>
          <w:color w:val="231F20"/>
          <w:spacing w:val="-8"/>
          <w:position w:val="-1"/>
        </w:rPr>
        <w:t>u  SF,</w:t>
      </w:r>
      <w:r>
        <w:rPr>
          <w:color w:val="231F20"/>
          <w:spacing w:val="4"/>
          <w:position w:val="-1"/>
        </w:rPr>
        <w:t xml:space="preserve">  </w:t>
      </w:r>
      <w:r>
        <w:rPr>
          <w:color w:val="231F20"/>
          <w:spacing w:val="-8"/>
          <w:position w:val="-1"/>
        </w:rPr>
        <w:t>Xue  GJ,</w:t>
      </w:r>
      <w:r>
        <w:rPr>
          <w:color w:val="231F20"/>
          <w:spacing w:val="5"/>
          <w:position w:val="-1"/>
        </w:rPr>
        <w:t xml:space="preserve">  </w:t>
      </w:r>
      <w:r>
        <w:rPr>
          <w:color w:val="231F20"/>
          <w:spacing w:val="-8"/>
          <w:position w:val="-1"/>
        </w:rPr>
        <w:t>et  al.   Early  Oral  Refeeding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4" w:right="5" w:firstLine="3"/>
        <w:spacing w:before="62" w:line="199" w:lineRule="auto"/>
        <w:jc w:val="both"/>
        <w:rPr/>
      </w:pPr>
      <w:r>
        <w:rPr>
          <w:color w:val="231F20"/>
          <w:spacing w:val="-13"/>
        </w:rPr>
        <w:t>Based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3"/>
        </w:rPr>
        <w:t>on  Hunger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3"/>
        </w:rPr>
        <w:t>in  Moderate  </w:t>
      </w:r>
      <w:r>
        <w:rPr>
          <w:color w:val="231F20"/>
          <w:spacing w:val="-14"/>
        </w:rPr>
        <w:t>and  Severe  Acute  Pancre-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atitis:A Prospective Controlled, Randomized Clinical Trial[ J ].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Nutrition,2015,31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(1):171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-175.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DOI:10.1016/j.nut.</w:t>
      </w:r>
      <w:r>
        <w:rPr>
          <w:color w:val="231F20"/>
          <w:spacing w:val="-9"/>
        </w:rPr>
        <w:t>2014.07.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002.</w:t>
      </w:r>
    </w:p>
    <w:p>
      <w:pPr>
        <w:pStyle w:val="BodyText"/>
        <w:ind w:left="330" w:right="4" w:hanging="330"/>
        <w:spacing w:line="192" w:lineRule="auto"/>
        <w:rPr/>
      </w:pPr>
      <w:r>
        <w:rPr>
          <w:color w:val="231F20"/>
          <w:spacing w:val="-13"/>
        </w:rPr>
        <w:t>[43]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3"/>
        </w:rPr>
        <w:t>Agree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3"/>
        </w:rPr>
        <w:t>Next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3"/>
        </w:rPr>
        <w:t>Steps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Consortium.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3"/>
        </w:rPr>
        <w:t>Appraisal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Guidelines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Research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&amp;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Evaluation  Ⅱ[EB/OL].(2018-12-0</w:t>
      </w:r>
      <w:r>
        <w:rPr>
          <w:color w:val="231F20"/>
          <w:spacing w:val="-9"/>
        </w:rPr>
        <w:t>1).</w:t>
      </w:r>
      <w:r>
        <w:rPr>
          <w:color w:val="231F20"/>
          <w:spacing w:val="20"/>
        </w:rPr>
        <w:t xml:space="preserve"> </w:t>
      </w:r>
      <w:hyperlink w:history="true" r:id="rId14">
        <w:r>
          <w:rPr>
            <w:color w:val="231F20"/>
            <w:spacing w:val="-9"/>
          </w:rPr>
          <w:t>https:</w:t>
        </w:r>
      </w:hyperlink>
      <w:r>
        <w:rPr>
          <w:color w:val="231F20"/>
        </w:rPr>
        <w:t xml:space="preserve"> </w:t>
      </w:r>
      <w:r>
        <w:rPr>
          <w:color w:val="231F20"/>
          <w:spacing w:val="-13"/>
        </w:rPr>
        <w:t>//</w:t>
      </w:r>
      <w:hyperlink w:history="true" r:id="rId15">
        <w:r>
          <w:rPr>
            <w:color w:val="231F20"/>
            <w:spacing w:val="-13"/>
          </w:rPr>
          <w:t>www.agreetrust.org/wp</w:t>
        </w:r>
        <w:r>
          <w:rPr>
            <w:color w:val="231F20"/>
            <w:spacing w:val="-12"/>
          </w:rPr>
          <w:t xml:space="preserve"> </w:t>
        </w:r>
        <w:r>
          <w:rPr>
            <w:color w:val="231F20"/>
            <w:spacing w:val="-13"/>
          </w:rPr>
          <w:t>-content/upload</w:t>
        </w:r>
        <w:r>
          <w:rPr>
            <w:color w:val="231F20"/>
            <w:spacing w:val="-14"/>
          </w:rPr>
          <w:t>s/2017/12/AGREE</w:t>
        </w:r>
      </w:hyperlink>
      <w:r>
        <w:rPr>
          <w:color w:val="231F20"/>
          <w:spacing w:val="-12"/>
        </w:rPr>
        <w:t xml:space="preserve"> </w:t>
      </w:r>
      <w:r>
        <w:rPr>
          <w:color w:val="231F20"/>
          <w:spacing w:val="-14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II-Users-Manual-and-23-item-Instrument-2009-Update-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2017.pdf</w:t>
      </w:r>
    </w:p>
    <w:p>
      <w:pPr>
        <w:pStyle w:val="BodyText"/>
        <w:spacing w:before="15" w:line="198" w:lineRule="auto"/>
        <w:jc w:val="right"/>
        <w:rPr/>
      </w:pPr>
      <w:r>
        <w:rPr>
          <w:color w:val="231F20"/>
          <w:spacing w:val="7"/>
        </w:rPr>
        <w:t>[44]</w:t>
      </w:r>
      <w:r>
        <w:rPr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崔世超</w:t>
      </w:r>
      <w:r>
        <w:rPr>
          <w:color w:val="231F20"/>
          <w:spacing w:val="7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侯海燕</w:t>
      </w:r>
      <w:r>
        <w:rPr>
          <w:color w:val="231F20"/>
          <w:spacing w:val="7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李幼平</w:t>
      </w:r>
      <w:r>
        <w:rPr>
          <w:color w:val="231F20"/>
          <w:spacing w:val="7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等</w:t>
      </w:r>
      <w:r>
        <w:rPr>
          <w:color w:val="231F20"/>
          <w:spacing w:val="7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不孕症临床指南的系统评价</w:t>
      </w:r>
      <w:r>
        <w:rPr>
          <w:color w:val="231F20"/>
          <w:spacing w:val="7"/>
        </w:rPr>
        <w:t>[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J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].</w:t>
      </w:r>
    </w:p>
    <w:p>
      <w:pPr>
        <w:pStyle w:val="BodyText"/>
        <w:ind w:left="350" w:right="2" w:firstLine="7"/>
        <w:spacing w:before="1" w:line="209" w:lineRule="auto"/>
        <w:rPr/>
      </w:pP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中</w:t>
      </w:r>
      <w:r>
        <w:rPr>
          <w:rFonts w:ascii="SimSun" w:hAnsi="SimSun" w:eastAsia="SimSun" w:cs="SimSun"/>
          <w:sz w:val="16"/>
          <w:szCs w:val="16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国</w:t>
      </w:r>
      <w:r>
        <w:rPr>
          <w:rFonts w:ascii="SimSun" w:hAnsi="SimSun" w:eastAsia="SimSun" w:cs="SimSun"/>
          <w:sz w:val="16"/>
          <w:szCs w:val="16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循</w:t>
      </w:r>
      <w:r>
        <w:rPr>
          <w:rFonts w:ascii="SimSun" w:hAnsi="SimSun" w:eastAsia="SimSun" w:cs="SimSun"/>
          <w:sz w:val="16"/>
          <w:szCs w:val="16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证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医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学</w:t>
      </w:r>
      <w:r>
        <w:rPr>
          <w:rFonts w:ascii="SimSun" w:hAnsi="SimSun" w:eastAsia="SimSun" w:cs="SimSun"/>
          <w:sz w:val="16"/>
          <w:szCs w:val="16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杂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志</w:t>
      </w:r>
      <w:r>
        <w:rPr>
          <w:rFonts w:ascii="SimSun" w:hAnsi="SimSun" w:eastAsia="SimSun" w:cs="SimSun"/>
          <w:sz w:val="16"/>
          <w:szCs w:val="16"/>
          <w:color w:val="231F20"/>
          <w:spacing w:val="-45"/>
        </w:rPr>
        <w:t xml:space="preserve"> </w:t>
      </w:r>
      <w:r>
        <w:rPr>
          <w:color w:val="231F20"/>
          <w:spacing w:val="-7"/>
        </w:rPr>
        <w:t>,2013,  13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(8):947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-954.  D</w:t>
      </w:r>
      <w:r>
        <w:rPr>
          <w:color w:val="231F20"/>
          <w:spacing w:val="-8"/>
        </w:rPr>
        <w:t>OI:10.7507</w:t>
      </w:r>
      <w:r>
        <w:rPr>
          <w:color w:val="231F20"/>
          <w:spacing w:val="-1"/>
        </w:rPr>
        <w:t>/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1672-2531.20130166.</w:t>
      </w:r>
    </w:p>
    <w:p>
      <w:pPr>
        <w:pStyle w:val="BodyText"/>
        <w:ind w:left="324" w:hanging="324"/>
        <w:spacing w:before="2" w:line="187" w:lineRule="auto"/>
        <w:rPr/>
      </w:pPr>
      <w:r>
        <w:rPr>
          <w:color w:val="231F20"/>
          <w:spacing w:val="-12"/>
        </w:rPr>
        <w:t>[4</w:t>
      </w:r>
      <w:r>
        <w:rPr>
          <w:color w:val="231F20"/>
          <w:spacing w:val="-11"/>
        </w:rPr>
        <w:t>5]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1"/>
        </w:rPr>
        <w:t>Joanna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1"/>
        </w:rPr>
        <w:t>Briggs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Institute．JB</w:t>
      </w:r>
      <w:r>
        <w:rPr>
          <w:color w:val="231F20"/>
          <w:spacing w:val="-12"/>
        </w:rPr>
        <w:t>I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2"/>
        </w:rPr>
        <w:t>Critical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Appraisal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2"/>
        </w:rPr>
        <w:t>Checklis</w:t>
      </w:r>
      <w:r>
        <w:rPr>
          <w:color w:val="231F20"/>
          <w:spacing w:val="-10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for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5"/>
        </w:rPr>
        <w:t>Text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5"/>
        </w:rPr>
        <w:t>Opinio</w:t>
      </w:r>
      <w:r>
        <w:rPr>
          <w:color w:val="231F20"/>
          <w:spacing w:val="-14"/>
        </w:rPr>
        <w:t>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4"/>
        </w:rPr>
        <w:t>Paper</w:t>
      </w:r>
      <w:r>
        <w:rPr>
          <w:color w:val="231F20"/>
          <w:spacing w:val="-15"/>
        </w:rPr>
        <w:t>s  [EB／OL].(2018-12-22)．</w:t>
      </w:r>
      <w:hyperlink w:history="true" r:id="rId16">
        <w:r>
          <w:rPr>
            <w:color w:val="231F20"/>
            <w:spacing w:val="-15"/>
          </w:rPr>
          <w:t>http</w:t>
        </w:r>
        <w:r>
          <w:rPr>
            <w:sz w:val="16"/>
            <w:szCs w:val="16"/>
            <w:color w:val="231F20"/>
            <w:spacing w:val="-15"/>
          </w:rPr>
          <w:t>：</w:t>
        </w:r>
        <w:r>
          <w:rPr>
            <w:color w:val="231F20"/>
            <w:spacing w:val="-15"/>
          </w:rPr>
          <w:t>/</w:t>
        </w:r>
        <w:r>
          <w:rPr>
            <w:color w:val="231F20"/>
            <w:spacing w:val="1"/>
          </w:rPr>
          <w:t>/</w:t>
        </w:r>
      </w:hyperlink>
      <w:r>
        <w:rPr>
          <w:color w:val="231F20"/>
        </w:rPr>
        <w:t xml:space="preserve"> </w:t>
      </w:r>
      <w:hyperlink w:history="true" r:id="rId16">
        <w:r>
          <w:rPr>
            <w:color w:val="231F20"/>
            <w:spacing w:val="-10"/>
          </w:rPr>
          <w:t>joannabriggs.or/research/critical-appraisa</w:t>
        </w:r>
        <w:r>
          <w:rPr>
            <w:color w:val="231F20"/>
            <w:spacing w:val="-11"/>
          </w:rPr>
          <w:t>l-tools.html.</w:t>
        </w:r>
      </w:hyperlink>
    </w:p>
    <w:p>
      <w:pPr>
        <w:pStyle w:val="BodyText"/>
        <w:ind w:left="330" w:right="5" w:hanging="330"/>
        <w:spacing w:before="42" w:line="190" w:lineRule="auto"/>
        <w:rPr/>
      </w:pPr>
      <w:r>
        <w:rPr>
          <w:color w:val="231F20"/>
          <w:spacing w:val="-8"/>
        </w:rPr>
        <w:t>[46]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Better Value Healthcare Ltd(BVHC). Critical Appraisal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Ski</w:t>
      </w:r>
      <w:r>
        <w:rPr>
          <w:color w:val="231F20"/>
          <w:spacing w:val="-9"/>
        </w:rPr>
        <w:t>lls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Programme  [EB/OL].(2</w:t>
      </w:r>
      <w:r>
        <w:rPr>
          <w:color w:val="231F20"/>
          <w:spacing w:val="-9"/>
        </w:rPr>
        <w:t>018-12-25).</w:t>
      </w:r>
      <w:hyperlink w:history="true" r:id="rId17">
        <w:r>
          <w:rPr>
            <w:color w:val="231F20"/>
            <w:spacing w:val="-9"/>
          </w:rPr>
          <w:t>https://casp-uk.net/wp</w:t>
        </w:r>
      </w:hyperlink>
      <w:r>
        <w:rPr>
          <w:color w:val="231F20"/>
          <w:spacing w:val="-9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co</w:t>
      </w:r>
      <w:r>
        <w:rPr>
          <w:color w:val="231F20"/>
          <w:spacing w:val="-13"/>
        </w:rPr>
        <w:t>ntent/uploads/2018/01/CASP-Systematic-Review-Checklis</w:t>
      </w:r>
      <w:r>
        <w:rPr>
          <w:color w:val="231F20"/>
          <w:spacing w:val="-11"/>
        </w:rPr>
        <w:t>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_2018.pdf.</w:t>
      </w:r>
    </w:p>
    <w:p>
      <w:pPr>
        <w:pStyle w:val="BodyText"/>
        <w:ind w:left="332" w:right="6" w:hanging="332"/>
        <w:spacing w:before="43" w:line="190" w:lineRule="auto"/>
        <w:rPr/>
      </w:pPr>
      <w:r>
        <w:rPr>
          <w:color w:val="231F20"/>
          <w:spacing w:val="-8"/>
        </w:rPr>
        <w:t>[47]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8"/>
        </w:rPr>
        <w:t>Better Value Healthcare Ltd(BVHC).Critical Appraisal  S</w:t>
      </w:r>
      <w:r>
        <w:rPr>
          <w:color w:val="231F20"/>
          <w:spacing w:val="-9"/>
        </w:rPr>
        <w:t>kills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Programme  [EB/OL].</w:t>
      </w:r>
      <w:r>
        <w:rPr>
          <w:color w:val="231F20"/>
          <w:spacing w:val="-9"/>
        </w:rPr>
        <w:t>(2018-12-03).</w:t>
      </w:r>
      <w:hyperlink w:history="true" r:id="rId17">
        <w:r>
          <w:rPr>
            <w:color w:val="231F20"/>
            <w:spacing w:val="-9"/>
          </w:rPr>
          <w:t>https://casp-uk.net/wp</w:t>
        </w:r>
      </w:hyperlink>
      <w:r>
        <w:rPr>
          <w:color w:val="231F20"/>
          <w:spacing w:val="-9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content/uploads/2018/03/CASP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2"/>
        </w:rPr>
        <w:t>-Ra</w:t>
      </w:r>
      <w:r>
        <w:rPr>
          <w:color w:val="231F20"/>
          <w:spacing w:val="-13"/>
        </w:rPr>
        <w:t>ndomised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-Controlled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Trial-Checklist-2018</w:t>
      </w:r>
      <w:r>
        <w:rPr>
          <w:color w:val="231F20"/>
          <w:spacing w:val="-6"/>
        </w:rPr>
        <w:t>_fillable_form.pdf.</w:t>
      </w:r>
    </w:p>
    <w:p>
      <w:pPr>
        <w:pStyle w:val="BodyText"/>
        <w:ind w:left="331" w:right="4" w:hanging="331"/>
        <w:spacing w:before="43" w:line="195" w:lineRule="auto"/>
        <w:rPr/>
      </w:pPr>
      <w:r>
        <w:rPr>
          <w:color w:val="231F20"/>
          <w:spacing w:val="-11"/>
        </w:rPr>
        <w:t>[48]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The Joanna Briggs Institute. The Joanna Briggs Institute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Le</w:t>
      </w:r>
      <w:r>
        <w:rPr>
          <w:color w:val="231F20"/>
          <w:spacing w:val="-12"/>
        </w:rPr>
        <w:t>v-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els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2"/>
        </w:rPr>
        <w:t>Evidence  and  Grade</w:t>
      </w:r>
      <w:r>
        <w:rPr>
          <w:color w:val="231F20"/>
          <w:spacing w:val="-13"/>
        </w:rPr>
        <w:t>s  of  Recommendation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3"/>
        </w:rPr>
        <w:t>Working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Pa</w:t>
      </w:r>
      <w:r>
        <w:rPr>
          <w:color w:val="231F20"/>
          <w:spacing w:val="-14"/>
        </w:rPr>
        <w:t>rty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4"/>
        </w:rPr>
        <w:t>Supporting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4"/>
        </w:rPr>
        <w:t>Document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4"/>
        </w:rPr>
        <w:t>for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4"/>
        </w:rPr>
        <w:t>Joanna  Br</w:t>
      </w:r>
      <w:r>
        <w:rPr>
          <w:color w:val="231F20"/>
          <w:spacing w:val="-15"/>
        </w:rPr>
        <w:t>iggs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5"/>
        </w:rPr>
        <w:t>Institut</w:t>
      </w:r>
      <w:r>
        <w:rPr>
          <w:color w:val="231F20"/>
          <w:spacing w:val="-13"/>
        </w:rPr>
        <w:t>e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levels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2"/>
        </w:rPr>
        <w:t>E</w:t>
      </w:r>
      <w:r>
        <w:rPr>
          <w:color w:val="231F20"/>
          <w:spacing w:val="-11"/>
        </w:rPr>
        <w:t>vidence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1"/>
        </w:rPr>
        <w:t>Grades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1"/>
        </w:rPr>
        <w:t>Recommen--dat</w:t>
      </w:r>
      <w:r>
        <w:rPr>
          <w:color w:val="231F20"/>
          <w:spacing w:val="-12"/>
        </w:rPr>
        <w:t>ion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[EB</w:t>
      </w:r>
      <w:r>
        <w:rPr>
          <w:color w:val="231F20"/>
          <w:spacing w:val="-3"/>
        </w:rPr>
        <w:t>/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OL].(2018-12-20</w:t>
      </w:r>
      <w:r>
        <w:rPr>
          <w:sz w:val="16"/>
          <w:szCs w:val="16"/>
          <w:color w:val="231F20"/>
          <w:spacing w:val="-13"/>
        </w:rPr>
        <w:t>）</w:t>
      </w:r>
      <w:r>
        <w:rPr>
          <w:color w:val="231F20"/>
          <w:spacing w:val="-13"/>
        </w:rPr>
        <w:t>.</w:t>
      </w:r>
      <w:hyperlink w:history="true" r:id="rId16">
        <w:r>
          <w:rPr>
            <w:color w:val="231F20"/>
            <w:spacing w:val="-13"/>
          </w:rPr>
          <w:t>http://joannabriggs.org/jbi-approach.</w:t>
        </w:r>
        <w:r>
          <w:rPr>
            <w:color w:val="231F20"/>
            <w:spacing w:val="-14"/>
          </w:rPr>
          <w:t>html</w:t>
        </w:r>
      </w:hyperlink>
      <w:r>
        <w:rPr>
          <w:color w:val="231F20"/>
        </w:rPr>
        <w:t xml:space="preserve">  </w:t>
      </w:r>
      <w:hyperlink w:history="true" r:id="rId16">
        <w:r>
          <w:rPr>
            <w:color w:val="231F20"/>
            <w:spacing w:val="-9"/>
          </w:rPr>
          <w:t>#tabbed-nav=Levels-of-Evidence.</w:t>
        </w:r>
      </w:hyperlink>
    </w:p>
    <w:p>
      <w:pPr>
        <w:pStyle w:val="BodyText"/>
        <w:ind w:left="344" w:right="9" w:hanging="344"/>
        <w:spacing w:line="200" w:lineRule="auto"/>
        <w:rPr/>
      </w:pPr>
      <w:r>
        <w:rPr>
          <w:color w:val="231F20"/>
          <w:spacing w:val="5"/>
        </w:rPr>
        <w:t>[49]</w:t>
      </w:r>
      <w:r>
        <w:rPr>
          <w:color w:val="231F20"/>
          <w:spacing w:val="3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胡雁</w:t>
      </w:r>
      <w:r>
        <w:rPr>
          <w:color w:val="231F20"/>
          <w:spacing w:val="5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郝玉芳</w:t>
      </w:r>
      <w:r>
        <w:rPr>
          <w:color w:val="231F20"/>
          <w:spacing w:val="5"/>
        </w:rPr>
        <w:t>.</w:t>
      </w:r>
      <w:r>
        <w:rPr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循证护理学</w:t>
      </w:r>
      <w:r>
        <w:rPr>
          <w:color w:val="231F20"/>
          <w:spacing w:val="5"/>
        </w:rPr>
        <w:t>[M].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2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版</w:t>
      </w:r>
      <w:r>
        <w:rPr>
          <w:color w:val="231F20"/>
          <w:spacing w:val="5"/>
        </w:rPr>
        <w:t>.</w:t>
      </w:r>
      <w:r>
        <w:rPr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北京</w:t>
      </w:r>
      <w:r>
        <w:rPr>
          <w:sz w:val="16"/>
          <w:szCs w:val="16"/>
          <w:color w:val="231F20"/>
          <w:spacing w:val="4"/>
        </w:rPr>
        <w:t>：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人</w:t>
      </w:r>
      <w:r>
        <w:rPr>
          <w:rFonts w:ascii="SimSun" w:hAnsi="SimSun" w:eastAsia="SimSun" w:cs="SimSun"/>
          <w:sz w:val="16"/>
          <w:szCs w:val="16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民卫生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出版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社</w:t>
      </w:r>
      <w:r>
        <w:rPr>
          <w:color w:val="231F20"/>
          <w:spacing w:val="-4"/>
        </w:rPr>
        <w:t>,2018:52-430.</w:t>
      </w:r>
    </w:p>
    <w:p>
      <w:pPr>
        <w:pStyle w:val="BodyText"/>
        <w:ind w:left="335" w:right="5" w:hanging="335"/>
        <w:spacing w:before="24" w:line="194" w:lineRule="auto"/>
        <w:rPr/>
      </w:pPr>
      <w:r>
        <w:rPr>
          <w:color w:val="231F20"/>
          <w:spacing w:val="-11"/>
        </w:rPr>
        <w:t>[50]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1"/>
        </w:rPr>
        <w:t>Windsor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1"/>
        </w:rPr>
        <w:t>AC,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1"/>
        </w:rPr>
        <w:t>Kanwar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1"/>
        </w:rPr>
        <w:t>S,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1"/>
        </w:rPr>
        <w:t>Li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1"/>
        </w:rPr>
        <w:t>AG,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1"/>
        </w:rPr>
        <w:t>et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1"/>
        </w:rPr>
        <w:t>al.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1"/>
        </w:rPr>
        <w:t>Compare</w:t>
      </w:r>
      <w:r>
        <w:rPr>
          <w:color w:val="231F20"/>
          <w:spacing w:val="-12"/>
        </w:rPr>
        <w:t>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with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2"/>
        </w:rPr>
        <w:t>Par-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enteral   Nutrition,Enter</w:t>
      </w:r>
      <w:r>
        <w:rPr>
          <w:color w:val="231F20"/>
          <w:spacing w:val="-11"/>
        </w:rPr>
        <w:t>al   Feeding   Attenuates   the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11"/>
        </w:rPr>
        <w:t>Acute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Phase  Response  and  Improves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2"/>
        </w:rPr>
        <w:t>Disease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2"/>
        </w:rPr>
        <w:t>Severity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2"/>
        </w:rPr>
        <w:t>Acu</w:t>
      </w:r>
      <w:r>
        <w:rPr>
          <w:color w:val="231F20"/>
          <w:spacing w:val="-13"/>
        </w:rPr>
        <w:t>te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Pancreatitis[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J ].Gut,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1998,42(3):431-</w:t>
      </w:r>
      <w:r>
        <w:rPr>
          <w:color w:val="231F20"/>
          <w:spacing w:val="-9"/>
        </w:rPr>
        <w:t>435.DOI:10.1097/0004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2737-199804000-00020.</w:t>
      </w:r>
    </w:p>
    <w:p>
      <w:pPr>
        <w:pStyle w:val="BodyText"/>
        <w:ind w:left="343" w:right="4" w:hanging="343"/>
        <w:spacing w:before="2" w:line="198" w:lineRule="auto"/>
        <w:rPr/>
      </w:pPr>
      <w:r>
        <w:rPr>
          <w:color w:val="231F20"/>
          <w:spacing w:val="10"/>
        </w:rPr>
        <w:t>[51]</w:t>
      </w:r>
      <w:r>
        <w:rPr>
          <w:color w:val="231F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王兴鹏</w:t>
      </w:r>
      <w:r>
        <w:rPr>
          <w:color w:val="231F20"/>
          <w:spacing w:val="10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徐敏</w:t>
      </w:r>
      <w:r>
        <w:rPr>
          <w:color w:val="231F20"/>
          <w:spacing w:val="10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许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国铭</w:t>
      </w:r>
      <w:r>
        <w:rPr>
          <w:color w:val="231F20"/>
          <w:spacing w:val="10"/>
        </w:rPr>
        <w:t>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0"/>
        </w:rPr>
        <w:t>2003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年全国胰腺疾病学术大会纪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要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color w:val="231F20"/>
          <w:spacing w:val="-6"/>
        </w:rPr>
        <w:t>[ J ]. </w:t>
      </w:r>
      <w:r>
        <w:rPr>
          <w:rFonts w:ascii="SimSun" w:hAnsi="SimSun" w:eastAsia="SimSun" w:cs="SimSun"/>
          <w:sz w:val="16"/>
          <w:szCs w:val="16"/>
          <w:color w:val="231F20"/>
          <w:spacing w:val="-6"/>
          <w:position w:val="1"/>
        </w:rPr>
        <w:t>胃</w:t>
      </w:r>
      <w:r>
        <w:rPr>
          <w:rFonts w:ascii="SimSun" w:hAnsi="SimSun" w:eastAsia="SimSun" w:cs="SimSun"/>
          <w:sz w:val="16"/>
          <w:szCs w:val="16"/>
          <w:color w:val="231F20"/>
          <w:spacing w:val="-41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  <w:position w:val="1"/>
        </w:rPr>
        <w:t>肠</w:t>
      </w:r>
      <w:r>
        <w:rPr>
          <w:rFonts w:ascii="SimSun" w:hAnsi="SimSun" w:eastAsia="SimSun" w:cs="SimSun"/>
          <w:sz w:val="16"/>
          <w:szCs w:val="16"/>
          <w:color w:val="231F20"/>
          <w:spacing w:val="-41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  <w:position w:val="1"/>
        </w:rPr>
        <w:t>病</w:t>
      </w:r>
      <w:r>
        <w:rPr>
          <w:rFonts w:ascii="SimSun" w:hAnsi="SimSun" w:eastAsia="SimSun" w:cs="SimSun"/>
          <w:sz w:val="16"/>
          <w:szCs w:val="16"/>
          <w:color w:val="231F20"/>
          <w:spacing w:val="-38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  <w:position w:val="1"/>
        </w:rPr>
        <w:t>学</w:t>
      </w:r>
      <w:r>
        <w:rPr>
          <w:rFonts w:ascii="SimSun" w:hAnsi="SimSun" w:eastAsia="SimSun" w:cs="SimSun"/>
          <w:sz w:val="16"/>
          <w:szCs w:val="16"/>
          <w:color w:val="231F20"/>
          <w:spacing w:val="-43"/>
          <w:position w:val="1"/>
        </w:rPr>
        <w:t xml:space="preserve"> </w:t>
      </w:r>
      <w:r>
        <w:rPr>
          <w:color w:val="231F20"/>
          <w:spacing w:val="-6"/>
        </w:rPr>
        <w:t>,2004,9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(2):113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-114.  DOI:10.3969/j.issn.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1008-7125.2004.02.015.</w:t>
      </w:r>
    </w:p>
    <w:p>
      <w:pPr>
        <w:pStyle w:val="BodyText"/>
        <w:ind w:left="345" w:right="3" w:hanging="345"/>
        <w:spacing w:before="3" w:line="194" w:lineRule="auto"/>
        <w:rPr/>
      </w:pPr>
      <w:r>
        <w:rPr>
          <w:color w:val="231F20"/>
          <w:spacing w:val="12"/>
          <w:position w:val="-1"/>
        </w:rPr>
        <w:t>[52]</w:t>
      </w:r>
      <w:r>
        <w:rPr>
          <w:color w:val="231F20"/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许丽丽</w:t>
      </w:r>
      <w:r>
        <w:rPr>
          <w:color w:val="231F20"/>
          <w:spacing w:val="12"/>
          <w:position w:val="-1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杨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甲梅</w:t>
      </w:r>
      <w:r>
        <w:rPr>
          <w:color w:val="231F20"/>
          <w:spacing w:val="12"/>
          <w:position w:val="-1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谢峰</w:t>
      </w:r>
      <w:r>
        <w:rPr>
          <w:color w:val="231F20"/>
          <w:spacing w:val="12"/>
          <w:position w:val="-1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快速康复外科在肝胆外科围术期护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理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中</w:t>
      </w:r>
      <w:r>
        <w:rPr>
          <w:rFonts w:ascii="SimSun" w:hAnsi="SimSun" w:eastAsia="SimSun" w:cs="SimSun"/>
          <w:sz w:val="16"/>
          <w:szCs w:val="16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的应用</w:t>
      </w:r>
      <w:r>
        <w:rPr>
          <w:color w:val="231F20"/>
          <w:spacing w:val="2"/>
        </w:rPr>
        <w:t>[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J ].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解放军护理杂志</w:t>
      </w:r>
      <w:r>
        <w:rPr>
          <w:color w:val="231F20"/>
          <w:spacing w:val="2"/>
        </w:rPr>
        <w:t>,2009,26(6):30-31</w:t>
      </w:r>
      <w:r>
        <w:rPr>
          <w:color w:val="231F20"/>
          <w:spacing w:val="1"/>
        </w:rPr>
        <w:t>.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10.3969/j.issn.1008-9993.2009.06.012.</w:t>
      </w:r>
    </w:p>
    <w:p>
      <w:pPr>
        <w:pStyle w:val="BodyText"/>
        <w:ind w:left="337" w:right="4" w:hanging="338"/>
        <w:spacing w:before="15" w:line="195" w:lineRule="auto"/>
        <w:rPr/>
      </w:pPr>
      <w:r>
        <w:rPr>
          <w:color w:val="231F20"/>
          <w:spacing w:val="12"/>
          <w:position w:val="-1"/>
        </w:rPr>
        <w:t>[53]</w:t>
      </w:r>
      <w:r>
        <w:rPr>
          <w:color w:val="231F20"/>
          <w:spacing w:val="2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吴伟鸿</w:t>
      </w:r>
      <w:r>
        <w:rPr>
          <w:color w:val="231F20"/>
          <w:spacing w:val="12"/>
          <w:position w:val="-1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温凌</w:t>
      </w:r>
      <w:r>
        <w:rPr>
          <w:color w:val="231F20"/>
          <w:spacing w:val="12"/>
          <w:position w:val="-1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王巧瑜</w:t>
      </w:r>
      <w:r>
        <w:rPr>
          <w:color w:val="231F20"/>
          <w:spacing w:val="12"/>
          <w:position w:val="-1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等</w:t>
      </w:r>
      <w:r>
        <w:rPr>
          <w:color w:val="231F20"/>
          <w:spacing w:val="12"/>
          <w:position w:val="-1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急性轻型胰腺炎进食营养的临床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研</w:t>
      </w:r>
      <w:r>
        <w:rPr>
          <w:rFonts w:ascii="SimSun" w:hAnsi="SimSun" w:eastAsia="SimSun" w:cs="SimSun"/>
          <w:sz w:val="16"/>
          <w:szCs w:val="16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究</w:t>
      </w:r>
      <w:r>
        <w:rPr>
          <w:color w:val="231F20"/>
          <w:spacing w:val="2"/>
        </w:rPr>
        <w:t>[ J ].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肠外与肠内营养</w:t>
      </w:r>
      <w:r>
        <w:rPr>
          <w:rFonts w:ascii="SimSun" w:hAnsi="SimSun" w:eastAsia="SimSun" w:cs="SimSun"/>
          <w:sz w:val="16"/>
          <w:szCs w:val="16"/>
          <w:color w:val="231F20"/>
          <w:spacing w:val="-47"/>
        </w:rPr>
        <w:t xml:space="preserve"> </w:t>
      </w:r>
      <w:r>
        <w:rPr>
          <w:color w:val="231F20"/>
          <w:spacing w:val="2"/>
        </w:rPr>
        <w:t>,2009,16(4):212-214.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2"/>
        </w:rPr>
        <w:t>:10.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3969/j.issn.1007-810X.200</w:t>
      </w:r>
      <w:r>
        <w:rPr>
          <w:color w:val="231F20"/>
          <w:spacing w:val="-7"/>
        </w:rPr>
        <w:t>9.04.007.</w:t>
      </w:r>
    </w:p>
    <w:p>
      <w:pPr>
        <w:pStyle w:val="BodyText"/>
        <w:ind w:left="324" w:right="4" w:hanging="324"/>
        <w:spacing w:before="13" w:line="195" w:lineRule="auto"/>
        <w:rPr/>
      </w:pPr>
      <w:r>
        <w:rPr>
          <w:color w:val="231F20"/>
          <w:spacing w:val="15"/>
          <w:position w:val="-1"/>
        </w:rPr>
        <w:t>[54]</w:t>
      </w:r>
      <w:r>
        <w:rPr>
          <w:color w:val="231F20"/>
          <w:spacing w:val="4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5"/>
        </w:rPr>
        <w:t>卢人玉</w:t>
      </w:r>
      <w:r>
        <w:rPr>
          <w:color w:val="231F20"/>
          <w:spacing w:val="15"/>
          <w:position w:val="-1"/>
        </w:rPr>
        <w:t>,</w:t>
      </w:r>
      <w:r>
        <w:rPr>
          <w:rFonts w:ascii="SimSun" w:hAnsi="SimSun" w:eastAsia="SimSun" w:cs="SimSun"/>
          <w:sz w:val="16"/>
          <w:szCs w:val="16"/>
          <w:color w:val="231F20"/>
          <w:spacing w:val="15"/>
        </w:rPr>
        <w:t>彭君</w:t>
      </w:r>
      <w:r>
        <w:rPr>
          <w:color w:val="231F20"/>
          <w:spacing w:val="15"/>
          <w:position w:val="-1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15"/>
        </w:rPr>
        <w:t>静脉输液护理存在问题及举证责任倒置的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思考</w:t>
      </w:r>
      <w:r>
        <w:rPr>
          <w:color w:val="231F20"/>
          <w:spacing w:val="-3"/>
        </w:rPr>
        <w:t>[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J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].</w:t>
      </w:r>
      <w:r>
        <w:rPr>
          <w:rFonts w:ascii="SimSun" w:hAnsi="SimSun" w:eastAsia="SimSun" w:cs="SimSun"/>
          <w:sz w:val="16"/>
          <w:szCs w:val="16"/>
          <w:color w:val="231F20"/>
          <w:spacing w:val="-3"/>
          <w:position w:val="1"/>
        </w:rPr>
        <w:t>现代护理</w:t>
      </w:r>
      <w:r>
        <w:rPr>
          <w:color w:val="231F20"/>
          <w:spacing w:val="-3"/>
        </w:rPr>
        <w:t>,2002,8(11):865-866.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DOI:10.3</w:t>
      </w:r>
      <w:r>
        <w:rPr>
          <w:color w:val="231F20"/>
          <w:spacing w:val="-4"/>
        </w:rPr>
        <w:t>760/cma.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j.issn.1674-2907.2002.</w:t>
      </w:r>
      <w:r>
        <w:rPr>
          <w:color w:val="231F20"/>
          <w:spacing w:val="-6"/>
        </w:rPr>
        <w:t>11.034.</w:t>
      </w:r>
    </w:p>
    <w:p>
      <w:pPr>
        <w:pStyle w:val="BodyText"/>
        <w:ind w:left="346" w:right="9" w:hanging="346"/>
        <w:spacing w:before="16" w:line="198" w:lineRule="auto"/>
        <w:rPr/>
      </w:pPr>
      <w:r>
        <w:rPr>
          <w:color w:val="231F20"/>
          <w:spacing w:val="5"/>
        </w:rPr>
        <w:t>[55]</w:t>
      </w:r>
      <w:r>
        <w:rPr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刘世云</w:t>
      </w:r>
      <w:r>
        <w:rPr>
          <w:color w:val="231F20"/>
          <w:spacing w:val="5"/>
        </w:rPr>
        <w:t>.</w:t>
      </w:r>
      <w:r>
        <w:rPr>
          <w:color w:val="231F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构建和谐护患关系</w:t>
      </w:r>
      <w:r>
        <w:rPr>
          <w:color w:val="231F20"/>
          <w:spacing w:val="5"/>
        </w:rPr>
        <w:t>,</w:t>
      </w:r>
      <w:r>
        <w:rPr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提高患者满意率</w:t>
      </w:r>
      <w:r>
        <w:rPr>
          <w:color w:val="231F20"/>
          <w:spacing w:val="5"/>
        </w:rPr>
        <w:t>[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J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]．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中</w:t>
      </w:r>
      <w:r>
        <w:rPr>
          <w:rFonts w:ascii="SimSun" w:hAnsi="SimSun" w:eastAsia="SimSun" w:cs="SimSun"/>
          <w:sz w:val="16"/>
          <w:szCs w:val="16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国医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学理论与实践</w:t>
      </w:r>
      <w:r>
        <w:rPr>
          <w:color w:val="231F20"/>
          <w:spacing w:val="-4"/>
        </w:rPr>
        <w:t>,2006,16(2)</w:t>
      </w:r>
      <w:r>
        <w:rPr>
          <w:sz w:val="16"/>
          <w:szCs w:val="16"/>
          <w:color w:val="231F20"/>
          <w:spacing w:val="-4"/>
        </w:rPr>
        <w:t>：</w:t>
      </w:r>
      <w:r>
        <w:rPr>
          <w:color w:val="231F20"/>
          <w:spacing w:val="-4"/>
        </w:rPr>
        <w:t>224-225．</w:t>
      </w:r>
    </w:p>
    <w:p>
      <w:pPr>
        <w:pStyle w:val="BodyText"/>
        <w:spacing w:before="1" w:line="193" w:lineRule="auto"/>
        <w:jc w:val="right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[</w:t>
      </w:r>
      <w:r>
        <w:rPr>
          <w:rFonts w:ascii="SimHei" w:hAnsi="SimHei" w:eastAsia="SimHei" w:cs="SimHei"/>
          <w:sz w:val="19"/>
          <w:szCs w:val="19"/>
          <w:color w:val="231F20"/>
          <w:spacing w:val="2"/>
        </w:rPr>
        <w:t>本文编辑</w:t>
      </w:r>
      <w:r>
        <w:rPr>
          <w:sz w:val="19"/>
          <w:szCs w:val="19"/>
          <w:color w:val="231F20"/>
          <w:spacing w:val="2"/>
        </w:rPr>
        <w:t>：</w:t>
      </w:r>
      <w:r>
        <w:rPr>
          <w:rFonts w:ascii="SimHei" w:hAnsi="SimHei" w:eastAsia="SimHei" w:cs="SimHei"/>
          <w:sz w:val="19"/>
          <w:szCs w:val="19"/>
          <w:color w:val="231F20"/>
          <w:spacing w:val="2"/>
        </w:rPr>
        <w:t>吴艳妮</w:t>
      </w:r>
      <w:r>
        <w:rPr>
          <w:sz w:val="20"/>
          <w:szCs w:val="20"/>
          <w:color w:val="231F20"/>
          <w:spacing w:val="2"/>
        </w:rPr>
        <w:t>]</w:t>
      </w:r>
    </w:p>
    <w:sectPr>
      <w:type w:val="continuous"/>
      <w:pgSz w:w="11905" w:h="16836"/>
      <w:pgMar w:top="1335" w:right="1130" w:bottom="0" w:left="407" w:header="979" w:footer="0" w:gutter="0"/>
      <w:cols w:equalWidth="0" w:num="2">
        <w:col w:w="5652" w:space="100"/>
        <w:col w:w="461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tbl>
    <w:tblPr>
      <w:tblStyle w:val="TableNormal"/>
      <w:tblW w:w="8516" w:type="dxa"/>
      <w:tblInd w:w="1102" w:type="dxa"/>
      <w:tblLayout w:type="fixed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</w:tblPr>
    <w:tblGrid>
      <w:gridCol w:w="442"/>
      <w:gridCol w:w="5982"/>
      <w:gridCol w:w="2092"/>
    </w:tblGrid>
    <w:tr>
      <w:trPr>
        <w:trHeight w:val="191" w:hRule="atLeast"/>
      </w:trPr>
      <w:tc>
        <w:tcPr>
          <w:tcW w:w="442" w:type="dxa"/>
          <w:vAlign w:val="top"/>
        </w:tcPr>
        <w:p>
          <w:pPr>
            <w:spacing w:line="180" w:lineRule="exact"/>
            <w:rPr>
              <w:rFonts w:ascii="Arial"/>
              <w:sz w:val="15"/>
            </w:rPr>
          </w:pPr>
          <w:r>
            <w:pict>
      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      <v:imagedata o:title="" r:id="rId1"/>
              </v:shape>
            </w:pict>
          </w:r>
          <w:r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721359</wp:posOffset>
                </wp:positionH>
                <wp:positionV relativeFrom="page">
                  <wp:posOffset>828675</wp:posOffset>
                </wp:positionV>
                <wp:extent cx="6118859" cy="6350"/>
                <wp:effectExtent l="0" t="0" r="0" b="0"/>
                <wp:wrapNone/>
                <wp:docPr id="2" name="IM 2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IM 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6118859" cy="6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/>
        </w:p>
      </w:tc>
      <w:tc>
        <w:tcPr>
          <w:tcW w:w="5982" w:type="dxa"/>
          <w:vAlign w:val="top"/>
        </w:tcPr>
        <w:p>
          <w:pPr>
            <w:pStyle w:val="TableText"/>
            <w:ind w:left="443"/>
            <w:spacing w:line="168" w:lineRule="auto"/>
            <w:rPr>
              <w:rFonts w:ascii="SimSun" w:hAnsi="SimSun" w:eastAsia="SimSun" w:cs="SimSun"/>
              <w:sz w:val="14"/>
              <w:szCs w:val="14"/>
            </w:rPr>
          </w:pPr>
          <w:r>
            <w:rPr>
              <w:color w:val="231F20"/>
              <w:spacing w:val="-6"/>
            </w:rPr>
            <w:t>2020 </w:t>
          </w:r>
          <w:r>
            <w:rPr>
              <w:rFonts w:ascii="SimSun" w:hAnsi="SimSun" w:eastAsia="SimSun" w:cs="SimSun"/>
              <w:sz w:val="14"/>
              <w:szCs w:val="14"/>
              <w:color w:val="231F20"/>
              <w:spacing w:val="-6"/>
            </w:rPr>
            <w:t>年 </w:t>
          </w:r>
          <w:r>
            <w:rPr>
              <w:color w:val="231F20"/>
              <w:spacing w:val="-6"/>
            </w:rPr>
            <w:t>12</w:t>
          </w:r>
          <w:r>
            <w:rPr>
              <w:color w:val="231F20"/>
              <w:spacing w:val="20"/>
              <w:w w:val="101"/>
            </w:rPr>
            <w:t xml:space="preserve"> </w:t>
          </w:r>
          <w:r>
            <w:rPr>
              <w:rFonts w:ascii="SimSun" w:hAnsi="SimSun" w:eastAsia="SimSun" w:cs="SimSun"/>
              <w:sz w:val="14"/>
              <w:szCs w:val="14"/>
              <w:color w:val="231F20"/>
              <w:spacing w:val="-6"/>
            </w:rPr>
            <w:t>月</w:t>
          </w:r>
          <w:r>
            <w:rPr>
              <w:rFonts w:ascii="SimSun" w:hAnsi="SimSun" w:eastAsia="SimSun" w:cs="SimSun"/>
              <w:sz w:val="14"/>
              <w:szCs w:val="14"/>
              <w:color w:val="231F20"/>
            </w:rPr>
            <w:t xml:space="preserve">                               </w:t>
          </w:r>
          <w:r>
            <w:rPr>
              <w:rFonts w:ascii="SimSun" w:hAnsi="SimSun" w:eastAsia="SimSun" w:cs="SimSun"/>
              <w:sz w:val="14"/>
              <w:szCs w:val="14"/>
              <w:color w:val="231F20"/>
              <w:spacing w:val="-6"/>
            </w:rPr>
            <w:t>护</w:t>
          </w:r>
          <w:r>
            <w:rPr>
              <w:rFonts w:ascii="SimSun" w:hAnsi="SimSun" w:eastAsia="SimSun" w:cs="SimSun"/>
              <w:sz w:val="14"/>
              <w:szCs w:val="14"/>
              <w:color w:val="231F20"/>
              <w:spacing w:val="20"/>
            </w:rPr>
            <w:t xml:space="preserve">  </w:t>
          </w:r>
          <w:r>
            <w:rPr>
              <w:rFonts w:ascii="SimSun" w:hAnsi="SimSun" w:eastAsia="SimSun" w:cs="SimSun"/>
              <w:sz w:val="14"/>
              <w:szCs w:val="14"/>
              <w:color w:val="231F20"/>
              <w:spacing w:val="-6"/>
            </w:rPr>
            <w:t>理</w:t>
          </w:r>
          <w:r>
            <w:rPr>
              <w:rFonts w:ascii="SimSun" w:hAnsi="SimSun" w:eastAsia="SimSun" w:cs="SimSun"/>
              <w:sz w:val="14"/>
              <w:szCs w:val="14"/>
              <w:color w:val="231F20"/>
              <w:spacing w:val="20"/>
            </w:rPr>
            <w:t xml:space="preserve">  </w:t>
          </w:r>
          <w:r>
            <w:rPr>
              <w:rFonts w:ascii="SimSun" w:hAnsi="SimSun" w:eastAsia="SimSun" w:cs="SimSun"/>
              <w:sz w:val="14"/>
              <w:szCs w:val="14"/>
              <w:color w:val="231F20"/>
              <w:spacing w:val="-6"/>
            </w:rPr>
            <w:t>学</w:t>
          </w:r>
          <w:r>
            <w:rPr>
              <w:rFonts w:ascii="SimSun" w:hAnsi="SimSun" w:eastAsia="SimSun" w:cs="SimSun"/>
              <w:sz w:val="14"/>
              <w:szCs w:val="14"/>
              <w:color w:val="231F20"/>
              <w:spacing w:val="17"/>
            </w:rPr>
            <w:t xml:space="preserve">  </w:t>
          </w:r>
          <w:r>
            <w:rPr>
              <w:rFonts w:ascii="SimSun" w:hAnsi="SimSun" w:eastAsia="SimSun" w:cs="SimSun"/>
              <w:sz w:val="14"/>
              <w:szCs w:val="14"/>
              <w:color w:val="231F20"/>
              <w:spacing w:val="-6"/>
            </w:rPr>
            <w:t>报</w:t>
          </w:r>
        </w:p>
      </w:tc>
      <w:tc>
        <w:tcPr>
          <w:tcW w:w="2092" w:type="dxa"/>
          <w:vAlign w:val="top"/>
        </w:tcPr>
        <w:p>
          <w:pPr>
            <w:pStyle w:val="TableText"/>
            <w:spacing w:before="23" w:line="157" w:lineRule="exact"/>
            <w:jc w:val="right"/>
            <w:rPr/>
          </w:pPr>
          <w:r>
            <w:rPr>
              <w:color w:val="231F20"/>
              <w:spacing w:val="-18"/>
            </w:rPr>
            <w:t>December</w:t>
          </w:r>
          <w:r>
            <w:rPr>
              <w:sz w:val="14"/>
              <w:szCs w:val="14"/>
              <w:color w:val="231F20"/>
              <w:spacing w:val="-18"/>
            </w:rPr>
            <w:t>，</w:t>
          </w:r>
          <w:r>
            <w:rPr>
              <w:color w:val="231F20"/>
              <w:spacing w:val="-18"/>
            </w:rPr>
            <w:t>2</w:t>
          </w:r>
          <w:r>
            <w:rPr>
              <w:color w:val="231F20"/>
              <w:spacing w:val="-17"/>
            </w:rPr>
            <w:t>02</w:t>
          </w:r>
          <w:r>
            <w:rPr>
              <w:color w:val="231F20"/>
              <w:spacing w:val="-7"/>
            </w:rPr>
            <w:t>0</w:t>
          </w:r>
        </w:p>
      </w:tc>
    </w:tr>
    <w:tr>
      <w:trPr>
        <w:trHeight w:val="191" w:hRule="atLeast"/>
      </w:trPr>
      <w:tc>
        <w:tcPr>
          <w:tcW w:w="442" w:type="dxa"/>
          <w:vAlign w:val="top"/>
        </w:tcPr>
        <w:p>
          <w:pPr>
            <w:spacing w:before="36" w:line="196" w:lineRule="auto"/>
            <w:rPr>
              <w:rFonts w:ascii="Arial" w:hAnsi="Arial" w:eastAsia="Arial" w:cs="Arial"/>
              <w:sz w:val="15"/>
              <w:szCs w:val="15"/>
            </w:rPr>
          </w:pPr>
          <w:r>
            <w:rPr>
              <w:rFonts w:ascii="Arial" w:hAnsi="Arial" w:eastAsia="Arial" w:cs="Arial"/>
              <w:sz w:val="15"/>
              <w:szCs w:val="15"/>
              <w:color w:val="231F20"/>
              <w:spacing w:val="-6"/>
              <w:w w:val="98"/>
            </w:rPr>
            <w:t>24</w:t>
          </w:r>
        </w:p>
      </w:tc>
      <w:tc>
        <w:tcPr>
          <w:tcW w:w="5982" w:type="dxa"/>
          <w:vAlign w:val="top"/>
        </w:tcPr>
        <w:p>
          <w:pPr>
            <w:pStyle w:val="TableText"/>
            <w:ind w:left="292"/>
            <w:spacing w:before="21" w:line="159" w:lineRule="exact"/>
            <w:rPr>
              <w:sz w:val="14"/>
              <w:szCs w:val="14"/>
            </w:rPr>
          </w:pPr>
          <w:r>
            <w:rPr>
              <w:rFonts w:ascii="SimSun" w:hAnsi="SimSun" w:eastAsia="SimSun" w:cs="SimSun"/>
              <w:sz w:val="14"/>
              <w:szCs w:val="14"/>
              <w:color w:val="231F20"/>
              <w:spacing w:val="-10"/>
              <w:position w:val="1"/>
            </w:rPr>
            <w:t>第</w:t>
          </w:r>
          <w:r>
            <w:rPr>
              <w:rFonts w:ascii="SimSun" w:hAnsi="SimSun" w:eastAsia="SimSun" w:cs="SimSun"/>
              <w:sz w:val="14"/>
              <w:szCs w:val="14"/>
              <w:color w:val="231F20"/>
              <w:spacing w:val="-18"/>
              <w:position w:val="1"/>
            </w:rPr>
            <w:t xml:space="preserve"> </w:t>
          </w:r>
          <w:r>
            <w:rPr>
              <w:color w:val="231F20"/>
              <w:spacing w:val="-10"/>
            </w:rPr>
            <w:t>27</w:t>
          </w:r>
          <w:r>
            <w:rPr>
              <w:color w:val="231F20"/>
              <w:spacing w:val="7"/>
            </w:rPr>
            <w:t xml:space="preserve"> </w:t>
          </w:r>
          <w:r>
            <w:rPr>
              <w:rFonts w:ascii="SimSun" w:hAnsi="SimSun" w:eastAsia="SimSun" w:cs="SimSun"/>
              <w:sz w:val="14"/>
              <w:szCs w:val="14"/>
              <w:color w:val="231F20"/>
              <w:spacing w:val="-10"/>
              <w:position w:val="1"/>
            </w:rPr>
            <w:t>卷 第</w:t>
          </w:r>
          <w:r>
            <w:rPr>
              <w:rFonts w:ascii="SimSun" w:hAnsi="SimSun" w:eastAsia="SimSun" w:cs="SimSun"/>
              <w:sz w:val="14"/>
              <w:szCs w:val="14"/>
              <w:color w:val="231F20"/>
              <w:spacing w:val="-20"/>
              <w:position w:val="1"/>
            </w:rPr>
            <w:t xml:space="preserve"> </w:t>
          </w:r>
          <w:r>
            <w:rPr>
              <w:color w:val="231F20"/>
              <w:spacing w:val="-10"/>
            </w:rPr>
            <w:t>24</w:t>
          </w:r>
          <w:r>
            <w:rPr>
              <w:color w:val="231F20"/>
              <w:spacing w:val="8"/>
            </w:rPr>
            <w:t xml:space="preserve"> </w:t>
          </w:r>
          <w:r>
            <w:rPr>
              <w:rFonts w:ascii="SimSun" w:hAnsi="SimSun" w:eastAsia="SimSun" w:cs="SimSun"/>
              <w:sz w:val="14"/>
              <w:szCs w:val="14"/>
              <w:color w:val="231F20"/>
              <w:spacing w:val="-10"/>
              <w:position w:val="1"/>
            </w:rPr>
            <w:t>期</w:t>
          </w:r>
          <w:r>
            <w:rPr>
              <w:rFonts w:ascii="SimSun" w:hAnsi="SimSun" w:eastAsia="SimSun" w:cs="SimSun"/>
              <w:sz w:val="14"/>
              <w:szCs w:val="14"/>
              <w:color w:val="231F20"/>
              <w:spacing w:val="1"/>
              <w:position w:val="1"/>
            </w:rPr>
            <w:t xml:space="preserve">                         </w:t>
          </w:r>
          <w:r>
            <w:rPr>
              <w:color w:val="231F20"/>
              <w:spacing w:val="-10"/>
            </w:rPr>
            <w:t>Journal</w:t>
          </w:r>
          <w:r>
            <w:rPr>
              <w:color w:val="231F20"/>
              <w:spacing w:val="31"/>
              <w:w w:val="101"/>
            </w:rPr>
            <w:t xml:space="preserve"> </w:t>
          </w:r>
          <w:r>
            <w:rPr>
              <w:color w:val="231F20"/>
              <w:spacing w:val="-10"/>
            </w:rPr>
            <w:t>of</w:t>
          </w:r>
          <w:r>
            <w:rPr>
              <w:color w:val="231F20"/>
              <w:spacing w:val="5"/>
            </w:rPr>
            <w:t xml:space="preserve"> </w:t>
          </w:r>
          <w:r>
            <w:rPr>
              <w:color w:val="231F20"/>
              <w:spacing w:val="-10"/>
            </w:rPr>
            <w:t>Nursing</w:t>
          </w:r>
          <w:r>
            <w:rPr>
              <w:sz w:val="14"/>
              <w:szCs w:val="14"/>
              <w:color w:val="231F20"/>
              <w:spacing w:val="-10"/>
            </w:rPr>
            <w:t>（</w:t>
          </w:r>
          <w:r>
            <w:rPr>
              <w:color w:val="231F20"/>
              <w:spacing w:val="-10"/>
            </w:rPr>
            <w:t>China</w:t>
          </w:r>
          <w:r>
            <w:rPr>
              <w:sz w:val="14"/>
              <w:szCs w:val="14"/>
              <w:color w:val="231F20"/>
              <w:spacing w:val="-10"/>
            </w:rPr>
            <w:t>）</w:t>
          </w:r>
        </w:p>
      </w:tc>
      <w:tc>
        <w:tcPr>
          <w:tcW w:w="2092" w:type="dxa"/>
          <w:vAlign w:val="top"/>
        </w:tcPr>
        <w:p>
          <w:pPr>
            <w:pStyle w:val="TableText"/>
            <w:ind w:left="1183"/>
            <w:spacing w:before="44" w:line="136" w:lineRule="exact"/>
            <w:rPr/>
          </w:pPr>
          <w:r>
            <w:rPr>
              <w:color w:val="231F20"/>
              <w:spacing w:val="-9"/>
              <w:position w:val="-2"/>
            </w:rPr>
            <w:t>Vol.27</w:t>
          </w:r>
          <w:r>
            <w:rPr>
              <w:color w:val="231F20"/>
              <w:spacing w:val="20"/>
              <w:position w:val="-2"/>
            </w:rPr>
            <w:t xml:space="preserve"> </w:t>
          </w:r>
          <w:r>
            <w:rPr>
              <w:color w:val="231F20"/>
              <w:spacing w:val="-9"/>
              <w:position w:val="-2"/>
            </w:rPr>
            <w:t>No.24</w:t>
          </w:r>
        </w:p>
      </w:tc>
    </w:tr>
  </w:tbl>
  <w:p>
    <w:pPr>
      <w:spacing w:line="69" w:lineRule="exact"/>
      <w:rPr>
        <w:rFonts w:ascii="Arial"/>
        <w:sz w:val="6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3"/>
      <w:spacing w:before="36" w:line="208" w:lineRule="auto"/>
      <w:rPr>
        <w:sz w:val="15"/>
        <w:szCs w:val="15"/>
      </w:rPr>
    </w:pPr>
    <w:r>
      <w:pict>
        <v:shape id="WordPictureWatermark4" style="position:absolute;margin-left:20.4pt;margin-top:814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720090</wp:posOffset>
          </wp:positionH>
          <wp:positionV relativeFrom="page">
            <wp:posOffset>835659</wp:posOffset>
          </wp:positionV>
          <wp:extent cx="6120129" cy="635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012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4"/>
        <w:szCs w:val="14"/>
        <w:color w:val="231F20"/>
        <w:spacing w:val="9"/>
      </w:rPr>
      <w:t>第</w:t>
    </w:r>
    <w:r>
      <w:rPr>
        <w:rFonts w:ascii="SimSun" w:hAnsi="SimSun" w:eastAsia="SimSun" w:cs="SimSun"/>
        <w:sz w:val="14"/>
        <w:szCs w:val="14"/>
        <w:color w:val="231F20"/>
        <w:spacing w:val="-13"/>
      </w:rPr>
      <w:t xml:space="preserve"> </w:t>
    </w:r>
    <w:r>
      <w:rPr>
        <w:sz w:val="15"/>
        <w:szCs w:val="15"/>
        <w:color w:val="231F20"/>
        <w:spacing w:val="9"/>
      </w:rPr>
      <w:t>24 </w:t>
    </w:r>
    <w:r>
      <w:rPr>
        <w:rFonts w:ascii="SimSun" w:hAnsi="SimSun" w:eastAsia="SimSun" w:cs="SimSun"/>
        <w:sz w:val="14"/>
        <w:szCs w:val="14"/>
        <w:color w:val="231F20"/>
        <w:spacing w:val="9"/>
      </w:rPr>
      <w:t>期</w:t>
    </w:r>
    <w:r>
      <w:rPr>
        <w:rFonts w:ascii="SimSun" w:hAnsi="SimSun" w:eastAsia="SimSun" w:cs="SimSun"/>
        <w:sz w:val="14"/>
        <w:szCs w:val="14"/>
        <w:color w:val="231F20"/>
        <w:spacing w:val="1"/>
      </w:rPr>
      <w:t xml:space="preserve">                          </w:t>
    </w:r>
    <w:r>
      <w:rPr>
        <w:rFonts w:ascii="SimSun" w:hAnsi="SimSun" w:eastAsia="SimSun" w:cs="SimSun"/>
        <w:sz w:val="14"/>
        <w:szCs w:val="14"/>
        <w:color w:val="231F20"/>
        <w:spacing w:val="9"/>
      </w:rPr>
      <w:t>曹春菊等</w:t>
    </w:r>
    <w:r>
      <w:rPr>
        <w:sz w:val="14"/>
        <w:szCs w:val="14"/>
        <w:color w:val="231F20"/>
        <w:spacing w:val="9"/>
      </w:rPr>
      <w:t>：</w:t>
    </w:r>
    <w:r>
      <w:rPr>
        <w:rFonts w:ascii="SimSun" w:hAnsi="SimSun" w:eastAsia="SimSun" w:cs="SimSun"/>
        <w:sz w:val="14"/>
        <w:szCs w:val="14"/>
        <w:color w:val="231F20"/>
        <w:spacing w:val="9"/>
      </w:rPr>
      <w:t>轻</w:t>
    </w:r>
    <w:r>
      <w:rPr>
        <w:sz w:val="14"/>
        <w:szCs w:val="14"/>
        <w:color w:val="231F20"/>
        <w:spacing w:val="9"/>
      </w:rPr>
      <w:t>、</w:t>
    </w:r>
    <w:r>
      <w:rPr>
        <w:rFonts w:ascii="SimSun" w:hAnsi="SimSun" w:eastAsia="SimSun" w:cs="SimSun"/>
        <w:sz w:val="14"/>
        <w:szCs w:val="14"/>
        <w:color w:val="231F20"/>
        <w:spacing w:val="9"/>
      </w:rPr>
      <w:t>中重症急性胰腺炎患者早期经口进食的循证实践</w:t>
    </w:r>
    <w:r>
      <w:rPr>
        <w:rFonts w:ascii="SimSun" w:hAnsi="SimSun" w:eastAsia="SimSun" w:cs="SimSun"/>
        <w:sz w:val="14"/>
        <w:szCs w:val="14"/>
        <w:color w:val="231F20"/>
        <w:spacing w:val="2"/>
      </w:rPr>
      <w:t xml:space="preserve">                      </w:t>
    </w:r>
    <w:r>
      <w:rPr>
        <w:rFonts w:ascii="SimSun" w:hAnsi="SimSun" w:eastAsia="SimSun" w:cs="SimSun"/>
        <w:sz w:val="14"/>
        <w:szCs w:val="14"/>
        <w:color w:val="231F20"/>
        <w:spacing w:val="1"/>
      </w:rPr>
      <w:t xml:space="preserve">       </w:t>
    </w:r>
    <w:r>
      <w:rPr>
        <w:sz w:val="15"/>
        <w:szCs w:val="15"/>
        <w:color w:val="231F20"/>
        <w:spacing w:val="9"/>
      </w:rPr>
      <w:t>25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0.4pt;margin-top:814.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4"/>
      <w:spacing w:before="36" w:line="208" w:lineRule="auto"/>
      <w:rPr>
        <w:rFonts w:ascii="Arial" w:hAnsi="Arial" w:eastAsia="Arial" w:cs="Arial"/>
        <w:sz w:val="15"/>
        <w:szCs w:val="15"/>
      </w:rPr>
    </w:pPr>
    <w:r>
      <w:pict>
        <v:shape id="WordPictureWatermark8" style="position:absolute;margin-left:20.4pt;margin-top:814.4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720090</wp:posOffset>
          </wp:positionH>
          <wp:positionV relativeFrom="page">
            <wp:posOffset>835659</wp:posOffset>
          </wp:positionV>
          <wp:extent cx="6120129" cy="635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012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4"/>
        <w:szCs w:val="14"/>
        <w:color w:val="231F20"/>
        <w:spacing w:val="8"/>
      </w:rPr>
      <w:t>第</w:t>
    </w:r>
    <w:r>
      <w:rPr>
        <w:rFonts w:ascii="SimSun" w:hAnsi="SimSun" w:eastAsia="SimSun" w:cs="SimSun"/>
        <w:sz w:val="14"/>
        <w:szCs w:val="14"/>
        <w:color w:val="231F20"/>
        <w:spacing w:val="-6"/>
      </w:rPr>
      <w:t xml:space="preserve"> </w:t>
    </w:r>
    <w:r>
      <w:rPr>
        <w:sz w:val="15"/>
        <w:szCs w:val="15"/>
        <w:color w:val="231F20"/>
        <w:spacing w:val="8"/>
      </w:rPr>
      <w:t>24 </w:t>
    </w:r>
    <w:r>
      <w:rPr>
        <w:rFonts w:ascii="SimSun" w:hAnsi="SimSun" w:eastAsia="SimSun" w:cs="SimSun"/>
        <w:sz w:val="14"/>
        <w:szCs w:val="14"/>
        <w:color w:val="231F20"/>
        <w:spacing w:val="8"/>
      </w:rPr>
      <w:t>期</w:t>
    </w:r>
    <w:r>
      <w:rPr>
        <w:rFonts w:ascii="SimSun" w:hAnsi="SimSun" w:eastAsia="SimSun" w:cs="SimSun"/>
        <w:sz w:val="14"/>
        <w:szCs w:val="14"/>
        <w:color w:val="231F20"/>
        <w:spacing w:val="1"/>
      </w:rPr>
      <w:t xml:space="preserve">                          </w:t>
    </w:r>
    <w:r>
      <w:rPr>
        <w:rFonts w:ascii="SimSun" w:hAnsi="SimSun" w:eastAsia="SimSun" w:cs="SimSun"/>
        <w:sz w:val="14"/>
        <w:szCs w:val="14"/>
        <w:color w:val="231F20"/>
        <w:spacing w:val="8"/>
      </w:rPr>
      <w:t>曹春菊等</w:t>
    </w:r>
    <w:r>
      <w:rPr>
        <w:sz w:val="14"/>
        <w:szCs w:val="14"/>
        <w:color w:val="231F20"/>
        <w:spacing w:val="8"/>
      </w:rPr>
      <w:t>：</w:t>
    </w:r>
    <w:r>
      <w:rPr>
        <w:rFonts w:ascii="SimSun" w:hAnsi="SimSun" w:eastAsia="SimSun" w:cs="SimSun"/>
        <w:sz w:val="14"/>
        <w:szCs w:val="14"/>
        <w:color w:val="231F20"/>
        <w:spacing w:val="8"/>
      </w:rPr>
      <w:t>轻</w:t>
    </w:r>
    <w:r>
      <w:rPr>
        <w:sz w:val="14"/>
        <w:szCs w:val="14"/>
        <w:color w:val="231F20"/>
        <w:spacing w:val="8"/>
      </w:rPr>
      <w:t>、</w:t>
    </w:r>
    <w:r>
      <w:rPr>
        <w:rFonts w:ascii="SimSun" w:hAnsi="SimSun" w:eastAsia="SimSun" w:cs="SimSun"/>
        <w:sz w:val="14"/>
        <w:szCs w:val="14"/>
        <w:color w:val="231F20"/>
        <w:spacing w:val="8"/>
      </w:rPr>
      <w:t>中重症急性胰腺炎患者早期经口进食的循证实践                           </w:t>
    </w:r>
    <w:r>
      <w:rPr>
        <w:rFonts w:ascii="Arial" w:hAnsi="Arial" w:eastAsia="Arial" w:cs="Arial"/>
        <w:sz w:val="15"/>
        <w:szCs w:val="15"/>
        <w:color w:val="231F20"/>
        <w:spacing w:val="8"/>
      </w:rPr>
      <w:t>27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2"/>
      <w:spacing w:before="34" w:line="189" w:lineRule="auto"/>
      <w:rPr>
        <w:sz w:val="14"/>
        <w:szCs w:val="14"/>
      </w:rPr>
    </w:pPr>
    <w:r>
      <w:pict>
        <v:shape id="WordPictureWatermark10" style="position:absolute;margin-left:20.4pt;margin-top:814.4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5"/>
        <w:szCs w:val="15"/>
        <w:color w:val="231F20"/>
        <w:spacing w:val="-13"/>
        <w:position w:val="-4"/>
      </w:rPr>
      <w:t>28</w:t>
    </w:r>
    <w:r>
      <w:rPr>
        <w:rFonts w:ascii="Arial" w:hAnsi="Arial" w:eastAsia="Arial" w:cs="Arial"/>
        <w:sz w:val="15"/>
        <w:szCs w:val="15"/>
        <w:color w:val="231F20"/>
        <w:spacing w:val="1"/>
        <w:position w:val="-4"/>
      </w:rPr>
      <w:t xml:space="preserve">                                           </w:t>
    </w:r>
    <w:r>
      <w:rPr>
        <w:rFonts w:ascii="Arial" w:hAnsi="Arial" w:eastAsia="Arial" w:cs="Arial"/>
        <w:sz w:val="15"/>
        <w:szCs w:val="15"/>
        <w:color w:val="231F20"/>
        <w:position w:val="-4"/>
      </w:rPr>
      <w:t xml:space="preserve">                                              </w:t>
    </w:r>
    <w:r>
      <w:rPr>
        <w:rFonts w:ascii="SimSun" w:hAnsi="SimSun" w:eastAsia="SimSun" w:cs="SimSun"/>
        <w:sz w:val="14"/>
        <w:szCs w:val="14"/>
        <w:color w:val="231F20"/>
        <w:spacing w:val="-13"/>
        <w:position w:val="1"/>
      </w:rPr>
      <w:t>护</w:t>
    </w:r>
    <w:r>
      <w:rPr>
        <w:rFonts w:ascii="SimSun" w:hAnsi="SimSun" w:eastAsia="SimSun" w:cs="SimSun"/>
        <w:sz w:val="14"/>
        <w:szCs w:val="14"/>
        <w:color w:val="231F20"/>
        <w:spacing w:val="20"/>
        <w:position w:val="1"/>
      </w:rPr>
      <w:t xml:space="preserve">  </w:t>
    </w:r>
    <w:r>
      <w:rPr>
        <w:rFonts w:ascii="SimSun" w:hAnsi="SimSun" w:eastAsia="SimSun" w:cs="SimSun"/>
        <w:sz w:val="14"/>
        <w:szCs w:val="14"/>
        <w:color w:val="231F20"/>
        <w:spacing w:val="-13"/>
        <w:position w:val="1"/>
      </w:rPr>
      <w:t>理</w:t>
    </w:r>
    <w:r>
      <w:rPr>
        <w:rFonts w:ascii="SimSun" w:hAnsi="SimSun" w:eastAsia="SimSun" w:cs="SimSun"/>
        <w:sz w:val="14"/>
        <w:szCs w:val="14"/>
        <w:color w:val="231F20"/>
        <w:spacing w:val="19"/>
        <w:w w:val="101"/>
        <w:position w:val="1"/>
      </w:rPr>
      <w:t xml:space="preserve">  </w:t>
    </w:r>
    <w:r>
      <w:rPr>
        <w:rFonts w:ascii="SimSun" w:hAnsi="SimSun" w:eastAsia="SimSun" w:cs="SimSun"/>
        <w:sz w:val="14"/>
        <w:szCs w:val="14"/>
        <w:color w:val="231F20"/>
        <w:spacing w:val="-13"/>
        <w:position w:val="1"/>
      </w:rPr>
      <w:t>学</w:t>
    </w:r>
    <w:r>
      <w:rPr>
        <w:rFonts w:ascii="SimSun" w:hAnsi="SimSun" w:eastAsia="SimSun" w:cs="SimSun"/>
        <w:sz w:val="14"/>
        <w:szCs w:val="14"/>
        <w:color w:val="231F20"/>
        <w:spacing w:val="17"/>
        <w:position w:val="1"/>
      </w:rPr>
      <w:t xml:space="preserve">  </w:t>
    </w:r>
    <w:r>
      <w:rPr>
        <w:rFonts w:ascii="SimSun" w:hAnsi="SimSun" w:eastAsia="SimSun" w:cs="SimSun"/>
        <w:sz w:val="14"/>
        <w:szCs w:val="14"/>
        <w:color w:val="231F20"/>
        <w:spacing w:val="-13"/>
        <w:position w:val="1"/>
      </w:rPr>
      <w:t>报</w:t>
    </w:r>
    <w:r>
      <w:rPr>
        <w:rFonts w:ascii="SimSun" w:hAnsi="SimSun" w:eastAsia="SimSun" w:cs="SimSun"/>
        <w:sz w:val="14"/>
        <w:szCs w:val="14"/>
        <w:color w:val="231F20"/>
        <w:spacing w:val="1"/>
        <w:position w:val="1"/>
      </w:rPr>
      <w:t xml:space="preserve">                      </w:t>
    </w:r>
    <w:r>
      <w:rPr>
        <w:rFonts w:ascii="SimSun" w:hAnsi="SimSun" w:eastAsia="SimSun" w:cs="SimSun"/>
        <w:sz w:val="14"/>
        <w:szCs w:val="14"/>
        <w:color w:val="231F20"/>
        <w:position w:val="1"/>
      </w:rPr>
      <w:t xml:space="preserve">                      </w:t>
    </w:r>
    <w:r>
      <w:rPr>
        <w:sz w:val="15"/>
        <w:szCs w:val="15"/>
        <w:color w:val="231F20"/>
        <w:spacing w:val="-13"/>
      </w:rPr>
      <w:t>2020</w:t>
    </w:r>
    <w:r>
      <w:rPr>
        <w:sz w:val="14"/>
        <w:szCs w:val="14"/>
        <w:color w:val="231F20"/>
        <w:spacing w:val="-13"/>
      </w:rPr>
      <w:t>，</w:t>
    </w:r>
    <w:r>
      <w:rPr>
        <w:sz w:val="15"/>
        <w:szCs w:val="15"/>
        <w:color w:val="231F20"/>
        <w:spacing w:val="-13"/>
      </w:rPr>
      <w:t>27</w:t>
    </w:r>
    <w:r>
      <w:rPr>
        <w:sz w:val="14"/>
        <w:szCs w:val="14"/>
        <w:color w:val="231F20"/>
        <w:spacing w:val="-13"/>
      </w:rPr>
      <w:t>（</w:t>
    </w:r>
    <w:r>
      <w:rPr>
        <w:sz w:val="15"/>
        <w:szCs w:val="15"/>
        <w:color w:val="231F20"/>
        <w:spacing w:val="-13"/>
      </w:rPr>
      <w:t>24</w:t>
    </w:r>
    <w:r>
      <w:rPr>
        <w:sz w:val="14"/>
        <w:szCs w:val="14"/>
        <w:color w:val="231F20"/>
        <w:spacing w:val="-13"/>
      </w:rPr>
      <w:t>）</w:t>
    </w:r>
  </w:p>
  <w:p>
    <w:pPr>
      <w:ind w:firstLine="728"/>
      <w:spacing w:before="86" w:line="20" w:lineRule="exact"/>
      <w:rPr/>
    </w:pPr>
    <w:r>
      <w:rPr/>
      <w:drawing>
        <wp:inline distT="0" distB="0" distL="0" distR="0">
          <wp:extent cx="6118859" cy="12700"/>
          <wp:effectExtent l="0" t="0" r="0" b="0"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18859" cy="12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4"/>
      <w:spacing w:before="36" w:line="208" w:lineRule="auto"/>
      <w:rPr>
        <w:rFonts w:ascii="Arial" w:hAnsi="Arial" w:eastAsia="Arial" w:cs="Arial"/>
        <w:sz w:val="15"/>
        <w:szCs w:val="15"/>
      </w:rPr>
    </w:pPr>
    <w:r>
      <w:pict>
        <v:shape id="WordPictureWatermark12" style="position:absolute;margin-left:20.4pt;margin-top:814.4pt;mso-position-vertical-relative:page;mso-position-horizontal-relative:page;width:475.5pt;height:9.7pt;z-index:-25164800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720090</wp:posOffset>
          </wp:positionH>
          <wp:positionV relativeFrom="page">
            <wp:posOffset>835659</wp:posOffset>
          </wp:positionV>
          <wp:extent cx="6120129" cy="6350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012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4"/>
        <w:szCs w:val="14"/>
        <w:color w:val="231F20"/>
        <w:spacing w:val="8"/>
      </w:rPr>
      <w:t>第</w:t>
    </w:r>
    <w:r>
      <w:rPr>
        <w:rFonts w:ascii="SimSun" w:hAnsi="SimSun" w:eastAsia="SimSun" w:cs="SimSun"/>
        <w:sz w:val="14"/>
        <w:szCs w:val="14"/>
        <w:color w:val="231F20"/>
        <w:spacing w:val="-6"/>
      </w:rPr>
      <w:t xml:space="preserve"> </w:t>
    </w:r>
    <w:r>
      <w:rPr>
        <w:sz w:val="15"/>
        <w:szCs w:val="15"/>
        <w:color w:val="231F20"/>
        <w:spacing w:val="8"/>
      </w:rPr>
      <w:t>24 </w:t>
    </w:r>
    <w:r>
      <w:rPr>
        <w:rFonts w:ascii="SimSun" w:hAnsi="SimSun" w:eastAsia="SimSun" w:cs="SimSun"/>
        <w:sz w:val="14"/>
        <w:szCs w:val="14"/>
        <w:color w:val="231F20"/>
        <w:spacing w:val="8"/>
      </w:rPr>
      <w:t>期</w:t>
    </w:r>
    <w:r>
      <w:rPr>
        <w:rFonts w:ascii="SimSun" w:hAnsi="SimSun" w:eastAsia="SimSun" w:cs="SimSun"/>
        <w:sz w:val="14"/>
        <w:szCs w:val="14"/>
        <w:color w:val="231F20"/>
        <w:spacing w:val="1"/>
      </w:rPr>
      <w:t xml:space="preserve">                          </w:t>
    </w:r>
    <w:r>
      <w:rPr>
        <w:rFonts w:ascii="SimSun" w:hAnsi="SimSun" w:eastAsia="SimSun" w:cs="SimSun"/>
        <w:sz w:val="14"/>
        <w:szCs w:val="14"/>
        <w:color w:val="231F20"/>
        <w:spacing w:val="8"/>
      </w:rPr>
      <w:t>曹春菊等</w:t>
    </w:r>
    <w:r>
      <w:rPr>
        <w:sz w:val="14"/>
        <w:szCs w:val="14"/>
        <w:color w:val="231F20"/>
        <w:spacing w:val="8"/>
      </w:rPr>
      <w:t>：</w:t>
    </w:r>
    <w:r>
      <w:rPr>
        <w:rFonts w:ascii="SimSun" w:hAnsi="SimSun" w:eastAsia="SimSun" w:cs="SimSun"/>
        <w:sz w:val="14"/>
        <w:szCs w:val="14"/>
        <w:color w:val="231F20"/>
        <w:spacing w:val="8"/>
      </w:rPr>
      <w:t>轻</w:t>
    </w:r>
    <w:r>
      <w:rPr>
        <w:sz w:val="14"/>
        <w:szCs w:val="14"/>
        <w:color w:val="231F20"/>
        <w:spacing w:val="8"/>
      </w:rPr>
      <w:t>、</w:t>
    </w:r>
    <w:r>
      <w:rPr>
        <w:rFonts w:ascii="SimSun" w:hAnsi="SimSun" w:eastAsia="SimSun" w:cs="SimSun"/>
        <w:sz w:val="14"/>
        <w:szCs w:val="14"/>
        <w:color w:val="231F20"/>
        <w:spacing w:val="8"/>
      </w:rPr>
      <w:t>中重症急性胰腺炎患者早期经口进食的循证实践                           </w:t>
    </w:r>
    <w:r>
      <w:rPr>
        <w:rFonts w:ascii="Arial" w:hAnsi="Arial" w:eastAsia="Arial" w:cs="Arial"/>
        <w:sz w:val="15"/>
        <w:szCs w:val="15"/>
        <w:color w:val="231F20"/>
        <w:spacing w:val="8"/>
      </w:rPr>
      <w:t>29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4"/>
      <w:spacing w:before="34" w:line="189" w:lineRule="auto"/>
      <w:rPr>
        <w:sz w:val="14"/>
        <w:szCs w:val="14"/>
      </w:rPr>
    </w:pPr>
    <w:r>
      <w:pict>
        <v:shape id="WordPictureWatermark14" style="position:absolute;margin-left:20.4pt;margin-top:814.4pt;mso-position-vertical-relative:page;mso-position-horizontal-relative:page;width:475.5pt;height:9.7pt;z-index:-251645952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13"/>
        <w:position w:val="-4"/>
      </w:rPr>
      <w:t>30</w:t>
    </w:r>
    <w:r>
      <w:rPr>
        <w:sz w:val="15"/>
        <w:szCs w:val="15"/>
        <w:color w:val="231F20"/>
        <w:position w:val="-4"/>
      </w:rPr>
      <w:t xml:space="preserve">                                                                                    </w:t>
    </w:r>
    <w:r>
      <w:rPr>
        <w:rFonts w:ascii="SimSun" w:hAnsi="SimSun" w:eastAsia="SimSun" w:cs="SimSun"/>
        <w:sz w:val="14"/>
        <w:szCs w:val="14"/>
        <w:color w:val="231F20"/>
        <w:spacing w:val="-13"/>
        <w:position w:val="1"/>
      </w:rPr>
      <w:t>护</w:t>
    </w:r>
    <w:r>
      <w:rPr>
        <w:rFonts w:ascii="SimSun" w:hAnsi="SimSun" w:eastAsia="SimSun" w:cs="SimSun"/>
        <w:sz w:val="14"/>
        <w:szCs w:val="14"/>
        <w:color w:val="231F20"/>
        <w:spacing w:val="26"/>
        <w:w w:val="101"/>
        <w:position w:val="1"/>
      </w:rPr>
      <w:t xml:space="preserve">  </w:t>
    </w:r>
    <w:r>
      <w:rPr>
        <w:rFonts w:ascii="SimSun" w:hAnsi="SimSun" w:eastAsia="SimSun" w:cs="SimSun"/>
        <w:sz w:val="14"/>
        <w:szCs w:val="14"/>
        <w:color w:val="231F20"/>
        <w:spacing w:val="-13"/>
        <w:position w:val="1"/>
      </w:rPr>
      <w:t>理</w:t>
    </w:r>
    <w:r>
      <w:rPr>
        <w:rFonts w:ascii="SimSun" w:hAnsi="SimSun" w:eastAsia="SimSun" w:cs="SimSun"/>
        <w:sz w:val="14"/>
        <w:szCs w:val="14"/>
        <w:color w:val="231F20"/>
        <w:spacing w:val="19"/>
        <w:w w:val="101"/>
        <w:position w:val="1"/>
      </w:rPr>
      <w:t xml:space="preserve">  </w:t>
    </w:r>
    <w:r>
      <w:rPr>
        <w:rFonts w:ascii="SimSun" w:hAnsi="SimSun" w:eastAsia="SimSun" w:cs="SimSun"/>
        <w:sz w:val="14"/>
        <w:szCs w:val="14"/>
        <w:color w:val="231F20"/>
        <w:spacing w:val="-13"/>
        <w:position w:val="1"/>
      </w:rPr>
      <w:t>学</w:t>
    </w:r>
    <w:r>
      <w:rPr>
        <w:rFonts w:ascii="SimSun" w:hAnsi="SimSun" w:eastAsia="SimSun" w:cs="SimSun"/>
        <w:sz w:val="14"/>
        <w:szCs w:val="14"/>
        <w:color w:val="231F20"/>
        <w:spacing w:val="17"/>
        <w:position w:val="1"/>
      </w:rPr>
      <w:t xml:space="preserve">  </w:t>
    </w:r>
    <w:r>
      <w:rPr>
        <w:rFonts w:ascii="SimSun" w:hAnsi="SimSun" w:eastAsia="SimSun" w:cs="SimSun"/>
        <w:sz w:val="14"/>
        <w:szCs w:val="14"/>
        <w:color w:val="231F20"/>
        <w:spacing w:val="-13"/>
        <w:position w:val="1"/>
      </w:rPr>
      <w:t>报</w:t>
    </w:r>
    <w:r>
      <w:rPr>
        <w:rFonts w:ascii="SimSun" w:hAnsi="SimSun" w:eastAsia="SimSun" w:cs="SimSun"/>
        <w:sz w:val="14"/>
        <w:szCs w:val="14"/>
        <w:color w:val="231F20"/>
        <w:spacing w:val="1"/>
        <w:position w:val="1"/>
      </w:rPr>
      <w:t xml:space="preserve">                      </w:t>
    </w:r>
    <w:r>
      <w:rPr>
        <w:rFonts w:ascii="SimSun" w:hAnsi="SimSun" w:eastAsia="SimSun" w:cs="SimSun"/>
        <w:sz w:val="14"/>
        <w:szCs w:val="14"/>
        <w:color w:val="231F20"/>
        <w:position w:val="1"/>
      </w:rPr>
      <w:t xml:space="preserve">                      </w:t>
    </w:r>
    <w:r>
      <w:rPr>
        <w:sz w:val="15"/>
        <w:szCs w:val="15"/>
        <w:color w:val="231F20"/>
        <w:spacing w:val="-13"/>
      </w:rPr>
      <w:t>2020</w:t>
    </w:r>
    <w:r>
      <w:rPr>
        <w:sz w:val="14"/>
        <w:szCs w:val="14"/>
        <w:color w:val="231F20"/>
        <w:spacing w:val="-13"/>
      </w:rPr>
      <w:t>，</w:t>
    </w:r>
    <w:r>
      <w:rPr>
        <w:sz w:val="15"/>
        <w:szCs w:val="15"/>
        <w:color w:val="231F20"/>
        <w:spacing w:val="-13"/>
      </w:rPr>
      <w:t>27</w:t>
    </w:r>
    <w:r>
      <w:rPr>
        <w:sz w:val="14"/>
        <w:szCs w:val="14"/>
        <w:color w:val="231F20"/>
        <w:spacing w:val="-13"/>
      </w:rPr>
      <w:t>（</w:t>
    </w:r>
    <w:r>
      <w:rPr>
        <w:sz w:val="15"/>
        <w:szCs w:val="15"/>
        <w:color w:val="231F20"/>
        <w:spacing w:val="-13"/>
      </w:rPr>
      <w:t>24</w:t>
    </w:r>
    <w:r>
      <w:rPr>
        <w:sz w:val="14"/>
        <w:szCs w:val="14"/>
        <w:color w:val="231F20"/>
        <w:spacing w:val="-13"/>
      </w:rPr>
      <w:t>）</w:t>
    </w:r>
  </w:p>
  <w:p>
    <w:pPr>
      <w:ind w:firstLine="728"/>
      <w:spacing w:before="49" w:line="20" w:lineRule="exact"/>
      <w:rPr/>
    </w:pPr>
    <w:r>
      <w:rPr/>
      <w:drawing>
        <wp:inline distT="0" distB="0" distL="0" distR="0">
          <wp:extent cx="6118859" cy="12700"/>
          <wp:effectExtent l="0" t="0" r="0" b="0"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18859" cy="12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2.png"/><Relationship Id="rId8" Type="http://schemas.openxmlformats.org/officeDocument/2006/relationships/header" Target="header4.xml"/><Relationship Id="rId7" Type="http://schemas.openxmlformats.org/officeDocument/2006/relationships/image" Target="media/image9.png"/><Relationship Id="rId6" Type="http://schemas.openxmlformats.org/officeDocument/2006/relationships/header" Target="header3.xml"/><Relationship Id="rId5" Type="http://schemas.openxmlformats.org/officeDocument/2006/relationships/image" Target="media/image7.png"/><Relationship Id="rId4" Type="http://schemas.openxmlformats.org/officeDocument/2006/relationships/header" Target="header2.xml"/><Relationship Id="rId3" Type="http://schemas.openxmlformats.org/officeDocument/2006/relationships/image" Target="media/image4.png"/><Relationship Id="rId20" Type="http://schemas.openxmlformats.org/officeDocument/2006/relationships/fontTable" Target="fontTable.xml"/><Relationship Id="rId2" Type="http://schemas.openxmlformats.org/officeDocument/2006/relationships/image" Target="media/image3.png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hyperlink" Target="https://casp-uk.net/wp" TargetMode="External"/><Relationship Id="rId16" Type="http://schemas.openxmlformats.org/officeDocument/2006/relationships/hyperlink" Target="http://joannabriggs.org/jbi-approach.html#tabbed-nav=Levels-of-Evidence." TargetMode="External"/><Relationship Id="rId15" Type="http://schemas.openxmlformats.org/officeDocument/2006/relationships/hyperlink" Target="https://www.agreetrust.org/wp-content/uploads/2017/12/AGREE" TargetMode="External"/><Relationship Id="rId14" Type="http://schemas.openxmlformats.org/officeDocument/2006/relationships/hyperlink" Target="https:" TargetMode="External"/><Relationship Id="rId13" Type="http://schemas.openxmlformats.org/officeDocument/2006/relationships/header" Target="header7.xml"/><Relationship Id="rId12" Type="http://schemas.openxmlformats.org/officeDocument/2006/relationships/image" Target="media/image17.png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2023-02-14T16:21:47Z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2025-10-28T21:38:41</vt:filetime>
  </property>
</Properties>
</file>