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731"/>
        <w:spacing w:before="65" w:line="252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实用医学杂志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13"/>
        </w:rPr>
        <w:t xml:space="preserve">   </w:t>
      </w:r>
      <w:r>
        <w:rPr>
          <w:sz w:val="15"/>
          <w:szCs w:val="15"/>
          <w:u w:val="single" w:color="auto"/>
          <w:color w:val="231F20"/>
        </w:rPr>
        <w:t>2021</w:t>
      </w:r>
      <w:r>
        <w:rPr>
          <w:sz w:val="15"/>
          <w:szCs w:val="15"/>
          <w:u w:val="single" w:color="auto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年第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0"/>
        </w:rPr>
        <w:t xml:space="preserve"> </w:t>
      </w:r>
      <w:r>
        <w:rPr>
          <w:sz w:val="15"/>
          <w:szCs w:val="15"/>
          <w:u w:val="single" w:color="auto"/>
          <w:color w:val="231F20"/>
        </w:rPr>
        <w:t>37</w:t>
      </w:r>
      <w:r>
        <w:rPr>
          <w:sz w:val="15"/>
          <w:szCs w:val="15"/>
          <w:u w:val="single" w:color="auto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卷第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3"/>
        </w:rPr>
        <w:t xml:space="preserve"> </w:t>
      </w:r>
      <w:r>
        <w:rPr>
          <w:sz w:val="15"/>
          <w:szCs w:val="15"/>
          <w:u w:val="single" w:color="auto"/>
          <w:color w:val="231F20"/>
        </w:rPr>
        <w:t>20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期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12"/>
        </w:rPr>
        <w:t xml:space="preserve">   </w:t>
      </w:r>
      <w:r>
        <w:rPr>
          <w:sz w:val="15"/>
          <w:szCs w:val="15"/>
          <w:u w:val="single" w:color="auto"/>
          <w:color w:val="231F20"/>
        </w:rPr>
        <w:t>The</w:t>
      </w:r>
      <w:r>
        <w:rPr>
          <w:sz w:val="15"/>
          <w:szCs w:val="15"/>
          <w:u w:val="single" w:color="auto"/>
          <w:color w:val="231F20"/>
          <w:spacing w:val="-27"/>
        </w:rPr>
        <w:t xml:space="preserve"> </w:t>
      </w:r>
      <w:r>
        <w:rPr>
          <w:sz w:val="15"/>
          <w:szCs w:val="15"/>
          <w:u w:val="single" w:color="auto"/>
          <w:color w:val="231F20"/>
        </w:rPr>
        <w:t>Journal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</w:rPr>
        <w:t>of</w:t>
      </w:r>
      <w:r>
        <w:rPr>
          <w:sz w:val="15"/>
          <w:szCs w:val="15"/>
          <w:u w:val="single" w:color="auto"/>
          <w:color w:val="231F20"/>
          <w:spacing w:val="-33"/>
        </w:rPr>
        <w:t xml:space="preserve"> </w:t>
      </w:r>
      <w:r>
        <w:rPr>
          <w:sz w:val="15"/>
          <w:szCs w:val="15"/>
          <w:u w:val="single" w:color="auto"/>
          <w:color w:val="231F20"/>
        </w:rPr>
        <w:t>Practical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</w:rPr>
        <w:t>Medicine</w:t>
      </w:r>
      <w:r>
        <w:rPr>
          <w:sz w:val="15"/>
          <w:szCs w:val="15"/>
          <w:u w:val="single" w:color="auto"/>
          <w:color w:val="231F20"/>
        </w:rPr>
        <w:t xml:space="preserve">  </w:t>
      </w:r>
      <w:r>
        <w:rPr>
          <w:sz w:val="15"/>
          <w:szCs w:val="15"/>
          <w:u w:val="single" w:color="auto"/>
          <w:color w:val="231F20"/>
        </w:rPr>
        <w:t>2021</w:t>
      </w:r>
      <w:r>
        <w:rPr>
          <w:sz w:val="15"/>
          <w:szCs w:val="15"/>
          <w:u w:val="single" w:color="auto"/>
          <w:color w:val="231F20"/>
          <w:spacing w:val="-24"/>
        </w:rPr>
        <w:t xml:space="preserve"> </w:t>
      </w:r>
      <w:r>
        <w:rPr>
          <w:sz w:val="15"/>
          <w:szCs w:val="15"/>
          <w:u w:val="single" w:color="auto"/>
          <w:color w:val="231F20"/>
        </w:rPr>
        <w:t>Vol.37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</w:rPr>
        <w:t>No.20</w:t>
      </w:r>
      <w:r>
        <w:rPr>
          <w:sz w:val="15"/>
          <w:szCs w:val="15"/>
          <w:color w:val="231F20"/>
        </w:rPr>
        <w:t xml:space="preserve">                               </w:t>
      </w:r>
      <w:r>
        <w:rPr>
          <w:sz w:val="15"/>
          <w:szCs w:val="15"/>
          <w:color w:val="231F20"/>
          <w:spacing w:val="-1"/>
        </w:rPr>
        <w:t xml:space="preserve">   </w:t>
      </w:r>
      <w:r>
        <w:rPr>
          <w:sz w:val="20"/>
          <w:szCs w:val="20"/>
          <w:color w:val="231F20"/>
          <w:spacing w:val="-1"/>
          <w:position w:val="-3"/>
        </w:rPr>
        <w:t>2569</w:t>
      </w:r>
    </w:p>
    <w:p>
      <w:pPr>
        <w:ind w:right="3"/>
        <w:spacing w:before="292" w:line="183" w:lineRule="auto"/>
        <w:jc w:val="right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32"/>
          <w:w w:val="125"/>
        </w:rPr>
        <w:t>·述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32"/>
          <w:w w:val="125"/>
        </w:rPr>
        <w:t>评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32"/>
          <w:w w:val="125"/>
        </w:rPr>
        <w:t>·</w:t>
      </w:r>
    </w:p>
    <w:p>
      <w:pPr>
        <w:ind w:left="2073"/>
        <w:spacing w:before="227" w:line="183" w:lineRule="auto"/>
        <w:outlineLvl w:val="0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24"/>
        </w:rPr>
        <w:t>高甘油三酯血症性急性胰腺炎的诊治</w:t>
      </w:r>
    </w:p>
    <w:p>
      <w:pPr>
        <w:ind w:left="2858"/>
        <w:spacing w:before="263" w:line="200" w:lineRule="auto"/>
        <w:outlineLvl w:val="0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7"/>
        </w:rPr>
        <w:t>潘龙飞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7"/>
        </w:rPr>
        <w:t>裴红红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7"/>
        </w:rPr>
        <w:t>宏欣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7"/>
        </w:rPr>
        <w:t>王立明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22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7"/>
        </w:rPr>
        <w:t>张正良    白郑海</w:t>
      </w:r>
    </w:p>
    <w:p>
      <w:pPr>
        <w:pStyle w:val="BodyText"/>
        <w:ind w:left="3579"/>
        <w:spacing w:before="1" w:line="20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9"/>
        </w:rPr>
        <w:t>西安交通大学第二附属医院急诊科（西安 </w:t>
      </w:r>
      <w:r>
        <w:rPr>
          <w:color w:val="231F20"/>
          <w:spacing w:val="9"/>
        </w:rPr>
        <w:t>7</w:t>
      </w:r>
      <w:r>
        <w:rPr>
          <w:color w:val="231F20"/>
          <w:spacing w:val="8"/>
        </w:rPr>
        <w:t>10004</w:t>
      </w:r>
      <w:r>
        <w:rPr>
          <w:rFonts w:ascii="Microsoft YaHei" w:hAnsi="Microsoft YaHei" w:eastAsia="Microsoft YaHei" w:cs="Microsoft YaHei"/>
          <w:color w:val="231F20"/>
          <w:spacing w:val="8"/>
        </w:rPr>
        <w:t>）</w:t>
      </w:r>
    </w:p>
    <w:p>
      <w:pPr>
        <w:pStyle w:val="BodyText"/>
        <w:ind w:left="3966" w:right="691" w:firstLine="444"/>
        <w:spacing w:before="305" w:line="222" w:lineRule="auto"/>
        <w:tabs>
          <w:tab w:val="left" w:pos="4062"/>
        </w:tabs>
        <w:jc w:val="both"/>
        <w:rPr>
          <w:rFonts w:ascii="Microsoft YaHei" w:hAnsi="Microsoft YaHei" w:eastAsia="Microsoft YaHei" w:cs="Microsoft YaHei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905196</wp:posOffset>
            </wp:positionH>
            <wp:positionV relativeFrom="paragraph">
              <wp:posOffset>195256</wp:posOffset>
            </wp:positionV>
            <wp:extent cx="1439999" cy="197373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999" cy="197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color w:val="231F20"/>
          <w:spacing w:val="5"/>
        </w:rPr>
        <w:t>潘龙飞，副主任医师、副教授，中华医学会急诊医学分会临床研究学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组委员，中国医药教育协会急诊医学专业委员会委员，世界中医药学会联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4"/>
        </w:rPr>
        <w:t>合会急症专业委员会理事，中国医师协会急诊医师分会急诊信</w:t>
      </w:r>
      <w:r>
        <w:rPr>
          <w:rFonts w:ascii="Microsoft YaHei" w:hAnsi="Microsoft YaHei" w:eastAsia="Microsoft YaHei" w:cs="Microsoft YaHei"/>
          <w:color w:val="231F20"/>
          <w:spacing w:val="13"/>
        </w:rPr>
        <w:t>息化建设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4"/>
        </w:rPr>
        <w:t>与智慧医疗专业委员会委员，中国中西医结合学会内分泌专业</w:t>
      </w:r>
      <w:r>
        <w:rPr>
          <w:rFonts w:ascii="Microsoft YaHei" w:hAnsi="Microsoft YaHei" w:eastAsia="Microsoft YaHei" w:cs="Microsoft YaHei"/>
          <w:color w:val="231F20"/>
          <w:spacing w:val="13"/>
        </w:rPr>
        <w:t>委员会急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4"/>
        </w:rPr>
        <w:t>危重症专家委员会委员，中国药学会应急与保障专业委员会，救</w:t>
      </w:r>
      <w:r>
        <w:rPr>
          <w:rFonts w:ascii="Microsoft YaHei" w:hAnsi="Microsoft YaHei" w:eastAsia="Microsoft YaHei" w:cs="Microsoft YaHei"/>
          <w:color w:val="231F20"/>
          <w:spacing w:val="13"/>
        </w:rPr>
        <w:t>援医学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4"/>
        </w:rPr>
        <w:t>建设大学联盟理事。《中国急诊急性心衰单元建设与管理专家共</w:t>
      </w:r>
      <w:r>
        <w:rPr>
          <w:rFonts w:ascii="Microsoft YaHei" w:hAnsi="Microsoft YaHei" w:eastAsia="Microsoft YaHei" w:cs="Microsoft YaHei"/>
          <w:color w:val="231F20"/>
          <w:spacing w:val="13"/>
        </w:rPr>
        <w:t>识》执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5"/>
        </w:rPr>
        <w:t>笔人，《高甘油三酯血症性急性胰腺炎诊治急诊专家共识》通讯作者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《</w:t>
      </w:r>
      <w:r>
        <w:rPr>
          <w:color w:val="231F20"/>
          <w:spacing w:val="-8"/>
        </w:rPr>
        <w:t>World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8"/>
        </w:rPr>
        <w:t>Journal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8"/>
        </w:rPr>
        <w:t>Emergency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8"/>
        </w:rPr>
        <w:t>Medic</w:t>
      </w:r>
      <w:r>
        <w:rPr>
          <w:color w:val="231F20"/>
          <w:spacing w:val="-9"/>
        </w:rPr>
        <w:t>ine</w:t>
      </w:r>
      <w:r>
        <w:rPr>
          <w:rFonts w:ascii="Microsoft YaHei" w:hAnsi="Microsoft YaHei" w:eastAsia="Microsoft YaHei" w:cs="Microsoft YaHei"/>
          <w:color w:val="231F20"/>
          <w:spacing w:val="-9"/>
        </w:rPr>
        <w:t>》编委，《中华急诊医学杂志》通讯编委，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《中国全科医学》青年编委，《</w:t>
      </w:r>
      <w:r>
        <w:rPr>
          <w:color w:val="231F20"/>
          <w:spacing w:val="-15"/>
        </w:rPr>
        <w:t>Cell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Cycle</w:t>
      </w:r>
      <w:r>
        <w:rPr>
          <w:rFonts w:ascii="Microsoft YaHei" w:hAnsi="Microsoft YaHei" w:eastAsia="Microsoft YaHei" w:cs="Microsoft YaHei"/>
          <w:color w:val="231F20"/>
          <w:spacing w:val="-15"/>
        </w:rPr>
        <w:t>》、《</w:t>
      </w:r>
      <w:r>
        <w:rPr>
          <w:color w:val="231F20"/>
          <w:spacing w:val="-15"/>
        </w:rPr>
        <w:t>Inflamation</w:t>
      </w:r>
      <w:r>
        <w:rPr>
          <w:rFonts w:ascii="Microsoft YaHei" w:hAnsi="Microsoft YaHei" w:eastAsia="Microsoft YaHei" w:cs="Microsoft YaHei"/>
          <w:color w:val="231F20"/>
          <w:spacing w:val="-15"/>
        </w:rPr>
        <w:t>》、《</w:t>
      </w:r>
      <w:r>
        <w:rPr>
          <w:color w:val="231F20"/>
          <w:spacing w:val="-15"/>
        </w:rPr>
        <w:t>B</w:t>
      </w:r>
      <w:r>
        <w:rPr>
          <w:color w:val="231F20"/>
          <w:spacing w:val="-16"/>
        </w:rPr>
        <w:t>ioengineered</w:t>
      </w:r>
      <w:r>
        <w:rPr>
          <w:rFonts w:ascii="Microsoft YaHei" w:hAnsi="Microsoft YaHei" w:eastAsia="Microsoft YaHei" w:cs="Microsoft YaHei"/>
          <w:color w:val="231F20"/>
          <w:spacing w:val="-16"/>
        </w:rPr>
        <w:t>》、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《实用医学杂志》等杂志审稿专家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。擅长多种危重症尤其胰腺</w:t>
      </w:r>
      <w:r>
        <w:rPr>
          <w:rFonts w:ascii="Microsoft YaHei" w:hAnsi="Microsoft YaHei" w:eastAsia="Microsoft YaHei" w:cs="Microsoft YaHei"/>
          <w:color w:val="231F20"/>
          <w:spacing w:val="13"/>
        </w:rPr>
        <w:t>炎、</w:t>
      </w:r>
      <w:r>
        <w:rPr>
          <w:color w:val="231F20"/>
        </w:rPr>
        <w:t>MODS</w:t>
      </w:r>
      <w:r>
        <w:rPr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6"/>
        </w:rPr>
        <w:t>等的救治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。主持科研项目 </w:t>
      </w:r>
      <w:r>
        <w:rPr>
          <w:color w:val="231F20"/>
          <w:spacing w:val="16"/>
        </w:rPr>
        <w:t>10</w:t>
      </w:r>
      <w:r>
        <w:rPr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项；以第一作者或通讯作者发</w:t>
      </w:r>
      <w:r>
        <w:rPr>
          <w:rFonts w:ascii="Microsoft YaHei" w:hAnsi="Microsoft YaHei" w:eastAsia="Microsoft YaHei" w:cs="Microsoft YaHei"/>
          <w:color w:val="231F20"/>
          <w:spacing w:val="15"/>
        </w:rPr>
        <w:t>表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</w:rPr>
        <w:t>SCI</w:t>
      </w:r>
      <w:r>
        <w:rPr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论文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4"/>
        </w:rPr>
        <w:t>13</w:t>
      </w:r>
      <w:r>
        <w:rPr>
          <w:rFonts w:ascii="Microsoft YaHei" w:hAnsi="Microsoft YaHei" w:eastAsia="Microsoft YaHei" w:cs="Microsoft YaHei"/>
          <w:color w:val="231F20"/>
          <w:spacing w:val="4"/>
        </w:rPr>
        <w:t>篇、中文核心论文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4"/>
        </w:rPr>
        <w:t>28</w:t>
      </w:r>
      <w:r>
        <w:rPr>
          <w:rFonts w:ascii="Microsoft YaHei" w:hAnsi="Microsoft YaHei" w:eastAsia="Microsoft YaHei" w:cs="Microsoft YaHei"/>
          <w:color w:val="231F20"/>
          <w:spacing w:val="4"/>
        </w:rPr>
        <w:t>篇；主编专著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4"/>
        </w:rPr>
        <w:t>4</w:t>
      </w:r>
      <w:r>
        <w:rPr>
          <w:rFonts w:ascii="Microsoft YaHei" w:hAnsi="Microsoft YaHei" w:eastAsia="Microsoft YaHei" w:cs="Microsoft YaHei"/>
          <w:color w:val="231F20"/>
          <w:spacing w:val="4"/>
        </w:rPr>
        <w:t>部、副主编专著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4"/>
        </w:rPr>
        <w:t>3</w:t>
      </w:r>
      <w:r>
        <w:rPr>
          <w:rFonts w:ascii="Microsoft YaHei" w:hAnsi="Microsoft YaHei" w:eastAsia="Microsoft YaHei" w:cs="Microsoft YaHei"/>
          <w:color w:val="231F20"/>
          <w:spacing w:val="4"/>
        </w:rPr>
        <w:t>部。</w:t>
      </w:r>
    </w:p>
    <w:p>
      <w:pPr>
        <w:pStyle w:val="BodyText"/>
        <w:ind w:left="1284" w:right="620" w:firstLine="379"/>
        <w:spacing w:before="178" w:line="288" w:lineRule="auto"/>
        <w:jc w:val="both"/>
        <w:rPr>
          <w:rFonts w:ascii="KaiTi" w:hAnsi="KaiTi" w:eastAsia="KaiTi" w:cs="KaiTi"/>
        </w:rPr>
      </w:pPr>
      <w:r>
        <w:rPr>
          <w:rFonts w:ascii="SimHei" w:hAnsi="SimHei" w:eastAsia="SimHei" w:cs="SimHei"/>
          <w:color w:val="231F20"/>
          <w:spacing w:val="19"/>
        </w:rPr>
        <w:t>【摘</w:t>
      </w:r>
      <w:r>
        <w:rPr>
          <w:rFonts w:ascii="SimHei" w:hAnsi="SimHei" w:eastAsia="SimHei" w:cs="SimHei"/>
          <w:color w:val="231F20"/>
          <w:spacing w:val="19"/>
        </w:rPr>
        <w:t xml:space="preserve">  </w:t>
      </w:r>
      <w:r>
        <w:rPr>
          <w:rFonts w:ascii="SimHei" w:hAnsi="SimHei" w:eastAsia="SimHei" w:cs="SimHei"/>
          <w:color w:val="231F20"/>
          <w:spacing w:val="19"/>
        </w:rPr>
        <w:t>要】</w:t>
      </w:r>
      <w:r>
        <w:rPr>
          <w:rFonts w:ascii="SimHei" w:hAnsi="SimHei" w:eastAsia="SimHei" w:cs="SimHei"/>
          <w:color w:val="231F20"/>
          <w:spacing w:val="71"/>
        </w:rPr>
        <w:t xml:space="preserve"> </w:t>
      </w:r>
      <w:r>
        <w:rPr>
          <w:rFonts w:ascii="KaiTi" w:hAnsi="KaiTi" w:eastAsia="KaiTi" w:cs="KaiTi"/>
          <w:color w:val="231F20"/>
          <w:spacing w:val="19"/>
        </w:rPr>
        <w:t>高脂血症是我国急性胰腺炎（</w:t>
      </w:r>
      <w:r>
        <w:rPr>
          <w:color w:val="231F20"/>
        </w:rPr>
        <w:t>AP</w:t>
      </w:r>
      <w:r>
        <w:rPr>
          <w:rFonts w:ascii="KaiTi" w:hAnsi="KaiTi" w:eastAsia="KaiTi" w:cs="KaiTi"/>
          <w:color w:val="231F20"/>
          <w:spacing w:val="19"/>
        </w:rPr>
        <w:t>）的第二</w:t>
      </w:r>
      <w:r>
        <w:rPr>
          <w:rFonts w:ascii="KaiTi" w:hAnsi="KaiTi" w:eastAsia="KaiTi" w:cs="KaiTi"/>
          <w:color w:val="231F20"/>
          <w:spacing w:val="18"/>
        </w:rPr>
        <w:t>大病因，其中高甘油三酯血症性急性胰腺炎</w:t>
      </w:r>
      <w:r>
        <w:rPr>
          <w:rFonts w:ascii="KaiTi" w:hAnsi="KaiTi" w:eastAsia="KaiTi" w:cs="KaiTi"/>
          <w:color w:val="231F20"/>
        </w:rPr>
        <w:t xml:space="preserve">  </w:t>
      </w:r>
      <w:r>
        <w:rPr>
          <w:rFonts w:ascii="KaiTi" w:hAnsi="KaiTi" w:eastAsia="KaiTi" w:cs="KaiTi"/>
          <w:color w:val="231F20"/>
          <w:spacing w:val="15"/>
        </w:rPr>
        <w:t>（</w:t>
      </w:r>
      <w:r>
        <w:rPr>
          <w:color w:val="231F20"/>
        </w:rPr>
        <w:t>HTG</w:t>
      </w:r>
      <w:r>
        <w:rPr>
          <w:color w:val="231F20"/>
          <w:spacing w:val="15"/>
        </w:rPr>
        <w:t>-</w:t>
      </w:r>
      <w:r>
        <w:rPr>
          <w:color w:val="231F20"/>
        </w:rPr>
        <w:t>AP</w:t>
      </w:r>
      <w:r>
        <w:rPr>
          <w:rFonts w:ascii="KaiTi" w:hAnsi="KaiTi" w:eastAsia="KaiTi" w:cs="KaiTi"/>
          <w:color w:val="231F20"/>
          <w:spacing w:val="15"/>
        </w:rPr>
        <w:t>）是主要类型。</w:t>
      </w:r>
      <w:r>
        <w:rPr>
          <w:rFonts w:ascii="KaiTi" w:hAnsi="KaiTi" w:eastAsia="KaiTi" w:cs="KaiTi"/>
          <w:color w:val="231F20"/>
          <w:spacing w:val="-45"/>
        </w:rPr>
        <w:t xml:space="preserve"> </w:t>
      </w:r>
      <w:r>
        <w:rPr>
          <w:rFonts w:ascii="KaiTi" w:hAnsi="KaiTi" w:eastAsia="KaiTi" w:cs="KaiTi"/>
          <w:color w:val="231F20"/>
          <w:spacing w:val="15"/>
        </w:rPr>
        <w:t>由于</w:t>
      </w:r>
      <w:r>
        <w:rPr>
          <w:rFonts w:ascii="KaiTi" w:hAnsi="KaiTi" w:eastAsia="KaiTi" w:cs="KaiTi"/>
          <w:color w:val="231F20"/>
          <w:spacing w:val="-46"/>
        </w:rPr>
        <w:t xml:space="preserve"> </w:t>
      </w:r>
      <w:r>
        <w:rPr>
          <w:color w:val="231F20"/>
        </w:rPr>
        <w:t>HTG</w:t>
      </w:r>
      <w:r>
        <w:rPr>
          <w:color w:val="231F20"/>
          <w:spacing w:val="15"/>
        </w:rPr>
        <w:t>-</w:t>
      </w:r>
      <w:r>
        <w:rPr>
          <w:color w:val="231F20"/>
        </w:rPr>
        <w:t>AP</w:t>
      </w:r>
      <w:r>
        <w:rPr>
          <w:color w:val="231F20"/>
          <w:spacing w:val="-37"/>
        </w:rPr>
        <w:t xml:space="preserve"> </w:t>
      </w:r>
      <w:r>
        <w:rPr>
          <w:rFonts w:ascii="KaiTi" w:hAnsi="KaiTi" w:eastAsia="KaiTi" w:cs="KaiTi"/>
          <w:color w:val="231F20"/>
          <w:spacing w:val="15"/>
        </w:rPr>
        <w:t>的病因、发病机制特殊，因此其临床特征与其他病因所致</w:t>
      </w:r>
      <w:r>
        <w:rPr>
          <w:rFonts w:ascii="KaiTi" w:hAnsi="KaiTi" w:eastAsia="KaiTi" w:cs="KaiTi"/>
          <w:color w:val="231F20"/>
          <w:spacing w:val="-49"/>
        </w:rPr>
        <w:t xml:space="preserve"> </w:t>
      </w:r>
      <w:r>
        <w:rPr>
          <w:color w:val="231F20"/>
        </w:rPr>
        <w:t>AP</w:t>
      </w:r>
      <w:r>
        <w:rPr>
          <w:color w:val="231F20"/>
          <w:spacing w:val="-44"/>
        </w:rPr>
        <w:t xml:space="preserve"> </w:t>
      </w:r>
      <w:r>
        <w:rPr>
          <w:rFonts w:ascii="KaiTi" w:hAnsi="KaiTi" w:eastAsia="KaiTi" w:cs="KaiTi"/>
          <w:color w:val="231F20"/>
          <w:spacing w:val="15"/>
        </w:rPr>
        <w:t>并不相</w:t>
      </w:r>
      <w:r>
        <w:rPr>
          <w:rFonts w:ascii="KaiTi" w:hAnsi="KaiTi" w:eastAsia="KaiTi" w:cs="KaiTi"/>
          <w:color w:val="231F20"/>
        </w:rPr>
        <w:t xml:space="preserve">  </w:t>
      </w:r>
      <w:r>
        <w:rPr>
          <w:rFonts w:ascii="KaiTi" w:hAnsi="KaiTi" w:eastAsia="KaiTi" w:cs="KaiTi"/>
          <w:color w:val="231F20"/>
          <w:spacing w:val="13"/>
        </w:rPr>
        <w:t>同，致使该病易被漏诊且易于重症化，导致患者病情进展迅</w:t>
      </w:r>
      <w:r>
        <w:rPr>
          <w:rFonts w:ascii="KaiTi" w:hAnsi="KaiTi" w:eastAsia="KaiTi" w:cs="KaiTi"/>
          <w:color w:val="231F20"/>
          <w:spacing w:val="12"/>
        </w:rPr>
        <w:t>速、病死率高，即使治愈后也容易复发。</w:t>
      </w:r>
      <w:r>
        <w:rPr>
          <w:rFonts w:ascii="KaiTi" w:hAnsi="KaiTi" w:eastAsia="KaiTi" w:cs="KaiTi"/>
          <w:color w:val="231F20"/>
          <w:spacing w:val="-29"/>
        </w:rPr>
        <w:t xml:space="preserve"> </w:t>
      </w:r>
      <w:r>
        <w:rPr>
          <w:rFonts w:ascii="KaiTi" w:hAnsi="KaiTi" w:eastAsia="KaiTi" w:cs="KaiTi"/>
          <w:color w:val="231F20"/>
          <w:spacing w:val="12"/>
        </w:rPr>
        <w:t>目前</w:t>
      </w:r>
      <w:r>
        <w:rPr>
          <w:rFonts w:ascii="KaiTi" w:hAnsi="KaiTi" w:eastAsia="KaiTi" w:cs="KaiTi"/>
          <w:color w:val="231F20"/>
        </w:rPr>
        <w:t xml:space="preserve">  </w:t>
      </w:r>
      <w:r>
        <w:rPr>
          <w:rFonts w:ascii="KaiTi" w:hAnsi="KaiTi" w:eastAsia="KaiTi" w:cs="KaiTi"/>
          <w:color w:val="231F20"/>
          <w:spacing w:val="19"/>
        </w:rPr>
        <w:t>缺少针对</w:t>
      </w:r>
      <w:r>
        <w:rPr>
          <w:rFonts w:ascii="KaiTi" w:hAnsi="KaiTi" w:eastAsia="KaiTi" w:cs="KaiTi"/>
          <w:color w:val="231F20"/>
          <w:spacing w:val="-44"/>
        </w:rPr>
        <w:t xml:space="preserve"> </w:t>
      </w:r>
      <w:r>
        <w:rPr>
          <w:color w:val="231F20"/>
        </w:rPr>
        <w:t>HTG</w:t>
      </w:r>
      <w:r>
        <w:rPr>
          <w:color w:val="231F20"/>
          <w:spacing w:val="19"/>
        </w:rPr>
        <w:t>-</w:t>
      </w:r>
      <w:r>
        <w:rPr>
          <w:color w:val="231F20"/>
        </w:rPr>
        <w:t>AP</w:t>
      </w:r>
      <w:r>
        <w:rPr>
          <w:color w:val="231F20"/>
          <w:spacing w:val="-34"/>
        </w:rPr>
        <w:t xml:space="preserve"> </w:t>
      </w:r>
      <w:r>
        <w:rPr>
          <w:rFonts w:ascii="KaiTi" w:hAnsi="KaiTi" w:eastAsia="KaiTi" w:cs="KaiTi"/>
          <w:color w:val="231F20"/>
          <w:spacing w:val="19"/>
        </w:rPr>
        <w:t>的可操作性高的专家共识</w:t>
      </w:r>
      <w:r>
        <w:rPr>
          <w:color w:val="231F20"/>
          <w:spacing w:val="19"/>
        </w:rPr>
        <w:t>/</w:t>
      </w:r>
      <w:r>
        <w:rPr>
          <w:rFonts w:ascii="KaiTi" w:hAnsi="KaiTi" w:eastAsia="KaiTi" w:cs="KaiTi"/>
          <w:color w:val="231F20"/>
          <w:spacing w:val="19"/>
        </w:rPr>
        <w:t>指南，本文围绕</w:t>
      </w:r>
      <w:r>
        <w:rPr>
          <w:rFonts w:ascii="KaiTi" w:hAnsi="KaiTi" w:eastAsia="KaiTi" w:cs="KaiTi"/>
          <w:color w:val="231F20"/>
          <w:spacing w:val="18"/>
        </w:rPr>
        <w:t>笔者等近期执笔的《高甘油三酯血症性急性</w:t>
      </w:r>
      <w:r>
        <w:rPr>
          <w:rFonts w:ascii="KaiTi" w:hAnsi="KaiTi" w:eastAsia="KaiTi" w:cs="KaiTi"/>
          <w:color w:val="231F20"/>
        </w:rPr>
        <w:t xml:space="preserve">  </w:t>
      </w:r>
      <w:r>
        <w:rPr>
          <w:rFonts w:ascii="KaiTi" w:hAnsi="KaiTi" w:eastAsia="KaiTi" w:cs="KaiTi"/>
          <w:color w:val="231F20"/>
          <w:spacing w:val="15"/>
        </w:rPr>
        <w:t>胰腺炎诊治急诊专家共识》，并结合最新研究进展以及</w:t>
      </w:r>
      <w:r>
        <w:rPr>
          <w:rFonts w:ascii="KaiTi" w:hAnsi="KaiTi" w:eastAsia="KaiTi" w:cs="KaiTi"/>
          <w:color w:val="231F20"/>
          <w:spacing w:val="-33"/>
        </w:rPr>
        <w:t xml:space="preserve"> </w:t>
      </w:r>
      <w:r>
        <w:rPr>
          <w:color w:val="231F20"/>
        </w:rPr>
        <w:t>AP</w:t>
      </w:r>
      <w:r>
        <w:rPr>
          <w:rFonts w:ascii="KaiTi" w:hAnsi="KaiTi" w:eastAsia="KaiTi" w:cs="KaiTi"/>
          <w:color w:val="231F20"/>
          <w:spacing w:val="15"/>
        </w:rPr>
        <w:t>诊治的相关专家共识</w:t>
      </w:r>
      <w:r>
        <w:rPr>
          <w:color w:val="231F20"/>
          <w:spacing w:val="15"/>
        </w:rPr>
        <w:t>/</w:t>
      </w:r>
      <w:r>
        <w:rPr>
          <w:rFonts w:ascii="KaiTi" w:hAnsi="KaiTi" w:eastAsia="KaiTi" w:cs="KaiTi"/>
          <w:color w:val="231F20"/>
          <w:spacing w:val="15"/>
        </w:rPr>
        <w:t>指南，就</w:t>
      </w:r>
      <w:r>
        <w:rPr>
          <w:rFonts w:ascii="KaiTi" w:hAnsi="KaiTi" w:eastAsia="KaiTi" w:cs="KaiTi"/>
          <w:color w:val="231F20"/>
          <w:spacing w:val="-46"/>
        </w:rPr>
        <w:t xml:space="preserve"> </w:t>
      </w:r>
      <w:r>
        <w:rPr>
          <w:color w:val="231F20"/>
        </w:rPr>
        <w:t>HTG</w:t>
      </w:r>
      <w:r>
        <w:rPr>
          <w:color w:val="231F20"/>
          <w:spacing w:val="15"/>
        </w:rPr>
        <w:t>-</w:t>
      </w:r>
      <w:r>
        <w:rPr>
          <w:color w:val="231F20"/>
        </w:rPr>
        <w:t>AP</w:t>
      </w:r>
      <w:r>
        <w:rPr>
          <w:color w:val="231F20"/>
          <w:spacing w:val="-36"/>
        </w:rPr>
        <w:t xml:space="preserve"> </w:t>
      </w:r>
      <w:r>
        <w:rPr>
          <w:rFonts w:ascii="KaiTi" w:hAnsi="KaiTi" w:eastAsia="KaiTi" w:cs="KaiTi"/>
          <w:color w:val="231F20"/>
          <w:spacing w:val="15"/>
        </w:rPr>
        <w:t>的诊断、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4"/>
        </w:rPr>
        <w:t>病因治疗、常规治疗及预防等方面进行探讨。</w:t>
      </w:r>
    </w:p>
    <w:p>
      <w:pPr>
        <w:pStyle w:val="BodyText"/>
        <w:ind w:left="1654" w:right="797" w:hanging="7"/>
        <w:spacing w:before="1" w:line="257" w:lineRule="auto"/>
        <w:rPr/>
      </w:pPr>
      <w:r>
        <w:rPr>
          <w:rFonts w:ascii="SimHei" w:hAnsi="SimHei" w:eastAsia="SimHei" w:cs="SimHei"/>
          <w:color w:val="231F20"/>
          <w:spacing w:val="7"/>
        </w:rPr>
        <w:t>【关键词】</w:t>
      </w:r>
      <w:r>
        <w:rPr>
          <w:rFonts w:ascii="SimHei" w:hAnsi="SimHei" w:eastAsia="SimHei" w:cs="SimHei"/>
          <w:color w:val="231F20"/>
          <w:spacing w:val="53"/>
        </w:rPr>
        <w:t xml:space="preserve"> </w:t>
      </w:r>
      <w:r>
        <w:rPr>
          <w:rFonts w:ascii="KaiTi" w:hAnsi="KaiTi" w:eastAsia="KaiTi" w:cs="KaiTi"/>
          <w:color w:val="231F20"/>
          <w:spacing w:val="7"/>
        </w:rPr>
        <w:t>高脂血症；</w:t>
      </w:r>
      <w:r>
        <w:rPr>
          <w:rFonts w:ascii="KaiTi" w:hAnsi="KaiTi" w:eastAsia="KaiTi" w:cs="KaiTi"/>
          <w:color w:val="231F20"/>
          <w:spacing w:val="30"/>
        </w:rPr>
        <w:t xml:space="preserve"> </w:t>
      </w:r>
      <w:r>
        <w:rPr>
          <w:rFonts w:ascii="KaiTi" w:hAnsi="KaiTi" w:eastAsia="KaiTi" w:cs="KaiTi"/>
          <w:color w:val="231F20"/>
          <w:spacing w:val="7"/>
        </w:rPr>
        <w:t>高甘油三酯血症；</w:t>
      </w:r>
      <w:r>
        <w:rPr>
          <w:rFonts w:ascii="KaiTi" w:hAnsi="KaiTi" w:eastAsia="KaiTi" w:cs="KaiTi"/>
          <w:color w:val="231F20"/>
          <w:spacing w:val="7"/>
        </w:rPr>
        <w:t xml:space="preserve"> </w:t>
      </w:r>
      <w:r>
        <w:rPr>
          <w:rFonts w:ascii="KaiTi" w:hAnsi="KaiTi" w:eastAsia="KaiTi" w:cs="KaiTi"/>
          <w:color w:val="231F20"/>
          <w:spacing w:val="7"/>
        </w:rPr>
        <w:t>急性胰腺炎；</w:t>
      </w:r>
      <w:r>
        <w:rPr>
          <w:rFonts w:ascii="KaiTi" w:hAnsi="KaiTi" w:eastAsia="KaiTi" w:cs="KaiTi"/>
          <w:color w:val="231F20"/>
          <w:spacing w:val="30"/>
        </w:rPr>
        <w:t xml:space="preserve"> </w:t>
      </w:r>
      <w:r>
        <w:rPr>
          <w:rFonts w:ascii="KaiTi" w:hAnsi="KaiTi" w:eastAsia="KaiTi" w:cs="KaiTi"/>
          <w:color w:val="231F20"/>
          <w:spacing w:val="7"/>
        </w:rPr>
        <w:t>高甘油三酯血症性急性胰腺炎；</w:t>
      </w:r>
      <w:r>
        <w:rPr>
          <w:rFonts w:ascii="KaiTi" w:hAnsi="KaiTi" w:eastAsia="KaiTi" w:cs="KaiTi"/>
          <w:color w:val="231F20"/>
          <w:spacing w:val="6"/>
        </w:rPr>
        <w:t xml:space="preserve"> </w:t>
      </w:r>
      <w:r>
        <w:rPr>
          <w:rFonts w:ascii="KaiTi" w:hAnsi="KaiTi" w:eastAsia="KaiTi" w:cs="KaiTi"/>
          <w:color w:val="231F20"/>
          <w:spacing w:val="6"/>
        </w:rPr>
        <w:t>专家共识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【</w:t>
      </w:r>
      <w:r>
        <w:rPr>
          <w:rFonts w:ascii="Microsoft YaHei" w:hAnsi="Microsoft YaHei" w:eastAsia="Microsoft YaHei" w:cs="Microsoft YaHei"/>
          <w:color w:val="231F20"/>
          <w:spacing w:val="7"/>
        </w:rPr>
        <w:t>中图分类号</w:t>
      </w:r>
      <w:r>
        <w:rPr>
          <w:rFonts w:ascii="SimHei" w:hAnsi="SimHei" w:eastAsia="SimHei" w:cs="SimHei"/>
          <w:color w:val="231F20"/>
          <w:spacing w:val="7"/>
        </w:rPr>
        <w:t>】</w:t>
      </w:r>
      <w:r>
        <w:rPr>
          <w:rFonts w:ascii="SimHei" w:hAnsi="SimHei" w:eastAsia="SimHei" w:cs="SimHei"/>
          <w:color w:val="231F20"/>
          <w:spacing w:val="51"/>
        </w:rPr>
        <w:t xml:space="preserve"> </w:t>
      </w:r>
      <w:r>
        <w:rPr>
          <w:color w:val="231F20"/>
          <w:spacing w:val="7"/>
        </w:rPr>
        <w:t>R576</w:t>
      </w:r>
    </w:p>
    <w:p>
      <w:pPr>
        <w:pStyle w:val="BodyText"/>
        <w:ind w:left="1344" w:right="670" w:firstLine="7"/>
        <w:spacing w:before="279" w:line="254" w:lineRule="auto"/>
        <w:jc w:val="both"/>
        <w:rPr>
          <w:rFonts w:ascii="Times New Roman" w:hAnsi="Times New Roman" w:eastAsia="Times New Roman" w:cs="Times New Roman"/>
        </w:rPr>
      </w:pPr>
      <w:r>
        <w:rPr>
          <w:color w:val="231F20"/>
          <w:spacing w:val="-2"/>
        </w:rPr>
        <w:t>Diagnosis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2"/>
        </w:rPr>
        <w:t>treatment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2"/>
        </w:rPr>
        <w:t>hypertriglycerid</w:t>
      </w:r>
      <w:r>
        <w:rPr>
          <w:color w:val="231F20"/>
          <w:spacing w:val="-3"/>
        </w:rPr>
        <w:t>emic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3"/>
        </w:rPr>
        <w:t>acute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3"/>
        </w:rPr>
        <w:t>pancreatitis</w:t>
      </w:r>
      <w:r>
        <w:rPr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PAN</w:t>
      </w:r>
      <w:r>
        <w:rPr>
          <w:rFonts w:ascii="Times New Roman" w:hAnsi="Times New Roman" w:eastAsia="Times New Roman" w:cs="Times New Roman"/>
          <w:i/>
          <w:iCs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Longfei</w:t>
      </w:r>
      <w:r>
        <w:rPr>
          <w:rFonts w:ascii="KaiTi" w:hAnsi="KaiTi" w:eastAsia="KaiTi" w:cs="KaiTi"/>
          <w:sz w:val="18"/>
          <w:szCs w:val="18"/>
          <w:i/>
          <w:iCs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PEI</w:t>
      </w:r>
      <w:r>
        <w:rPr>
          <w:rFonts w:ascii="Times New Roman" w:hAnsi="Times New Roman" w:eastAsia="Times New Roman" w:cs="Times New Roman"/>
          <w:i/>
          <w:iCs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Honghong</w:t>
      </w:r>
      <w:r>
        <w:rPr>
          <w:rFonts w:ascii="KaiTi" w:hAnsi="KaiTi" w:eastAsia="KaiTi" w:cs="KaiTi"/>
          <w:sz w:val="18"/>
          <w:szCs w:val="18"/>
          <w:i/>
          <w:iCs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HONG</w:t>
      </w:r>
      <w:r>
        <w:rPr>
          <w:rFonts w:ascii="Times New Roman" w:hAnsi="Times New Roman" w:eastAsia="Times New Roman" w:cs="Times New Roman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Xin</w:t>
      </w:r>
      <w:r>
        <w:rPr>
          <w:rFonts w:ascii="KaiTi" w:hAnsi="KaiTi" w:eastAsia="KaiTi" w:cs="KaiTi"/>
          <w:sz w:val="18"/>
          <w:szCs w:val="18"/>
          <w:i/>
          <w:iCs/>
          <w:color w:val="231F20"/>
          <w:spacing w:val="16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</w:rPr>
        <w:t>WANG</w:t>
      </w:r>
      <w:r>
        <w:rPr>
          <w:rFonts w:ascii="Times New Roman" w:hAnsi="Times New Roman" w:eastAsia="Times New Roman" w:cs="Times New Roman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Liming</w:t>
      </w:r>
      <w:r>
        <w:rPr>
          <w:rFonts w:ascii="KaiTi" w:hAnsi="KaiTi" w:eastAsia="KaiTi" w:cs="KaiTi"/>
          <w:sz w:val="18"/>
          <w:szCs w:val="18"/>
          <w:i/>
          <w:iCs/>
          <w:color w:val="231F20"/>
          <w:spacing w:val="16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</w:rPr>
        <w:t>ZHANG</w:t>
      </w:r>
      <w:r>
        <w:rPr>
          <w:rFonts w:ascii="Times New Roman" w:hAnsi="Times New Roman" w:eastAsia="Times New Roman" w:cs="Times New Roman"/>
          <w:i/>
          <w:iCs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Zhengliang</w:t>
      </w:r>
      <w:r>
        <w:rPr>
          <w:rFonts w:ascii="KaiTi" w:hAnsi="KaiTi" w:eastAsia="KaiTi" w:cs="KaiTi"/>
          <w:sz w:val="18"/>
          <w:szCs w:val="18"/>
          <w:i/>
          <w:iCs/>
          <w:color w:val="231F20"/>
          <w:spacing w:val="16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</w:rPr>
        <w:t>BAI</w:t>
      </w:r>
      <w:r>
        <w:rPr>
          <w:rFonts w:ascii="Times New Roman" w:hAnsi="Times New Roman" w:eastAsia="Times New Roman" w:cs="Times New Roman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Zhenghai</w:t>
      </w:r>
      <w:r>
        <w:rPr>
          <w:rFonts w:ascii="Times New Roman" w:hAnsi="Times New Roman" w:eastAsia="Times New Roman" w:cs="Times New Roman"/>
          <w:i/>
          <w:iCs/>
          <w:color w:val="231F20"/>
          <w:spacing w:val="16"/>
        </w:rPr>
        <w:t>.</w:t>
      </w:r>
      <w:r>
        <w:rPr>
          <w:rFonts w:ascii="Times New Roman" w:hAnsi="Times New Roman" w:eastAsia="Times New Roman" w:cs="Times New Roman"/>
          <w:i/>
          <w:iCs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Department</w:t>
      </w:r>
      <w:r>
        <w:rPr>
          <w:rFonts w:ascii="Times New Roman" w:hAnsi="Times New Roman" w:eastAsia="Times New Roman" w:cs="Times New Roman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of</w:t>
      </w:r>
      <w:r>
        <w:rPr>
          <w:rFonts w:ascii="Times New Roman" w:hAnsi="Times New Roman" w:eastAsia="Times New Roman" w:cs="Times New Roman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Emergency</w:t>
      </w:r>
      <w:r>
        <w:rPr>
          <w:rFonts w:ascii="KaiTi" w:hAnsi="KaiTi" w:eastAsia="KaiTi" w:cs="KaiTi"/>
          <w:sz w:val="18"/>
          <w:szCs w:val="18"/>
          <w:i/>
          <w:iCs/>
          <w:color w:val="231F20"/>
          <w:spacing w:val="16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</w:rPr>
        <w:t>the</w:t>
      </w:r>
      <w:r>
        <w:rPr>
          <w:rFonts w:ascii="Times New Roman" w:hAnsi="Times New Roman" w:eastAsia="Times New Roman" w:cs="Times New Roman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16"/>
        </w:rPr>
        <w:t>2</w:t>
      </w:r>
      <w:r>
        <w:rPr>
          <w:rFonts w:ascii="Times New Roman" w:hAnsi="Times New Roman" w:eastAsia="Times New Roman" w:cs="Times New Roman"/>
          <w:i/>
          <w:iCs/>
          <w:color w:val="231F20"/>
        </w:rPr>
        <w:t>nd</w:t>
      </w:r>
      <w:r>
        <w:rPr>
          <w:rFonts w:ascii="Times New Roman" w:hAnsi="Times New Roman" w:eastAsia="Times New Roman" w:cs="Times New Roman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Affiliated</w:t>
      </w:r>
      <w:r>
        <w:rPr>
          <w:rFonts w:ascii="Times New Roman" w:hAnsi="Times New Roman" w:eastAsia="Times New Roman" w:cs="Times New Roman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Hospital</w:t>
      </w:r>
      <w:r>
        <w:rPr>
          <w:rFonts w:ascii="Times New Roman" w:hAnsi="Times New Roman" w:eastAsia="Times New Roman" w:cs="Times New Roman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of 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Xi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′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an Jiaotong</w:t>
      </w:r>
      <w:r>
        <w:rPr>
          <w:rFonts w:ascii="Times New Roman" w:hAnsi="Times New Roman" w:eastAsia="Times New Roman" w:cs="Times New Roman"/>
          <w:i/>
          <w:iCs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University</w:t>
      </w:r>
      <w:r>
        <w:rPr>
          <w:rFonts w:ascii="KaiTi" w:hAnsi="KaiTi" w:eastAsia="KaiTi" w:cs="KaiTi"/>
          <w:sz w:val="18"/>
          <w:szCs w:val="18"/>
          <w:i/>
          <w:iCs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Xi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′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710004</w:t>
      </w:r>
      <w:r>
        <w:rPr>
          <w:rFonts w:ascii="KaiTi" w:hAnsi="KaiTi" w:eastAsia="KaiTi" w:cs="KaiTi"/>
          <w:sz w:val="18"/>
          <w:szCs w:val="18"/>
          <w:i/>
          <w:iCs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China</w:t>
      </w:r>
    </w:p>
    <w:p>
      <w:pPr>
        <w:ind w:left="1364"/>
        <w:spacing w:before="20" w:line="22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Corresponding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author</w:t>
      </w:r>
      <w:r>
        <w:rPr>
          <w:rFonts w:ascii="KaiTi" w:hAnsi="KaiTi" w:eastAsia="KaiTi" w:cs="KaiTi"/>
          <w:sz w:val="18"/>
          <w:szCs w:val="18"/>
          <w:i/>
          <w:iCs/>
          <w:color w:val="231F20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PEI Honghong    E⁃mail</w:t>
      </w:r>
      <w:r>
        <w:rPr>
          <w:rFonts w:ascii="KaiTi" w:hAnsi="KaiTi" w:eastAsia="KaiTi" w:cs="KaiTi"/>
          <w:sz w:val="18"/>
          <w:szCs w:val="18"/>
          <w:i/>
          <w:iCs/>
          <w:color w:val="231F20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1899123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1"/>
        </w:rPr>
        <w:t>7562@163.com</w:t>
      </w:r>
    </w:p>
    <w:p>
      <w:pPr>
        <w:pStyle w:val="BodyText"/>
        <w:ind w:left="1264" w:right="686" w:firstLine="399"/>
        <w:spacing w:before="49" w:line="286" w:lineRule="auto"/>
        <w:tabs>
          <w:tab w:val="left" w:pos="1353"/>
          <w:tab w:val="left" w:pos="1355"/>
        </w:tabs>
        <w:jc w:val="both"/>
        <w:rPr/>
      </w:pPr>
      <w:r>
        <w:rPr>
          <w:rFonts w:ascii="SimHei" w:hAnsi="SimHei" w:eastAsia="SimHei" w:cs="SimHei"/>
          <w:color w:val="231F20"/>
          <w:spacing w:val="-9"/>
        </w:rPr>
        <w:t>【</w:t>
      </w:r>
      <w:r>
        <w:rPr>
          <w:color w:val="231F20"/>
          <w:spacing w:val="-9"/>
        </w:rPr>
        <w:t>Abstract</w:t>
      </w:r>
      <w:r>
        <w:rPr>
          <w:rFonts w:ascii="SimHei" w:hAnsi="SimHei" w:eastAsia="SimHei" w:cs="SimHei"/>
          <w:color w:val="231F20"/>
          <w:spacing w:val="-9"/>
        </w:rPr>
        <w:t>】</w:t>
      </w:r>
      <w:r>
        <w:rPr>
          <w:rFonts w:ascii="SimHei" w:hAnsi="SimHei" w:eastAsia="SimHei" w:cs="SimHei"/>
          <w:color w:val="231F20"/>
          <w:spacing w:val="56"/>
        </w:rPr>
        <w:t xml:space="preserve"> </w:t>
      </w:r>
      <w:r>
        <w:rPr>
          <w:color w:val="231F20"/>
          <w:spacing w:val="-9"/>
        </w:rPr>
        <w:t>Hyperlipidemia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second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leading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cause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acute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pancreatitis</w:t>
      </w:r>
      <w:r>
        <w:rPr>
          <w:rFonts w:ascii="KaiTi" w:hAnsi="KaiTi" w:eastAsia="KaiTi" w:cs="KaiTi"/>
          <w:color w:val="231F20"/>
          <w:spacing w:val="-9"/>
        </w:rPr>
        <w:t>（</w:t>
      </w:r>
      <w:r>
        <w:rPr>
          <w:color w:val="231F20"/>
          <w:spacing w:val="-9"/>
        </w:rPr>
        <w:t>AP</w:t>
      </w:r>
      <w:r>
        <w:rPr>
          <w:rFonts w:ascii="KaiTi" w:hAnsi="KaiTi" w:eastAsia="KaiTi" w:cs="KaiTi"/>
          <w:color w:val="231F20"/>
          <w:spacing w:val="-9"/>
        </w:rPr>
        <w:t>）</w:t>
      </w:r>
      <w:r>
        <w:rPr>
          <w:color w:val="231F20"/>
          <w:spacing w:val="-9"/>
        </w:rPr>
        <w:t>in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China</w:t>
      </w:r>
      <w:r>
        <w:rPr>
          <w:rFonts w:ascii="KaiTi" w:hAnsi="KaiTi" w:eastAsia="KaiTi" w:cs="KaiTi"/>
          <w:color w:val="231F20"/>
          <w:spacing w:val="-10"/>
        </w:rPr>
        <w:t>，</w:t>
      </w:r>
      <w:r>
        <w:rPr>
          <w:color w:val="231F20"/>
          <w:spacing w:val="-10"/>
        </w:rPr>
        <w:t>and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hypertri-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8"/>
        </w:rPr>
        <w:t>glyceridemic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acute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pancreatitis</w:t>
      </w:r>
      <w:r>
        <w:rPr>
          <w:rFonts w:ascii="KaiTi" w:hAnsi="KaiTi" w:eastAsia="KaiTi" w:cs="KaiTi"/>
          <w:color w:val="231F20"/>
          <w:spacing w:val="-8"/>
        </w:rPr>
        <w:t>（</w:t>
      </w:r>
      <w:r>
        <w:rPr>
          <w:color w:val="231F20"/>
          <w:spacing w:val="-8"/>
        </w:rPr>
        <w:t>HTG-A</w:t>
      </w:r>
      <w:r>
        <w:rPr>
          <w:color w:val="231F20"/>
          <w:spacing w:val="-9"/>
        </w:rPr>
        <w:t>P</w:t>
      </w:r>
      <w:r>
        <w:rPr>
          <w:rFonts w:ascii="KaiTi" w:hAnsi="KaiTi" w:eastAsia="KaiTi" w:cs="KaiTi"/>
          <w:color w:val="231F20"/>
          <w:spacing w:val="-9"/>
        </w:rPr>
        <w:t>）</w:t>
      </w:r>
      <w:r>
        <w:rPr>
          <w:color w:val="231F20"/>
          <w:spacing w:val="-9"/>
        </w:rPr>
        <w:t>is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main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type.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Due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special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etiology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pathogenesis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HTG-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11"/>
        </w:rPr>
        <w:t>AP</w:t>
      </w:r>
      <w:r>
        <w:rPr>
          <w:rFonts w:ascii="KaiTi" w:hAnsi="KaiTi" w:eastAsia="KaiTi" w:cs="KaiTi"/>
          <w:color w:val="231F20"/>
          <w:spacing w:val="-11"/>
        </w:rPr>
        <w:t>，</w:t>
      </w:r>
      <w:r>
        <w:rPr>
          <w:color w:val="231F20"/>
          <w:spacing w:val="-11"/>
        </w:rPr>
        <w:t>its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clinical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characteristic</w:t>
      </w:r>
      <w:r>
        <w:rPr>
          <w:color w:val="231F20"/>
          <w:spacing w:val="-12"/>
        </w:rPr>
        <w:t>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are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</w:rPr>
        <w:t>different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from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those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AP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</w:rPr>
        <w:t>caused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by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other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etiologies</w:t>
      </w:r>
      <w:r>
        <w:rPr>
          <w:rFonts w:ascii="KaiTi" w:hAnsi="KaiTi" w:eastAsia="KaiTi" w:cs="KaiTi"/>
          <w:color w:val="231F20"/>
          <w:spacing w:val="-12"/>
        </w:rPr>
        <w:t>，</w:t>
      </w:r>
      <w:r>
        <w:rPr>
          <w:color w:val="231F20"/>
          <w:spacing w:val="-12"/>
        </w:rPr>
        <w:t>which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makes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</w:rPr>
        <w:t>disease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</w:rPr>
        <w:tab/>
      </w:r>
      <w:r>
        <w:rPr>
          <w:color w:val="231F20"/>
          <w:spacing w:val="-9"/>
        </w:rPr>
        <w:t>easy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be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missed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become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severe</w:t>
      </w:r>
      <w:r>
        <w:rPr>
          <w:rFonts w:ascii="KaiTi" w:hAnsi="KaiTi" w:eastAsia="KaiTi" w:cs="KaiTi"/>
          <w:color w:val="231F20"/>
          <w:spacing w:val="-9"/>
        </w:rPr>
        <w:t>，</w:t>
      </w:r>
      <w:r>
        <w:rPr>
          <w:color w:val="231F20"/>
          <w:spacing w:val="-9"/>
        </w:rPr>
        <w:t>re</w:t>
      </w:r>
      <w:r>
        <w:rPr>
          <w:color w:val="231F20"/>
          <w:spacing w:val="-10"/>
        </w:rPr>
        <w:t>sulting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rapid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progress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disease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high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mortality</w:t>
      </w:r>
      <w:r>
        <w:rPr>
          <w:rFonts w:ascii="KaiTi" w:hAnsi="KaiTi" w:eastAsia="KaiTi" w:cs="KaiTi"/>
          <w:color w:val="231F20"/>
          <w:spacing w:val="-10"/>
        </w:rPr>
        <w:t>，</w:t>
      </w:r>
      <w:r>
        <w:rPr>
          <w:color w:val="231F20"/>
          <w:spacing w:val="-1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easy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10"/>
        </w:rPr>
        <w:t>relapse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even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after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cure.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At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present</w:t>
      </w:r>
      <w:r>
        <w:rPr>
          <w:rFonts w:ascii="KaiTi" w:hAnsi="KaiTi" w:eastAsia="KaiTi" w:cs="KaiTi"/>
          <w:color w:val="231F20"/>
          <w:spacing w:val="-11"/>
        </w:rPr>
        <w:t>，</w:t>
      </w:r>
      <w:r>
        <w:rPr>
          <w:color w:val="231F20"/>
          <w:spacing w:val="-11"/>
        </w:rPr>
        <w:t>there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is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a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lack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1"/>
        </w:rPr>
        <w:t>highly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operable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expert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consensus/guidelines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1"/>
        </w:rPr>
        <w:t>for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HTG-AP.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This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9"/>
        </w:rPr>
        <w:t>paper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focuses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diagnosis</w:t>
      </w:r>
      <w:r>
        <w:rPr>
          <w:rFonts w:ascii="KaiTi" w:hAnsi="KaiTi" w:eastAsia="KaiTi" w:cs="KaiTi"/>
          <w:color w:val="231F20"/>
          <w:spacing w:val="-9"/>
        </w:rPr>
        <w:t>，</w:t>
      </w:r>
      <w:r>
        <w:rPr>
          <w:color w:val="231F20"/>
          <w:spacing w:val="-9"/>
        </w:rPr>
        <w:t>etiological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treatment</w:t>
      </w:r>
      <w:r>
        <w:rPr>
          <w:rFonts w:ascii="KaiTi" w:hAnsi="KaiTi" w:eastAsia="KaiTi" w:cs="KaiTi"/>
          <w:color w:val="231F20"/>
          <w:spacing w:val="-9"/>
        </w:rPr>
        <w:t>，</w:t>
      </w:r>
      <w:r>
        <w:rPr>
          <w:color w:val="231F20"/>
          <w:spacing w:val="-9"/>
        </w:rPr>
        <w:t>routine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treatment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prevention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HTG-AP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9"/>
        </w:rPr>
        <w:t>based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10"/>
        </w:rPr>
        <w:t>“</w:t>
      </w:r>
      <w:r>
        <w:rPr>
          <w:color w:val="231F20"/>
          <w:spacing w:val="-10"/>
        </w:rPr>
        <w:t>Emergency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expert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consensus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on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diagnosis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treatment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hypertriglyceridemic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acute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pancreatiti</w:t>
      </w:r>
      <w:r>
        <w:rPr>
          <w:color w:val="231F20"/>
          <w:spacing w:val="-11"/>
        </w:rPr>
        <w:t>s</w:t>
      </w:r>
      <w:r>
        <w:rPr>
          <w:color w:val="231F20"/>
          <w:spacing w:val="-11"/>
        </w:rPr>
        <w:t xml:space="preserve"> </w:t>
      </w:r>
      <w:r>
        <w:rPr>
          <w:rFonts w:ascii="KaiTi" w:hAnsi="KaiTi" w:eastAsia="KaiTi" w:cs="KaiTi"/>
          <w:color w:val="231F20"/>
          <w:spacing w:val="-11"/>
        </w:rPr>
        <w:t>”</w:t>
      </w:r>
      <w:r>
        <w:rPr>
          <w:color w:val="231F20"/>
          <w:spacing w:val="-11"/>
        </w:rPr>
        <w:t>written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by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us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12"/>
        </w:rPr>
        <w:t>recently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combination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with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latest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research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progress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relevant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expert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consensus/guidelines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for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diag-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</w:rPr>
        <w:tab/>
      </w:r>
      <w:r>
        <w:rPr>
          <w:color w:val="231F20"/>
          <w:spacing w:val="-8"/>
        </w:rPr>
        <w:t>nosis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treatment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8"/>
        </w:rPr>
        <w:t>AP.</w:t>
      </w:r>
    </w:p>
    <w:p>
      <w:pPr>
        <w:pStyle w:val="BodyText"/>
        <w:ind w:left="1353" w:right="689" w:firstLine="332"/>
        <w:spacing w:before="12" w:line="288" w:lineRule="auto"/>
        <w:rPr/>
      </w:pPr>
      <w:r>
        <w:rPr>
          <w:rFonts w:ascii="SimHei" w:hAnsi="SimHei" w:eastAsia="SimHei" w:cs="SimHei"/>
          <w:color w:val="231F20"/>
          <w:spacing w:val="-8"/>
        </w:rPr>
        <w:t>【</w:t>
      </w:r>
      <w:r>
        <w:rPr>
          <w:color w:val="231F20"/>
          <w:spacing w:val="-8"/>
        </w:rPr>
        <w:t>Key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words</w:t>
      </w:r>
      <w:r>
        <w:rPr>
          <w:rFonts w:ascii="SimHei" w:hAnsi="SimHei" w:eastAsia="SimHei" w:cs="SimHei"/>
          <w:color w:val="231F20"/>
          <w:spacing w:val="-8"/>
        </w:rPr>
        <w:t>】</w:t>
      </w:r>
      <w:r>
        <w:rPr>
          <w:rFonts w:ascii="SimHei" w:hAnsi="SimHei" w:eastAsia="SimHei" w:cs="SimHei"/>
          <w:color w:val="231F20"/>
          <w:spacing w:val="-8"/>
        </w:rPr>
        <w:t xml:space="preserve">  </w:t>
      </w:r>
      <w:r>
        <w:rPr>
          <w:color w:val="231F20"/>
          <w:spacing w:val="-8"/>
        </w:rPr>
        <w:t>hyperlipidemia</w:t>
      </w:r>
      <w:r>
        <w:rPr>
          <w:rFonts w:ascii="KaiTi" w:hAnsi="KaiTi" w:eastAsia="KaiTi" w:cs="KaiTi"/>
          <w:color w:val="231F20"/>
          <w:spacing w:val="-8"/>
        </w:rPr>
        <w:t>；</w:t>
      </w:r>
      <w:r>
        <w:rPr>
          <w:rFonts w:ascii="KaiTi" w:hAnsi="KaiTi" w:eastAsia="KaiTi" w:cs="KaiTi"/>
          <w:color w:val="231F20"/>
          <w:spacing w:val="-8"/>
        </w:rPr>
        <w:t xml:space="preserve">  </w:t>
      </w:r>
      <w:r>
        <w:rPr>
          <w:color w:val="231F20"/>
          <w:spacing w:val="-8"/>
        </w:rPr>
        <w:t>hypertriglyceridemic</w:t>
      </w:r>
      <w:r>
        <w:rPr>
          <w:rFonts w:ascii="KaiTi" w:hAnsi="KaiTi" w:eastAsia="KaiTi" w:cs="KaiTi"/>
          <w:color w:val="231F20"/>
          <w:spacing w:val="-8"/>
        </w:rPr>
        <w:t>；</w:t>
      </w:r>
      <w:r>
        <w:rPr>
          <w:rFonts w:ascii="KaiTi" w:hAnsi="KaiTi" w:eastAsia="KaiTi" w:cs="KaiTi"/>
          <w:color w:val="231F20"/>
          <w:spacing w:val="54"/>
          <w:w w:val="101"/>
        </w:rPr>
        <w:t xml:space="preserve"> </w:t>
      </w:r>
      <w:r>
        <w:rPr>
          <w:color w:val="231F20"/>
          <w:spacing w:val="-9"/>
        </w:rPr>
        <w:t>acute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pancreatitis</w:t>
      </w:r>
      <w:r>
        <w:rPr>
          <w:rFonts w:ascii="KaiTi" w:hAnsi="KaiTi" w:eastAsia="KaiTi" w:cs="KaiTi"/>
          <w:color w:val="231F20"/>
          <w:spacing w:val="-9"/>
        </w:rPr>
        <w:t>；</w:t>
      </w:r>
      <w:r>
        <w:rPr>
          <w:rFonts w:ascii="KaiTi" w:hAnsi="KaiTi" w:eastAsia="KaiTi" w:cs="KaiTi"/>
          <w:color w:val="231F20"/>
          <w:spacing w:val="52"/>
        </w:rPr>
        <w:t xml:space="preserve"> </w:t>
      </w:r>
      <w:r>
        <w:rPr>
          <w:color w:val="231F20"/>
          <w:spacing w:val="-9"/>
        </w:rPr>
        <w:t>hypertriglyceridemic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acute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pancreatitis</w:t>
      </w:r>
      <w:r>
        <w:rPr>
          <w:rFonts w:ascii="KaiTi" w:hAnsi="KaiTi" w:eastAsia="KaiTi" w:cs="KaiTi"/>
          <w:color w:val="231F20"/>
          <w:spacing w:val="-11"/>
        </w:rPr>
        <w:t>；</w:t>
      </w:r>
      <w:r>
        <w:rPr>
          <w:rFonts w:ascii="KaiTi" w:hAnsi="KaiTi" w:eastAsia="KaiTi" w:cs="KaiTi"/>
          <w:color w:val="231F20"/>
          <w:spacing w:val="24"/>
        </w:rPr>
        <w:t xml:space="preserve"> </w:t>
      </w:r>
      <w:r>
        <w:rPr>
          <w:color w:val="231F20"/>
          <w:spacing w:val="-11"/>
        </w:rPr>
        <w:t>expert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consensus</w:t>
      </w:r>
    </w:p>
    <w:p>
      <w:pPr>
        <w:spacing w:line="218" w:lineRule="exact"/>
        <w:rPr/>
      </w:pPr>
      <w:r/>
    </w:p>
    <w:p>
      <w:pPr>
        <w:spacing w:line="218" w:lineRule="exact"/>
        <w:sectPr>
          <w:headerReference w:type="default" r:id="rId1"/>
          <w:pgSz w:w="11906" w:h="16838"/>
          <w:pgMar w:top="400" w:right="1070" w:bottom="0" w:left="407" w:header="0" w:footer="0" w:gutter="0"/>
          <w:cols w:equalWidth="0" w:num="1">
            <w:col w:w="10427" w:space="0"/>
          </w:cols>
        </w:sectPr>
        <w:rPr/>
      </w:pPr>
    </w:p>
    <w:p>
      <w:pPr>
        <w:pStyle w:val="BodyText"/>
        <w:ind w:left="729" w:right="321" w:firstLine="424"/>
        <w:spacing w:before="48" w:line="274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4" style="position:absolute;margin-left:36.4769pt;margin-top:36.7612pt;mso-position-vertical-relative:text;mso-position-horizontal-relative:text;width:99.25pt;height:0.4pt;z-index:251659264;" filled="false" strokecolor="#231F20" strokeweight="0.37pt" coordsize="1985,8" coordorigin="0,0" path="m0,3l1984,3e">
            <v:stroke joinstyle="miter" miterlimit="4"/>
          </v:shape>
        </w:pic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急性胰腺炎（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6"/>
        </w:rPr>
        <w:t>pancreatiti</w:t>
      </w:r>
      <w:r>
        <w:rPr>
          <w:sz w:val="20"/>
          <w:szCs w:val="20"/>
          <w:color w:val="231F20"/>
          <w:spacing w:val="-7"/>
        </w:rPr>
        <w:t>s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，</w:t>
      </w:r>
      <w:r>
        <w:rPr>
          <w:sz w:val="20"/>
          <w:szCs w:val="20"/>
          <w:color w:val="231F20"/>
          <w:spacing w:val="-7"/>
        </w:rPr>
        <w:t>AP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）的发病率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介于（</w:t>
      </w:r>
      <w:r>
        <w:rPr>
          <w:sz w:val="20"/>
          <w:szCs w:val="20"/>
          <w:color w:val="231F20"/>
          <w:spacing w:val="2"/>
        </w:rPr>
        <w:t>4.9~73.4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）</w:t>
      </w:r>
      <w:r>
        <w:rPr>
          <w:sz w:val="20"/>
          <w:szCs w:val="20"/>
          <w:color w:val="231F20"/>
          <w:spacing w:val="2"/>
        </w:rPr>
        <w:t>/10</w:t>
      </w:r>
      <w:r>
        <w:rPr>
          <w:sz w:val="20"/>
          <w:szCs w:val="20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万之间，可导致持续性器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官功</w:t>
      </w:r>
    </w:p>
    <w:p>
      <w:pPr>
        <w:pStyle w:val="BodyText"/>
        <w:ind w:left="1050"/>
        <w:spacing w:before="242" w:line="21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10.3969/j.issn.1006-5725.2021.20.001</w:t>
      </w:r>
    </w:p>
    <w:p>
      <w:pPr>
        <w:pStyle w:val="BodyText"/>
        <w:ind w:left="730" w:right="333" w:firstLine="317"/>
        <w:spacing w:before="14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>基金项目：陕西省自然科学基础研究计划（编号：</w:t>
      </w:r>
      <w:r>
        <w:rPr>
          <w:sz w:val="15"/>
          <w:szCs w:val="15"/>
          <w:color w:val="231F20"/>
          <w:spacing w:val="16"/>
        </w:rPr>
        <w:t>2021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16"/>
        </w:rPr>
        <w:t>-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9"/>
        </w:rPr>
        <w:t>284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  <w:w w:val="64"/>
        </w:rPr>
        <w:t>）；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陕西省卫生健康科研重点支持项目（编号：</w:t>
      </w:r>
      <w:r>
        <w:rPr>
          <w:sz w:val="15"/>
          <w:szCs w:val="15"/>
          <w:color w:val="231F20"/>
          <w:spacing w:val="9"/>
        </w:rPr>
        <w:t>2021A010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）</w:t>
      </w:r>
    </w:p>
    <w:p>
      <w:pPr>
        <w:pStyle w:val="BodyText"/>
        <w:ind w:left="1049"/>
        <w:spacing w:line="172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通信作者：裴红红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 xml:space="preserve">   </w:t>
      </w:r>
      <w:r>
        <w:rPr>
          <w:sz w:val="15"/>
          <w:szCs w:val="15"/>
          <w:color w:val="231F20"/>
          <w:spacing w:val="3"/>
        </w:rPr>
        <w:t>E-</w:t>
      </w:r>
      <w:r>
        <w:rPr>
          <w:sz w:val="15"/>
          <w:szCs w:val="15"/>
          <w:color w:val="231F20"/>
        </w:rPr>
        <w:t>mail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sz w:val="15"/>
          <w:szCs w:val="15"/>
          <w:color w:val="231F20"/>
          <w:spacing w:val="3"/>
        </w:rPr>
        <w:t>18991237562@16</w:t>
      </w:r>
      <w:r>
        <w:rPr>
          <w:sz w:val="15"/>
          <w:szCs w:val="15"/>
          <w:color w:val="231F20"/>
          <w:spacing w:val="2"/>
        </w:rPr>
        <w:t>3.</w:t>
      </w:r>
      <w:r>
        <w:rPr>
          <w:sz w:val="15"/>
          <w:szCs w:val="15"/>
          <w:color w:val="231F20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49" w:line="27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能衰竭进而发展为重症急性胰腺炎（</w:t>
      </w:r>
      <w:r>
        <w:rPr>
          <w:sz w:val="20"/>
          <w:szCs w:val="20"/>
          <w:color w:val="231F20"/>
        </w:rPr>
        <w:t>severe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pancreatitis</w:t>
      </w:r>
      <w:r>
        <w:rPr>
          <w:rFonts w:ascii="SimSun" w:hAnsi="SimSun" w:eastAsia="SimSun" w:cs="SimSun"/>
          <w:sz w:val="20"/>
          <w:szCs w:val="20"/>
          <w:color w:val="231F20"/>
          <w:spacing w:val="-13"/>
        </w:rPr>
        <w:t>，</w:t>
      </w:r>
      <w:r>
        <w:rPr>
          <w:sz w:val="20"/>
          <w:szCs w:val="20"/>
          <w:color w:val="231F20"/>
          <w:spacing w:val="-13"/>
        </w:rPr>
        <w:t>SAP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7"/>
          <w:w w:val="84"/>
          <w:position w:val="8"/>
        </w:rPr>
        <w:t>［</w:t>
      </w:r>
      <w:r>
        <w:rPr>
          <w:sz w:val="10"/>
          <w:szCs w:val="10"/>
          <w:color w:val="231F20"/>
          <w:spacing w:val="21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7"/>
          <w:w w:val="84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-33"/>
          <w:w w:val="69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因此是消化系统的常见急症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之一。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在我国的发病率呈逐年上升趋势，其主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要病因既往依次为胆石症、过度饮酒、高脂血症，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0"/>
        </w:rPr>
        <w:t>然而伴随生活水平的提高以及饮食结构等的变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化，目前高脂血症已取代“过度饮酒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”成为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的第</w:t>
      </w:r>
    </w:p>
    <w:p>
      <w:pPr>
        <w:spacing w:line="270" w:lineRule="auto"/>
        <w:sectPr>
          <w:type w:val="continuous"/>
          <w:pgSz w:w="11906" w:h="16838"/>
          <w:pgMar w:top="400" w:right="1070" w:bottom="0" w:left="407" w:header="0" w:footer="0" w:gutter="0"/>
          <w:cols w:equalWidth="0" w:num="2">
            <w:col w:w="5658" w:space="100"/>
            <w:col w:w="467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947"/>
        <w:spacing w:before="65" w:line="252" w:lineRule="auto"/>
        <w:rPr>
          <w:sz w:val="15"/>
          <w:szCs w:val="15"/>
        </w:rPr>
      </w:pPr>
      <w:r>
        <w:rPr>
          <w:sz w:val="20"/>
          <w:szCs w:val="20"/>
          <w:color w:val="231F20"/>
          <w:position w:val="-3"/>
        </w:rPr>
        <w:t>2570</w:t>
      </w:r>
      <w:r>
        <w:rPr>
          <w:sz w:val="20"/>
          <w:szCs w:val="20"/>
          <w:color w:val="231F20"/>
          <w:position w:val="-3"/>
        </w:rPr>
        <w:t xml:space="preserve">                    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实用医学杂志    </w:t>
      </w:r>
      <w:r>
        <w:rPr>
          <w:sz w:val="15"/>
          <w:szCs w:val="15"/>
          <w:u w:val="single" w:color="auto"/>
          <w:color w:val="231F20"/>
        </w:rPr>
        <w:t>2021</w:t>
      </w:r>
      <w:r>
        <w:rPr>
          <w:sz w:val="15"/>
          <w:szCs w:val="15"/>
          <w:u w:val="single" w:color="auto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年第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0"/>
        </w:rPr>
        <w:t xml:space="preserve"> </w:t>
      </w:r>
      <w:r>
        <w:rPr>
          <w:sz w:val="15"/>
          <w:szCs w:val="15"/>
          <w:u w:val="single" w:color="auto"/>
          <w:color w:val="231F20"/>
        </w:rPr>
        <w:t>37</w:t>
      </w:r>
      <w:r>
        <w:rPr>
          <w:sz w:val="15"/>
          <w:szCs w:val="15"/>
          <w:u w:val="single" w:color="auto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卷第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sz w:val="15"/>
          <w:szCs w:val="15"/>
          <w:u w:val="single" w:color="auto"/>
          <w:color w:val="231F20"/>
        </w:rPr>
        <w:t>20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期        </w:t>
      </w:r>
      <w:r>
        <w:rPr>
          <w:sz w:val="15"/>
          <w:szCs w:val="15"/>
          <w:u w:val="single" w:color="auto"/>
          <w:color w:val="231F20"/>
        </w:rPr>
        <w:t>The</w:t>
      </w:r>
      <w:r>
        <w:rPr>
          <w:sz w:val="15"/>
          <w:szCs w:val="15"/>
          <w:u w:val="single" w:color="auto"/>
          <w:color w:val="231F20"/>
          <w:spacing w:val="-28"/>
        </w:rPr>
        <w:t xml:space="preserve"> </w:t>
      </w:r>
      <w:r>
        <w:rPr>
          <w:sz w:val="15"/>
          <w:szCs w:val="15"/>
          <w:u w:val="single" w:color="auto"/>
          <w:color w:val="231F20"/>
        </w:rPr>
        <w:t>Journal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</w:rPr>
        <w:t>of</w:t>
      </w:r>
      <w:r>
        <w:rPr>
          <w:sz w:val="15"/>
          <w:szCs w:val="15"/>
          <w:u w:val="single" w:color="auto"/>
          <w:color w:val="231F20"/>
          <w:spacing w:val="-32"/>
        </w:rPr>
        <w:t xml:space="preserve"> </w:t>
      </w:r>
      <w:r>
        <w:rPr>
          <w:sz w:val="15"/>
          <w:szCs w:val="15"/>
          <w:u w:val="single" w:color="auto"/>
          <w:color w:val="231F20"/>
        </w:rPr>
        <w:t>Practical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</w:rPr>
        <w:t>Medicine</w:t>
      </w:r>
      <w:r>
        <w:rPr>
          <w:sz w:val="15"/>
          <w:szCs w:val="15"/>
          <w:u w:val="single" w:color="auto"/>
          <w:color w:val="231F20"/>
        </w:rPr>
        <w:t xml:space="preserve">  </w:t>
      </w:r>
      <w:r>
        <w:rPr>
          <w:sz w:val="15"/>
          <w:szCs w:val="15"/>
          <w:u w:val="single" w:color="auto"/>
          <w:color w:val="231F20"/>
        </w:rPr>
        <w:t>2021</w:t>
      </w:r>
      <w:r>
        <w:rPr>
          <w:sz w:val="15"/>
          <w:szCs w:val="15"/>
          <w:u w:val="single" w:color="auto"/>
          <w:color w:val="231F20"/>
          <w:spacing w:val="-24"/>
        </w:rPr>
        <w:t xml:space="preserve"> </w:t>
      </w:r>
      <w:r>
        <w:rPr>
          <w:sz w:val="15"/>
          <w:szCs w:val="15"/>
          <w:u w:val="single" w:color="auto"/>
          <w:color w:val="231F20"/>
        </w:rPr>
        <w:t>Vol.37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</w:rPr>
        <w:t>No.20</w:t>
      </w:r>
    </w:p>
    <w:p>
      <w:pPr>
        <w:spacing w:before="6"/>
        <w:rPr/>
      </w:pPr>
      <w:r/>
    </w:p>
    <w:p>
      <w:pPr>
        <w:sectPr>
          <w:headerReference w:type="default" r:id="rId3"/>
          <w:pgSz w:w="11906" w:h="16838"/>
          <w:pgMar w:top="400" w:right="1054" w:bottom="0" w:left="407" w:header="0" w:footer="0" w:gutter="0"/>
          <w:cols w:equalWidth="0" w:num="1">
            <w:col w:w="10443" w:space="0"/>
          </w:cols>
        </w:sectPr>
        <w:rPr/>
      </w:pPr>
    </w:p>
    <w:p>
      <w:pPr>
        <w:pStyle w:val="BodyText"/>
        <w:ind w:left="727" w:right="242" w:firstLine="3"/>
        <w:spacing w:before="44" w:line="27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二大病因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。另外，由于我国成年人血脂异常的主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要特点为甘油三酯（</w:t>
      </w:r>
      <w:r>
        <w:rPr>
          <w:sz w:val="20"/>
          <w:szCs w:val="20"/>
          <w:color w:val="231F20"/>
          <w:spacing w:val="-4"/>
        </w:rPr>
        <w:t>triglyceridemia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，</w:t>
      </w:r>
      <w:r>
        <w:rPr>
          <w:sz w:val="20"/>
          <w:szCs w:val="20"/>
          <w:color w:val="231F20"/>
          <w:spacing w:val="-4"/>
        </w:rPr>
        <w:t>T</w:t>
      </w:r>
      <w:r>
        <w:rPr>
          <w:sz w:val="20"/>
          <w:szCs w:val="20"/>
          <w:color w:val="231F20"/>
          <w:spacing w:val="-5"/>
        </w:rPr>
        <w:t>G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）升高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，因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此，高甘油三酯血症性急性胰腺炎（</w:t>
      </w:r>
      <w:r>
        <w:rPr>
          <w:sz w:val="20"/>
          <w:szCs w:val="20"/>
          <w:color w:val="231F20"/>
          <w:spacing w:val="-6"/>
        </w:rPr>
        <w:t>hypertriglycer</w:t>
      </w:r>
      <w:r>
        <w:rPr>
          <w:sz w:val="20"/>
          <w:szCs w:val="20"/>
          <w:color w:val="231F20"/>
          <w:spacing w:val="-7"/>
        </w:rPr>
        <w:t>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demic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4"/>
        </w:rPr>
        <w:t>acute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4"/>
        </w:rPr>
        <w:t>pancreatitis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，</w:t>
      </w:r>
      <w:r>
        <w:rPr>
          <w:sz w:val="20"/>
          <w:szCs w:val="20"/>
          <w:color w:val="231F20"/>
          <w:spacing w:val="-4"/>
        </w:rPr>
        <w:t>HTG-AP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）也是我国高脂血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症性急性胰腺炎的主要类型，其发病率约占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1"/>
        </w:rPr>
        <w:t>20%~30%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左右</w:t>
      </w:r>
      <w:r>
        <w:rPr>
          <w:rFonts w:ascii="SimSun" w:hAnsi="SimSun" w:eastAsia="SimSun" w:cs="SimSun"/>
          <w:sz w:val="10"/>
          <w:szCs w:val="10"/>
          <w:color w:val="231F20"/>
          <w:spacing w:val="11"/>
          <w:position w:val="7"/>
        </w:rPr>
        <w:t>［</w:t>
      </w:r>
      <w:r>
        <w:rPr>
          <w:sz w:val="10"/>
          <w:szCs w:val="10"/>
          <w:color w:val="231F20"/>
          <w:spacing w:val="11"/>
          <w:position w:val="7"/>
        </w:rPr>
        <w:t>2-3</w:t>
      </w:r>
      <w:r>
        <w:rPr>
          <w:rFonts w:ascii="SimSun" w:hAnsi="SimSun" w:eastAsia="SimSun" w:cs="SimSun"/>
          <w:sz w:val="10"/>
          <w:szCs w:val="10"/>
          <w:color w:val="231F20"/>
          <w:spacing w:val="11"/>
          <w:position w:val="7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。</w:t>
      </w:r>
    </w:p>
    <w:p>
      <w:pPr>
        <w:pStyle w:val="BodyText"/>
        <w:ind w:left="635" w:right="163" w:firstLine="519"/>
        <w:spacing w:before="7" w:line="27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7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7"/>
        </w:rPr>
        <w:t>作为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7"/>
        </w:rPr>
        <w:t>的一种病因分型，其治疗方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法固然与其他病因所致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有许多相同之处，包括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液体复苏、抗感染等。然而，由于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3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的病因、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发病机制特殊，其临床特征也与其他病因所致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有诸多不同之处，因此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3"/>
        </w:rPr>
        <w:t>-</w:t>
      </w:r>
      <w:r>
        <w:rPr>
          <w:sz w:val="20"/>
          <w:szCs w:val="20"/>
          <w:color w:val="231F20"/>
        </w:rPr>
        <w:t>AP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更容易被漏诊且更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易发展为重症型，而重症型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1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不仅进展迅速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且病死率显著高于其他病因所致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7"/>
          <w:position w:val="8"/>
        </w:rPr>
        <w:t>［</w:t>
      </w:r>
      <w:r>
        <w:rPr>
          <w:sz w:val="10"/>
          <w:szCs w:val="10"/>
          <w:color w:val="231F20"/>
          <w:spacing w:val="17"/>
          <w:position w:val="8"/>
        </w:rPr>
        <w:t>4-5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4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-33"/>
          <w:w w:val="69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因此，早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8"/>
        </w:rPr>
        <w:t>期识别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8"/>
        </w:rPr>
        <w:t>-</w:t>
      </w:r>
      <w:r>
        <w:rPr>
          <w:sz w:val="20"/>
          <w:szCs w:val="20"/>
          <w:color w:val="231F20"/>
        </w:rPr>
        <w:t>AP</w:t>
      </w:r>
      <w:r>
        <w:rPr>
          <w:rFonts w:ascii="SimSun" w:hAnsi="SimSun" w:eastAsia="SimSun" w:cs="SimSun"/>
          <w:sz w:val="20"/>
          <w:szCs w:val="20"/>
          <w:color w:val="231F20"/>
          <w:spacing w:val="28"/>
        </w:rPr>
        <w:t>并实施有效的干预措施尤为重要。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>虽然目前国内外有多种针对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>诊治的专家共识</w:t>
      </w:r>
      <w:r>
        <w:rPr>
          <w:sz w:val="20"/>
          <w:szCs w:val="20"/>
          <w:color w:val="231F20"/>
          <w:spacing w:val="25"/>
        </w:rPr>
        <w:t>/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4"/>
        </w:rPr>
        <w:t>指南，但其中关于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4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4"/>
        </w:rPr>
        <w:t>的篇幅均较少。因此，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笔者所在医院作为执笔单位，与“高甘油三酯血症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性急性胰腺炎诊治急诊共识专家组</w:t>
      </w:r>
      <w:r>
        <w:rPr>
          <w:rFonts w:ascii="SimSun" w:hAnsi="SimSun" w:eastAsia="SimSun" w:cs="SimSun"/>
          <w:sz w:val="20"/>
          <w:szCs w:val="20"/>
          <w:color w:val="231F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”共同编制了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《高甘油三酯血症性急性胰腺炎诊治急诊专家共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24"/>
        </w:rPr>
        <w:t>识》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</w:t>
      </w:r>
      <w:r>
        <w:rPr>
          <w:sz w:val="10"/>
          <w:szCs w:val="10"/>
          <w:color w:val="231F20"/>
          <w:spacing w:val="5"/>
          <w:position w:val="8"/>
        </w:rPr>
        <w:t>6-7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-23"/>
          <w:w w:val="39"/>
        </w:rPr>
        <w:t>（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后文简称“共识</w:t>
      </w:r>
      <w:r>
        <w:rPr>
          <w:rFonts w:ascii="SimSun" w:hAnsi="SimSun" w:eastAsia="SimSun" w:cs="SimSun"/>
          <w:sz w:val="20"/>
          <w:szCs w:val="20"/>
          <w:color w:val="231F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>”）。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>在此，以该“共识</w:t>
      </w:r>
      <w:r>
        <w:rPr>
          <w:rFonts w:ascii="SimSun" w:hAnsi="SimSun" w:eastAsia="SimSun" w:cs="SimSun"/>
          <w:sz w:val="20"/>
          <w:szCs w:val="20"/>
          <w:color w:val="231F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>”为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基础，结合最新研究进展以及相关专家共识</w:t>
      </w:r>
      <w:r>
        <w:rPr>
          <w:sz w:val="20"/>
          <w:szCs w:val="20"/>
          <w:color w:val="231F20"/>
          <w:spacing w:val="18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指南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8"/>
        </w:rPr>
        <w:t>比如我国近期出版的几部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8"/>
        </w:rPr>
        <w:t>诊治的专家共识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8"/>
          <w:position w:val="8"/>
        </w:rPr>
        <w:t>［</w:t>
      </w:r>
      <w:r>
        <w:rPr>
          <w:sz w:val="10"/>
          <w:szCs w:val="10"/>
          <w:color w:val="231F20"/>
          <w:spacing w:val="28"/>
          <w:position w:val="8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8"/>
          <w:position w:val="8"/>
        </w:rPr>
        <w:t>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和指南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1"/>
          <w:position w:val="8"/>
        </w:rPr>
        <w:t>［</w:t>
      </w:r>
      <w:r>
        <w:rPr>
          <w:sz w:val="10"/>
          <w:szCs w:val="10"/>
          <w:color w:val="231F20"/>
          <w:spacing w:val="21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-24"/>
          <w:w w:val="51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对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1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的诊疗方案进行探讨。</w:t>
      </w:r>
    </w:p>
    <w:p>
      <w:pPr>
        <w:pStyle w:val="BodyText"/>
        <w:ind w:left="741"/>
        <w:spacing w:before="143" w:line="180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31F20"/>
          <w:spacing w:val="5"/>
        </w:rPr>
        <w:t>1</w:t>
      </w:r>
      <w:r>
        <w:rPr>
          <w:sz w:val="23"/>
          <w:szCs w:val="23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5"/>
        </w:rPr>
        <w:t>病因、发病机制与临床特征</w:t>
      </w:r>
    </w:p>
    <w:p>
      <w:pPr>
        <w:pStyle w:val="BodyText"/>
        <w:ind w:left="729" w:right="242" w:firstLine="425"/>
        <w:spacing w:before="156" w:line="27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32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2"/>
        </w:rPr>
        <w:t>的病因主要有原发性脂蛋白代谢异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常及继发性脂蛋白代谢异常。其中原发性脂蛋白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代谢异常主要是各种遗传疾病所致，继发性脂蛋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白代谢异常的原因包括糖尿病、甲状腺功能减退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症等代谢性疾病、酗酒及药源性脂蛋白代谢紊乱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等。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8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的发病机制目前尚未明确，主要集中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于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Havel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理论（游离脂肪酸毒性作用）、胰腺微循环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障碍、蛋白激酶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9"/>
        </w:rPr>
        <w:t>C</w:t>
      </w:r>
      <w:r>
        <w:rPr>
          <w:sz w:val="20"/>
          <w:szCs w:val="20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活化、钙超载、炎症反应及氧化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应激以及基因多态性等，其中游离脂肪酸毒性作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用是认可度较高的发病机制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</w:t>
      </w:r>
      <w:r>
        <w:rPr>
          <w:sz w:val="10"/>
          <w:szCs w:val="10"/>
          <w:color w:val="231F20"/>
          <w:spacing w:val="9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。</w:t>
      </w:r>
    </w:p>
    <w:p>
      <w:pPr>
        <w:pStyle w:val="BodyText"/>
        <w:ind w:left="729"/>
        <w:spacing w:before="142" w:line="181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31F20"/>
          <w:spacing w:val="6"/>
        </w:rPr>
        <w:t>2</w:t>
      </w:r>
      <w:r>
        <w:rPr>
          <w:sz w:val="23"/>
          <w:szCs w:val="23"/>
          <w:color w:val="231F20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6"/>
        </w:rPr>
        <w:t>诊断</w:t>
      </w:r>
    </w:p>
    <w:p>
      <w:pPr>
        <w:pStyle w:val="BodyText"/>
        <w:ind w:left="735" w:right="163" w:firstLine="418"/>
        <w:spacing w:before="153" w:line="264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2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首先需符合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的诊断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2"/>
          <w:position w:val="8"/>
        </w:rPr>
        <w:t>［</w:t>
      </w:r>
      <w:r>
        <w:rPr>
          <w:sz w:val="10"/>
          <w:szCs w:val="10"/>
          <w:color w:val="231F20"/>
          <w:spacing w:val="22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-34"/>
          <w:w w:val="60"/>
        </w:rPr>
        <w:t>［（</w:t>
      </w:r>
      <w:r>
        <w:rPr>
          <w:sz w:val="20"/>
          <w:szCs w:val="20"/>
          <w:color w:val="231F20"/>
          <w:spacing w:val="22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）急性、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突发、持续、剧烈的上腹部疼痛并可向背部放射；</w:t>
      </w:r>
    </w:p>
    <w:p>
      <w:pPr>
        <w:pStyle w:val="BodyText"/>
        <w:ind w:left="649" w:right="242"/>
        <w:spacing w:before="20" w:line="26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（</w:t>
      </w:r>
      <w:r>
        <w:rPr>
          <w:sz w:val="20"/>
          <w:szCs w:val="20"/>
          <w:color w:val="231F20"/>
          <w:spacing w:val="8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）血清淀粉酶和（或）脂肪酶水平</w:t>
      </w:r>
      <w:r>
        <w:rPr>
          <w:sz w:val="20"/>
          <w:szCs w:val="20"/>
          <w:color w:val="231F20"/>
          <w:spacing w:val="8"/>
        </w:rPr>
        <w:t>≥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参考范围上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>限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  <w:spacing w:val="25"/>
        </w:rPr>
        <w:t>3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>倍</w:t>
      </w:r>
      <w:r>
        <w:rPr>
          <w:rFonts w:ascii="SimSun" w:hAnsi="SimSun" w:eastAsia="SimSun" w:cs="SimSun"/>
          <w:sz w:val="20"/>
          <w:szCs w:val="20"/>
          <w:color w:val="231F20"/>
          <w:spacing w:val="-39"/>
          <w:w w:val="72"/>
        </w:rPr>
        <w:t>；（</w:t>
      </w:r>
      <w:r>
        <w:rPr>
          <w:sz w:val="20"/>
          <w:szCs w:val="20"/>
          <w:color w:val="231F20"/>
          <w:spacing w:val="25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>）增强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>或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</w:rPr>
        <w:t>MRI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>呈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>典型影像学改变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4"/>
        </w:rPr>
        <w:t>（胰腺水肿或胰周渗出积液</w:t>
      </w:r>
      <w:r>
        <w:rPr>
          <w:rFonts w:ascii="SimSun" w:hAnsi="SimSun" w:eastAsia="SimSun" w:cs="SimSun"/>
          <w:sz w:val="20"/>
          <w:szCs w:val="20"/>
          <w:color w:val="231F20"/>
          <w:spacing w:val="-44"/>
          <w:w w:val="81"/>
        </w:rPr>
        <w:t>）；</w:t>
      </w:r>
      <w:r>
        <w:rPr>
          <w:rFonts w:ascii="SimSun" w:hAnsi="SimSun" w:eastAsia="SimSun" w:cs="SimSun"/>
          <w:sz w:val="20"/>
          <w:szCs w:val="20"/>
          <w:color w:val="231F20"/>
          <w:spacing w:val="34"/>
        </w:rPr>
        <w:t>符合上述标准中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的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sz w:val="20"/>
          <w:szCs w:val="20"/>
          <w:color w:val="231F20"/>
          <w:spacing w:val="19"/>
        </w:rPr>
        <w:t>2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项</w:t>
      </w:r>
      <w:r>
        <w:rPr>
          <w:rFonts w:ascii="SimSun" w:hAnsi="SimSun" w:eastAsia="SimSun" w:cs="SimSun"/>
          <w:sz w:val="20"/>
          <w:szCs w:val="20"/>
          <w:color w:val="231F20"/>
          <w:spacing w:val="-43"/>
          <w:w w:val="84"/>
        </w:rPr>
        <w:t>］，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其次需合并高甘油三酯血症［血清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平</w:t>
      </w:r>
      <w:r>
        <w:rPr>
          <w:sz w:val="20"/>
          <w:szCs w:val="20"/>
          <w:color w:val="231F20"/>
          <w:spacing w:val="11"/>
        </w:rPr>
        <w:t>≥1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11"/>
        </w:rPr>
        <w:t>000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11"/>
        </w:rPr>
        <w:t>/</w:t>
      </w:r>
      <w:r>
        <w:rPr>
          <w:sz w:val="20"/>
          <w:szCs w:val="20"/>
          <w:color w:val="231F20"/>
        </w:rPr>
        <w:t>dL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（</w:t>
      </w:r>
      <w:r>
        <w:rPr>
          <w:sz w:val="20"/>
          <w:szCs w:val="20"/>
          <w:color w:val="231F20"/>
          <w:spacing w:val="11"/>
        </w:rPr>
        <w:t>11.30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11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-37"/>
          <w:w w:val="69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或血清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水平介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于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1"/>
        </w:rPr>
        <w:t>500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"/>
        </w:rPr>
        <w:t>~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1"/>
        </w:rPr>
        <w:t>1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1"/>
        </w:rPr>
        <w:t>000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1"/>
        </w:rPr>
        <w:t>mg/dL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（</w:t>
      </w:r>
      <w:r>
        <w:rPr>
          <w:sz w:val="20"/>
          <w:szCs w:val="20"/>
          <w:color w:val="231F20"/>
          <w:spacing w:val="-1"/>
        </w:rPr>
        <w:t>5.65~11.30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1"/>
        </w:rPr>
        <w:t>mmol/L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）但血清呈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1"/>
        </w:rPr>
        <w:t>乳糜状</w:t>
      </w:r>
      <w:r>
        <w:rPr>
          <w:rFonts w:ascii="SimSun" w:hAnsi="SimSun" w:eastAsia="SimSun" w:cs="SimSun"/>
          <w:sz w:val="20"/>
          <w:szCs w:val="20"/>
          <w:color w:val="231F20"/>
          <w:spacing w:val="-50"/>
          <w:w w:val="98"/>
        </w:rPr>
        <w:t>］，</w:t>
      </w:r>
      <w:r>
        <w:rPr>
          <w:rFonts w:ascii="SimSun" w:hAnsi="SimSun" w:eastAsia="SimSun" w:cs="SimSun"/>
          <w:sz w:val="20"/>
          <w:szCs w:val="20"/>
          <w:color w:val="231F20"/>
          <w:spacing w:val="31"/>
        </w:rPr>
        <w:t>然后还应排除其他病因如胆石症、创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4"/>
        </w:rPr>
        <w:t>伤等。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16" w:firstLine="421"/>
        <w:spacing w:before="41" w:line="27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然而，由于患者血浆中存在“非脂类抑制因子”，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导致约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  <w:spacing w:val="11"/>
        </w:rPr>
        <w:t>50%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患者血、尿淀粉酶水平无明显升高，而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且高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水平也可影响淀粉酶测定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8"/>
          <w:position w:val="8"/>
        </w:rPr>
        <w:t>［</w:t>
      </w:r>
      <w:r>
        <w:rPr>
          <w:sz w:val="10"/>
          <w:szCs w:val="10"/>
          <w:color w:val="231F20"/>
          <w:spacing w:val="18"/>
          <w:position w:val="8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-25"/>
          <w:w w:val="53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所以血清淀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粉酶水平用于诊断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6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的价值有限。因此，对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于疑似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5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的患者应重视血清脂肪酶水平。</w:t>
      </w:r>
    </w:p>
    <w:p>
      <w:pPr>
        <w:pStyle w:val="BodyText"/>
        <w:ind w:firstLine="503"/>
        <w:spacing w:line="27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另外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，需要重视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的是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，血清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水平不仅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32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2"/>
        </w:rPr>
        <w:t>的发生有关，而且与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32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2"/>
        </w:rPr>
        <w:t>的发展程度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［如中度重症急性胰腺炎（</w:t>
      </w:r>
      <w:r>
        <w:rPr>
          <w:sz w:val="20"/>
          <w:szCs w:val="20"/>
          <w:color w:val="231F20"/>
          <w:spacing w:val="-1"/>
        </w:rPr>
        <w:t>moderately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1"/>
        </w:rPr>
        <w:t>severe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1"/>
        </w:rPr>
        <w:t>acute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</w:rPr>
        <w:t>pancreatitis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，</w:t>
      </w:r>
      <w:r>
        <w:rPr>
          <w:sz w:val="20"/>
          <w:szCs w:val="20"/>
          <w:color w:val="231F20"/>
        </w:rPr>
        <w:t>MSAP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）或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SAP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的发病率、急性期全身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炎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症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反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应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综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合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征（</w:t>
      </w:r>
      <w:r>
        <w:rPr>
          <w:sz w:val="20"/>
          <w:szCs w:val="20"/>
          <w:color w:val="231F20"/>
          <w:spacing w:val="-6"/>
        </w:rPr>
        <w:t>systemic</w:t>
      </w:r>
      <w:r>
        <w:rPr>
          <w:sz w:val="20"/>
          <w:szCs w:val="20"/>
          <w:color w:val="231F20"/>
          <w:spacing w:val="-6"/>
        </w:rPr>
        <w:t xml:space="preserve"> </w:t>
      </w:r>
      <w:r>
        <w:rPr>
          <w:sz w:val="20"/>
          <w:szCs w:val="20"/>
          <w:color w:val="231F20"/>
          <w:spacing w:val="-6"/>
        </w:rPr>
        <w:t>inflammatory</w:t>
      </w:r>
      <w:r>
        <w:rPr>
          <w:sz w:val="20"/>
          <w:szCs w:val="20"/>
          <w:color w:val="231F20"/>
          <w:spacing w:val="-6"/>
        </w:rPr>
        <w:t xml:space="preserve"> </w:t>
      </w:r>
      <w:r>
        <w:rPr>
          <w:sz w:val="20"/>
          <w:szCs w:val="20"/>
          <w:color w:val="231F20"/>
          <w:spacing w:val="-6"/>
        </w:rPr>
        <w:t>response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syndrome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，</w:t>
      </w:r>
      <w:r>
        <w:rPr>
          <w:sz w:val="20"/>
          <w:szCs w:val="20"/>
          <w:color w:val="231F20"/>
        </w:rPr>
        <w:t>SIRS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）的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程度、持续性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器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官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功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能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衰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竭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（</w:t>
      </w:r>
      <w:r>
        <w:rPr>
          <w:sz w:val="20"/>
          <w:szCs w:val="20"/>
          <w:color w:val="231F20"/>
          <w:spacing w:val="-10"/>
        </w:rPr>
        <w:t>persistent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0"/>
        </w:rPr>
        <w:t>organ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10"/>
        </w:rPr>
        <w:t>failure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，</w:t>
      </w:r>
      <w:r>
        <w:rPr>
          <w:sz w:val="20"/>
          <w:szCs w:val="20"/>
          <w:color w:val="231F20"/>
          <w:spacing w:val="-10"/>
        </w:rPr>
        <w:t>POF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）的持续时间等］以及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并发症情况、胰腺等器官功能修复速度均相关，尽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9"/>
        </w:rPr>
        <w:t>早控制血清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9"/>
        </w:rPr>
        <w:t>水平有利于控制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9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9"/>
        </w:rPr>
        <w:t>发展、减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  <w:position w:val="-1"/>
        </w:rPr>
        <w:t>少并发症甚至减低病死率</w:t>
      </w:r>
      <w:r>
        <w:rPr>
          <w:rFonts w:ascii="SimSun" w:hAnsi="SimSun" w:eastAsia="SimSun" w:cs="SimSun"/>
          <w:sz w:val="10"/>
          <w:szCs w:val="10"/>
          <w:color w:val="231F20"/>
          <w:spacing w:val="6"/>
          <w:position w:val="7"/>
        </w:rPr>
        <w:t>［</w:t>
      </w:r>
      <w:r>
        <w:rPr>
          <w:sz w:val="10"/>
          <w:szCs w:val="10"/>
          <w:color w:val="231F20"/>
          <w:spacing w:val="6"/>
          <w:position w:val="7"/>
        </w:rPr>
        <w:t>4-5</w:t>
      </w:r>
      <w:r>
        <w:rPr>
          <w:rFonts w:ascii="SimSun" w:hAnsi="SimSun" w:eastAsia="SimSun" w:cs="SimSun"/>
          <w:sz w:val="10"/>
          <w:szCs w:val="10"/>
          <w:color w:val="231F20"/>
          <w:spacing w:val="6"/>
          <w:position w:val="7"/>
        </w:rPr>
        <w:t>，</w:t>
      </w:r>
      <w:r>
        <w:rPr>
          <w:sz w:val="10"/>
          <w:szCs w:val="10"/>
          <w:color w:val="231F20"/>
          <w:spacing w:val="6"/>
          <w:position w:val="7"/>
        </w:rPr>
        <w:t>11-14</w:t>
      </w:r>
      <w:r>
        <w:rPr>
          <w:rFonts w:ascii="SimSun" w:hAnsi="SimSun" w:eastAsia="SimSun" w:cs="SimSun"/>
          <w:sz w:val="10"/>
          <w:szCs w:val="10"/>
          <w:color w:val="231F20"/>
          <w:spacing w:val="6"/>
          <w:position w:val="7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6"/>
          <w:position w:val="-1"/>
        </w:rPr>
        <w:t>。因此，尽早且准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5"/>
        </w:rPr>
        <w:t>确地诊断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35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5"/>
        </w:rPr>
        <w:t>有利于尽早对高血清</w:t>
      </w:r>
      <w:r>
        <w:rPr>
          <w:sz w:val="20"/>
          <w:szCs w:val="20"/>
          <w:color w:val="231F20"/>
        </w:rPr>
        <w:t>TG</w:t>
      </w:r>
      <w:r>
        <w:rPr>
          <w:rFonts w:ascii="SimSun" w:hAnsi="SimSun" w:eastAsia="SimSun" w:cs="SimSun"/>
          <w:sz w:val="20"/>
          <w:szCs w:val="20"/>
          <w:color w:val="231F20"/>
          <w:spacing w:val="35"/>
        </w:rPr>
        <w:t>水平进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行干预。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2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常可见于年轻患者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2"/>
          <w:position w:val="8"/>
        </w:rPr>
        <w:t>［</w:t>
      </w:r>
      <w:r>
        <w:rPr>
          <w:sz w:val="10"/>
          <w:szCs w:val="10"/>
          <w:color w:val="231F20"/>
          <w:spacing w:val="22"/>
          <w:position w:val="8"/>
        </w:rPr>
        <w:t>15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7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-25"/>
          <w:w w:val="52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且即使血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1"/>
        </w:rPr>
        <w:t>清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1"/>
        </w:rPr>
        <w:t>水平高的患者也并非均为肥胖人群或有明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确病因，因此，有必要重视所有初诊或疑诊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者的血清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水平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。另外，对患者病史如丙泊酚、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雌激素、三苯氧胺、口服避孕药、</w:t>
      </w:r>
      <w:r>
        <w:rPr>
          <w:sz w:val="20"/>
          <w:szCs w:val="20"/>
          <w:color w:val="231F20"/>
          <w:spacing w:val="-1"/>
        </w:rPr>
        <w:t>β-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受体阻滞剂、糖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皮质激素、噻嗪类利尿剂、恩替卡韦等服药史及家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族史的详细问诊也有助于避免漏诊。</w:t>
      </w:r>
    </w:p>
    <w:p>
      <w:pPr>
        <w:pStyle w:val="BodyText"/>
        <w:ind w:left="80"/>
        <w:spacing w:before="150" w:line="179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31F20"/>
          <w:spacing w:val="11"/>
        </w:rPr>
        <w:t>3</w:t>
      </w:r>
      <w:r>
        <w:rPr>
          <w:sz w:val="23"/>
          <w:szCs w:val="23"/>
          <w:color w:val="231F20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1"/>
        </w:rPr>
        <w:t>病因治疗</w:t>
      </w:r>
    </w:p>
    <w:p>
      <w:pPr>
        <w:pStyle w:val="BodyText"/>
        <w:ind w:left="79" w:firstLine="423"/>
        <w:spacing w:before="156" w:line="27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血清</w:t>
      </w:r>
      <w:r>
        <w:rPr>
          <w:sz w:val="20"/>
          <w:szCs w:val="20"/>
          <w:color w:val="231F20"/>
          <w:spacing w:val="-1"/>
        </w:rPr>
        <w:t>TG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水平快速降低至</w:t>
      </w:r>
      <w:r>
        <w:rPr>
          <w:sz w:val="20"/>
          <w:szCs w:val="20"/>
          <w:color w:val="231F20"/>
          <w:spacing w:val="-1"/>
        </w:rPr>
        <w:t>500</w:t>
      </w:r>
      <w:r>
        <w:rPr>
          <w:sz w:val="20"/>
          <w:szCs w:val="20"/>
          <w:color w:val="231F20"/>
          <w:spacing w:val="-54"/>
        </w:rPr>
        <w:t xml:space="preserve"> </w:t>
      </w:r>
      <w:r>
        <w:rPr>
          <w:sz w:val="20"/>
          <w:szCs w:val="20"/>
          <w:color w:val="231F20"/>
          <w:spacing w:val="-1"/>
        </w:rPr>
        <w:t>mg/dL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（</w:t>
      </w:r>
      <w:r>
        <w:rPr>
          <w:sz w:val="20"/>
          <w:szCs w:val="20"/>
          <w:color w:val="231F20"/>
          <w:spacing w:val="-1"/>
        </w:rPr>
        <w:t>5.65</w:t>
      </w:r>
      <w:r>
        <w:rPr>
          <w:sz w:val="20"/>
          <w:szCs w:val="20"/>
          <w:color w:val="231F20"/>
          <w:spacing w:val="-54"/>
        </w:rPr>
        <w:t xml:space="preserve"> </w:t>
      </w:r>
      <w:r>
        <w:rPr>
          <w:sz w:val="20"/>
          <w:szCs w:val="20"/>
          <w:color w:val="231F20"/>
          <w:spacing w:val="-1"/>
        </w:rPr>
        <w:t>mmol/L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以下是治疗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6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患者的关键，不仅可以改善患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者的炎症反应程度、减轻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</w:rPr>
        <w:t>POF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，还可促进胰腺组织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>修复、改善预后、减少复发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［</w:t>
      </w:r>
      <w:r>
        <w:rPr>
          <w:sz w:val="10"/>
          <w:szCs w:val="10"/>
          <w:color w:val="231F20"/>
          <w:position w:val="7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，</w:t>
      </w:r>
      <w:r>
        <w:rPr>
          <w:sz w:val="10"/>
          <w:szCs w:val="10"/>
          <w:color w:val="231F20"/>
          <w:position w:val="7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，</w:t>
      </w:r>
      <w:r>
        <w:rPr>
          <w:sz w:val="10"/>
          <w:szCs w:val="10"/>
          <w:color w:val="231F20"/>
          <w:position w:val="7"/>
        </w:rPr>
        <w:t>13-14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，</w:t>
      </w:r>
      <w:r>
        <w:rPr>
          <w:sz w:val="10"/>
          <w:szCs w:val="10"/>
          <w:color w:val="231F20"/>
          <w:position w:val="7"/>
        </w:rPr>
        <w:t>16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>。可采取的措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施包括使用常规口服降脂药、肝素</w:t>
      </w:r>
      <w:r>
        <w:rPr>
          <w:sz w:val="20"/>
          <w:szCs w:val="20"/>
          <w:color w:val="231F20"/>
          <w:spacing w:val="17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低分子肝素、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胰岛素以及实施血液净化。</w:t>
      </w:r>
    </w:p>
    <w:p>
      <w:pPr>
        <w:pStyle w:val="BodyText"/>
        <w:ind w:left="80" w:right="78"/>
        <w:spacing w:before="1" w:line="267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21"/>
        </w:rPr>
        <w:t>3.1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21"/>
        </w:rPr>
        <w:t>常规口服降脂药</w:t>
      </w:r>
      <w:r>
        <w:rPr>
          <w:rFonts w:ascii="SimHei" w:hAnsi="SimHei" w:eastAsia="SimHei" w:cs="SimHei"/>
          <w:sz w:val="20"/>
          <w:szCs w:val="20"/>
          <w:color w:val="231F20"/>
          <w:spacing w:val="2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轻症型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1"/>
        </w:rPr>
        <w:t>-</w:t>
      </w:r>
      <w:r>
        <w:rPr>
          <w:sz w:val="20"/>
          <w:szCs w:val="20"/>
          <w:color w:val="231F20"/>
        </w:rPr>
        <w:t>AP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且病情稳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定患者，如胃肠功能可耐受口服药物，应立刻口服降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脂药物包括贝特类降脂药、他汀类药物、烟酸、</w:t>
      </w:r>
      <w:r>
        <w:rPr>
          <w:sz w:val="20"/>
          <w:szCs w:val="20"/>
          <w:color w:val="231F20"/>
          <w:spacing w:val="-8"/>
        </w:rPr>
        <w:t>ω-3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脂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肪酸等，其中首选贝特类降脂药如非诺贝特等。但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需注意的是，贝特类降脂药禁用于妊娠患者。</w:t>
      </w:r>
    </w:p>
    <w:p>
      <w:pPr>
        <w:pStyle w:val="BodyText"/>
        <w:ind w:right="78" w:firstLine="80"/>
        <w:spacing w:before="49" w:line="26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2"/>
        </w:rPr>
        <w:t>3.2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胰岛素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需要注意的是，虽然有研究表明部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5"/>
        </w:rPr>
        <w:t>分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35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5"/>
        </w:rPr>
        <w:t>患者在禁饮食后其血清</w:t>
      </w:r>
      <w:r>
        <w:rPr>
          <w:sz w:val="20"/>
          <w:szCs w:val="20"/>
          <w:color w:val="231F20"/>
        </w:rPr>
        <w:t>TG</w:t>
      </w:r>
      <w:r>
        <w:rPr>
          <w:rFonts w:ascii="SimSun" w:hAnsi="SimSun" w:eastAsia="SimSun" w:cs="SimSun"/>
          <w:sz w:val="20"/>
          <w:szCs w:val="20"/>
          <w:color w:val="231F20"/>
          <w:spacing w:val="35"/>
        </w:rPr>
        <w:t>水平可明显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下降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3"/>
          <w:position w:val="8"/>
        </w:rPr>
        <w:t>［</w:t>
      </w:r>
      <w:r>
        <w:rPr>
          <w:sz w:val="10"/>
          <w:szCs w:val="10"/>
          <w:color w:val="231F20"/>
          <w:spacing w:val="23"/>
          <w:position w:val="8"/>
        </w:rPr>
        <w:t>17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1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-25"/>
          <w:w w:val="52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但由于血清</w:t>
      </w:r>
      <w:r>
        <w:rPr>
          <w:sz w:val="20"/>
          <w:szCs w:val="20"/>
          <w:color w:val="231F20"/>
        </w:rPr>
        <w:t>TG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水平与患者的病情转归及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4"/>
        </w:rPr>
        <w:t>预后直接相关，而胰岛素不仅可以改善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34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4"/>
        </w:rPr>
        <w:t>患者的糖代谢紊乱进而稳定血糖，还可显著改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4"/>
        </w:rPr>
        <w:t>善脂代谢紊乱进而降低血清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4"/>
        </w:rPr>
        <w:t>水平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4"/>
          <w:position w:val="8"/>
        </w:rPr>
        <w:t>［ </w:t>
      </w:r>
      <w:r>
        <w:rPr>
          <w:sz w:val="10"/>
          <w:szCs w:val="10"/>
          <w:color w:val="231F20"/>
          <w:spacing w:val="24"/>
          <w:position w:val="8"/>
        </w:rPr>
        <w:t>18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5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-43"/>
          <w:w w:val="90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24"/>
        </w:rPr>
        <w:t>因此建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5"/>
        </w:rPr>
        <w:t>议尽早使用胰岛素治疗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5"/>
        </w:rPr>
        <w:t>。有研究表明，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35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患者血糖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3"/>
        </w:rPr>
        <w:t>&lt;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3"/>
        </w:rPr>
        <w:t>200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3"/>
        </w:rPr>
        <w:t>/</w:t>
      </w:r>
      <w:r>
        <w:rPr>
          <w:sz w:val="20"/>
          <w:szCs w:val="20"/>
          <w:color w:val="231F20"/>
        </w:rPr>
        <w:t>dL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（</w:t>
      </w:r>
      <w:r>
        <w:rPr>
          <w:sz w:val="20"/>
          <w:szCs w:val="20"/>
          <w:color w:val="231F20"/>
          <w:spacing w:val="3"/>
        </w:rPr>
        <w:t>11.1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3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）时，乳糜微粒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（</w:t>
      </w:r>
      <w:r>
        <w:rPr>
          <w:sz w:val="20"/>
          <w:szCs w:val="20"/>
          <w:color w:val="231F20"/>
        </w:rPr>
        <w:t>chylomicrons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，</w:t>
      </w:r>
      <w:r>
        <w:rPr>
          <w:sz w:val="20"/>
          <w:szCs w:val="20"/>
          <w:color w:val="231F20"/>
        </w:rPr>
        <w:t>CM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）降解、</w:t>
      </w:r>
      <w:r>
        <w:rPr>
          <w:sz w:val="20"/>
          <w:szCs w:val="20"/>
          <w:color w:val="231F20"/>
        </w:rPr>
        <w:t>TG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水平改善的效率将显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著升高，并且并发症发生率下降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</w:t>
      </w:r>
      <w:r>
        <w:rPr>
          <w:sz w:val="10"/>
          <w:szCs w:val="10"/>
          <w:color w:val="231F20"/>
          <w:spacing w:val="7"/>
          <w:position w:val="8"/>
        </w:rPr>
        <w:t>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。因此，应首先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6"/>
        </w:rPr>
        <w:t>应用胰岛素将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6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6"/>
        </w:rPr>
        <w:t>患者血糖控制在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color w:val="231F20"/>
          <w:spacing w:val="26"/>
        </w:rPr>
        <w:t>200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26"/>
        </w:rPr>
        <w:t>/</w:t>
      </w:r>
      <w:r>
        <w:rPr>
          <w:sz w:val="20"/>
          <w:szCs w:val="20"/>
          <w:color w:val="231F20"/>
        </w:rPr>
        <w:t>dL</w:t>
      </w:r>
    </w:p>
    <w:p>
      <w:pPr>
        <w:spacing w:line="269" w:lineRule="auto"/>
        <w:sectPr>
          <w:type w:val="continuous"/>
          <w:pgSz w:w="11906" w:h="16838"/>
          <w:pgMar w:top="400" w:right="1054" w:bottom="0" w:left="407" w:header="0" w:footer="0" w:gutter="0"/>
          <w:cols w:equalWidth="0" w:num="2">
            <w:col w:w="5578" w:space="100"/>
            <w:col w:w="4766" w:space="0"/>
          </w:cols>
        </w:sectPr>
        <w:rPr>
          <w:sz w:val="20"/>
          <w:szCs w:val="20"/>
        </w:rPr>
      </w:pPr>
    </w:p>
    <w:p>
      <w:pPr>
        <w:spacing w:before="7"/>
        <w:rPr/>
      </w:pPr>
      <w:r/>
    </w:p>
    <w:p>
      <w:pPr>
        <w:sectPr>
          <w:headerReference w:type="default" r:id="rId4"/>
          <w:pgSz w:w="11906" w:h="16838"/>
          <w:pgMar w:top="1400" w:right="1057" w:bottom="0" w:left="407" w:header="1077" w:footer="0" w:gutter="0"/>
          <w:cols w:equalWidth="0" w:num="1">
            <w:col w:w="10440" w:space="0"/>
          </w:cols>
        </w:sectPr>
        <w:rPr/>
      </w:pPr>
    </w:p>
    <w:p>
      <w:pPr>
        <w:pStyle w:val="BodyText"/>
        <w:ind w:left="648" w:right="320"/>
        <w:spacing w:before="47" w:line="275" w:lineRule="auto"/>
        <w:tabs>
          <w:tab w:val="left" w:pos="748"/>
        </w:tabs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（</w:t>
      </w:r>
      <w:r>
        <w:rPr>
          <w:sz w:val="20"/>
          <w:szCs w:val="20"/>
          <w:color w:val="231F20"/>
          <w:spacing w:val="2"/>
        </w:rPr>
        <w:t>11.1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2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）以内，然后进一步将血糖维持在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2"/>
        </w:rPr>
        <w:t>110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~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9"/>
        </w:rPr>
        <w:t>150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9"/>
        </w:rPr>
        <w:t>mg/dL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（</w:t>
      </w:r>
      <w:r>
        <w:rPr>
          <w:sz w:val="20"/>
          <w:szCs w:val="20"/>
          <w:color w:val="231F20"/>
          <w:spacing w:val="-9"/>
        </w:rPr>
        <w:t>6.1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9"/>
        </w:rPr>
        <w:t>~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9"/>
        </w:rPr>
        <w:t>8.3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9"/>
        </w:rPr>
        <w:t>mmol/L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）区间。“共识</w:t>
      </w:r>
      <w:r>
        <w:rPr>
          <w:rFonts w:ascii="SimSun" w:hAnsi="SimSun" w:eastAsia="SimSun" w:cs="SimSun"/>
          <w:sz w:val="20"/>
          <w:szCs w:val="20"/>
          <w:color w:val="231F20"/>
          <w:spacing w:val="-7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”推荐采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用静脉微量泵输入胰岛素，以便根据血糖情况随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时调整胰岛素用量。推荐的初始胰岛素剂量为</w:t>
      </w:r>
      <w:r>
        <w:rPr>
          <w:sz w:val="20"/>
          <w:szCs w:val="20"/>
          <w:color w:val="231F20"/>
          <w:spacing w:val="16"/>
        </w:rPr>
        <w:t>0.1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4"/>
        </w:rPr>
        <w:t>~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4"/>
        </w:rPr>
        <w:t>0.3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4"/>
        </w:rPr>
        <w:t>U/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（</w:t>
      </w:r>
      <w:r>
        <w:rPr>
          <w:sz w:val="20"/>
          <w:szCs w:val="20"/>
          <w:color w:val="231F20"/>
        </w:rPr>
        <w:t>kg</w:t>
      </w:r>
      <w:r>
        <w:rPr>
          <w:sz w:val="20"/>
          <w:szCs w:val="20"/>
          <w:color w:val="231F20"/>
          <w:spacing w:val="4"/>
        </w:rPr>
        <w:t>·h</w:t>
      </w:r>
      <w:r>
        <w:rPr>
          <w:rFonts w:ascii="SimSun" w:hAnsi="SimSun" w:eastAsia="SimSun" w:cs="SimSun"/>
          <w:sz w:val="20"/>
          <w:szCs w:val="20"/>
          <w:color w:val="231F20"/>
          <w:spacing w:val="-37"/>
          <w:w w:val="70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如患者血糖异常［如</w:t>
      </w:r>
      <w:r>
        <w:rPr>
          <w:rFonts w:ascii="SimSun" w:hAnsi="SimSun" w:eastAsia="SimSun" w:cs="SimSun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4"/>
        </w:rPr>
        <w:t>&gt;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4"/>
        </w:rPr>
        <w:t>200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4"/>
        </w:rPr>
        <w:t>/</w:t>
      </w:r>
      <w:r>
        <w:rPr>
          <w:sz w:val="20"/>
          <w:szCs w:val="20"/>
          <w:color w:val="231F20"/>
        </w:rPr>
        <w:t>dL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（</w:t>
      </w:r>
      <w:r>
        <w:rPr>
          <w:sz w:val="20"/>
          <w:szCs w:val="20"/>
          <w:color w:val="231F20"/>
          <w:spacing w:val="10"/>
        </w:rPr>
        <w:t>11.1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10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-39"/>
          <w:w w:val="70"/>
        </w:rPr>
        <w:t>）］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则可在上述基础上增加胰岛素剂量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以促进血糖尽快达标。另外，应用胰岛素时，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需每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10"/>
        </w:rPr>
        <w:t>12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10"/>
        </w:rPr>
        <w:t>~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10"/>
        </w:rPr>
        <w:t>24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10"/>
        </w:rPr>
        <w:t>h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监测血清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水平，当血清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水平</w:t>
      </w:r>
      <w:r>
        <w:rPr>
          <w:sz w:val="20"/>
          <w:szCs w:val="20"/>
          <w:color w:val="231F20"/>
          <w:spacing w:val="10"/>
        </w:rPr>
        <w:t>≤500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5"/>
        </w:rPr>
        <w:t>/</w:t>
      </w:r>
      <w:r>
        <w:rPr>
          <w:sz w:val="20"/>
          <w:szCs w:val="20"/>
          <w:color w:val="231F20"/>
        </w:rPr>
        <w:t>dL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（</w:t>
      </w:r>
      <w:r>
        <w:rPr>
          <w:sz w:val="20"/>
          <w:szCs w:val="20"/>
          <w:color w:val="231F20"/>
          <w:spacing w:val="5"/>
        </w:rPr>
        <w:t>5.65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5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）时停用胰岛素；同时需注意监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测血糖水平，避免发生低血糖，必要时可同时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给予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5%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葡萄糖（需按</w:t>
      </w:r>
      <w:r>
        <w:rPr>
          <w:sz w:val="20"/>
          <w:szCs w:val="20"/>
          <w:color w:val="231F20"/>
          <w:spacing w:val="3"/>
        </w:rPr>
        <w:t>4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3"/>
        </w:rPr>
        <w:t>~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3"/>
        </w:rPr>
        <w:t>6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∶</w:t>
      </w:r>
      <w:r>
        <w:rPr>
          <w:sz w:val="20"/>
          <w:szCs w:val="20"/>
          <w:color w:val="231F20"/>
          <w:spacing w:val="3"/>
        </w:rPr>
        <w:t>1</w:t>
      </w:r>
      <w:r>
        <w:rPr>
          <w:sz w:val="20"/>
          <w:szCs w:val="20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的比例加用胰岛素对抗）。</w:t>
      </w:r>
    </w:p>
    <w:p>
      <w:pPr>
        <w:pStyle w:val="BodyText"/>
        <w:ind w:left="728" w:right="321"/>
        <w:spacing w:before="9" w:line="26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12"/>
        </w:rPr>
        <w:t>3.3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肝素</w:t>
      </w:r>
      <w:r>
        <w:rPr>
          <w:sz w:val="20"/>
          <w:szCs w:val="20"/>
          <w:color w:val="231F20"/>
          <w:spacing w:val="12"/>
        </w:rPr>
        <w:t>/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低分子肝素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肝素</w:t>
      </w:r>
      <w:r>
        <w:rPr>
          <w:sz w:val="20"/>
          <w:szCs w:val="20"/>
          <w:color w:val="231F20"/>
          <w:spacing w:val="12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低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分子肝素能够促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进血管内皮细胞表面的脂蛋白脂肪酶（</w:t>
      </w:r>
      <w:r>
        <w:rPr>
          <w:sz w:val="20"/>
          <w:szCs w:val="20"/>
          <w:color w:val="231F20"/>
        </w:rPr>
        <w:t>lipoprotein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</w:rPr>
        <w:t>lipase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，</w:t>
      </w:r>
      <w:r>
        <w:rPr>
          <w:sz w:val="20"/>
          <w:szCs w:val="20"/>
          <w:color w:val="231F20"/>
        </w:rPr>
        <w:t>LPL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）释放，也可促进肝脏的甘油三酯水解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酶释放，从而促进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sz w:val="20"/>
          <w:szCs w:val="20"/>
          <w:color w:val="231F20"/>
        </w:rPr>
        <w:t>CM</w:t>
      </w:r>
      <w:r>
        <w:rPr>
          <w:sz w:val="20"/>
          <w:szCs w:val="20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和</w:t>
      </w:r>
      <w:r>
        <w:rPr>
          <w:sz w:val="20"/>
          <w:szCs w:val="20"/>
          <w:color w:val="231F20"/>
        </w:rPr>
        <w:t>TG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水解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5"/>
          <w:position w:val="8"/>
        </w:rPr>
        <w:t>［</w:t>
      </w:r>
      <w:r>
        <w:rPr>
          <w:sz w:val="10"/>
          <w:szCs w:val="10"/>
          <w:color w:val="231F20"/>
          <w:spacing w:val="15"/>
          <w:position w:val="8"/>
        </w:rPr>
        <w:t>20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6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-31"/>
          <w:w w:val="65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因此在排除严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0"/>
        </w:rPr>
        <w:t>重肾功能不全以及活动性出血等禁忌证的前提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下，可应用于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6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患者。然而，长期大量应用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肝素</w:t>
      </w:r>
      <w:r>
        <w:rPr>
          <w:sz w:val="20"/>
          <w:szCs w:val="20"/>
          <w:color w:val="231F20"/>
          <w:spacing w:val="18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低分子肝素可能因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</w:rPr>
        <w:t>LPL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被耗尽进而导致血清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水平在短暂降低后再次上升，因此建议与其他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position w:val="-1"/>
        </w:rPr>
        <w:t>降脂药物如胰岛素联合应用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7"/>
        </w:rPr>
        <w:t>［</w:t>
      </w:r>
      <w:r>
        <w:rPr>
          <w:sz w:val="10"/>
          <w:szCs w:val="10"/>
          <w:color w:val="231F20"/>
          <w:spacing w:val="9"/>
          <w:position w:val="7"/>
        </w:rPr>
        <w:t>19</w:t>
      </w:r>
      <w:r>
        <w:rPr>
          <w:rFonts w:ascii="Arial" w:hAnsi="Arial" w:eastAsia="Arial" w:cs="Arial"/>
          <w:sz w:val="10"/>
          <w:szCs w:val="10"/>
          <w:b/>
          <w:bCs/>
          <w:color w:val="231F20"/>
          <w:spacing w:val="9"/>
          <w:position w:val="7"/>
        </w:rPr>
        <w:t>-</w:t>
      </w:r>
      <w:r>
        <w:rPr>
          <w:sz w:val="10"/>
          <w:szCs w:val="10"/>
          <w:color w:val="231F20"/>
          <w:spacing w:val="9"/>
          <w:position w:val="7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7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position w:val="-1"/>
        </w:rPr>
        <w:t>。</w:t>
      </w:r>
    </w:p>
    <w:p>
      <w:pPr>
        <w:pStyle w:val="BodyText"/>
        <w:ind w:left="728" w:right="258" w:firstLine="422"/>
        <w:spacing w:before="55" w:line="27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肝素</w:t>
      </w:r>
      <w:r>
        <w:rPr>
          <w:sz w:val="20"/>
          <w:szCs w:val="20"/>
          <w:color w:val="231F20"/>
          <w:spacing w:val="17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低分子肝素联合胰岛素具有协同作用，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8"/>
        </w:rPr>
        <w:t>目前被推荐为治疗重症型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8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8"/>
        </w:rPr>
        <w:t>患者的一线治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疗。其中低分子肝素因为出血风险低于肝素，而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且具有抗炎、改善胰腺等脏器微循环等作用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</w:t>
      </w:r>
      <w:r>
        <w:rPr>
          <w:sz w:val="10"/>
          <w:szCs w:val="10"/>
          <w:color w:val="231F20"/>
          <w:spacing w:val="9"/>
          <w:position w:val="8"/>
        </w:rPr>
        <w:t>22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8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-25"/>
          <w:w w:val="52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且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4"/>
        </w:rPr>
        <w:t>有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sz w:val="20"/>
          <w:szCs w:val="20"/>
          <w:color w:val="231F20"/>
        </w:rPr>
        <w:t>RCT</w:t>
      </w:r>
      <w:r>
        <w:rPr>
          <w:rFonts w:ascii="SimSun" w:hAnsi="SimSun" w:eastAsia="SimSun" w:cs="SimSun"/>
          <w:sz w:val="20"/>
          <w:szCs w:val="20"/>
          <w:color w:val="231F20"/>
          <w:spacing w:val="24"/>
        </w:rPr>
        <w:t>研究发现联合胰岛素还可显著改善器官功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能衰竭的发生率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</w:t>
      </w:r>
      <w:r>
        <w:rPr>
          <w:sz w:val="10"/>
          <w:szCs w:val="10"/>
          <w:color w:val="231F20"/>
          <w:spacing w:val="9"/>
          <w:position w:val="8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6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-31"/>
          <w:w w:val="64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因此可优选使用。</w:t>
      </w:r>
    </w:p>
    <w:p>
      <w:pPr>
        <w:pStyle w:val="BodyText"/>
        <w:ind w:left="648" w:right="320" w:firstLine="80"/>
        <w:spacing w:before="4" w:line="27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12"/>
        </w:rPr>
        <w:t>3.4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血液净化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血液净化如血液滤过、血液灌流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2"/>
        </w:rPr>
        <w:t>和血浆置换均可用于治疗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32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2"/>
        </w:rPr>
        <w:t>患者。虽然有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研究发现血浆置换如双重滤过血浆置换虽较其他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治疗更可有效降低血清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水平，但临床获益并不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显著，更多研究证实血液净化如血液滤过、血液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灌流（如采用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</w:rPr>
        <w:t>HA</w:t>
      </w:r>
      <w:r>
        <w:rPr>
          <w:sz w:val="20"/>
          <w:szCs w:val="20"/>
          <w:color w:val="231F20"/>
          <w:spacing w:val="4"/>
        </w:rPr>
        <w:t>330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血液灌流器）、血浆置换（如单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重血浆置换、双重滤过血浆置换、血浆吸附等模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式）用于治疗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2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能显著降低血清</w:t>
      </w:r>
      <w:r>
        <w:rPr>
          <w:sz w:val="20"/>
          <w:szCs w:val="20"/>
          <w:color w:val="231F20"/>
        </w:rPr>
        <w:t>TG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水平、改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善炎症反应失衡状态、稳定内环境，并可缩短住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-1"/>
        </w:rPr>
        <w:t>院时间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［</w:t>
      </w:r>
      <w:r>
        <w:rPr>
          <w:sz w:val="10"/>
          <w:szCs w:val="10"/>
          <w:color w:val="231F20"/>
          <w:spacing w:val="1"/>
          <w:position w:val="7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，</w:t>
      </w:r>
      <w:r>
        <w:rPr>
          <w:sz w:val="10"/>
          <w:szCs w:val="10"/>
          <w:color w:val="231F20"/>
          <w:spacing w:val="1"/>
          <w:position w:val="7"/>
        </w:rPr>
        <w:t>23-25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-1"/>
        </w:rPr>
        <w:t>。因此“共识”建议：</w:t>
      </w:r>
      <w:r>
        <w:rPr>
          <w:sz w:val="20"/>
          <w:szCs w:val="20"/>
          <w:color w:val="231F20"/>
          <w:position w:val="-1"/>
        </w:rPr>
        <w:t>HTG</w:t>
      </w:r>
      <w:r>
        <w:rPr>
          <w:sz w:val="20"/>
          <w:szCs w:val="20"/>
          <w:color w:val="231F20"/>
          <w:spacing w:val="1"/>
          <w:position w:val="-1"/>
        </w:rPr>
        <w:t>-</w:t>
      </w:r>
      <w:r>
        <w:rPr>
          <w:sz w:val="20"/>
          <w:szCs w:val="20"/>
          <w:color w:val="231F20"/>
          <w:position w:val="-1"/>
        </w:rPr>
        <w:t>AP</w:t>
      </w:r>
      <w:r>
        <w:rPr>
          <w:sz w:val="20"/>
          <w:szCs w:val="20"/>
          <w:color w:val="231F20"/>
          <w:spacing w:val="-42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-1"/>
        </w:rPr>
        <w:t>患者入院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后接受常规口服降脂药、肝素</w:t>
      </w:r>
      <w:r>
        <w:rPr>
          <w:sz w:val="20"/>
          <w:szCs w:val="20"/>
          <w:color w:val="231F20"/>
          <w:spacing w:val="8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低分子肝素、胰岛素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等治疗</w:t>
      </w:r>
      <w:r>
        <w:rPr>
          <w:sz w:val="20"/>
          <w:szCs w:val="20"/>
          <w:color w:val="231F20"/>
          <w:spacing w:val="20"/>
        </w:rPr>
        <w:t>24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～</w:t>
      </w:r>
      <w:r>
        <w:rPr>
          <w:sz w:val="20"/>
          <w:szCs w:val="20"/>
          <w:color w:val="231F20"/>
          <w:spacing w:val="20"/>
        </w:rPr>
        <w:t>48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20"/>
        </w:rPr>
        <w:t>h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后如血清</w:t>
      </w:r>
      <w:r>
        <w:rPr>
          <w:sz w:val="20"/>
          <w:szCs w:val="20"/>
          <w:color w:val="231F20"/>
        </w:rPr>
        <w:t>TG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水平仍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20"/>
        </w:rPr>
        <w:t>&gt;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20"/>
        </w:rPr>
        <w:t>1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20"/>
        </w:rPr>
        <w:t>000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20"/>
        </w:rPr>
        <w:t>/</w:t>
      </w:r>
      <w:r>
        <w:rPr>
          <w:sz w:val="20"/>
          <w:szCs w:val="20"/>
          <w:color w:val="231F20"/>
        </w:rPr>
        <w:t>dL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（</w:t>
      </w:r>
      <w:r>
        <w:rPr>
          <w:sz w:val="20"/>
          <w:szCs w:val="20"/>
          <w:color w:val="231F20"/>
          <w:spacing w:val="5"/>
        </w:rPr>
        <w:t>11.3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5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）或降幅未超过入院时的</w:t>
      </w:r>
      <w:r>
        <w:rPr>
          <w:sz w:val="20"/>
          <w:szCs w:val="20"/>
          <w:color w:val="231F20"/>
          <w:spacing w:val="5"/>
        </w:rPr>
        <w:t>50</w:t>
      </w:r>
      <w:r>
        <w:rPr>
          <w:sz w:val="20"/>
          <w:szCs w:val="20"/>
          <w:color w:val="231F20"/>
          <w:spacing w:val="4"/>
        </w:rPr>
        <w:t>%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，则可实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施血液净化治疗。另外，为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1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患者实施血液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净化治疗的次数，需根据血清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水平控制目标具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9"/>
        </w:rPr>
        <w:t>体确定。</w:t>
      </w:r>
    </w:p>
    <w:p>
      <w:pPr>
        <w:pStyle w:val="BodyText"/>
        <w:ind w:left="727" w:right="320" w:firstLine="422"/>
        <w:spacing w:before="8" w:line="26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0"/>
        </w:rPr>
        <w:t>有研究证实即使为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30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0"/>
        </w:rPr>
        <w:t>患者延迟进行血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浆置换依旧可以改善患者的病死率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［</w:t>
      </w:r>
      <w:r>
        <w:rPr>
          <w:sz w:val="10"/>
          <w:szCs w:val="10"/>
          <w:color w:val="231F20"/>
          <w:spacing w:val="12"/>
          <w:position w:val="8"/>
        </w:rPr>
        <w:t>26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。因此“共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识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”建议，针对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4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患者，优先推荐实施血浆置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换，且如技术条件允许，优先实施可使用白蛋白作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为血浆替代品的双重滤过血浆置换，不仅可降低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75" w:firstLine="1"/>
        <w:spacing w:before="53" w:line="27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血清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水平同时有利于节省血浆资源；另外，采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用杂交式血液净化如血液灌流</w:t>
      </w:r>
      <w:r>
        <w:rPr>
          <w:sz w:val="20"/>
          <w:szCs w:val="20"/>
          <w:color w:val="231F20"/>
          <w:spacing w:val="13"/>
        </w:rPr>
        <w:t>+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血液滤过，或血液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净化联合其他药物如血浆置换联合胰岛素等方案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也可对改善预后有益。</w:t>
      </w:r>
    </w:p>
    <w:p>
      <w:pPr>
        <w:pStyle w:val="BodyText"/>
        <w:ind w:right="13" w:firstLine="447"/>
        <w:spacing w:before="10" w:line="27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1"/>
        </w:rPr>
        <w:t>由于高甘油三酯血症也是妊娠合并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31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的重要病因，且更易导致重症型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7"/>
        </w:rPr>
        <w:t>-</w:t>
      </w:r>
      <w:r>
        <w:rPr>
          <w:sz w:val="20"/>
          <w:szCs w:val="20"/>
          <w:color w:val="231F20"/>
        </w:rPr>
        <w:t>AP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7"/>
          <w:position w:val="8"/>
        </w:rPr>
        <w:t>［</w:t>
      </w:r>
      <w:r>
        <w:rPr>
          <w:sz w:val="10"/>
          <w:szCs w:val="10"/>
          <w:color w:val="231F20"/>
          <w:spacing w:val="17"/>
          <w:position w:val="8"/>
        </w:rPr>
        <w:t>27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1"/>
          <w:w w:val="105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-28"/>
          <w:w w:val="59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而有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两例妊娠合并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6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的个案报告显示，一例实施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双重滤过血浆置换治疗、一例实施单重血浆置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换</w:t>
      </w:r>
      <w:r>
        <w:rPr>
          <w:sz w:val="20"/>
          <w:szCs w:val="20"/>
          <w:color w:val="231F20"/>
          <w:spacing w:val="13"/>
        </w:rPr>
        <w:t>+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双重滤过血浆置换治疗，最终两例患者均获得了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满意的治疗效果且均顺利生产健康婴儿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0"/>
          <w:position w:val="8"/>
        </w:rPr>
        <w:t>［</w:t>
      </w:r>
      <w:r>
        <w:rPr>
          <w:sz w:val="10"/>
          <w:szCs w:val="10"/>
          <w:color w:val="231F20"/>
          <w:spacing w:val="20"/>
          <w:position w:val="8"/>
        </w:rPr>
        <w:t>28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0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因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此，针对妊娠合并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6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的患者也可应用血浆置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换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</w:t>
      </w:r>
      <w:r>
        <w:rPr>
          <w:sz w:val="10"/>
          <w:szCs w:val="10"/>
          <w:color w:val="231F20"/>
          <w:spacing w:val="4"/>
          <w:position w:val="8"/>
        </w:rPr>
        <w:t>29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。然而，目前相关研究较少，仅有少许极少样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本量单中心研究或个案报道，因此临床应用时仍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需谨慎选择。值得一提的是，如患者合并急性肾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功能衰竭，为避免增加胰腺坏死出血或腹腔出血，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可选择枸橼酸盐代替肝素</w:t>
      </w:r>
      <w:r>
        <w:rPr>
          <w:sz w:val="20"/>
          <w:szCs w:val="20"/>
          <w:color w:val="231F20"/>
          <w:spacing w:val="22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低分子肝素抗凝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。另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外，目前血液净化用于治疗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6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的效果及启动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0"/>
        </w:rPr>
        <w:t>时机尚未明确，因此仍需要大样本量的多中心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</w:rPr>
        <w:t>RCT</w:t>
      </w:r>
      <w:r>
        <w:rPr>
          <w:rFonts w:ascii="SimSun" w:hAnsi="SimSun" w:eastAsia="SimSun" w:cs="SimSun"/>
          <w:sz w:val="20"/>
          <w:szCs w:val="20"/>
          <w:color w:val="231F20"/>
          <w:spacing w:val="28"/>
        </w:rPr>
        <w:t>研究以深入探索。</w:t>
      </w:r>
    </w:p>
    <w:p>
      <w:pPr>
        <w:pStyle w:val="BodyText"/>
        <w:ind w:left="2"/>
        <w:spacing w:before="140" w:line="179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31F20"/>
          <w:spacing w:val="8"/>
        </w:rPr>
        <w:t>4</w:t>
      </w:r>
      <w:r>
        <w:rPr>
          <w:sz w:val="23"/>
          <w:szCs w:val="23"/>
          <w:color w:val="231F20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8"/>
        </w:rPr>
        <w:t>常规治疗</w:t>
      </w:r>
    </w:p>
    <w:p>
      <w:pPr>
        <w:pStyle w:val="BodyText"/>
        <w:ind w:left="1" w:right="76" w:firstLine="422"/>
        <w:spacing w:before="152" w:line="27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针对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4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的治疗，应在多学科诊疗（</w:t>
      </w:r>
      <w:r>
        <w:rPr>
          <w:sz w:val="20"/>
          <w:szCs w:val="20"/>
          <w:color w:val="231F20"/>
        </w:rPr>
        <w:t>multi</w:t>
      </w:r>
      <w:r>
        <w:rPr>
          <w:sz w:val="20"/>
          <w:szCs w:val="20"/>
          <w:color w:val="231F20"/>
          <w:spacing w:val="4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disciplinary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10"/>
        </w:rPr>
        <w:t>diagnosis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0"/>
        </w:rPr>
        <w:t>tre</w:t>
      </w:r>
      <w:r>
        <w:rPr>
          <w:sz w:val="20"/>
          <w:szCs w:val="20"/>
          <w:color w:val="231F20"/>
          <w:spacing w:val="-11"/>
        </w:rPr>
        <w:t>atment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，</w:t>
      </w:r>
      <w:r>
        <w:rPr>
          <w:sz w:val="20"/>
          <w:szCs w:val="20"/>
          <w:color w:val="231F20"/>
          <w:spacing w:val="-11"/>
        </w:rPr>
        <w:t>MDT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）理念的基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础之上开展。除上述病因治疗外，针对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6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治疗与其他病因所致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相似，包括常规治疗、并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发症治疗、中医治疗、手术治疗、心理及康复治疗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措施等，其中除常规治疗以外，其他治疗均可参照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相关共识或指南，因此不再赘述。</w:t>
      </w:r>
    </w:p>
    <w:p>
      <w:pPr>
        <w:pStyle w:val="BodyText"/>
        <w:ind w:right="75" w:firstLine="440"/>
        <w:spacing w:before="6" w:line="27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因为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6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在临床特点、病因与发病机制方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面的特殊性，因此病因治疗及常规治疗是该病治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疗的重点，且常规治疗中的部分其他治疗措施如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营养支持、疼痛管理等也存在特殊之处，需引起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重视。</w:t>
      </w:r>
    </w:p>
    <w:p>
      <w:pPr>
        <w:pStyle w:val="BodyText"/>
        <w:ind w:firstLine="1"/>
        <w:spacing w:before="3" w:line="27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19"/>
        </w:rPr>
        <w:t>4.1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19"/>
        </w:rPr>
        <w:t>液体复苏</w:t>
      </w:r>
      <w:r>
        <w:rPr>
          <w:rFonts w:ascii="SimHei" w:hAnsi="SimHei" w:eastAsia="SimHei" w:cs="SimHei"/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急性期由于腹膜后化学性损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0"/>
        </w:rPr>
        <w:t>伤导致大量体液丢失以及多种原因所致血管张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力降低等均可导致包括胰腺在内的多个器官灌注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不足甚至损伤，并可导致肠道缺血细菌易位、多器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官功能障碍综合征（</w:t>
      </w:r>
      <w:r>
        <w:rPr>
          <w:sz w:val="20"/>
          <w:szCs w:val="20"/>
          <w:color w:val="231F20"/>
          <w:spacing w:val="-7"/>
        </w:rPr>
        <w:t>multiple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-7"/>
        </w:rPr>
        <w:t>organ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7"/>
        </w:rPr>
        <w:t>dysfunction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-7"/>
        </w:rPr>
        <w:t>syn-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drome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，</w:t>
      </w:r>
      <w:r>
        <w:rPr>
          <w:sz w:val="20"/>
          <w:szCs w:val="20"/>
          <w:color w:val="231F20"/>
        </w:rPr>
        <w:t>MODS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）等，因此合理地进行液体复苏可纠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正组织低灌注并降低炎症反应的程度，并可改善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预后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。与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一致，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2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发生后</w:t>
      </w:r>
      <w:r>
        <w:rPr>
          <w:sz w:val="20"/>
          <w:szCs w:val="20"/>
          <w:color w:val="231F20"/>
          <w:spacing w:val="22"/>
        </w:rPr>
        <w:t>72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22"/>
        </w:rPr>
        <w:t>h</w:t>
      </w:r>
      <w:r>
        <w:rPr>
          <w:sz w:val="20"/>
          <w:szCs w:val="20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是液体复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苏的“黄金阶段</w:t>
      </w:r>
      <w:r>
        <w:rPr>
          <w:rFonts w:ascii="SimSun" w:hAnsi="SimSun" w:eastAsia="SimSun" w:cs="SimSun"/>
          <w:sz w:val="20"/>
          <w:szCs w:val="20"/>
          <w:color w:val="231F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”，尤其重症型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4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合并酮症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酸中毒时进行及时、充分的液体复苏尤为重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要。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尽可能于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3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入院后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sz w:val="20"/>
          <w:szCs w:val="20"/>
          <w:color w:val="231F20"/>
          <w:spacing w:val="23"/>
        </w:rPr>
        <w:t>24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23"/>
        </w:rPr>
        <w:t>h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使用等渗晶体液进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行液体复苏［</w:t>
      </w:r>
      <w:r>
        <w:rPr>
          <w:sz w:val="20"/>
          <w:szCs w:val="20"/>
          <w:color w:val="231F20"/>
          <w:spacing w:val="-3"/>
        </w:rPr>
        <w:t>5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3"/>
        </w:rPr>
        <w:t>~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  <w:spacing w:val="-3"/>
        </w:rPr>
        <w:t>10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3"/>
        </w:rPr>
        <w:t>mL/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（</w:t>
      </w:r>
      <w:r>
        <w:rPr>
          <w:sz w:val="20"/>
          <w:szCs w:val="20"/>
          <w:color w:val="231F20"/>
          <w:spacing w:val="-3"/>
        </w:rPr>
        <w:t>kg·h</w:t>
      </w:r>
      <w:r>
        <w:rPr>
          <w:rFonts w:ascii="SimSun" w:hAnsi="SimSun" w:eastAsia="SimSun" w:cs="SimSun"/>
          <w:sz w:val="20"/>
          <w:szCs w:val="20"/>
          <w:color w:val="231F20"/>
          <w:spacing w:val="-37"/>
          <w:w w:val="69"/>
        </w:rPr>
        <w:t>）；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晶胶比</w:t>
      </w:r>
      <w:r>
        <w:rPr>
          <w:sz w:val="20"/>
          <w:szCs w:val="20"/>
          <w:color w:val="231F20"/>
          <w:spacing w:val="-3"/>
        </w:rPr>
        <w:t>2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~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3</w:t>
      </w:r>
      <w:r>
        <w:rPr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∶</w:t>
      </w:r>
      <w:r>
        <w:rPr>
          <w:sz w:val="20"/>
          <w:szCs w:val="20"/>
          <w:color w:val="231F20"/>
          <w:spacing w:val="-3"/>
        </w:rPr>
        <w:t>1</w:t>
      </w:r>
      <w:r>
        <w:rPr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右</w:t>
      </w:r>
      <w:r>
        <w:rPr>
          <w:rFonts w:ascii="SimSun" w:hAnsi="SimSun" w:eastAsia="SimSun" w:cs="SimSun"/>
          <w:sz w:val="20"/>
          <w:szCs w:val="20"/>
          <w:color w:val="231F20"/>
          <w:spacing w:val="-36"/>
          <w:w w:val="70"/>
        </w:rPr>
        <w:t>］，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其中乳酸林格氏液可降低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</w:rPr>
        <w:t>SIRS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的发生率，因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  <w:position w:val="-1"/>
        </w:rPr>
        <w:t>此可酌情使用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［</w:t>
      </w:r>
      <w:r>
        <w:rPr>
          <w:sz w:val="10"/>
          <w:szCs w:val="10"/>
          <w:color w:val="231F20"/>
          <w:spacing w:val="7"/>
          <w:position w:val="7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，</w:t>
      </w:r>
      <w:r>
        <w:rPr>
          <w:sz w:val="10"/>
          <w:szCs w:val="10"/>
          <w:color w:val="231F20"/>
          <w:spacing w:val="7"/>
          <w:position w:val="7"/>
        </w:rPr>
        <w:t>30-31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7"/>
          <w:position w:val="-1"/>
        </w:rPr>
        <w:t>。然而，进行充分液体复苏的</w:t>
      </w:r>
    </w:p>
    <w:p>
      <w:pPr>
        <w:spacing w:line="272" w:lineRule="auto"/>
        <w:sectPr>
          <w:type w:val="continuous"/>
          <w:pgSz w:w="11906" w:h="16838"/>
          <w:pgMar w:top="1400" w:right="1057" w:bottom="0" w:left="407" w:header="1077" w:footer="0" w:gutter="0"/>
          <w:cols w:equalWidth="0" w:num="2">
            <w:col w:w="5657" w:space="100"/>
            <w:col w:w="468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729" w:right="320" w:firstLine="5"/>
        <w:spacing w:before="36" w:line="27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负荷反而导致组织水肿、肺水肿、低氧血症、肠道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功能障碍、腹内高压甚至腹腔间室综合征（</w:t>
      </w:r>
      <w:r>
        <w:rPr>
          <w:sz w:val="20"/>
          <w:szCs w:val="20"/>
          <w:color w:val="231F20"/>
        </w:rPr>
        <w:t>abdomi</w:t>
      </w:r>
      <w:r>
        <w:rPr>
          <w:sz w:val="20"/>
          <w:szCs w:val="20"/>
          <w:color w:val="231F20"/>
          <w:spacing w:val="5"/>
        </w:rPr>
        <w:t>-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1"/>
        </w:rPr>
        <w:t>nal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"/>
        </w:rPr>
        <w:t>compartment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1"/>
        </w:rPr>
        <w:t>syndrome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，</w:t>
      </w:r>
      <w:r>
        <w:rPr>
          <w:sz w:val="20"/>
          <w:szCs w:val="20"/>
          <w:color w:val="231F20"/>
          <w:spacing w:val="-1"/>
        </w:rPr>
        <w:t>ACS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）等。可采用目标导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向治疗策略，综合患者年龄、体质量、病史（需注重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心功能、肾功能）、体征以及生命体征、实验室指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标、血流动力学监测情况等实施。</w:t>
      </w:r>
    </w:p>
    <w:p>
      <w:pPr>
        <w:pStyle w:val="BodyText"/>
        <w:ind w:left="727" w:right="319" w:firstLine="425"/>
        <w:spacing w:before="36" w:line="27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0"/>
        </w:rPr>
        <w:t>可用于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30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0"/>
        </w:rPr>
        <w:t>患者液体复苏目标导向治疗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的评估指标包括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sz w:val="10"/>
          <w:szCs w:val="10"/>
          <w:color w:val="231F20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，</w:t>
      </w:r>
      <w:r>
        <w:rPr>
          <w:sz w:val="10"/>
          <w:szCs w:val="10"/>
          <w:color w:val="231F20"/>
          <w:position w:val="8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，</w:t>
      </w:r>
      <w:r>
        <w:rPr>
          <w:sz w:val="10"/>
          <w:szCs w:val="10"/>
          <w:color w:val="231F20"/>
          <w:position w:val="8"/>
        </w:rPr>
        <w:t>32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0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-28"/>
          <w:w w:val="52"/>
        </w:rPr>
        <w:t>：（</w:t>
      </w:r>
      <w:r>
        <w:rPr>
          <w:sz w:val="20"/>
          <w:szCs w:val="20"/>
          <w:color w:val="231F20"/>
        </w:rPr>
        <w:t>1</w:t>
      </w:r>
      <w:r>
        <w:rPr>
          <w:rFonts w:ascii="SimSun" w:hAnsi="SimSun" w:eastAsia="SimSun" w:cs="SimSun"/>
          <w:sz w:val="20"/>
          <w:szCs w:val="20"/>
          <w:color w:val="231F20"/>
        </w:rPr>
        <w:t>）生命体征，如尿量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&gt;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0.5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~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2"/>
        </w:rPr>
        <w:t>1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mL</w:t>
      </w:r>
      <w:r>
        <w:rPr>
          <w:sz w:val="20"/>
          <w:szCs w:val="20"/>
          <w:color w:val="231F20"/>
          <w:spacing w:val="2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（</w:t>
      </w:r>
      <w:r>
        <w:rPr>
          <w:sz w:val="20"/>
          <w:szCs w:val="20"/>
          <w:color w:val="231F20"/>
        </w:rPr>
        <w:t>kg</w:t>
      </w:r>
      <w:r>
        <w:rPr>
          <w:sz w:val="20"/>
          <w:szCs w:val="20"/>
          <w:color w:val="231F20"/>
          <w:spacing w:val="2"/>
        </w:rPr>
        <w:t>·h</w:t>
      </w:r>
      <w:r>
        <w:rPr>
          <w:rFonts w:ascii="SimSun" w:hAnsi="SimSun" w:eastAsia="SimSun" w:cs="SimSun"/>
          <w:sz w:val="20"/>
          <w:szCs w:val="20"/>
          <w:color w:val="231F20"/>
          <w:spacing w:val="-32"/>
          <w:w w:val="61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平均动脉压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2"/>
        </w:rPr>
        <w:t>&gt;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2"/>
        </w:rPr>
        <w:t>65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mmHg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，心率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2"/>
        </w:rPr>
        <w:t>&lt;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2"/>
        </w:rPr>
        <w:t>1</w:t>
      </w:r>
      <w:r>
        <w:rPr>
          <w:sz w:val="20"/>
          <w:szCs w:val="20"/>
          <w:color w:val="231F20"/>
          <w:spacing w:val="1"/>
        </w:rPr>
        <w:t>20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次</w:t>
      </w:r>
      <w:r>
        <w:rPr>
          <w:sz w:val="20"/>
          <w:szCs w:val="20"/>
          <w:color w:val="231F20"/>
          <w:spacing w:val="10"/>
        </w:rPr>
        <w:t>/</w:t>
      </w:r>
      <w:r>
        <w:rPr>
          <w:sz w:val="20"/>
          <w:szCs w:val="20"/>
          <w:color w:val="231F20"/>
        </w:rPr>
        <w:t>min</w:t>
      </w:r>
      <w:r>
        <w:rPr>
          <w:rFonts w:ascii="SimSun" w:hAnsi="SimSun" w:eastAsia="SimSun" w:cs="SimSun"/>
          <w:sz w:val="20"/>
          <w:szCs w:val="20"/>
          <w:color w:val="231F20"/>
          <w:spacing w:val="-37"/>
          <w:w w:val="69"/>
        </w:rPr>
        <w:t>；（</w:t>
      </w:r>
      <w:r>
        <w:rPr>
          <w:sz w:val="20"/>
          <w:szCs w:val="20"/>
          <w:color w:val="231F20"/>
          <w:spacing w:val="10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）实验室指标，如第一个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10"/>
        </w:rPr>
        <w:t>24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10"/>
        </w:rPr>
        <w:t>h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内血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尿素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氮 </w:t>
      </w:r>
      <w:r>
        <w:rPr>
          <w:sz w:val="20"/>
          <w:szCs w:val="20"/>
          <w:color w:val="231F20"/>
          <w:spacing w:val="2"/>
        </w:rPr>
        <w:t>&lt;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2"/>
        </w:rPr>
        <w:t>7.14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2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（若血尿素氮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2"/>
        </w:rPr>
        <w:t>&gt;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2"/>
        </w:rPr>
        <w:t>7.14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2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，在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3"/>
        </w:rPr>
        <w:t>24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13"/>
        </w:rPr>
        <w:t>h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内至少下降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13"/>
        </w:rPr>
        <w:t>1.79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13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-34"/>
          <w:w w:val="64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红细胞压积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12"/>
        </w:rPr>
        <w:t>35%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12"/>
        </w:rPr>
        <w:t>~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8"/>
        </w:rPr>
        <w:t>44%</w:t>
      </w:r>
      <w:r>
        <w:rPr>
          <w:rFonts w:ascii="SimSun" w:hAnsi="SimSun" w:eastAsia="SimSun" w:cs="SimSun"/>
          <w:sz w:val="20"/>
          <w:szCs w:val="20"/>
          <w:color w:val="231F20"/>
          <w:spacing w:val="-42"/>
          <w:w w:val="78"/>
        </w:rPr>
        <w:t>；（</w:t>
      </w:r>
      <w:r>
        <w:rPr>
          <w:sz w:val="20"/>
          <w:szCs w:val="20"/>
          <w:color w:val="231F20"/>
          <w:spacing w:val="8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）血流动力学监测，如中心静脉压（</w:t>
      </w:r>
      <w:r>
        <w:rPr>
          <w:sz w:val="20"/>
          <w:szCs w:val="20"/>
          <w:color w:val="231F20"/>
        </w:rPr>
        <w:t>CVP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）</w:t>
      </w:r>
      <w:r>
        <w:rPr>
          <w:sz w:val="20"/>
          <w:szCs w:val="20"/>
          <w:color w:val="231F20"/>
          <w:spacing w:val="8"/>
        </w:rPr>
        <w:t>8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11"/>
        </w:rPr>
        <w:t>~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  <w:spacing w:val="11"/>
        </w:rPr>
        <w:t>12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mmHg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，中心静脉血氧饱和度</w:t>
      </w:r>
      <w:r>
        <w:rPr>
          <w:sz w:val="20"/>
          <w:szCs w:val="20"/>
          <w:color w:val="231F20"/>
          <w:spacing w:val="11"/>
        </w:rPr>
        <w:t>≥70%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，全心舒张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末期容积（</w:t>
      </w:r>
      <w:r>
        <w:rPr>
          <w:sz w:val="20"/>
          <w:szCs w:val="20"/>
          <w:color w:val="231F20"/>
        </w:rPr>
        <w:t>GEDV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）</w:t>
      </w:r>
      <w:r>
        <w:rPr>
          <w:sz w:val="20"/>
          <w:szCs w:val="20"/>
          <w:color w:val="231F20"/>
          <w:spacing w:val="14"/>
        </w:rPr>
        <w:t>&gt;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14"/>
        </w:rPr>
        <w:t>700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</w:rPr>
        <w:t>mL</w:t>
      </w:r>
      <w:r>
        <w:rPr>
          <w:sz w:val="20"/>
          <w:szCs w:val="20"/>
          <w:color w:val="231F20"/>
          <w:spacing w:val="14"/>
        </w:rPr>
        <w:t>/m</w:t>
      </w:r>
      <w:r>
        <w:rPr>
          <w:sz w:val="10"/>
          <w:szCs w:val="10"/>
          <w:color w:val="231F20"/>
          <w:spacing w:val="14"/>
          <w:position w:val="8"/>
        </w:rPr>
        <w:t>2</w:t>
      </w:r>
      <w:r>
        <w:rPr>
          <w:sz w:val="10"/>
          <w:szCs w:val="10"/>
          <w:color w:val="231F20"/>
          <w:spacing w:val="-23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。另外，入院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14"/>
        </w:rPr>
        <w:t>24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14"/>
        </w:rPr>
        <w:t>~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8"/>
        </w:rPr>
        <w:t>48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18"/>
        </w:rPr>
        <w:t>h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内每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sz w:val="20"/>
          <w:szCs w:val="20"/>
          <w:color w:val="231F20"/>
          <w:spacing w:val="18"/>
        </w:rPr>
        <w:t>4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18"/>
        </w:rPr>
        <w:t>~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18"/>
        </w:rPr>
        <w:t>6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18"/>
        </w:rPr>
        <w:t>h</w:t>
      </w:r>
      <w:r>
        <w:rPr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应进行至少一次容量反应性评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估。需注意的一点是，</w:t>
      </w:r>
      <w:r>
        <w:rPr>
          <w:sz w:val="20"/>
          <w:szCs w:val="20"/>
          <w:color w:val="231F20"/>
        </w:rPr>
        <w:t>CVP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以及常用于评估容量的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下腔静脉呼吸变异度（</w:t>
      </w:r>
      <w:r>
        <w:rPr>
          <w:sz w:val="20"/>
          <w:szCs w:val="20"/>
          <w:color w:val="231F20"/>
        </w:rPr>
        <w:t>vIVC</w:t>
      </w:r>
      <w:r>
        <w:rPr>
          <w:rFonts w:ascii="SimSun" w:hAnsi="SimSun" w:eastAsia="SimSun" w:cs="SimSun"/>
          <w:sz w:val="20"/>
          <w:szCs w:val="20"/>
          <w:color w:val="231F20"/>
          <w:spacing w:val="-35"/>
          <w:w w:val="66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因患者可存在腹内高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压，因此作为容量判断依据时需谨慎。另外，在液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体复苏后期应增加胶体比例以避免液体过负荷。</w:t>
      </w:r>
    </w:p>
    <w:p>
      <w:pPr>
        <w:pStyle w:val="BodyText"/>
        <w:ind w:left="727" w:right="258" w:firstLine="2"/>
        <w:spacing w:before="17" w:line="27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15"/>
        </w:rPr>
        <w:t>4.2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15"/>
        </w:rPr>
        <w:t>营养支持</w:t>
      </w:r>
      <w:r>
        <w:rPr>
          <w:rFonts w:ascii="SimHei" w:hAnsi="SimHei" w:eastAsia="SimHei" w:cs="SimHei"/>
          <w:sz w:val="20"/>
          <w:szCs w:val="20"/>
          <w:color w:val="231F20"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对于</w:t>
      </w:r>
      <w:r>
        <w:rPr>
          <w:sz w:val="20"/>
          <w:szCs w:val="20"/>
          <w:color w:val="231F20"/>
        </w:rPr>
        <w:t>AP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尤其轻症型患者的治疗，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目前主张于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sz w:val="20"/>
          <w:szCs w:val="20"/>
          <w:color w:val="231F20"/>
          <w:spacing w:val="13"/>
        </w:rPr>
        <w:t>24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13"/>
        </w:rPr>
        <w:t>~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13"/>
        </w:rPr>
        <w:t>72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13"/>
        </w:rPr>
        <w:t>h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内早期进食从而减少感染性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胰周坏死、</w:t>
      </w:r>
      <w:r>
        <w:rPr>
          <w:sz w:val="20"/>
          <w:szCs w:val="20"/>
          <w:color w:val="231F20"/>
        </w:rPr>
        <w:t>MODS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等并发症以及病死率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1"/>
          <w:position w:val="8"/>
        </w:rPr>
        <w:t>［</w:t>
      </w:r>
      <w:r>
        <w:rPr>
          <w:sz w:val="10"/>
          <w:szCs w:val="10"/>
          <w:color w:val="231F20"/>
          <w:spacing w:val="21"/>
          <w:position w:val="8"/>
        </w:rPr>
        <w:t>33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1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。虽然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8"/>
        </w:rPr>
        <w:t>有研究表明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8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8"/>
        </w:rPr>
        <w:t>患者禁食并应用静脉输液可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快速减低血清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水平因此建议禁食至少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sz w:val="20"/>
          <w:szCs w:val="20"/>
          <w:color w:val="231F20"/>
          <w:spacing w:val="14"/>
        </w:rPr>
        <w:t>24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14"/>
        </w:rPr>
        <w:t>h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，但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7"/>
        </w:rPr>
        <w:t>诸如前文所述，建议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7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7"/>
        </w:rPr>
        <w:t>患者尽早应用胰岛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素治疗，因此，虽关于是否需禁食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14"/>
        </w:rPr>
        <w:t>24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14"/>
        </w:rPr>
        <w:t>h</w:t>
      </w:r>
      <w:r>
        <w:rPr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仍存在争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议，但如果轻症型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6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患者已接受胰岛素等治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疗，则可开放饮食。</w:t>
      </w:r>
    </w:p>
    <w:p>
      <w:pPr>
        <w:pStyle w:val="BodyText"/>
        <w:ind w:left="727" w:right="321" w:firstLine="421"/>
        <w:spacing w:before="10" w:line="27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需要注意的是，无论经口进食或实施肠内营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养（</w:t>
      </w:r>
      <w:r>
        <w:rPr>
          <w:sz w:val="20"/>
          <w:szCs w:val="20"/>
          <w:color w:val="231F20"/>
          <w:spacing w:val="-2"/>
        </w:rPr>
        <w:t>enteral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2"/>
        </w:rPr>
        <w:t>nutrition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，</w:t>
      </w:r>
      <w:r>
        <w:rPr>
          <w:sz w:val="20"/>
          <w:szCs w:val="20"/>
          <w:color w:val="231F20"/>
          <w:spacing w:val="-2"/>
        </w:rPr>
        <w:t>EN</w:t>
      </w:r>
      <w:r>
        <w:rPr>
          <w:rFonts w:ascii="SimSun" w:hAnsi="SimSun" w:eastAsia="SimSun" w:cs="SimSun"/>
          <w:sz w:val="20"/>
          <w:szCs w:val="20"/>
          <w:color w:val="231F20"/>
          <w:spacing w:val="-34"/>
          <w:w w:val="65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均应对患者的血流动力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学及喂养耐受性进行充分评估，并严格监测血清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水平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。如经口进食不耐受，可采用鼻胃管、鼻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空肠营养管进行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EN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；如血流动力学不稳定，建议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暂缓至至少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sz w:val="20"/>
          <w:szCs w:val="20"/>
          <w:color w:val="231F20"/>
          <w:spacing w:val="11"/>
        </w:rPr>
        <w:t>24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11"/>
        </w:rPr>
        <w:t>h</w:t>
      </w:r>
      <w:r>
        <w:rPr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后进行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sz w:val="20"/>
          <w:szCs w:val="20"/>
          <w:color w:val="231F20"/>
        </w:rPr>
        <w:t>EN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；如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color w:val="231F20"/>
        </w:rPr>
        <w:t>EN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不耐受，或实施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EN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的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18"/>
        </w:rPr>
        <w:t>1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周后仍低于营养支持目标热量的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  <w:spacing w:val="18"/>
        </w:rPr>
        <w:t>60%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，则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启动全肠外营养（</w:t>
      </w:r>
      <w:r>
        <w:rPr>
          <w:sz w:val="20"/>
          <w:szCs w:val="20"/>
          <w:color w:val="231F20"/>
          <w:spacing w:val="-11"/>
        </w:rPr>
        <w:t>total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1"/>
        </w:rPr>
        <w:t>parent</w:t>
      </w:r>
      <w:r>
        <w:rPr>
          <w:sz w:val="20"/>
          <w:szCs w:val="20"/>
          <w:color w:val="231F20"/>
          <w:spacing w:val="-12"/>
        </w:rPr>
        <w:t>eral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2"/>
        </w:rPr>
        <w:t>nutrition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，</w:t>
      </w:r>
      <w:r>
        <w:rPr>
          <w:sz w:val="20"/>
          <w:szCs w:val="20"/>
          <w:color w:val="231F20"/>
          <w:spacing w:val="-12"/>
        </w:rPr>
        <w:t>TPN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）或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补充性肠外营养（</w:t>
      </w:r>
      <w:r>
        <w:rPr>
          <w:sz w:val="20"/>
          <w:szCs w:val="20"/>
          <w:color w:val="231F20"/>
          <w:spacing w:val="-12"/>
        </w:rPr>
        <w:t>parenteral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12"/>
        </w:rPr>
        <w:t>nu</w:t>
      </w:r>
      <w:r>
        <w:rPr>
          <w:sz w:val="20"/>
          <w:szCs w:val="20"/>
          <w:color w:val="231F20"/>
          <w:spacing w:val="-13"/>
        </w:rPr>
        <w:t>trition</w:t>
      </w:r>
      <w:r>
        <w:rPr>
          <w:rFonts w:ascii="SimSun" w:hAnsi="SimSun" w:eastAsia="SimSun" w:cs="SimSun"/>
          <w:sz w:val="20"/>
          <w:szCs w:val="20"/>
          <w:color w:val="231F20"/>
          <w:spacing w:val="-13"/>
        </w:rPr>
        <w:t>，</w:t>
      </w:r>
      <w:r>
        <w:rPr>
          <w:sz w:val="20"/>
          <w:szCs w:val="20"/>
          <w:color w:val="231F20"/>
          <w:spacing w:val="-13"/>
        </w:rPr>
        <w:t>PN</w:t>
      </w:r>
      <w:r>
        <w:rPr>
          <w:rFonts w:ascii="SimSun" w:hAnsi="SimSun" w:eastAsia="SimSun" w:cs="SimSun"/>
          <w:sz w:val="20"/>
          <w:szCs w:val="20"/>
          <w:color w:val="231F20"/>
          <w:spacing w:val="-13"/>
        </w:rPr>
        <w:t>）。</w:t>
      </w:r>
    </w:p>
    <w:p>
      <w:pPr>
        <w:pStyle w:val="BodyText"/>
        <w:ind w:left="729" w:right="245" w:firstLine="420"/>
        <w:spacing w:before="1" w:line="26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进行喂养耐受性评估除可根据有无胃潴留和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呕吐、反流风险以及腹胀、腹泻、疼痛等症状外，还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可进行腹内压（</w:t>
      </w:r>
      <w:r>
        <w:rPr>
          <w:sz w:val="20"/>
          <w:szCs w:val="20"/>
          <w:color w:val="231F20"/>
          <w:spacing w:val="-8"/>
        </w:rPr>
        <w:t>intra-abdominal</w:t>
      </w:r>
      <w:r>
        <w:rPr>
          <w:sz w:val="20"/>
          <w:szCs w:val="20"/>
          <w:color w:val="231F20"/>
          <w:spacing w:val="-9"/>
        </w:rPr>
        <w:t>pressure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，</w:t>
      </w:r>
      <w:r>
        <w:rPr>
          <w:sz w:val="20"/>
          <w:szCs w:val="20"/>
          <w:color w:val="231F20"/>
          <w:spacing w:val="-9"/>
        </w:rPr>
        <w:t>IAP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）监测。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如患者腹痛加重或胰酶升高，或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IAP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19"/>
        </w:rPr>
        <w:t>&gt;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19"/>
        </w:rPr>
        <w:t>15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</w:rPr>
        <w:t>mmHg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应暂停鼻胃管而采用鼻空肠营养管喂养，且鼻饲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速度从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16"/>
        </w:rPr>
        <w:t>20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mL</w:t>
      </w:r>
      <w:r>
        <w:rPr>
          <w:sz w:val="20"/>
          <w:szCs w:val="20"/>
          <w:color w:val="231F20"/>
          <w:spacing w:val="16"/>
        </w:rPr>
        <w:t>/h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起并根据耐受性及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sz w:val="20"/>
          <w:szCs w:val="20"/>
          <w:color w:val="231F20"/>
        </w:rPr>
        <w:t>IAP</w:t>
      </w:r>
      <w:r>
        <w:rPr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实时调节；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7"/>
        </w:rPr>
        <w:t>如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IAP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7"/>
        </w:rPr>
        <w:t>进一步升高甚至超过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27"/>
        </w:rPr>
        <w:t>20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mmHg</w:t>
      </w:r>
      <w:r>
        <w:rPr>
          <w:rFonts w:ascii="SimSun" w:hAnsi="SimSun" w:eastAsia="SimSun" w:cs="SimSun"/>
          <w:sz w:val="20"/>
          <w:szCs w:val="20"/>
          <w:color w:val="231F20"/>
          <w:spacing w:val="27"/>
        </w:rPr>
        <w:t>，甚至发生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position w:val="-1"/>
        </w:rPr>
        <w:t>ACS</w:t>
      </w:r>
      <w:r>
        <w:rPr>
          <w:sz w:val="20"/>
          <w:szCs w:val="20"/>
          <w:color w:val="231F20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-1"/>
        </w:rPr>
        <w:t>时，需停止</w:t>
      </w:r>
      <w:r>
        <w:rPr>
          <w:sz w:val="20"/>
          <w:szCs w:val="20"/>
          <w:color w:val="231F20"/>
          <w:position w:val="-1"/>
        </w:rPr>
        <w:t>EN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［</w:t>
      </w:r>
      <w:r>
        <w:rPr>
          <w:sz w:val="10"/>
          <w:szCs w:val="10"/>
          <w:color w:val="231F20"/>
          <w:spacing w:val="5"/>
          <w:position w:val="7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，</w:t>
      </w:r>
      <w:r>
        <w:rPr>
          <w:sz w:val="10"/>
          <w:szCs w:val="10"/>
          <w:color w:val="231F20"/>
          <w:spacing w:val="5"/>
          <w:position w:val="7"/>
        </w:rPr>
        <w:t>34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9"/>
        <w:spacing w:before="33" w:line="27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营养支持目标不达标时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。但需明确的一点是，在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发病</w:t>
      </w:r>
      <w:r>
        <w:rPr>
          <w:sz w:val="20"/>
          <w:szCs w:val="20"/>
          <w:color w:val="231F20"/>
          <w:spacing w:val="10"/>
        </w:rPr>
        <w:t>72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10"/>
        </w:rPr>
        <w:t>h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内禁用任何脂肪乳剂，且不论任何阶段，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如血清</w:t>
      </w:r>
      <w:r>
        <w:rPr>
          <w:sz w:val="20"/>
          <w:szCs w:val="20"/>
          <w:color w:val="231F20"/>
        </w:rPr>
        <w:t>TG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水平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2"/>
        </w:rPr>
        <w:t>&gt;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2"/>
        </w:rPr>
        <w:t>500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2"/>
        </w:rPr>
        <w:t>/</w:t>
      </w:r>
      <w:r>
        <w:rPr>
          <w:sz w:val="20"/>
          <w:szCs w:val="20"/>
          <w:color w:val="231F20"/>
        </w:rPr>
        <w:t>dL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（</w:t>
      </w:r>
      <w:r>
        <w:rPr>
          <w:sz w:val="20"/>
          <w:szCs w:val="20"/>
          <w:color w:val="231F20"/>
          <w:spacing w:val="2"/>
        </w:rPr>
        <w:t>5.65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2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）也需禁用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任何脂肪乳剂。如发病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sz w:val="20"/>
          <w:szCs w:val="20"/>
          <w:color w:val="231F20"/>
          <w:spacing w:val="18"/>
        </w:rPr>
        <w:t>72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18"/>
        </w:rPr>
        <w:t>h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后且患者喂养耐受性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良好，同时血清</w:t>
      </w:r>
      <w:r>
        <w:rPr>
          <w:sz w:val="20"/>
          <w:szCs w:val="20"/>
          <w:color w:val="231F20"/>
        </w:rPr>
        <w:t>TG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水平</w:t>
      </w:r>
      <w:r>
        <w:rPr>
          <w:sz w:val="20"/>
          <w:szCs w:val="20"/>
          <w:color w:val="231F20"/>
          <w:spacing w:val="2"/>
        </w:rPr>
        <w:t>≤500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2"/>
        </w:rPr>
        <w:t>/</w:t>
      </w:r>
      <w:r>
        <w:rPr>
          <w:sz w:val="20"/>
          <w:szCs w:val="20"/>
          <w:color w:val="231F20"/>
        </w:rPr>
        <w:t>dL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（</w:t>
      </w:r>
      <w:r>
        <w:rPr>
          <w:sz w:val="20"/>
          <w:szCs w:val="20"/>
          <w:color w:val="231F20"/>
          <w:spacing w:val="2"/>
        </w:rPr>
        <w:t>5.65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2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则可谨慎应用短、中链脂肪乳。</w:t>
      </w:r>
    </w:p>
    <w:p>
      <w:pPr>
        <w:pStyle w:val="BodyText"/>
        <w:ind w:right="62" w:firstLine="2"/>
        <w:spacing w:before="22" w:line="268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13"/>
        </w:rPr>
        <w:t>4.3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13"/>
        </w:rPr>
        <w:t>疼痛管理</w:t>
      </w:r>
      <w:r>
        <w:rPr>
          <w:rFonts w:ascii="SimHei" w:hAnsi="SimHei" w:eastAsia="SimHei" w:cs="SimHei"/>
          <w:sz w:val="20"/>
          <w:szCs w:val="20"/>
          <w:color w:val="231F20"/>
          <w:spacing w:val="1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针对严重疼痛以及入住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sz w:val="20"/>
          <w:szCs w:val="20"/>
          <w:color w:val="231F20"/>
        </w:rPr>
        <w:t>ICU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的重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症患者，均有必要采取适当的镇痛、镇静治疗。“共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识</w:t>
      </w:r>
      <w:r>
        <w:rPr>
          <w:rFonts w:ascii="SimSun" w:hAnsi="SimSun" w:eastAsia="SimSun" w:cs="SimSun"/>
          <w:sz w:val="20"/>
          <w:szCs w:val="20"/>
          <w:color w:val="231F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”推荐在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1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患者入院后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sz w:val="20"/>
          <w:szCs w:val="20"/>
          <w:color w:val="231F20"/>
          <w:spacing w:val="11"/>
        </w:rPr>
        <w:t>24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11"/>
        </w:rPr>
        <w:t>h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内即采取镇痛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治疗。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由于丙泊酚可导致血脂升高，因此应避免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8"/>
        </w:rPr>
        <w:t>用于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8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8"/>
        </w:rPr>
        <w:t>患者。非甾体抗炎药应避免用于合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并急性肾损伤的患者。而酒石酸布托啡诺可用于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position w:val="-1"/>
        </w:rPr>
        <w:t>HTG</w:t>
      </w:r>
      <w:r>
        <w:rPr>
          <w:sz w:val="20"/>
          <w:szCs w:val="20"/>
          <w:color w:val="231F20"/>
          <w:spacing w:val="8"/>
          <w:position w:val="-1"/>
        </w:rPr>
        <w:t>-</w:t>
      </w:r>
      <w:r>
        <w:rPr>
          <w:sz w:val="20"/>
          <w:szCs w:val="20"/>
          <w:color w:val="231F20"/>
          <w:position w:val="-1"/>
        </w:rPr>
        <w:t>AP</w:t>
      </w:r>
      <w:r>
        <w:rPr>
          <w:sz w:val="20"/>
          <w:szCs w:val="20"/>
          <w:color w:val="231F20"/>
          <w:spacing w:val="-56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  <w:position w:val="-1"/>
        </w:rPr>
        <w:t>患者的镇痛、镇静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7"/>
        </w:rPr>
        <w:t>［</w:t>
      </w:r>
      <w:r>
        <w:rPr>
          <w:sz w:val="10"/>
          <w:szCs w:val="10"/>
          <w:color w:val="231F20"/>
          <w:spacing w:val="8"/>
          <w:position w:val="7"/>
        </w:rPr>
        <w:t>35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7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8"/>
          <w:position w:val="-1"/>
        </w:rPr>
        <w:t>。</w:t>
      </w:r>
    </w:p>
    <w:p>
      <w:pPr>
        <w:pStyle w:val="BodyText"/>
        <w:ind w:left="1" w:right="63"/>
        <w:spacing w:before="50" w:line="267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19"/>
        </w:rPr>
        <w:t>4.4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19"/>
        </w:rPr>
        <w:t>抗感染</w:t>
      </w:r>
      <w:r>
        <w:rPr>
          <w:rFonts w:ascii="SimHei" w:hAnsi="SimHei" w:eastAsia="SimHei" w:cs="SimHei"/>
          <w:sz w:val="20"/>
          <w:szCs w:val="20"/>
          <w:color w:val="231F20"/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与其他病因所致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类似，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9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胰腺及胰周组织坏死渗出是无菌性炎症，即使进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行预防性抗感染也无明确证据证明可改善患者的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病死率及预后，且可能增加多重耐药菌及真菌感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染，因此不常规进行预防性抗感染。</w:t>
      </w:r>
    </w:p>
    <w:p>
      <w:pPr>
        <w:pStyle w:val="BodyText"/>
        <w:ind w:left="1" w:right="62" w:firstLine="446"/>
        <w:spacing w:before="48" w:line="27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由于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多在发病后第</w:t>
      </w:r>
      <w:r>
        <w:rPr>
          <w:sz w:val="20"/>
          <w:szCs w:val="20"/>
          <w:color w:val="231F20"/>
          <w:spacing w:val="14"/>
        </w:rPr>
        <w:t>2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14"/>
        </w:rPr>
        <w:t>~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14"/>
        </w:rPr>
        <w:t>4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周继发感染，患者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一旦合并感染（如胰腺或胰外感染</w:t>
      </w:r>
      <w:r>
        <w:rPr>
          <w:rFonts w:ascii="SimSun" w:hAnsi="SimSun" w:eastAsia="SimSun" w:cs="SimSun"/>
          <w:sz w:val="20"/>
          <w:szCs w:val="20"/>
          <w:color w:val="231F20"/>
          <w:spacing w:val="-37"/>
          <w:w w:val="69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病情可迅速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加重，因此需注意对感染进行预测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。</w:t>
      </w:r>
      <w:r>
        <w:rPr>
          <w:sz w:val="20"/>
          <w:szCs w:val="20"/>
          <w:color w:val="231F20"/>
          <w:spacing w:val="19"/>
        </w:rPr>
        <w:t>C</w:t>
      </w:r>
      <w:r>
        <w:rPr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反应蛋白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和降钙素原（</w:t>
      </w:r>
      <w:r>
        <w:rPr>
          <w:sz w:val="20"/>
          <w:szCs w:val="20"/>
          <w:color w:val="231F20"/>
          <w:spacing w:val="-3"/>
        </w:rPr>
        <w:t>procalcitonin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，</w:t>
      </w:r>
      <w:r>
        <w:rPr>
          <w:sz w:val="20"/>
          <w:szCs w:val="20"/>
          <w:color w:val="231F20"/>
          <w:spacing w:val="-3"/>
        </w:rPr>
        <w:t>PCT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）等指标对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3"/>
        </w:rPr>
        <w:t>AP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合并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感染有良好的预测价值；而由于通过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扫描发现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胰腺或胰周坏死组织气泡虽然可以预测感染，但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其预测价值并不优于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PCT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，因此，可联合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CT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、</w:t>
      </w:r>
      <w:r>
        <w:rPr>
          <w:sz w:val="20"/>
          <w:szCs w:val="20"/>
          <w:color w:val="231F20"/>
        </w:rPr>
        <w:t>PCT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等多个指标进行</w:t>
      </w:r>
      <w:r>
        <w:rPr>
          <w:sz w:val="20"/>
          <w:szCs w:val="20"/>
          <w:color w:val="231F20"/>
        </w:rPr>
        <w:t>AP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合并感染的诊断。</w:t>
      </w:r>
    </w:p>
    <w:p>
      <w:pPr>
        <w:pStyle w:val="BodyText"/>
        <w:ind w:left="1" w:right="62" w:firstLine="426"/>
        <w:spacing w:before="13" w:line="27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患者一旦发生感染，多为院内感染，且其致病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菌常为多重耐药菌，因此，应及时进行细菌学检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查，并且根据感染发生病房的既往流调经验及时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应用对胰腺组织有较好穿透性的抗生素，同时注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意除应覆盖革兰氏阴性菌以外还需覆盖革兰氏阳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0"/>
        </w:rPr>
        <w:t>性菌，在覆盖需氧菌的同时还应注意覆盖厌氧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［</w:t>
      </w:r>
      <w:r>
        <w:rPr>
          <w:sz w:val="10"/>
          <w:szCs w:val="10"/>
          <w:color w:val="231F20"/>
          <w:spacing w:val="7"/>
          <w:position w:val="7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，</w:t>
      </w:r>
      <w:r>
        <w:rPr>
          <w:sz w:val="10"/>
          <w:szCs w:val="10"/>
          <w:color w:val="231F20"/>
          <w:spacing w:val="7"/>
          <w:position w:val="7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，</w:t>
      </w:r>
      <w:r>
        <w:rPr>
          <w:sz w:val="10"/>
          <w:szCs w:val="10"/>
          <w:color w:val="231F20"/>
          <w:spacing w:val="7"/>
          <w:position w:val="7"/>
        </w:rPr>
        <w:t>36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。待细菌学检查明确致病菌后，需及时调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整抗生素。</w:t>
      </w:r>
    </w:p>
    <w:p>
      <w:pPr>
        <w:pStyle w:val="BodyText"/>
        <w:ind w:left="2" w:right="62"/>
        <w:spacing w:line="27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4.5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减少胰液分泌、改善胰腺微循环、抗炎</w:t>
      </w:r>
      <w:r>
        <w:rPr>
          <w:rFonts w:ascii="SimHei" w:hAnsi="SimHei" w:eastAsia="SimHei" w:cs="SimHei"/>
          <w:sz w:val="20"/>
          <w:szCs w:val="20"/>
          <w:color w:val="231F20"/>
          <w:spacing w:val="1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质子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泵抑制剂（</w:t>
      </w:r>
      <w:r>
        <w:rPr>
          <w:sz w:val="20"/>
          <w:szCs w:val="20"/>
          <w:color w:val="231F20"/>
          <w:spacing w:val="-4"/>
        </w:rPr>
        <w:t>proton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4"/>
        </w:rPr>
        <w:t>pump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4"/>
        </w:rPr>
        <w:t>inhibi</w:t>
      </w:r>
      <w:r>
        <w:rPr>
          <w:sz w:val="20"/>
          <w:szCs w:val="20"/>
          <w:color w:val="231F20"/>
          <w:spacing w:val="-5"/>
        </w:rPr>
        <w:t>tor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，</w:t>
      </w:r>
      <w:r>
        <w:rPr>
          <w:sz w:val="20"/>
          <w:szCs w:val="20"/>
          <w:color w:val="231F20"/>
          <w:spacing w:val="-5"/>
        </w:rPr>
        <w:t>PPI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）可抑制胃酸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分泌进而间接减少胰液分泌、缓解胰管内高压，还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可以预防应激性溃疡的发生，尤其合并上消化道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出血时，可使用</w:t>
      </w:r>
      <w:r>
        <w:rPr>
          <w:sz w:val="20"/>
          <w:szCs w:val="20"/>
          <w:color w:val="231F20"/>
        </w:rPr>
        <w:t>PPI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sz w:val="10"/>
          <w:szCs w:val="10"/>
          <w:color w:val="231F20"/>
          <w:spacing w:val="2"/>
          <w:position w:val="8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，</w:t>
      </w:r>
      <w:r>
        <w:rPr>
          <w:sz w:val="10"/>
          <w:szCs w:val="10"/>
          <w:color w:val="231F20"/>
          <w:spacing w:val="2"/>
          <w:position w:val="8"/>
        </w:rPr>
        <w:t>37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。生长抑素及其类似物（如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奥曲肽）可抑制胰泌素和缩胆囊素刺激所导致的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胰液基础分泌，不仅有利于胰腺微循环的改善，同</w:t>
      </w:r>
    </w:p>
    <w:p>
      <w:pPr>
        <w:pStyle w:val="BodyText"/>
        <w:ind w:left="13"/>
        <w:spacing w:before="1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"/>
          <w:position w:val="-1"/>
        </w:rPr>
        <w:t>时具有抗炎作用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［</w:t>
      </w:r>
      <w:r>
        <w:rPr>
          <w:sz w:val="10"/>
          <w:szCs w:val="10"/>
          <w:color w:val="231F20"/>
          <w:spacing w:val="2"/>
          <w:position w:val="7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，</w:t>
      </w:r>
      <w:r>
        <w:rPr>
          <w:sz w:val="10"/>
          <w:szCs w:val="10"/>
          <w:color w:val="231F20"/>
          <w:spacing w:val="2"/>
          <w:position w:val="7"/>
        </w:rPr>
        <w:t>37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2"/>
          <w:position w:val="-1"/>
        </w:rPr>
        <w:t>。</w:t>
      </w:r>
    </w:p>
    <w:p>
      <w:pPr>
        <w:pStyle w:val="BodyText"/>
        <w:ind w:left="2" w:right="61" w:firstLine="419"/>
        <w:spacing w:before="57" w:line="25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2"/>
        </w:rPr>
        <w:t>尽早进行有效的液体复苏是改善胰腺微循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环的根本措施，而早期足量应用蛋白酶抑制剂（如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乌司他丁）不仅可抑制胰蛋白酶、弹性蛋白酶、磷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脂酶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sz w:val="20"/>
          <w:szCs w:val="20"/>
          <w:color w:val="231F20"/>
          <w:spacing w:val="20"/>
        </w:rPr>
        <w:t>A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等释放及其活性进而稳定溶酶体膜并改善</w:t>
      </w:r>
    </w:p>
    <w:p>
      <w:pPr>
        <w:spacing w:line="254" w:lineRule="auto"/>
        <w:sectPr>
          <w:headerReference w:type="default" r:id="rId5"/>
          <w:pgSz w:w="11906" w:h="16838"/>
          <w:pgMar w:top="1964" w:right="1070" w:bottom="0" w:left="407" w:header="1077" w:footer="0" w:gutter="0"/>
          <w:cols w:equalWidth="0" w:num="2">
            <w:col w:w="5656" w:space="100"/>
            <w:col w:w="467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19"/>
        <w:rPr/>
      </w:pPr>
      <w:r/>
    </w:p>
    <w:p>
      <w:pPr>
        <w:sectPr>
          <w:headerReference w:type="default" r:id="rId6"/>
          <w:pgSz w:w="11906" w:h="16838"/>
          <w:pgMar w:top="1400" w:right="1071" w:bottom="0" w:left="407" w:header="1077" w:footer="0" w:gutter="0"/>
          <w:cols w:equalWidth="0" w:num="1">
            <w:col w:w="10427" w:space="0"/>
          </w:cols>
        </w:sectPr>
        <w:rPr/>
      </w:pPr>
    </w:p>
    <w:p>
      <w:pPr>
        <w:ind w:left="731"/>
        <w:spacing w:before="41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炎症反应失衡情况，还具有改善胰腺微循环的作</w:t>
      </w:r>
    </w:p>
    <w:p>
      <w:pPr>
        <w:pStyle w:val="BodyText"/>
        <w:ind w:left="730"/>
        <w:spacing w:before="5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  <w:position w:val="-5"/>
        </w:rPr>
        <w:t>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3"/>
        </w:rPr>
        <w:t>［</w:t>
      </w:r>
      <w:r>
        <w:rPr>
          <w:sz w:val="10"/>
          <w:szCs w:val="10"/>
          <w:color w:val="231F20"/>
          <w:spacing w:val="-12"/>
          <w:position w:val="3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3"/>
        </w:rPr>
        <w:t>，</w:t>
      </w:r>
      <w:r>
        <w:rPr>
          <w:sz w:val="10"/>
          <w:szCs w:val="10"/>
          <w:color w:val="231F20"/>
          <w:spacing w:val="-12"/>
          <w:position w:val="3"/>
        </w:rPr>
        <w:t>38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3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-5"/>
        </w:rPr>
        <w:t>。</w:t>
      </w:r>
    </w:p>
    <w:p>
      <w:pPr>
        <w:pStyle w:val="BodyText"/>
        <w:ind w:left="728" w:right="187" w:firstLine="423"/>
        <w:spacing w:before="56" w:line="27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血液净化不仅可降低血清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水平，还具有清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除细胞因子和炎症介质以及胰酶、改善炎症反应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及脏器损伤、改善水电解质平衡紊乱的作用，当存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在经常规治疗改善不理想的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SIRS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、严重水电解质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紊乱、</w:t>
      </w:r>
      <w:r>
        <w:rPr>
          <w:sz w:val="20"/>
          <w:szCs w:val="20"/>
          <w:color w:val="231F20"/>
        </w:rPr>
        <w:t>ACS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、早期多脏器功能障碍如肾功能衰竭、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胰性脑病等情况时，均具有较好的疗效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［</w:t>
      </w:r>
      <w:r>
        <w:rPr>
          <w:sz w:val="10"/>
          <w:szCs w:val="10"/>
          <w:color w:val="231F20"/>
          <w:spacing w:val="7"/>
          <w:position w:val="7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，</w:t>
      </w:r>
      <w:r>
        <w:rPr>
          <w:sz w:val="10"/>
          <w:szCs w:val="10"/>
          <w:color w:val="231F20"/>
          <w:spacing w:val="7"/>
          <w:position w:val="7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，</w:t>
      </w:r>
      <w:r>
        <w:rPr>
          <w:sz w:val="10"/>
          <w:szCs w:val="10"/>
          <w:color w:val="231F20"/>
          <w:spacing w:val="7"/>
          <w:position w:val="7"/>
        </w:rPr>
        <w:t>37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。其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中血液净化如连续性静脉</w:t>
      </w:r>
      <w:r>
        <w:rPr>
          <w:sz w:val="20"/>
          <w:szCs w:val="20"/>
          <w:color w:val="231F20"/>
          <w:spacing w:val="5"/>
        </w:rPr>
        <w:t>-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静脉血液滤过（</w:t>
      </w:r>
      <w:r>
        <w:rPr>
          <w:sz w:val="20"/>
          <w:szCs w:val="20"/>
          <w:color w:val="231F20"/>
        </w:rPr>
        <w:t>continu</w:t>
      </w:r>
      <w:r>
        <w:rPr>
          <w:sz w:val="20"/>
          <w:szCs w:val="20"/>
          <w:color w:val="231F20"/>
          <w:spacing w:val="5"/>
        </w:rPr>
        <w:t>-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4"/>
        </w:rPr>
        <w:t>ous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4"/>
        </w:rPr>
        <w:t>veno-venous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4"/>
        </w:rPr>
        <w:t>hemofiltration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，</w:t>
      </w:r>
      <w:r>
        <w:rPr>
          <w:sz w:val="20"/>
          <w:szCs w:val="20"/>
          <w:color w:val="231F20"/>
          <w:spacing w:val="-4"/>
        </w:rPr>
        <w:t>CVVH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）联合乌司他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丁对改善患者炎性反应、氧化应激及保护血管内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皮功能均具有积极的作用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</w:t>
      </w:r>
      <w:r>
        <w:rPr>
          <w:sz w:val="10"/>
          <w:szCs w:val="10"/>
          <w:color w:val="231F20"/>
          <w:spacing w:val="7"/>
          <w:position w:val="8"/>
        </w:rPr>
        <w:t>39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。但是，需注意的是，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过度采取血液净化治疗也可能增加患者后期合并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感染的风险，因此，仅以控制炎症反应为目的而进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行的血液净化治疗目前并未被广泛推荐。</w:t>
      </w:r>
    </w:p>
    <w:p>
      <w:pPr>
        <w:pStyle w:val="BodyText"/>
        <w:ind w:left="731" w:right="265" w:firstLine="419"/>
        <w:spacing w:before="6" w:line="27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然而，由于上述措施目前多缺乏高质量的多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中心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RCT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研究支持，因此临床应用中仍需根据患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者病情等具体情况选用。</w:t>
      </w:r>
    </w:p>
    <w:p>
      <w:pPr>
        <w:pStyle w:val="BodyText"/>
        <w:ind w:left="731"/>
        <w:spacing w:before="136" w:line="179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31F20"/>
          <w:spacing w:val="10"/>
        </w:rPr>
        <w:t>5</w:t>
      </w:r>
      <w:r>
        <w:rPr>
          <w:sz w:val="23"/>
          <w:szCs w:val="23"/>
          <w:color w:val="231F20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0"/>
        </w:rPr>
        <w:t>基因治疗</w:t>
      </w:r>
    </w:p>
    <w:p>
      <w:pPr>
        <w:pStyle w:val="BodyText"/>
        <w:ind w:left="728" w:right="265" w:firstLine="461"/>
        <w:spacing w:before="166" w:line="27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目前，伴随基因治疗的发展，针对遗传性高甘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油三酯血症的治疗已获得了较大的进展，因此，基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因治疗也可能用于治疗原发性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7"/>
        </w:rPr>
        <w:t>-</w:t>
      </w:r>
      <w:r>
        <w:rPr>
          <w:sz w:val="20"/>
          <w:szCs w:val="20"/>
          <w:color w:val="231F20"/>
        </w:rPr>
        <w:t>AP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。由于</w:t>
      </w:r>
      <w:r>
        <w:rPr>
          <w:rFonts w:ascii="SimSun" w:hAnsi="SimSun" w:eastAsia="SimSun" w:cs="SimSun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17"/>
        </w:rPr>
        <w:t>Ⅰ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型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血脂异常（家族性高乳糜微粒血症）所致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8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0"/>
        </w:rPr>
        <w:t>容易复发且采用传统预防措施的效果不佳，而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研究表明，采用已获批准的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Volanesorsen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（载脂蛋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白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15"/>
        </w:rPr>
        <w:t>C-Ⅲ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反义抑制剂）对该类患者进行基因治疗可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使患者的病情得到短期缓解，但治疗后短期内血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脂水平仍会“反弹</w:t>
      </w:r>
      <w:r>
        <w:rPr>
          <w:rFonts w:ascii="SimSun" w:hAnsi="SimSun" w:eastAsia="SimSun" w:cs="SimSun"/>
          <w:sz w:val="20"/>
          <w:szCs w:val="20"/>
          <w:color w:val="231F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”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sz w:val="10"/>
          <w:szCs w:val="10"/>
          <w:color w:val="231F20"/>
          <w:spacing w:val="3"/>
          <w:position w:val="8"/>
        </w:rPr>
        <w:t>40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。由于目前现有的基因治疗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方法仍处于探索、研究阶段，其有效性与安全性尚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不确定且费用高昂，因此仍需大样本量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RCT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研究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以证实，但未来基因治疗可能成为原发性脂蛋白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代谢异常所致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1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>患者的有效治疗方法。</w:t>
      </w:r>
    </w:p>
    <w:p>
      <w:pPr>
        <w:pStyle w:val="BodyText"/>
        <w:ind w:left="732"/>
        <w:spacing w:before="151" w:line="178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31F20"/>
          <w:spacing w:val="34"/>
        </w:rPr>
        <w:t>6</w:t>
      </w:r>
      <w:r>
        <w:rPr>
          <w:sz w:val="23"/>
          <w:szCs w:val="23"/>
          <w:color w:val="231F20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34"/>
        </w:rPr>
        <w:t>预防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26"/>
        </w:rPr>
        <w:t xml:space="preserve"> </w:t>
      </w:r>
      <w:r>
        <w:rPr>
          <w:sz w:val="23"/>
          <w:szCs w:val="23"/>
          <w:color w:val="231F20"/>
        </w:rPr>
        <w:t>HTG</w:t>
      </w:r>
      <w:r>
        <w:rPr>
          <w:sz w:val="23"/>
          <w:szCs w:val="23"/>
          <w:color w:val="231F20"/>
          <w:spacing w:val="34"/>
        </w:rPr>
        <w:t>-</w:t>
      </w:r>
      <w:r>
        <w:rPr>
          <w:sz w:val="23"/>
          <w:szCs w:val="23"/>
          <w:color w:val="231F20"/>
        </w:rPr>
        <w:t>AP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34"/>
        </w:rPr>
        <w:t>发生</w:t>
      </w:r>
      <w:r>
        <w:rPr>
          <w:sz w:val="23"/>
          <w:szCs w:val="23"/>
          <w:color w:val="231F20"/>
          <w:spacing w:val="34"/>
        </w:rPr>
        <w:t>/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34"/>
        </w:rPr>
        <w:t>复发</w:t>
      </w:r>
    </w:p>
    <w:p>
      <w:pPr>
        <w:pStyle w:val="BodyText"/>
        <w:ind w:left="648" w:right="189" w:firstLine="499"/>
        <w:spacing w:before="161" w:line="27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研究发现，血清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1"/>
        </w:rPr>
        <w:t>&gt;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1"/>
        </w:rPr>
        <w:t>500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1"/>
        </w:rPr>
        <w:t>/</w:t>
      </w:r>
      <w:r>
        <w:rPr>
          <w:sz w:val="20"/>
          <w:szCs w:val="20"/>
          <w:color w:val="231F20"/>
        </w:rPr>
        <w:t>dL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（</w:t>
      </w:r>
      <w:r>
        <w:rPr>
          <w:sz w:val="20"/>
          <w:szCs w:val="20"/>
          <w:color w:val="231F20"/>
          <w:spacing w:val="1"/>
        </w:rPr>
        <w:t>5.65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1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是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3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复发的独立危险因素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［</w:t>
      </w:r>
      <w:r>
        <w:rPr>
          <w:sz w:val="10"/>
          <w:szCs w:val="10"/>
          <w:color w:val="231F20"/>
          <w:spacing w:val="13"/>
          <w:position w:val="8"/>
        </w:rPr>
        <w:t>41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。因此，对于存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在高血脂、脂肪肝或家族性高血脂病史者，需建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立监测血脂的理念，并通过调整饮食结构、改变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生活方式如规律饮食、避免暴饮暴食、减少脂肪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4"/>
        </w:rPr>
        <w:t>摄入以及进行规律的体力活动、控制体质量等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>方式预防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25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>的发生</w:t>
      </w:r>
      <w:r>
        <w:rPr>
          <w:sz w:val="20"/>
          <w:szCs w:val="20"/>
          <w:color w:val="231F20"/>
          <w:spacing w:val="25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>复发。如不能有效控制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血清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水平，可服用常规口服降脂药，首选贝特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6"/>
        </w:rPr>
        <w:t>类降脂药，力争将血清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6"/>
        </w:rPr>
        <w:t>水平控制到</w:t>
      </w:r>
      <w:r>
        <w:rPr>
          <w:sz w:val="20"/>
          <w:szCs w:val="20"/>
          <w:color w:val="231F20"/>
          <w:spacing w:val="26"/>
        </w:rPr>
        <w:t>500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26"/>
        </w:rPr>
        <w:t>/</w:t>
      </w:r>
      <w:r>
        <w:rPr>
          <w:sz w:val="20"/>
          <w:szCs w:val="20"/>
          <w:color w:val="231F20"/>
        </w:rPr>
        <w:t>dL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（</w:t>
      </w:r>
      <w:r>
        <w:rPr>
          <w:sz w:val="20"/>
          <w:szCs w:val="20"/>
          <w:color w:val="231F20"/>
          <w:spacing w:val="9"/>
        </w:rPr>
        <w:t>5.65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9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）以下。同时需积极治疗原发病如糖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尿病、甲状腺功能减退症等代谢性疾病，并谨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慎使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用可导致药源性脂蛋白代谢紊乱的药物包括雌激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" w:right="63" w:firstLine="5"/>
        <w:spacing w:before="40" w:line="27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</w:rPr>
        <w:t>素、口服避孕药、抗反转录病毒药物、丙泊酚、奥氮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平、维甲酸、噻嗪类利尿剂和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2"/>
        </w:rPr>
        <w:t>β-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受体阻滞剂等。另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外，因为妊娠是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5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的常见诱因，因此建议妊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娠妇女常规检测血脂水平。</w:t>
      </w:r>
    </w:p>
    <w:p>
      <w:pPr>
        <w:pStyle w:val="BodyText"/>
        <w:ind w:left="57"/>
        <w:spacing w:before="151" w:line="176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31F20"/>
          <w:spacing w:val="4"/>
        </w:rPr>
        <w:t>7</w:t>
      </w:r>
      <w:r>
        <w:rPr>
          <w:sz w:val="23"/>
          <w:szCs w:val="23"/>
          <w:color w:val="231F20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4"/>
        </w:rPr>
        <w:t>结语</w:t>
      </w:r>
    </w:p>
    <w:p>
      <w:pPr>
        <w:pStyle w:val="BodyText"/>
        <w:ind w:left="54" w:firstLine="428"/>
        <w:spacing w:before="167" w:line="27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近年来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6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的发病率逐渐升高，不仅因病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因隐匿、临床特征不典型导致该病易被漏诊，而且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因该病病因、发病机制特殊使其易重症化、易复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发且重症型患者病情常进展迅速进而病死率高，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因此，尽早确诊并采取有效的干预措施对病情的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转归极其重要。其中将患者的血清</w:t>
      </w:r>
      <w:r>
        <w:rPr>
          <w:sz w:val="20"/>
          <w:szCs w:val="20"/>
          <w:color w:val="231F20"/>
        </w:rPr>
        <w:t>TG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水平快速降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低至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3"/>
        </w:rPr>
        <w:t>500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3"/>
        </w:rPr>
        <w:t>/</w:t>
      </w:r>
      <w:r>
        <w:rPr>
          <w:sz w:val="20"/>
          <w:szCs w:val="20"/>
          <w:color w:val="231F20"/>
        </w:rPr>
        <w:t>dL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（</w:t>
      </w:r>
      <w:r>
        <w:rPr>
          <w:sz w:val="20"/>
          <w:szCs w:val="20"/>
          <w:color w:val="231F20"/>
          <w:spacing w:val="3"/>
        </w:rPr>
        <w:t>5.65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3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）以下是治疗的关键，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可采取的措施包括使用常规口服降脂药、肝素</w:t>
      </w:r>
      <w:r>
        <w:rPr>
          <w:sz w:val="20"/>
          <w:szCs w:val="20"/>
          <w:color w:val="231F20"/>
          <w:spacing w:val="13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分子肝素、胰岛素或实施血液净化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。需要注意的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是，虽然有研究表明部分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6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患者在禁饮食后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其血清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水平可明显下降，但由于血清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水平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与患者的病情转归及预后直接相关，因此建议在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严密监测血糖、血清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水平的基础上尽早采用胰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岛素治疗。而对于采取常规口服降脂药、肝素</w:t>
      </w:r>
      <w:r>
        <w:rPr>
          <w:sz w:val="20"/>
          <w:szCs w:val="20"/>
          <w:color w:val="231F20"/>
          <w:spacing w:val="13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分子肝素、胰岛素等措施治疗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  <w:spacing w:val="14"/>
        </w:rPr>
        <w:t>24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14"/>
        </w:rPr>
        <w:t>~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14"/>
        </w:rPr>
        <w:t>48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14"/>
        </w:rPr>
        <w:t>h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后血清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水平仍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1"/>
        </w:rPr>
        <w:t>&gt;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1"/>
        </w:rPr>
        <w:t>1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1"/>
        </w:rPr>
        <w:t>000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1"/>
        </w:rPr>
        <w:t>/</w:t>
      </w:r>
      <w:r>
        <w:rPr>
          <w:sz w:val="20"/>
          <w:szCs w:val="20"/>
          <w:color w:val="231F20"/>
        </w:rPr>
        <w:t>dL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（</w:t>
      </w:r>
      <w:r>
        <w:rPr>
          <w:sz w:val="20"/>
          <w:szCs w:val="20"/>
          <w:color w:val="231F20"/>
          <w:spacing w:val="1"/>
        </w:rPr>
        <w:t>11.3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1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）或降</w:t>
      </w:r>
      <w:r>
        <w:rPr>
          <w:rFonts w:ascii="SimSun" w:hAnsi="SimSun" w:eastAsia="SimSun" w:cs="SimSun"/>
          <w:sz w:val="20"/>
          <w:szCs w:val="20"/>
          <w:color w:val="231F20"/>
        </w:rPr>
        <w:t>幅未超过 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入院时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20"/>
        </w:rPr>
        <w:t>50%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的患者，则可尽早实施血液净化如血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浆置换进行治疗。另外，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8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的常规治疗与其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他病因所致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相似，急性反应期均以非手术治疗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为主，并应积极、尽早启动充分的液体复苏，同时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注重营养支持和疼痛管理。另外，需注意的是，针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对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6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患者，营养支持和疼痛管理方面的药物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选择与其他病因所致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sz w:val="20"/>
          <w:szCs w:val="20"/>
          <w:color w:val="231F20"/>
        </w:rPr>
        <w:t>AP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并不完全相同，应谨慎对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待。然而，针对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HTG</w:t>
      </w:r>
      <w:r>
        <w:rPr>
          <w:sz w:val="20"/>
          <w:szCs w:val="20"/>
          <w:color w:val="231F20"/>
          <w:spacing w:val="16"/>
        </w:rPr>
        <w:t>-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诊治以及预防的方法，未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来仍需更多深入研究。</w:t>
      </w:r>
    </w:p>
    <w:p>
      <w:pPr>
        <w:ind w:left="60"/>
        <w:spacing w:before="135" w:line="234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3"/>
          <w:position w:val="1"/>
        </w:rPr>
        <w:t>参考文献</w:t>
      </w:r>
    </w:p>
    <w:p>
      <w:pPr>
        <w:pStyle w:val="BodyText"/>
        <w:ind w:left="510" w:right="62" w:hanging="511"/>
        <w:spacing w:before="176" w:line="28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］  中华医学会外科学分会胰腺外科学组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中国急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性胰腺炎诊治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指南（</w:t>
      </w:r>
      <w:r>
        <w:rPr>
          <w:sz w:val="15"/>
          <w:szCs w:val="15"/>
          <w:color w:val="231F20"/>
          <w:spacing w:val="-4"/>
        </w:rPr>
        <w:t>2021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w w:val="61"/>
        </w:rPr>
        <w:t>）［</w:t>
      </w:r>
      <w:r>
        <w:rPr>
          <w:sz w:val="15"/>
          <w:szCs w:val="15"/>
          <w:color w:val="231F20"/>
          <w:spacing w:val="-4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中华外科杂志，</w:t>
      </w:r>
      <w:r>
        <w:rPr>
          <w:sz w:val="15"/>
          <w:szCs w:val="15"/>
          <w:color w:val="231F20"/>
          <w:spacing w:val="-4"/>
        </w:rPr>
        <w:t>2021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59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4"/>
        </w:rPr>
        <w:t>578-5</w:t>
      </w:r>
      <w:r>
        <w:rPr>
          <w:sz w:val="15"/>
          <w:szCs w:val="15"/>
          <w:color w:val="231F20"/>
          <w:spacing w:val="-5"/>
        </w:rPr>
        <w:t>87.</w:t>
      </w:r>
    </w:p>
    <w:p>
      <w:pPr>
        <w:pStyle w:val="BodyText"/>
        <w:ind w:left="512" w:right="62" w:hanging="512"/>
        <w:spacing w:before="38" w:line="29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  </w:t>
      </w:r>
      <w:r>
        <w:rPr>
          <w:sz w:val="15"/>
          <w:szCs w:val="15"/>
          <w:color w:val="231F20"/>
          <w:spacing w:val="-2"/>
        </w:rPr>
        <w:t>ZHANG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2"/>
        </w:rPr>
        <w:t>R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DENG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2"/>
        </w:rPr>
        <w:t>L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JIN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2"/>
        </w:rPr>
        <w:t>T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2"/>
        </w:rPr>
        <w:t>Hypertriglyceridaemia-asso-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ciated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acute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diagnosis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impact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severity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2"/>
        </w:rPr>
        <w:t>HPB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Oxford</w:t>
      </w:r>
      <w:r>
        <w:rPr>
          <w:rFonts w:ascii="SimSun" w:hAnsi="SimSun" w:eastAsia="SimSun" w:cs="SimSun"/>
          <w:sz w:val="15"/>
          <w:szCs w:val="15"/>
          <w:color w:val="231F20"/>
          <w:spacing w:val="-35"/>
          <w:w w:val="88"/>
        </w:rPr>
        <w:t>），</w:t>
      </w:r>
      <w:r>
        <w:rPr>
          <w:sz w:val="15"/>
          <w:szCs w:val="15"/>
          <w:color w:val="231F20"/>
          <w:spacing w:val="-2"/>
        </w:rPr>
        <w:t>2019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21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9</w:t>
      </w:r>
      <w:r>
        <w:rPr>
          <w:rFonts w:ascii="SimSun" w:hAnsi="SimSun" w:eastAsia="SimSun" w:cs="SimSun"/>
          <w:sz w:val="15"/>
          <w:szCs w:val="15"/>
          <w:color w:val="231F20"/>
          <w:spacing w:val="-35"/>
          <w:w w:val="88"/>
        </w:rPr>
        <w:t>）：</w:t>
      </w:r>
      <w:r>
        <w:rPr>
          <w:sz w:val="15"/>
          <w:szCs w:val="15"/>
          <w:color w:val="231F20"/>
          <w:spacing w:val="-2"/>
        </w:rPr>
        <w:t>1240-1249.</w:t>
      </w:r>
    </w:p>
    <w:p>
      <w:pPr>
        <w:pStyle w:val="BodyText"/>
        <w:ind w:left="509" w:right="61" w:hanging="509"/>
        <w:spacing w:before="27" w:line="28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路国涛，魏梅，李维勤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高甘油三酯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血症性急性胰腺炎的研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究进展［</w:t>
      </w:r>
      <w:r>
        <w:rPr>
          <w:sz w:val="15"/>
          <w:szCs w:val="15"/>
          <w:color w:val="231F20"/>
          <w:spacing w:val="-5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5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中华检验医学杂志，</w:t>
      </w:r>
      <w:r>
        <w:rPr>
          <w:sz w:val="15"/>
          <w:szCs w:val="15"/>
          <w:color w:val="231F20"/>
          <w:spacing w:val="-5"/>
        </w:rPr>
        <w:t>2020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43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w w:val="66"/>
        </w:rPr>
        <w:t>）：</w:t>
      </w:r>
      <w:r>
        <w:rPr>
          <w:sz w:val="15"/>
          <w:szCs w:val="15"/>
          <w:color w:val="231F20"/>
          <w:spacing w:val="-5"/>
        </w:rPr>
        <w:t>336-340.</w:t>
      </w:r>
    </w:p>
    <w:p>
      <w:pPr>
        <w:pStyle w:val="BodyText"/>
        <w:ind w:left="510" w:right="61" w:hanging="510"/>
        <w:spacing w:before="38" w:line="29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5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］  </w:t>
      </w:r>
      <w:r>
        <w:rPr>
          <w:sz w:val="15"/>
          <w:szCs w:val="15"/>
          <w:color w:val="231F20"/>
          <w:spacing w:val="-5"/>
        </w:rPr>
        <w:t>YIN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-5"/>
        </w:rPr>
        <w:t>G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CANG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-5"/>
        </w:rPr>
        <w:t>X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YU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-6"/>
        </w:rPr>
        <w:t>G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6"/>
        </w:rPr>
        <w:t>Different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6"/>
        </w:rPr>
        <w:t>clinical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6"/>
        </w:rPr>
        <w:t>presentations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hyperlipidemic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acute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retrospective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Pancreas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2015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44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5"/>
        </w:rPr>
        <w:t>1105-1110.</w:t>
      </w:r>
    </w:p>
    <w:p>
      <w:pPr>
        <w:pStyle w:val="BodyText"/>
        <w:ind w:left="509" w:right="14" w:hanging="509"/>
        <w:spacing w:before="27" w:line="29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>［</w:t>
      </w:r>
      <w:r>
        <w:rPr>
          <w:sz w:val="15"/>
          <w:szCs w:val="15"/>
          <w:color w:val="231F20"/>
          <w:spacing w:val="25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VIPPERLA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>，</w:t>
      </w:r>
      <w:r>
        <w:rPr>
          <w:sz w:val="15"/>
          <w:szCs w:val="15"/>
          <w:color w:val="231F20"/>
        </w:rPr>
        <w:t>SOMERVILLE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>，</w:t>
      </w:r>
      <w:r>
        <w:rPr>
          <w:sz w:val="15"/>
          <w:szCs w:val="15"/>
          <w:color w:val="231F20"/>
        </w:rPr>
        <w:t>FURLAN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5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profile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1"/>
        </w:rPr>
        <w:t>natural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1"/>
        </w:rPr>
        <w:t>course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11"/>
        </w:rPr>
        <w:t>large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1"/>
        </w:rPr>
        <w:t>cohort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11"/>
        </w:rPr>
        <w:t>pati</w:t>
      </w:r>
      <w:r>
        <w:rPr>
          <w:sz w:val="15"/>
          <w:szCs w:val="15"/>
          <w:color w:val="231F20"/>
          <w:spacing w:val="-12"/>
        </w:rPr>
        <w:t>ents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12"/>
        </w:rPr>
        <w:t>hyper-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triglyceridemia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3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3"/>
        </w:rPr>
        <w:t>Clin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3"/>
        </w:rPr>
        <w:t>Gastroenterol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2017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51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23"/>
          <w:w w:val="58"/>
        </w:rPr>
        <w:t>）：</w:t>
      </w:r>
      <w:r>
        <w:rPr>
          <w:sz w:val="15"/>
          <w:szCs w:val="15"/>
          <w:color w:val="231F20"/>
          <w:spacing w:val="-2"/>
        </w:rPr>
        <w:t>77-85.</w:t>
      </w:r>
    </w:p>
    <w:p>
      <w:pPr>
        <w:pStyle w:val="BodyText"/>
        <w:ind w:left="511" w:right="61" w:hanging="511"/>
        <w:spacing w:before="28" w:line="28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］  高甘油三酯血症性急性胰腺炎诊治急诊共识专家组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高甘油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三酯血症性急性胰腺炎诊治急诊专家共识［</w:t>
      </w:r>
      <w:r>
        <w:rPr>
          <w:sz w:val="15"/>
          <w:szCs w:val="15"/>
          <w:color w:val="231F20"/>
          <w:spacing w:val="5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］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中华急诊医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学杂志，</w:t>
      </w:r>
      <w:r>
        <w:rPr>
          <w:sz w:val="15"/>
          <w:szCs w:val="15"/>
          <w:color w:val="231F20"/>
          <w:spacing w:val="-1"/>
        </w:rPr>
        <w:t>2021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30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8</w:t>
      </w:r>
      <w:r>
        <w:rPr>
          <w:rFonts w:ascii="SimSun" w:hAnsi="SimSun" w:eastAsia="SimSun" w:cs="SimSun"/>
          <w:sz w:val="15"/>
          <w:szCs w:val="15"/>
          <w:color w:val="231F20"/>
          <w:spacing w:val="-23"/>
          <w:w w:val="58"/>
        </w:rPr>
        <w:t>）：</w:t>
      </w:r>
      <w:r>
        <w:rPr>
          <w:sz w:val="15"/>
          <w:szCs w:val="15"/>
          <w:color w:val="231F20"/>
          <w:spacing w:val="-1"/>
        </w:rPr>
        <w:t>937-94</w:t>
      </w:r>
      <w:r>
        <w:rPr>
          <w:sz w:val="15"/>
          <w:szCs w:val="15"/>
          <w:color w:val="231F20"/>
          <w:spacing w:val="-2"/>
        </w:rPr>
        <w:t>7.</w:t>
      </w:r>
    </w:p>
    <w:p>
      <w:pPr>
        <w:spacing w:line="280" w:lineRule="auto"/>
        <w:sectPr>
          <w:type w:val="continuous"/>
          <w:pgSz w:w="11906" w:h="16838"/>
          <w:pgMar w:top="1400" w:right="1071" w:bottom="0" w:left="407" w:header="1077" w:footer="0" w:gutter="0"/>
          <w:cols w:equalWidth="0" w:num="2">
            <w:col w:w="5602" w:space="100"/>
            <w:col w:w="4725" w:space="0"/>
          </w:cols>
        </w:sectPr>
        <w:rPr>
          <w:sz w:val="15"/>
          <w:szCs w:val="15"/>
        </w:rPr>
      </w:pPr>
    </w:p>
    <w:p>
      <w:pPr>
        <w:spacing w:before="54"/>
        <w:rPr/>
      </w:pPr>
      <w:r/>
    </w:p>
    <w:p>
      <w:pPr>
        <w:sectPr>
          <w:headerReference w:type="default" r:id="rId7"/>
          <w:pgSz w:w="11906" w:h="16838"/>
          <w:pgMar w:top="1400" w:right="1066" w:bottom="0" w:left="407" w:header="1077" w:footer="0" w:gutter="0"/>
          <w:cols w:equalWidth="0" w:num="1">
            <w:col w:w="10432" w:space="0"/>
          </w:cols>
        </w:sectPr>
        <w:rPr/>
      </w:pPr>
    </w:p>
    <w:p>
      <w:pPr>
        <w:pStyle w:val="BodyText"/>
        <w:ind w:left="1182" w:right="266" w:hanging="510"/>
        <w:spacing w:before="2" w:line="2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］ 《高甘油三酯血症性急性胰腺炎诊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治急诊专家共识》专家组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高甘油三酯血症性急性胰腺炎诊治急诊专家共识［</w:t>
      </w:r>
      <w:r>
        <w:rPr>
          <w:sz w:val="15"/>
          <w:szCs w:val="15"/>
          <w:color w:val="231F20"/>
          <w:spacing w:val="5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］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中国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全科医学，</w:t>
      </w:r>
      <w:r>
        <w:rPr>
          <w:sz w:val="15"/>
          <w:szCs w:val="15"/>
          <w:color w:val="231F20"/>
          <w:spacing w:val="-6"/>
        </w:rPr>
        <w:t>2021.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6"/>
        </w:rPr>
        <w:t>Epub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6"/>
        </w:rPr>
        <w:t>ahead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6"/>
        </w:rPr>
        <w:t>of</w:t>
      </w:r>
      <w:r>
        <w:rPr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-6"/>
        </w:rPr>
        <w:t>print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-7"/>
        </w:rPr>
        <w:t>.</w:t>
      </w:r>
    </w:p>
    <w:p>
      <w:pPr>
        <w:pStyle w:val="BodyText"/>
        <w:ind w:left="1180" w:right="266" w:hanging="508"/>
        <w:spacing w:before="37" w:line="29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</w:t>
      </w:r>
      <w:r>
        <w:rPr>
          <w:sz w:val="15"/>
          <w:szCs w:val="15"/>
          <w:color w:val="231F20"/>
          <w:spacing w:val="8"/>
        </w:rPr>
        <w:t>8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］  中华医学会急诊分会，京津冀急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诊急救联盟，北京医学会急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诊分会，等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急性胰腺炎急诊诊断及治疗专家共识［</w:t>
      </w:r>
      <w:r>
        <w:rPr>
          <w:sz w:val="15"/>
          <w:szCs w:val="15"/>
          <w:color w:val="231F20"/>
        </w:rPr>
        <w:t>J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中华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急诊医学杂志，</w:t>
      </w:r>
      <w:r>
        <w:rPr>
          <w:sz w:val="15"/>
          <w:szCs w:val="15"/>
          <w:color w:val="231F20"/>
          <w:spacing w:val="-2"/>
        </w:rPr>
        <w:t>2021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30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w w:val="80"/>
        </w:rPr>
        <w:t>）：</w:t>
      </w:r>
      <w:r>
        <w:rPr>
          <w:sz w:val="15"/>
          <w:szCs w:val="15"/>
          <w:color w:val="231F20"/>
          <w:spacing w:val="-2"/>
        </w:rPr>
        <w:t>161-172.</w:t>
      </w:r>
    </w:p>
    <w:p>
      <w:pPr>
        <w:pStyle w:val="BodyText"/>
        <w:ind w:left="1122" w:right="265" w:hanging="449"/>
        <w:spacing w:before="34" w:line="29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9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］  </w:t>
      </w:r>
      <w:r>
        <w:rPr>
          <w:sz w:val="15"/>
          <w:szCs w:val="15"/>
          <w:color w:val="231F20"/>
        </w:rPr>
        <w:t>BANKS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sz w:val="15"/>
          <w:szCs w:val="15"/>
          <w:color w:val="231F20"/>
        </w:rPr>
        <w:t>BOLLEN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sz w:val="15"/>
          <w:szCs w:val="15"/>
          <w:color w:val="231F20"/>
        </w:rPr>
        <w:t>DERVENIS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Classification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1"/>
        </w:rPr>
        <w:t>acute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1"/>
        </w:rPr>
        <w:t>pancreatitis--2012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revision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1"/>
        </w:rPr>
        <w:t>Atlanta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1"/>
        </w:rPr>
        <w:t>classifica</w:t>
      </w:r>
      <w:r>
        <w:rPr>
          <w:sz w:val="15"/>
          <w:szCs w:val="15"/>
          <w:color w:val="231F20"/>
          <w:spacing w:val="-12"/>
        </w:rPr>
        <w:t>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and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8"/>
        </w:rPr>
        <w:t>definitions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8"/>
        </w:rPr>
        <w:t>by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8"/>
        </w:rPr>
        <w:t>international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8"/>
        </w:rPr>
        <w:t>consensus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Gut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2013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62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w w:val="81"/>
        </w:rPr>
        <w:t>）：</w:t>
      </w:r>
      <w:r>
        <w:rPr>
          <w:sz w:val="15"/>
          <w:szCs w:val="15"/>
          <w:color w:val="231F20"/>
          <w:spacing w:val="-2"/>
        </w:rPr>
        <w:t>102-111.</w:t>
      </w:r>
    </w:p>
    <w:p>
      <w:pPr>
        <w:pStyle w:val="BodyText"/>
        <w:ind w:left="1185" w:right="265" w:hanging="512"/>
        <w:spacing w:before="24" w:line="28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10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］ </w:t>
      </w:r>
      <w:r>
        <w:rPr>
          <w:sz w:val="15"/>
          <w:szCs w:val="15"/>
          <w:color w:val="231F20"/>
        </w:rPr>
        <w:t>YADAV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sz w:val="15"/>
          <w:szCs w:val="15"/>
          <w:color w:val="231F20"/>
        </w:rPr>
        <w:t>PITCHUMONI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</w:rPr>
        <w:t>Issues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</w:rPr>
        <w:t>hyperlipidemic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</w:rPr>
        <w:t>pancre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atitis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13"/>
        </w:rPr>
        <w:t>Clin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13"/>
        </w:rPr>
        <w:t>Gastroenterol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2003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36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23"/>
          <w:w w:val="58"/>
        </w:rPr>
        <w:t>）：</w:t>
      </w:r>
      <w:r>
        <w:rPr>
          <w:sz w:val="15"/>
          <w:szCs w:val="15"/>
          <w:color w:val="231F20"/>
          <w:spacing w:val="-14"/>
        </w:rPr>
        <w:t>54-62.</w:t>
      </w:r>
    </w:p>
    <w:p>
      <w:pPr>
        <w:pStyle w:val="BodyText"/>
        <w:ind w:left="1183" w:right="265" w:hanging="510"/>
        <w:spacing w:before="32" w:line="29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［</w:t>
      </w:r>
      <w:r>
        <w:rPr>
          <w:sz w:val="15"/>
          <w:szCs w:val="15"/>
          <w:color w:val="231F20"/>
          <w:spacing w:val="14"/>
        </w:rPr>
        <w:t>11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］ </w:t>
      </w:r>
      <w:r>
        <w:rPr>
          <w:sz w:val="15"/>
          <w:szCs w:val="15"/>
          <w:color w:val="231F20"/>
          <w:spacing w:val="14"/>
        </w:rPr>
        <w:t>BOSQUES</w:t>
      </w:r>
      <w:r>
        <w:rPr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14"/>
        </w:rPr>
        <w:t>-PADILLA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4"/>
        </w:rPr>
        <w:t>F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4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，</w:t>
      </w:r>
      <w:r>
        <w:rPr>
          <w:sz w:val="15"/>
          <w:szCs w:val="15"/>
          <w:color w:val="231F20"/>
          <w:spacing w:val="14"/>
        </w:rPr>
        <w:t>VÁZQUEZ-</w:t>
      </w:r>
      <w:r>
        <w:rPr>
          <w:sz w:val="15"/>
          <w:szCs w:val="15"/>
          <w:color w:val="231F20"/>
          <w:spacing w:val="-45"/>
        </w:rPr>
        <w:t xml:space="preserve"> </w:t>
      </w:r>
      <w:r>
        <w:rPr>
          <w:sz w:val="15"/>
          <w:szCs w:val="15"/>
          <w:color w:val="231F20"/>
          <w:spacing w:val="14"/>
        </w:rPr>
        <w:t>E</w:t>
      </w:r>
      <w:r>
        <w:rPr>
          <w:sz w:val="15"/>
          <w:szCs w:val="15"/>
          <w:color w:val="231F20"/>
          <w:spacing w:val="13"/>
        </w:rPr>
        <w:t>LIZONDO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3"/>
        </w:rPr>
        <w:t>G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，</w:t>
      </w:r>
      <w:r>
        <w:rPr>
          <w:sz w:val="15"/>
          <w:szCs w:val="15"/>
          <w:color w:val="231F20"/>
          <w:spacing w:val="13"/>
        </w:rPr>
        <w:t>GONZ</w:t>
      </w:r>
      <w:r>
        <w:rPr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13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ÁLEZ-SANTIAGO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O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Hypertriglyceridemia-i</w:t>
      </w:r>
      <w:r>
        <w:rPr>
          <w:sz w:val="15"/>
          <w:szCs w:val="15"/>
          <w:color w:val="231F20"/>
          <w:spacing w:val="-2"/>
        </w:rPr>
        <w:t>nduced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2"/>
        </w:rPr>
        <w:t>pan-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creatitis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risk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persistent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systemic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infla</w:t>
      </w:r>
      <w:r>
        <w:rPr>
          <w:sz w:val="15"/>
          <w:szCs w:val="15"/>
          <w:color w:val="231F20"/>
          <w:spacing w:val="-11"/>
        </w:rPr>
        <w:t>mmatory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response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syndrome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4"/>
        </w:rPr>
        <w:t>Am</w:t>
      </w:r>
      <w:r>
        <w:rPr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4"/>
        </w:rPr>
        <w:t>Med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4"/>
        </w:rPr>
        <w:t>Sci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2015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349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5"/>
        </w:rPr>
        <w:t>206-211.</w:t>
      </w:r>
    </w:p>
    <w:p>
      <w:pPr>
        <w:pStyle w:val="BodyText"/>
        <w:ind w:left="1185" w:right="258" w:hanging="512"/>
        <w:spacing w:before="36" w:line="29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>［</w:t>
      </w:r>
      <w:r>
        <w:rPr>
          <w:sz w:val="15"/>
          <w:szCs w:val="15"/>
          <w:color w:val="231F20"/>
          <w:spacing w:val="18"/>
        </w:rPr>
        <w:t>12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>］ </w:t>
      </w:r>
      <w:r>
        <w:rPr>
          <w:sz w:val="15"/>
          <w:szCs w:val="15"/>
          <w:color w:val="231F20"/>
        </w:rPr>
        <w:t>PASCUAL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I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>，</w:t>
      </w:r>
      <w:r>
        <w:rPr>
          <w:sz w:val="15"/>
          <w:szCs w:val="15"/>
          <w:color w:val="231F20"/>
        </w:rPr>
        <w:t>SANAHUJA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>，</w:t>
      </w:r>
      <w:r>
        <w:rPr>
          <w:sz w:val="15"/>
          <w:szCs w:val="15"/>
          <w:color w:val="231F20"/>
        </w:rPr>
        <w:t>GARC</w:t>
      </w:r>
      <w:r>
        <w:rPr>
          <w:sz w:val="15"/>
          <w:szCs w:val="15"/>
          <w:color w:val="231F20"/>
          <w:spacing w:val="18"/>
        </w:rPr>
        <w:t>Í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8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elevated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serum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triglyceride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levels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mor</w:t>
      </w:r>
      <w:r>
        <w:rPr>
          <w:sz w:val="15"/>
          <w:szCs w:val="15"/>
          <w:color w:val="231F20"/>
          <w:spacing w:val="-10"/>
        </w:rPr>
        <w:t>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severe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0"/>
        </w:rPr>
        <w:t>course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acute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2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Cohor</w:t>
      </w:r>
      <w:r>
        <w:rPr>
          <w:sz w:val="15"/>
          <w:szCs w:val="15"/>
          <w:color w:val="231F20"/>
          <w:spacing w:val="-13"/>
        </w:rPr>
        <w:t>t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3"/>
        </w:rPr>
        <w:t>analysis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3"/>
        </w:rPr>
        <w:t>1457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3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Pancre-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atology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2019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19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w w:val="66"/>
        </w:rPr>
        <w:t>）：</w:t>
      </w:r>
      <w:r>
        <w:rPr>
          <w:sz w:val="15"/>
          <w:szCs w:val="15"/>
          <w:color w:val="231F20"/>
          <w:spacing w:val="-6"/>
        </w:rPr>
        <w:t>623-629.</w:t>
      </w:r>
    </w:p>
    <w:p>
      <w:pPr>
        <w:pStyle w:val="BodyText"/>
        <w:ind w:left="1184" w:right="265" w:hanging="511"/>
        <w:spacing w:before="39" w:line="2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13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］ </w:t>
      </w:r>
      <w:r>
        <w:rPr>
          <w:sz w:val="15"/>
          <w:szCs w:val="15"/>
          <w:color w:val="231F20"/>
          <w:spacing w:val="-3"/>
        </w:rPr>
        <w:t>LU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Z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ZHANG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3"/>
        </w:rPr>
        <w:t>G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GUO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3"/>
        </w:rPr>
        <w:t>F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3"/>
        </w:rPr>
        <w:t>Elevated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triglycerides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3"/>
        </w:rPr>
        <w:t>on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3"/>
        </w:rPr>
        <w:t>ad-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mission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positively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correlate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severity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3"/>
        </w:rPr>
        <w:t>hypertriglyceri-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daemic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1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11"/>
        </w:rPr>
        <w:t>Int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1"/>
        </w:rPr>
        <w:t>Clin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1"/>
        </w:rPr>
        <w:t>Pract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2020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2"/>
        </w:rPr>
        <w:t>74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w w:val="75"/>
        </w:rPr>
        <w:t>）：</w:t>
      </w:r>
      <w:r>
        <w:rPr>
          <w:sz w:val="15"/>
          <w:szCs w:val="15"/>
          <w:color w:val="231F20"/>
          <w:spacing w:val="-12"/>
        </w:rPr>
        <w:t>e13458.</w:t>
      </w:r>
    </w:p>
    <w:p>
      <w:pPr>
        <w:pStyle w:val="BodyText"/>
        <w:ind w:left="1184" w:right="265" w:hanging="511"/>
        <w:spacing w:before="38" w:line="2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14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］ </w:t>
      </w:r>
      <w:r>
        <w:rPr>
          <w:sz w:val="15"/>
          <w:szCs w:val="15"/>
          <w:color w:val="231F20"/>
          <w:spacing w:val="-8"/>
        </w:rPr>
        <w:t>LU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8"/>
        </w:rPr>
        <w:t>Z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LI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8"/>
        </w:rPr>
        <w:t>M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GUO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8"/>
        </w:rPr>
        <w:t>F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8"/>
        </w:rPr>
        <w:t>Timely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8"/>
        </w:rPr>
        <w:t>reduction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-8"/>
        </w:rPr>
        <w:t>triglyceride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8"/>
        </w:rPr>
        <w:t>leve</w:t>
      </w:r>
      <w:r>
        <w:rPr>
          <w:sz w:val="15"/>
          <w:szCs w:val="15"/>
          <w:color w:val="231F20"/>
          <w:spacing w:val="-9"/>
        </w:rPr>
        <w:t>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is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associated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decreased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2"/>
        </w:rPr>
        <w:t>persistent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organ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</w:rPr>
        <w:t>failure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2"/>
        </w:rPr>
        <w:t>hypertri-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glyceridemic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1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1"/>
        </w:rPr>
        <w:t>Pancreas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2020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49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w w:val="81"/>
        </w:rPr>
        <w:t>）：</w:t>
      </w:r>
      <w:r>
        <w:rPr>
          <w:sz w:val="15"/>
          <w:szCs w:val="15"/>
          <w:color w:val="231F20"/>
          <w:spacing w:val="-11"/>
        </w:rPr>
        <w:t>105-110.</w:t>
      </w:r>
    </w:p>
    <w:p>
      <w:pPr>
        <w:pStyle w:val="BodyText"/>
        <w:ind w:left="1183" w:right="264" w:hanging="510"/>
        <w:spacing w:before="38" w:line="28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15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］ 马江辰，保志军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高脂血症性急性胰腺炎发病机制的研究进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展［</w:t>
      </w:r>
      <w:r>
        <w:rPr>
          <w:sz w:val="15"/>
          <w:szCs w:val="15"/>
          <w:color w:val="231F20"/>
          <w:spacing w:val="-7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-7"/>
        </w:rPr>
        <w:t>.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国际消化病杂志，</w:t>
      </w:r>
      <w:r>
        <w:rPr>
          <w:sz w:val="15"/>
          <w:szCs w:val="15"/>
          <w:color w:val="231F20"/>
          <w:spacing w:val="-7"/>
        </w:rPr>
        <w:t>2017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37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7"/>
        </w:rPr>
        <w:t>24-2</w:t>
      </w:r>
      <w:r>
        <w:rPr>
          <w:sz w:val="15"/>
          <w:szCs w:val="15"/>
          <w:color w:val="231F20"/>
          <w:spacing w:val="-8"/>
        </w:rPr>
        <w:t>7.</w:t>
      </w:r>
    </w:p>
    <w:p>
      <w:pPr>
        <w:pStyle w:val="BodyText"/>
        <w:ind w:left="1182" w:right="265" w:hanging="509"/>
        <w:spacing w:before="36" w:line="28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16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 </w:t>
      </w:r>
      <w:r>
        <w:rPr>
          <w:sz w:val="15"/>
          <w:szCs w:val="15"/>
          <w:color w:val="231F20"/>
          <w:spacing w:val="-1"/>
        </w:rPr>
        <w:t>YANG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N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LI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PAN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Y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Hypertriglyceridaem</w:t>
      </w:r>
      <w:r>
        <w:rPr>
          <w:sz w:val="15"/>
          <w:szCs w:val="15"/>
          <w:color w:val="231F20"/>
          <w:spacing w:val="-2"/>
        </w:rPr>
        <w:t>ia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2"/>
        </w:rPr>
        <w:t>delays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pancreatic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regeneration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after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acute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pancreatitis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mic</w:t>
      </w:r>
      <w:r>
        <w:rPr>
          <w:sz w:val="15"/>
          <w:szCs w:val="15"/>
          <w:color w:val="231F20"/>
          <w:spacing w:val="-11"/>
        </w:rPr>
        <w:t>e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pa-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tients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1"/>
        </w:rPr>
        <w:t>Gut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2019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68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1"/>
        </w:rPr>
        <w:t>378-3</w:t>
      </w:r>
      <w:r>
        <w:rPr>
          <w:sz w:val="15"/>
          <w:szCs w:val="15"/>
          <w:color w:val="231F20"/>
          <w:spacing w:val="-12"/>
        </w:rPr>
        <w:t>80.</w:t>
      </w:r>
    </w:p>
    <w:p>
      <w:pPr>
        <w:pStyle w:val="BodyText"/>
        <w:ind w:left="1182" w:right="264" w:hanging="509"/>
        <w:spacing w:before="35" w:line="28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17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 李孔玲，罗和生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急性胰腺炎病程中的血脂变化规律［</w:t>
      </w:r>
      <w:r>
        <w:rPr>
          <w:sz w:val="15"/>
          <w:szCs w:val="15"/>
          <w:color w:val="231F20"/>
          <w:spacing w:val="-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中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华胰腺病杂志，</w:t>
      </w:r>
      <w:r>
        <w:rPr>
          <w:sz w:val="15"/>
          <w:szCs w:val="15"/>
          <w:color w:val="231F20"/>
        </w:rPr>
        <w:t>2016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16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61"/>
        </w:rPr>
        <w:t>）：</w:t>
      </w:r>
      <w:r>
        <w:rPr>
          <w:sz w:val="15"/>
          <w:szCs w:val="15"/>
          <w:color w:val="231F20"/>
        </w:rPr>
        <w:t>98-102.</w:t>
      </w:r>
    </w:p>
    <w:p>
      <w:pPr>
        <w:pStyle w:val="BodyText"/>
        <w:ind w:left="1184" w:right="217" w:hanging="510"/>
        <w:spacing w:before="33" w:line="29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［</w:t>
      </w:r>
      <w:r>
        <w:rPr>
          <w:sz w:val="15"/>
          <w:szCs w:val="15"/>
          <w:color w:val="231F20"/>
          <w:spacing w:val="13"/>
        </w:rPr>
        <w:t>18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］ </w:t>
      </w:r>
      <w:r>
        <w:rPr>
          <w:sz w:val="15"/>
          <w:szCs w:val="15"/>
          <w:color w:val="231F20"/>
          <w:spacing w:val="13"/>
        </w:rPr>
        <w:t>THUZAR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3"/>
        </w:rPr>
        <w:t>M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，</w:t>
      </w:r>
      <w:r>
        <w:rPr>
          <w:sz w:val="15"/>
          <w:szCs w:val="15"/>
          <w:color w:val="231F20"/>
          <w:spacing w:val="13"/>
        </w:rPr>
        <w:t>SHENO</w:t>
      </w:r>
      <w:r>
        <w:rPr>
          <w:sz w:val="15"/>
          <w:szCs w:val="15"/>
          <w:color w:val="231F20"/>
          <w:spacing w:val="12"/>
        </w:rPr>
        <w:t>Y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2"/>
        </w:rPr>
        <w:t>V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2"/>
        </w:rPr>
        <w:t>V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，</w:t>
      </w:r>
      <w:r>
        <w:rPr>
          <w:sz w:val="15"/>
          <w:szCs w:val="15"/>
          <w:color w:val="231F20"/>
          <w:spacing w:val="12"/>
        </w:rPr>
        <w:t>MALABU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U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H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，</w:t>
      </w:r>
      <w:r>
        <w:rPr>
          <w:sz w:val="15"/>
          <w:szCs w:val="15"/>
          <w:color w:val="231F20"/>
          <w:spacing w:val="12"/>
        </w:rPr>
        <w:t>et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al.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2"/>
        </w:rPr>
        <w:t>Extreme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hypertriglyceridemia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managed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insul</w:t>
      </w:r>
      <w:r>
        <w:rPr>
          <w:sz w:val="15"/>
          <w:szCs w:val="15"/>
          <w:color w:val="231F20"/>
          <w:spacing w:val="-1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Clin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Lipidol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2014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8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61"/>
        </w:rPr>
        <w:t>）：</w:t>
      </w:r>
      <w:r>
        <w:rPr>
          <w:sz w:val="15"/>
          <w:szCs w:val="15"/>
          <w:color w:val="231F20"/>
          <w:spacing w:val="-2"/>
        </w:rPr>
        <w:t>630-634.</w:t>
      </w:r>
    </w:p>
    <w:p>
      <w:pPr>
        <w:pStyle w:val="BodyText"/>
        <w:ind w:left="1184" w:right="219" w:hanging="510"/>
        <w:spacing w:before="25" w:line="29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6"/>
        </w:rPr>
        <w:t>19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］ </w:t>
      </w:r>
      <w:r>
        <w:rPr>
          <w:sz w:val="15"/>
          <w:szCs w:val="15"/>
          <w:color w:val="231F20"/>
          <w:spacing w:val="-6"/>
        </w:rPr>
        <w:t>LU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6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XIE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6"/>
        </w:rPr>
        <w:t>Y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DU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6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6"/>
        </w:rPr>
        <w:t>Penta-therapy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6"/>
        </w:rPr>
        <w:t>for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6"/>
        </w:rPr>
        <w:t>se</w:t>
      </w:r>
      <w:r>
        <w:rPr>
          <w:sz w:val="15"/>
          <w:szCs w:val="15"/>
          <w:color w:val="231F20"/>
          <w:spacing w:val="-7"/>
        </w:rPr>
        <w:t>vere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7"/>
        </w:rPr>
        <w:t>acute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7"/>
        </w:rPr>
        <w:t>hyper-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lipidemic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6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6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-6"/>
        </w:rPr>
        <w:t>.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6"/>
        </w:rPr>
        <w:t>Am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6"/>
        </w:rPr>
        <w:t>Emerg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6"/>
        </w:rPr>
        <w:t>Med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2018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36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10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"/>
        </w:rPr>
        <w:t>1789-1795.</w:t>
      </w:r>
    </w:p>
    <w:p>
      <w:pPr>
        <w:pStyle w:val="BodyText"/>
        <w:ind w:left="1122" w:right="264" w:hanging="448"/>
        <w:spacing w:before="28" w:line="29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［</w:t>
      </w:r>
      <w:r>
        <w:rPr>
          <w:sz w:val="15"/>
          <w:szCs w:val="15"/>
          <w:color w:val="231F20"/>
          <w:spacing w:val="10"/>
        </w:rPr>
        <w:t>20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］ </w:t>
      </w:r>
      <w:r>
        <w:rPr>
          <w:sz w:val="15"/>
          <w:szCs w:val="15"/>
          <w:color w:val="231F20"/>
          <w:spacing w:val="10"/>
        </w:rPr>
        <w:t>NÄSSTRÖM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0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  <w:spacing w:val="10"/>
        </w:rPr>
        <w:t>OLIVECRONA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0"/>
        </w:rPr>
        <w:t>G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  <w:spacing w:val="10"/>
        </w:rPr>
        <w:t>OLIVECRONA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0"/>
        </w:rPr>
        <w:t>T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  <w:spacing w:val="10"/>
        </w:rPr>
        <w:t>et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0"/>
        </w:rPr>
        <w:t>al.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0"/>
        </w:rPr>
        <w:t>Li-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poprotein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9"/>
        </w:rPr>
        <w:t>lipase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9"/>
        </w:rPr>
        <w:t>during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continuous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heparin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infusion</w:t>
      </w:r>
      <w:r>
        <w:rPr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-9"/>
        </w:rPr>
        <w:t>ti</w:t>
      </w:r>
      <w:r>
        <w:rPr>
          <w:sz w:val="15"/>
          <w:szCs w:val="15"/>
          <w:color w:val="231F20"/>
          <w:spacing w:val="-10"/>
        </w:rPr>
        <w:t>ssue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stores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8"/>
        </w:rPr>
        <w:t>become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8"/>
        </w:rPr>
        <w:t>partially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8"/>
        </w:rPr>
        <w:t>depleted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8"/>
        </w:rPr>
        <w:t>Lab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8"/>
        </w:rPr>
        <w:t>Clin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8"/>
        </w:rPr>
        <w:t>Med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2001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138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（</w:t>
      </w:r>
      <w:r>
        <w:rPr>
          <w:sz w:val="15"/>
          <w:szCs w:val="15"/>
          <w:color w:val="231F20"/>
          <w:spacing w:val="4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-23"/>
          <w:w w:val="58"/>
        </w:rPr>
        <w:t>）：</w:t>
      </w:r>
      <w:r>
        <w:rPr>
          <w:sz w:val="15"/>
          <w:szCs w:val="15"/>
          <w:color w:val="231F20"/>
          <w:spacing w:val="4"/>
        </w:rPr>
        <w:t>206-213.</w:t>
      </w:r>
    </w:p>
    <w:p>
      <w:pPr>
        <w:pStyle w:val="BodyText"/>
        <w:ind w:left="1183" w:right="264" w:hanging="509"/>
        <w:spacing w:before="24" w:line="29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21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 </w:t>
      </w:r>
      <w:r>
        <w:rPr>
          <w:sz w:val="15"/>
          <w:szCs w:val="15"/>
          <w:color w:val="231F20"/>
          <w:spacing w:val="-1"/>
        </w:rPr>
        <w:t>HE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1"/>
        </w:rPr>
        <w:t>WH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YU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M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ZHU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Y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Emergent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triglyceride-lowering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therapy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early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9"/>
        </w:rPr>
        <w:t>high-volume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9"/>
        </w:rPr>
        <w:t>hemofiltration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against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9"/>
        </w:rPr>
        <w:t>low-molec-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ular-weight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8"/>
        </w:rPr>
        <w:t>heparin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8"/>
        </w:rPr>
        <w:t>combined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8"/>
        </w:rPr>
        <w:t>w</w:t>
      </w:r>
      <w:r>
        <w:rPr>
          <w:sz w:val="15"/>
          <w:szCs w:val="15"/>
          <w:color w:val="231F20"/>
          <w:spacing w:val="-9"/>
        </w:rPr>
        <w:t>ith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9"/>
        </w:rPr>
        <w:t>insulin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9"/>
        </w:rPr>
        <w:t>hypertriglyceridem-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ic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3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3"/>
        </w:rPr>
        <w:t>prospective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3"/>
        </w:rPr>
        <w:t>randomized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3"/>
        </w:rPr>
        <w:t>controlled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3"/>
        </w:rPr>
        <w:t>trial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6"/>
        </w:rPr>
        <w:t>Clin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6"/>
        </w:rPr>
        <w:t>Gastroenterol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20</w:t>
      </w:r>
      <w:r>
        <w:rPr>
          <w:sz w:val="15"/>
          <w:szCs w:val="15"/>
          <w:color w:val="231F20"/>
          <w:spacing w:val="-7"/>
        </w:rPr>
        <w:t>16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50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9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7"/>
        </w:rPr>
        <w:t>772-778.</w:t>
      </w:r>
    </w:p>
    <w:p>
      <w:pPr>
        <w:pStyle w:val="BodyText"/>
        <w:ind w:left="1181" w:right="266" w:hanging="509"/>
        <w:spacing w:before="24" w:line="2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22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］ </w:t>
      </w:r>
      <w:r>
        <w:rPr>
          <w:sz w:val="15"/>
          <w:szCs w:val="15"/>
          <w:color w:val="231F20"/>
          <w:spacing w:val="-4"/>
        </w:rPr>
        <w:t>LU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4"/>
        </w:rPr>
        <w:t>X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4"/>
        </w:rPr>
        <w:t>S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QIU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4"/>
        </w:rPr>
        <w:t>F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LI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4"/>
        </w:rPr>
        <w:t>Q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et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4"/>
        </w:rPr>
        <w:t>al.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4"/>
        </w:rPr>
        <w:t>Low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4"/>
        </w:rPr>
        <w:t>molecular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4"/>
        </w:rPr>
        <w:t>weigh</w:t>
      </w:r>
      <w:r>
        <w:rPr>
          <w:sz w:val="15"/>
          <w:szCs w:val="15"/>
          <w:color w:val="231F20"/>
          <w:spacing w:val="-5"/>
        </w:rPr>
        <w:t>t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5"/>
        </w:rPr>
        <w:t>heparin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5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1"/>
        </w:rPr>
        <w:t>treatment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1"/>
        </w:rPr>
        <w:t>severe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1"/>
        </w:rPr>
        <w:t>acute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1"/>
        </w:rPr>
        <w:t>multiple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1"/>
        </w:rPr>
        <w:t>centre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pro-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spective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11"/>
        </w:rPr>
        <w:t>clinical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1"/>
        </w:rPr>
        <w:t>Asian</w:t>
      </w:r>
      <w:r>
        <w:rPr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11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2009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32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23"/>
          <w:w w:val="58"/>
        </w:rPr>
        <w:t>）：</w:t>
      </w:r>
      <w:r>
        <w:rPr>
          <w:sz w:val="15"/>
          <w:szCs w:val="15"/>
          <w:color w:val="231F20"/>
          <w:spacing w:val="-11"/>
        </w:rPr>
        <w:t>89-94.</w:t>
      </w:r>
    </w:p>
    <w:p>
      <w:pPr>
        <w:pStyle w:val="BodyText"/>
        <w:ind w:left="1182" w:right="269" w:hanging="510"/>
        <w:spacing w:before="39" w:line="2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23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］ </w:t>
      </w:r>
      <w:r>
        <w:rPr>
          <w:sz w:val="15"/>
          <w:szCs w:val="15"/>
          <w:color w:val="231F20"/>
          <w:spacing w:val="-4"/>
        </w:rPr>
        <w:t>LI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4"/>
        </w:rPr>
        <w:t>M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4"/>
        </w:rPr>
        <w:t>Q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SHI</w:t>
      </w:r>
      <w:r>
        <w:rPr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4"/>
        </w:rPr>
        <w:t>Z</w:t>
      </w:r>
      <w:r>
        <w:rPr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4"/>
        </w:rPr>
        <w:t>X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XU</w:t>
      </w:r>
      <w:r>
        <w:rPr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4"/>
        </w:rPr>
        <w:t>Y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5"/>
        </w:rPr>
        <w:t>al.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5"/>
        </w:rPr>
        <w:t>Hemodiafiltration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5"/>
        </w:rPr>
        <w:t>combined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5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resin-mediated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8"/>
        </w:rPr>
        <w:t>absorption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8"/>
        </w:rPr>
        <w:t>as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8"/>
        </w:rPr>
        <w:t>therapy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9"/>
        </w:rPr>
        <w:t>hyperlipidemic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10"/>
        </w:rPr>
        <w:t>Cell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10"/>
        </w:rPr>
        <w:t>Bi</w:t>
      </w:r>
      <w:r>
        <w:rPr>
          <w:sz w:val="15"/>
          <w:szCs w:val="15"/>
          <w:color w:val="231F20"/>
          <w:spacing w:val="-11"/>
        </w:rPr>
        <w:t>ochem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11"/>
        </w:rPr>
        <w:t>Biophys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2014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69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-20"/>
          <w:w w:val="51"/>
        </w:rPr>
        <w:t>）：</w:t>
      </w:r>
      <w:r>
        <w:rPr>
          <w:sz w:val="15"/>
          <w:szCs w:val="15"/>
          <w:color w:val="231F20"/>
          <w:spacing w:val="-11"/>
        </w:rPr>
        <w:t>699-702.</w:t>
      </w:r>
    </w:p>
    <w:p>
      <w:pPr>
        <w:pStyle w:val="BodyText"/>
        <w:ind w:left="1184" w:right="265" w:hanging="511"/>
        <w:spacing w:before="38" w:line="27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24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 </w:t>
      </w:r>
      <w:r>
        <w:rPr>
          <w:sz w:val="15"/>
          <w:szCs w:val="15"/>
          <w:color w:val="231F20"/>
          <w:spacing w:val="-1"/>
        </w:rPr>
        <w:t>EWALD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"/>
        </w:rPr>
        <w:t>N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KLOER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H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U.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"/>
        </w:rPr>
        <w:t>Treatment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"/>
        </w:rPr>
        <w:t>options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"/>
        </w:rPr>
        <w:t>for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severe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"/>
        </w:rPr>
        <w:t>hypertri-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glyceridemia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SHTG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>）：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0"/>
        </w:rPr>
        <w:t>role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10"/>
        </w:rPr>
        <w:t>apheresis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0"/>
        </w:rPr>
        <w:t>Clin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0"/>
        </w:rPr>
        <w:t>Res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0"/>
        </w:rPr>
        <w:t>Cardi-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ol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6"/>
        </w:rPr>
        <w:t>Suppl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2012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Suppl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6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w w:val="65"/>
        </w:rPr>
        <w:t>）：</w:t>
      </w:r>
      <w:r>
        <w:rPr>
          <w:sz w:val="15"/>
          <w:szCs w:val="15"/>
          <w:color w:val="231F20"/>
          <w:spacing w:val="-6"/>
        </w:rPr>
        <w:t>31-35.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3" w:right="67" w:hanging="453"/>
        <w:spacing w:line="29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25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>］ </w:t>
      </w:r>
      <w:r>
        <w:rPr>
          <w:sz w:val="15"/>
          <w:szCs w:val="15"/>
          <w:color w:val="231F20"/>
          <w:spacing w:val="15"/>
        </w:rPr>
        <w:t>GALÁN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5"/>
        </w:rPr>
        <w:t>CARRILLO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5"/>
        </w:rPr>
        <w:t>I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>，</w:t>
      </w:r>
      <w:r>
        <w:rPr>
          <w:sz w:val="15"/>
          <w:szCs w:val="15"/>
          <w:color w:val="231F20"/>
          <w:spacing w:val="15"/>
        </w:rPr>
        <w:t>DEMELO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15"/>
        </w:rPr>
        <w:t>-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15"/>
        </w:rPr>
        <w:t>RODRIGU</w:t>
      </w:r>
      <w:r>
        <w:rPr>
          <w:sz w:val="15"/>
          <w:szCs w:val="15"/>
          <w:color w:val="231F20"/>
          <w:spacing w:val="14"/>
        </w:rPr>
        <w:t>EZ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4"/>
        </w:rPr>
        <w:t>P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，</w:t>
      </w:r>
      <w:r>
        <w:rPr>
          <w:sz w:val="15"/>
          <w:szCs w:val="15"/>
          <w:color w:val="231F20"/>
          <w:spacing w:val="14"/>
        </w:rPr>
        <w:t>RODRÍ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14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GUEZ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FERRERO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M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L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Double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"/>
        </w:rPr>
        <w:t>filtration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2"/>
        </w:rPr>
        <w:t>plasmapheresis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10"/>
        </w:rPr>
        <w:t>treatment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10"/>
        </w:rPr>
        <w:t>pancreatitis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0"/>
        </w:rPr>
        <w:t>due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10"/>
        </w:rPr>
        <w:t>to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0"/>
        </w:rPr>
        <w:t>severe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10"/>
        </w:rPr>
        <w:t>hypertriglyceridemia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0"/>
        </w:rPr>
        <w:t>Clin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10"/>
        </w:rPr>
        <w:t>Lipidol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2015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9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w w:val="63"/>
        </w:rPr>
        <w:t>）：</w:t>
      </w:r>
      <w:r>
        <w:rPr>
          <w:sz w:val="15"/>
          <w:szCs w:val="15"/>
          <w:color w:val="231F20"/>
          <w:spacing w:val="-10"/>
        </w:rPr>
        <w:t>698-702.</w:t>
      </w:r>
    </w:p>
    <w:p>
      <w:pPr>
        <w:pStyle w:val="BodyText"/>
        <w:ind w:left="512" w:right="67" w:hanging="512"/>
        <w:spacing w:before="38" w:line="29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［</w:t>
      </w:r>
      <w:r>
        <w:rPr>
          <w:sz w:val="15"/>
          <w:szCs w:val="15"/>
          <w:color w:val="231F20"/>
          <w:spacing w:val="10"/>
        </w:rPr>
        <w:t>26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］ </w:t>
      </w:r>
      <w:r>
        <w:rPr>
          <w:sz w:val="15"/>
          <w:szCs w:val="15"/>
          <w:color w:val="231F20"/>
          <w:spacing w:val="10"/>
        </w:rPr>
        <w:t>GUBENSEK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  <w:spacing w:val="10"/>
        </w:rPr>
        <w:t>BUTUROVIC-PONIKVAR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  <w:spacing w:val="10"/>
        </w:rPr>
        <w:t>ROMOZI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0"/>
        </w:rPr>
        <w:t>K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  <w:spacing w:val="10"/>
        </w:rPr>
        <w:t>et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10"/>
        </w:rPr>
        <w:t>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Factors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affecting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outcome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acute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hypertriglyceridem</w:t>
      </w:r>
      <w:r>
        <w:rPr>
          <w:sz w:val="15"/>
          <w:szCs w:val="15"/>
          <w:color w:val="231F20"/>
          <w:spacing w:val="-10"/>
        </w:rPr>
        <w:t>ic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pancre-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atitis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treated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plasma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exchange</w:t>
      </w:r>
      <w:r>
        <w:rPr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an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observational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cohort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8"/>
        </w:rPr>
        <w:t>PLoS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8"/>
        </w:rPr>
        <w:t>One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2014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9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w w:val="81"/>
        </w:rPr>
        <w:t>）：</w:t>
      </w:r>
      <w:r>
        <w:rPr>
          <w:sz w:val="15"/>
          <w:szCs w:val="15"/>
          <w:color w:val="231F20"/>
          <w:spacing w:val="-8"/>
        </w:rPr>
        <w:t>e102748.</w:t>
      </w:r>
    </w:p>
    <w:p>
      <w:pPr>
        <w:pStyle w:val="BodyText"/>
        <w:ind w:left="453" w:right="70" w:hanging="453"/>
        <w:spacing w:before="36" w:line="28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27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］ </w:t>
      </w:r>
      <w:r>
        <w:rPr>
          <w:sz w:val="15"/>
          <w:szCs w:val="15"/>
          <w:color w:val="231F20"/>
          <w:spacing w:val="-3"/>
        </w:rPr>
        <w:t>SUN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3"/>
        </w:rPr>
        <w:t>L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LI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3"/>
        </w:rPr>
        <w:t>W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GENG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3"/>
        </w:rPr>
        <w:t>Y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3"/>
        </w:rPr>
        <w:t>Acute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3"/>
        </w:rPr>
        <w:t>pancreatitis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3"/>
        </w:rPr>
        <w:t>in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3"/>
        </w:rPr>
        <w:t>pregnancy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6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-6"/>
        </w:rPr>
        <w:t>.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6"/>
        </w:rPr>
        <w:t>Acta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6"/>
        </w:rPr>
        <w:t>Obstet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6"/>
        </w:rPr>
        <w:t>Gynecol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6"/>
        </w:rPr>
        <w:t>Scand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2011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90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61"/>
        </w:rPr>
        <w:t>）：</w:t>
      </w:r>
      <w:r>
        <w:rPr>
          <w:sz w:val="15"/>
          <w:szCs w:val="15"/>
          <w:color w:val="231F20"/>
          <w:spacing w:val="-6"/>
        </w:rPr>
        <w:t>671-676.</w:t>
      </w:r>
    </w:p>
    <w:p>
      <w:pPr>
        <w:pStyle w:val="BodyText"/>
        <w:ind w:left="512" w:right="67" w:hanging="511"/>
        <w:spacing w:before="36" w:line="29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［</w:t>
      </w:r>
      <w:r>
        <w:rPr>
          <w:sz w:val="15"/>
          <w:szCs w:val="15"/>
          <w:color w:val="231F20"/>
          <w:spacing w:val="17"/>
        </w:rPr>
        <w:t>28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］ </w:t>
      </w:r>
      <w:r>
        <w:rPr>
          <w:sz w:val="15"/>
          <w:szCs w:val="15"/>
          <w:color w:val="231F20"/>
        </w:rPr>
        <w:t>BASAR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R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，</w:t>
      </w:r>
      <w:r>
        <w:rPr>
          <w:sz w:val="15"/>
          <w:szCs w:val="15"/>
          <w:color w:val="231F20"/>
        </w:rPr>
        <w:t>UZUM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，</w:t>
      </w:r>
      <w:r>
        <w:rPr>
          <w:sz w:val="15"/>
          <w:szCs w:val="15"/>
          <w:color w:val="231F20"/>
        </w:rPr>
        <w:t>CANBAZ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7"/>
        </w:rPr>
        <w:t>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Therapeutic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aphere</w:t>
      </w:r>
      <w:r>
        <w:rPr>
          <w:sz w:val="15"/>
          <w:szCs w:val="15"/>
          <w:color w:val="231F20"/>
          <w:spacing w:val="17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sis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1"/>
        </w:rPr>
        <w:t>severe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1"/>
        </w:rPr>
        <w:t>hypertriglyceridemia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1"/>
        </w:rPr>
        <w:t>pregnancy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1"/>
        </w:rPr>
        <w:t>Arch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1"/>
        </w:rPr>
        <w:t>Gyne-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colObstet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2013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287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5"/>
        </w:rPr>
        <w:t>839-843.</w:t>
      </w:r>
    </w:p>
    <w:p>
      <w:pPr>
        <w:pStyle w:val="BodyText"/>
        <w:ind w:left="510" w:right="66" w:hanging="509"/>
        <w:spacing w:before="26" w:line="29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［</w:t>
      </w:r>
      <w:r>
        <w:rPr>
          <w:sz w:val="15"/>
          <w:szCs w:val="15"/>
          <w:color w:val="231F20"/>
          <w:spacing w:val="14"/>
        </w:rPr>
        <w:t>29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］ </w:t>
      </w:r>
      <w:r>
        <w:rPr>
          <w:sz w:val="15"/>
          <w:szCs w:val="15"/>
          <w:color w:val="231F20"/>
          <w:spacing w:val="14"/>
        </w:rPr>
        <w:t>PADMANABHAN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4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，</w:t>
      </w:r>
      <w:r>
        <w:rPr>
          <w:sz w:val="15"/>
          <w:szCs w:val="15"/>
          <w:color w:val="231F20"/>
          <w:spacing w:val="14"/>
        </w:rPr>
        <w:t>CONNELLY-SMITH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4"/>
        </w:rPr>
        <w:t>L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，</w:t>
      </w:r>
      <w:r>
        <w:rPr>
          <w:sz w:val="15"/>
          <w:szCs w:val="15"/>
          <w:color w:val="231F20"/>
          <w:spacing w:val="14"/>
        </w:rPr>
        <w:t>AQUI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4"/>
        </w:rPr>
        <w:t>N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，</w:t>
      </w:r>
      <w:r>
        <w:rPr>
          <w:sz w:val="15"/>
          <w:szCs w:val="15"/>
          <w:color w:val="231F20"/>
          <w:spacing w:val="14"/>
        </w:rPr>
        <w:t>et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4"/>
        </w:rPr>
        <w:t>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Guidelines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use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therapeutic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apheresis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clini</w:t>
      </w:r>
      <w:r>
        <w:rPr>
          <w:sz w:val="15"/>
          <w:szCs w:val="15"/>
          <w:color w:val="231F20"/>
          <w:spacing w:val="-11"/>
        </w:rPr>
        <w:t>cal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prac-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tice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7"/>
        </w:rPr>
        <w:t>evidence-based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7"/>
        </w:rPr>
        <w:t>approach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8"/>
        </w:rPr>
        <w:t>from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8"/>
        </w:rPr>
        <w:t>writing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8"/>
        </w:rPr>
        <w:t>committee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American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society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-11"/>
        </w:rPr>
        <w:t>pheresis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eighth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special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issue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Clin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5"/>
        </w:rPr>
        <w:t>Apher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2019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34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-33"/>
          <w:w w:val="83"/>
        </w:rPr>
        <w:t>）：</w:t>
      </w:r>
      <w:r>
        <w:rPr>
          <w:sz w:val="15"/>
          <w:szCs w:val="15"/>
          <w:color w:val="231F20"/>
          <w:spacing w:val="-5"/>
        </w:rPr>
        <w:t>171-354.</w:t>
      </w:r>
    </w:p>
    <w:p>
      <w:pPr>
        <w:pStyle w:val="BodyText"/>
        <w:ind w:left="450" w:right="66" w:hanging="449"/>
        <w:spacing w:before="38" w:line="29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［</w:t>
      </w:r>
      <w:r>
        <w:rPr>
          <w:sz w:val="15"/>
          <w:szCs w:val="15"/>
          <w:color w:val="231F20"/>
          <w:spacing w:val="16"/>
        </w:rPr>
        <w:t>30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］ </w:t>
      </w:r>
      <w:r>
        <w:rPr>
          <w:sz w:val="15"/>
          <w:szCs w:val="15"/>
          <w:color w:val="231F20"/>
          <w:spacing w:val="16"/>
        </w:rPr>
        <w:t>ITALIAN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16"/>
        </w:rPr>
        <w:t>ASSOCIATION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6"/>
        </w:rPr>
        <w:t>F</w:t>
      </w:r>
      <w:r>
        <w:rPr>
          <w:sz w:val="15"/>
          <w:szCs w:val="15"/>
          <w:color w:val="231F20"/>
          <w:spacing w:val="15"/>
        </w:rPr>
        <w:t>OR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15"/>
        </w:rPr>
        <w:t>THE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5"/>
        </w:rPr>
        <w:t>STUDY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5"/>
        </w:rPr>
        <w:t>OF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15"/>
        </w:rPr>
        <w:t>THE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15"/>
        </w:rPr>
        <w:t>PANCRE-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AS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（</w:t>
      </w:r>
      <w:r>
        <w:rPr>
          <w:sz w:val="15"/>
          <w:szCs w:val="15"/>
          <w:color w:val="231F20"/>
        </w:rPr>
        <w:t>AISP</w:t>
      </w:r>
      <w:r>
        <w:rPr>
          <w:rFonts w:ascii="SimSun" w:hAnsi="SimSun" w:eastAsia="SimSun" w:cs="SimSun"/>
          <w:sz w:val="15"/>
          <w:szCs w:val="15"/>
          <w:color w:val="231F20"/>
          <w:spacing w:val="-39"/>
          <w:w w:val="98"/>
        </w:rPr>
        <w:t>），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</w:rPr>
        <w:t>PEZZILLI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R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sz w:val="15"/>
          <w:szCs w:val="15"/>
          <w:color w:val="231F20"/>
        </w:rPr>
        <w:t>ZERBI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Consensus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</w:rPr>
        <w:t>guide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lines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severe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acute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Dig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Liver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Dis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2015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47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（</w:t>
      </w:r>
      <w:r>
        <w:rPr>
          <w:sz w:val="15"/>
          <w:szCs w:val="15"/>
          <w:color w:val="231F20"/>
          <w:spacing w:val="4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-23"/>
          <w:w w:val="58"/>
        </w:rPr>
        <w:t>）：</w:t>
      </w:r>
      <w:r>
        <w:rPr>
          <w:sz w:val="15"/>
          <w:szCs w:val="15"/>
          <w:color w:val="231F20"/>
          <w:spacing w:val="4"/>
        </w:rPr>
        <w:t>532-543.</w:t>
      </w:r>
    </w:p>
    <w:p>
      <w:pPr>
        <w:pStyle w:val="BodyText"/>
        <w:ind w:left="508" w:right="68" w:hanging="507"/>
        <w:spacing w:before="25" w:line="2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>［</w:t>
      </w:r>
      <w:r>
        <w:rPr>
          <w:sz w:val="15"/>
          <w:szCs w:val="15"/>
          <w:color w:val="231F20"/>
          <w:spacing w:val="21"/>
        </w:rPr>
        <w:t>31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>］ </w:t>
      </w:r>
      <w:r>
        <w:rPr>
          <w:sz w:val="15"/>
          <w:szCs w:val="15"/>
          <w:color w:val="231F20"/>
        </w:rPr>
        <w:t>YOKOE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>，</w:t>
      </w:r>
      <w:r>
        <w:rPr>
          <w:sz w:val="15"/>
          <w:szCs w:val="15"/>
          <w:color w:val="231F20"/>
        </w:rPr>
        <w:t>TAKADA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>，</w:t>
      </w:r>
      <w:r>
        <w:rPr>
          <w:sz w:val="15"/>
          <w:szCs w:val="15"/>
          <w:color w:val="231F20"/>
        </w:rPr>
        <w:t>MAYUMI</w:t>
      </w:r>
      <w:r>
        <w:rPr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1"/>
        </w:rPr>
        <w:t>.</w:t>
      </w:r>
      <w:r>
        <w:rPr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</w:rPr>
        <w:t>Japanese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for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7"/>
        </w:rPr>
        <w:t>the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7"/>
        </w:rPr>
        <w:t>management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7"/>
        </w:rPr>
        <w:t>acute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7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Japanese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7"/>
        </w:rPr>
        <w:t>Guidel</w:t>
      </w:r>
      <w:r>
        <w:rPr>
          <w:sz w:val="15"/>
          <w:szCs w:val="15"/>
          <w:color w:val="231F20"/>
          <w:spacing w:val="-8"/>
        </w:rPr>
        <w:t>ines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2015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</w:t>
      </w:r>
      <w:r>
        <w:rPr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9"/>
        </w:rPr>
        <w:t>Hepatobiliary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9"/>
        </w:rPr>
        <w:t>Pa</w:t>
      </w:r>
      <w:r>
        <w:rPr>
          <w:sz w:val="15"/>
          <w:szCs w:val="15"/>
          <w:color w:val="231F20"/>
          <w:spacing w:val="-10"/>
        </w:rPr>
        <w:t>ncreat</w:t>
      </w:r>
      <w:r>
        <w:rPr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10"/>
        </w:rPr>
        <w:t>Sci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2015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22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-22"/>
          <w:w w:val="55"/>
        </w:rPr>
        <w:t>）：</w:t>
      </w:r>
      <w:r>
        <w:rPr>
          <w:sz w:val="15"/>
          <w:szCs w:val="15"/>
          <w:color w:val="231F20"/>
          <w:spacing w:val="-10"/>
        </w:rPr>
        <w:t>405-432.</w:t>
      </w:r>
    </w:p>
    <w:p>
      <w:pPr>
        <w:pStyle w:val="BodyText"/>
        <w:ind w:left="454" w:right="66" w:hanging="453"/>
        <w:spacing w:before="37" w:line="2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［</w:t>
      </w:r>
      <w:r>
        <w:rPr>
          <w:sz w:val="15"/>
          <w:szCs w:val="15"/>
          <w:color w:val="231F20"/>
          <w:spacing w:val="10"/>
        </w:rPr>
        <w:t>32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］ </w:t>
      </w:r>
      <w:r>
        <w:rPr>
          <w:sz w:val="15"/>
          <w:szCs w:val="15"/>
          <w:color w:val="231F20"/>
          <w:spacing w:val="10"/>
        </w:rPr>
        <w:t>LEPPÄNIEMI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0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  <w:spacing w:val="10"/>
        </w:rPr>
        <w:t>TOLONEN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10"/>
        </w:rPr>
        <w:t>M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  <w:spacing w:val="10"/>
        </w:rPr>
        <w:t>TARASCONI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0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  <w:spacing w:val="1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10"/>
        </w:rPr>
        <w:t>al.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0"/>
        </w:rPr>
        <w:t>2</w:t>
      </w:r>
      <w:r>
        <w:rPr>
          <w:sz w:val="15"/>
          <w:szCs w:val="15"/>
          <w:color w:val="231F20"/>
          <w:spacing w:val="9"/>
        </w:rPr>
        <w:t>019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WSES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5"/>
        </w:rPr>
        <w:t>guidelines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5"/>
        </w:rPr>
        <w:t>for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5"/>
        </w:rPr>
        <w:t>the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5"/>
        </w:rPr>
        <w:t>m</w:t>
      </w:r>
      <w:r>
        <w:rPr>
          <w:sz w:val="15"/>
          <w:szCs w:val="15"/>
          <w:color w:val="231F20"/>
          <w:spacing w:val="-6"/>
        </w:rPr>
        <w:t>anagement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6"/>
        </w:rPr>
        <w:t>of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6"/>
        </w:rPr>
        <w:t>severe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6"/>
        </w:rPr>
        <w:t>acute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6"/>
        </w:rPr>
        <w:t>pancreatitis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</w:t>
      </w:r>
      <w:r>
        <w:rPr>
          <w:sz w:val="15"/>
          <w:szCs w:val="15"/>
          <w:color w:val="231F20"/>
          <w:spacing w:val="-7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-7"/>
        </w:rPr>
        <w:t>.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7"/>
        </w:rPr>
        <w:t>World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7"/>
        </w:rPr>
        <w:t>Emerg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7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2019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14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27.</w:t>
      </w:r>
    </w:p>
    <w:p>
      <w:pPr>
        <w:pStyle w:val="BodyText"/>
        <w:ind w:left="450" w:right="66" w:hanging="449"/>
        <w:spacing w:before="40" w:line="29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33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］ </w:t>
      </w:r>
      <w:r>
        <w:rPr>
          <w:sz w:val="15"/>
          <w:szCs w:val="15"/>
          <w:color w:val="231F20"/>
          <w:spacing w:val="9"/>
        </w:rPr>
        <w:t>CROCKETT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9"/>
        </w:rPr>
        <w:t>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9"/>
        </w:rPr>
        <w:t>D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sz w:val="15"/>
          <w:szCs w:val="15"/>
          <w:color w:val="231F20"/>
          <w:spacing w:val="9"/>
        </w:rPr>
        <w:t>WANI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9"/>
        </w:rPr>
        <w:t>S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sz w:val="15"/>
          <w:szCs w:val="15"/>
          <w:color w:val="231F20"/>
          <w:spacing w:val="9"/>
        </w:rPr>
        <w:t>GARDNER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9"/>
        </w:rPr>
        <w:t>T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9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sz w:val="15"/>
          <w:szCs w:val="15"/>
          <w:color w:val="231F20"/>
          <w:spacing w:val="9"/>
        </w:rPr>
        <w:t>et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9"/>
        </w:rPr>
        <w:t>al.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8"/>
        </w:rPr>
        <w:t>American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gastroenterological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2"/>
        </w:rPr>
        <w:t>association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2"/>
        </w:rPr>
        <w:t>institute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2"/>
        </w:rPr>
        <w:t>guideline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2"/>
        </w:rPr>
        <w:t>initial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2"/>
        </w:rPr>
        <w:t>man-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agement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acute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Gastroenterology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2018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154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spacing w:val="-33"/>
          <w:w w:val="82"/>
        </w:rPr>
        <w:t>）：</w:t>
      </w:r>
      <w:r>
        <w:rPr>
          <w:sz w:val="15"/>
          <w:szCs w:val="15"/>
          <w:color w:val="231F20"/>
          <w:spacing w:val="-1"/>
        </w:rPr>
        <w:t>1096-1101.</w:t>
      </w:r>
    </w:p>
    <w:p>
      <w:pPr>
        <w:pStyle w:val="BodyText"/>
        <w:ind w:left="511" w:right="66" w:hanging="510"/>
        <w:spacing w:before="24" w:line="28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34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］ </w:t>
      </w:r>
      <w:r>
        <w:rPr>
          <w:sz w:val="15"/>
          <w:szCs w:val="15"/>
          <w:color w:val="231F20"/>
          <w:spacing w:val="11"/>
        </w:rPr>
        <w:t>ARVANITAKIS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1"/>
        </w:rPr>
        <w:t>M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sz w:val="15"/>
          <w:szCs w:val="15"/>
          <w:color w:val="231F20"/>
          <w:spacing w:val="11"/>
        </w:rPr>
        <w:t>OCKENGA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sz w:val="15"/>
          <w:szCs w:val="15"/>
          <w:color w:val="231F20"/>
          <w:spacing w:val="11"/>
        </w:rPr>
        <w:t>BEZMAR</w:t>
      </w:r>
      <w:r>
        <w:rPr>
          <w:sz w:val="15"/>
          <w:szCs w:val="15"/>
          <w:color w:val="231F20"/>
          <w:spacing w:val="10"/>
        </w:rPr>
        <w:t>EVIC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0"/>
        </w:rPr>
        <w:t>M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  <w:spacing w:val="10"/>
        </w:rPr>
        <w:t>et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0"/>
        </w:rPr>
        <w:t>al.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0"/>
        </w:rPr>
        <w:t>ES-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PEN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9"/>
        </w:rPr>
        <w:t>guideline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9"/>
        </w:rPr>
        <w:t>on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9"/>
        </w:rPr>
        <w:t>nutrition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9"/>
        </w:rPr>
        <w:t>acute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9"/>
        </w:rPr>
        <w:t>chronic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9"/>
        </w:rPr>
        <w:t>pancre-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atitis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2"/>
        </w:rPr>
        <w:t>Clin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12"/>
        </w:rPr>
        <w:t>Nutr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2020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39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612-631.</w:t>
      </w:r>
    </w:p>
    <w:p>
      <w:pPr>
        <w:pStyle w:val="BodyText"/>
        <w:ind w:left="508" w:right="21" w:hanging="507"/>
        <w:spacing w:before="35" w:line="29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35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］ 张春林，张朝贵，谭忠桦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酒石酸布托啡诺在行有创机械通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气高脂血症性重症急性胰腺炎患者中的应用［</w:t>
      </w:r>
      <w:r>
        <w:rPr>
          <w:sz w:val="15"/>
          <w:szCs w:val="15"/>
          <w:color w:val="231F20"/>
          <w:spacing w:val="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广西医学，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2017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39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w w:val="65"/>
        </w:rPr>
        <w:t>）：</w:t>
      </w:r>
      <w:r>
        <w:rPr>
          <w:sz w:val="15"/>
          <w:szCs w:val="15"/>
          <w:color w:val="231F20"/>
          <w:spacing w:val="-2"/>
        </w:rPr>
        <w:t>490-493.</w:t>
      </w:r>
    </w:p>
    <w:p>
      <w:pPr>
        <w:pStyle w:val="BodyText"/>
        <w:ind w:left="509" w:right="67" w:hanging="509"/>
        <w:spacing w:before="25" w:line="28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36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］ 郭丰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重症急性胰腺炎合并感染的</w:t>
      </w:r>
      <w:r>
        <w:rPr>
          <w:rFonts w:ascii="SimSun" w:hAnsi="SimSun" w:eastAsia="SimSun" w:cs="SimSun"/>
          <w:sz w:val="15"/>
          <w:szCs w:val="15"/>
          <w:color w:val="231F20"/>
        </w:rPr>
        <w:t>诊断和抗生素使用［</w:t>
      </w:r>
      <w:r>
        <w:rPr>
          <w:sz w:val="15"/>
          <w:szCs w:val="15"/>
          <w:color w:val="231F20"/>
        </w:rPr>
        <w:t>J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中 </w:t>
      </w:r>
      <w:r>
        <w:rPr>
          <w:rFonts w:ascii="SimSun" w:hAnsi="SimSun" w:eastAsia="SimSun" w:cs="SimSun"/>
          <w:sz w:val="15"/>
          <w:szCs w:val="15"/>
          <w:color w:val="231F20"/>
        </w:rPr>
        <w:t>华消化杂志，</w:t>
      </w:r>
      <w:r>
        <w:rPr>
          <w:sz w:val="15"/>
          <w:szCs w:val="15"/>
          <w:color w:val="231F20"/>
        </w:rPr>
        <w:t>2020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40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-23"/>
          <w:w w:val="58"/>
        </w:rPr>
        <w:t>）：</w:t>
      </w:r>
      <w:r>
        <w:rPr>
          <w:sz w:val="15"/>
          <w:szCs w:val="15"/>
          <w:color w:val="231F20"/>
        </w:rPr>
        <w:t>444-447.</w:t>
      </w:r>
    </w:p>
    <w:p>
      <w:pPr>
        <w:pStyle w:val="BodyText"/>
        <w:ind w:left="509" w:hanging="509"/>
        <w:spacing w:before="34" w:line="29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</w:t>
      </w:r>
      <w:r>
        <w:rPr>
          <w:sz w:val="15"/>
          <w:szCs w:val="15"/>
          <w:color w:val="231F20"/>
          <w:spacing w:val="5"/>
        </w:rPr>
        <w:t>37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］ 中华医学会消化病学分会胰腺疾病学组，《中华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胰腺病杂志》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编辑委员会，《中华消化杂志》编辑委员会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国急性胰腺炎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诊治指南（</w:t>
      </w:r>
      <w:r>
        <w:rPr>
          <w:sz w:val="15"/>
          <w:szCs w:val="15"/>
          <w:color w:val="231F20"/>
          <w:spacing w:val="-2"/>
        </w:rPr>
        <w:t>2019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，沈阳</w:t>
      </w:r>
      <w:r>
        <w:rPr>
          <w:rFonts w:ascii="SimSun" w:hAnsi="SimSun" w:eastAsia="SimSun" w:cs="SimSun"/>
          <w:sz w:val="15"/>
          <w:szCs w:val="15"/>
          <w:color w:val="231F20"/>
          <w:spacing w:val="-34"/>
          <w:w w:val="84"/>
        </w:rPr>
        <w:t>）［</w:t>
      </w:r>
      <w:r>
        <w:rPr>
          <w:sz w:val="15"/>
          <w:szCs w:val="15"/>
          <w:color w:val="231F20"/>
          <w:spacing w:val="-2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中华胰腺病杂志，</w:t>
      </w:r>
      <w:r>
        <w:rPr>
          <w:sz w:val="15"/>
          <w:szCs w:val="15"/>
          <w:color w:val="231F20"/>
          <w:spacing w:val="-2"/>
        </w:rPr>
        <w:t>201</w:t>
      </w:r>
      <w:r>
        <w:rPr>
          <w:sz w:val="15"/>
          <w:szCs w:val="15"/>
          <w:color w:val="231F20"/>
          <w:spacing w:val="-3"/>
        </w:rPr>
        <w:t>9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19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spacing w:val="-34"/>
          <w:w w:val="84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321-331.</w:t>
      </w:r>
    </w:p>
    <w:p>
      <w:pPr>
        <w:pStyle w:val="BodyText"/>
        <w:ind w:left="508" w:right="67" w:hanging="508"/>
        <w:spacing w:before="26" w:line="29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［</w:t>
      </w:r>
      <w:r>
        <w:rPr>
          <w:sz w:val="15"/>
          <w:szCs w:val="15"/>
          <w:color w:val="231F20"/>
          <w:spacing w:val="3"/>
        </w:rPr>
        <w:t>38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］ 潘龙飞，王立明，牛泽群，等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乌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司他丁联合奥曲肽对重症急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性胰腺炎患者炎症风暴和肺损伤的作用及机制［</w:t>
      </w:r>
      <w:r>
        <w:rPr>
          <w:sz w:val="15"/>
          <w:szCs w:val="15"/>
          <w:color w:val="231F20"/>
          <w:spacing w:val="2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肝胆胰外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科杂志，</w:t>
      </w:r>
      <w:r>
        <w:rPr>
          <w:sz w:val="15"/>
          <w:szCs w:val="15"/>
          <w:color w:val="231F20"/>
          <w:spacing w:val="-4"/>
        </w:rPr>
        <w:t>2021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33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-33"/>
          <w:w w:val="83"/>
        </w:rPr>
        <w:t>）：</w:t>
      </w:r>
      <w:r>
        <w:rPr>
          <w:sz w:val="15"/>
          <w:szCs w:val="15"/>
          <w:color w:val="231F20"/>
          <w:spacing w:val="-4"/>
        </w:rPr>
        <w:t>147-151.</w:t>
      </w:r>
    </w:p>
    <w:p>
      <w:pPr>
        <w:pStyle w:val="BodyText"/>
        <w:ind w:left="509" w:right="67" w:hanging="509"/>
        <w:spacing w:before="34" w:line="29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</w:t>
      </w:r>
      <w:r>
        <w:rPr>
          <w:sz w:val="15"/>
          <w:szCs w:val="15"/>
          <w:color w:val="231F20"/>
          <w:spacing w:val="8"/>
        </w:rPr>
        <w:t>39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］ 樊媛，潘龙飞，牛泽群，等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乌司他丁联合</w:t>
      </w:r>
      <w:r>
        <w:rPr>
          <w:sz w:val="15"/>
          <w:szCs w:val="15"/>
          <w:color w:val="231F20"/>
        </w:rPr>
        <w:t>CRRT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对重症急性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胰腺炎患者血管内皮功能和血小板活化因子的影响［</w:t>
      </w:r>
      <w:r>
        <w:rPr>
          <w:sz w:val="15"/>
          <w:szCs w:val="15"/>
          <w:color w:val="231F20"/>
          <w:spacing w:val="2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肝胆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胰外科杂志，</w:t>
      </w:r>
      <w:r>
        <w:rPr>
          <w:sz w:val="15"/>
          <w:szCs w:val="15"/>
          <w:color w:val="231F20"/>
          <w:spacing w:val="-1"/>
        </w:rPr>
        <w:t>2020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32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10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1"/>
        </w:rPr>
        <w:t>605-609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618.</w:t>
      </w:r>
    </w:p>
    <w:p>
      <w:pPr>
        <w:pStyle w:val="BodyText"/>
        <w:ind w:left="512" w:right="67" w:hanging="512"/>
        <w:spacing w:before="34" w:line="2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40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］ </w:t>
      </w:r>
      <w:r>
        <w:rPr>
          <w:sz w:val="15"/>
          <w:szCs w:val="15"/>
          <w:color w:val="231F20"/>
          <w:spacing w:val="9"/>
        </w:rPr>
        <w:t>WITZTUM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9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9"/>
        </w:rPr>
        <w:t>L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sz w:val="15"/>
          <w:szCs w:val="15"/>
          <w:color w:val="231F20"/>
          <w:spacing w:val="9"/>
        </w:rPr>
        <w:t>GAUDET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9"/>
        </w:rPr>
        <w:t>D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sz w:val="15"/>
          <w:szCs w:val="15"/>
          <w:color w:val="231F20"/>
          <w:spacing w:val="9"/>
        </w:rPr>
        <w:t>FREEDMAN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9"/>
        </w:rPr>
        <w:t>S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9"/>
        </w:rPr>
        <w:t>D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sz w:val="15"/>
          <w:szCs w:val="15"/>
          <w:color w:val="231F20"/>
          <w:spacing w:val="9"/>
        </w:rPr>
        <w:t>et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9"/>
        </w:rPr>
        <w:t>al.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9"/>
        </w:rPr>
        <w:t>Vo</w:t>
      </w:r>
      <w:r>
        <w:rPr>
          <w:sz w:val="15"/>
          <w:szCs w:val="15"/>
          <w:color w:val="231F20"/>
          <w:spacing w:val="8"/>
        </w:rPr>
        <w:t>lane-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sorsen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9"/>
        </w:rPr>
        <w:t>triglyce</w:t>
      </w:r>
      <w:r>
        <w:rPr>
          <w:sz w:val="15"/>
          <w:szCs w:val="15"/>
          <w:color w:val="231F20"/>
          <w:spacing w:val="-10"/>
        </w:rPr>
        <w:t>ride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levels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familial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chylomicronemia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</w:rPr>
        <w:t>syn-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drome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5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5"/>
        </w:rPr>
        <w:t>.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5"/>
        </w:rPr>
        <w:t>N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5"/>
        </w:rPr>
        <w:t>Engl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5"/>
        </w:rPr>
        <w:t>Med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2019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381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w w:val="63"/>
        </w:rPr>
        <w:t>）：</w:t>
      </w:r>
      <w:r>
        <w:rPr>
          <w:sz w:val="15"/>
          <w:szCs w:val="15"/>
          <w:color w:val="231F20"/>
          <w:spacing w:val="-5"/>
        </w:rPr>
        <w:t>531-542.</w:t>
      </w:r>
    </w:p>
    <w:p>
      <w:pPr>
        <w:pStyle w:val="BodyText"/>
        <w:ind w:left="510" w:right="61" w:hanging="510"/>
        <w:spacing w:before="39" w:line="28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41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］ </w:t>
      </w:r>
      <w:r>
        <w:rPr>
          <w:sz w:val="15"/>
          <w:szCs w:val="15"/>
          <w:color w:val="231F20"/>
        </w:rPr>
        <w:t>ZAFRIR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sz w:val="15"/>
          <w:szCs w:val="15"/>
          <w:color w:val="231F20"/>
        </w:rPr>
        <w:t>SALIBA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sz w:val="15"/>
          <w:szCs w:val="15"/>
          <w:color w:val="231F20"/>
        </w:rPr>
        <w:t>JUBRAN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</w:rPr>
        <w:t>Severe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</w:rPr>
        <w:t>hypertriglyc</w:t>
      </w:r>
      <w:r>
        <w:rPr>
          <w:sz w:val="15"/>
          <w:szCs w:val="15"/>
          <w:color w:val="231F20"/>
          <w:spacing w:val="1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eridemia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1"/>
        </w:rPr>
        <w:t>-related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pancreatitis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Characteristics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predictors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recurrence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10"/>
        </w:rPr>
        <w:t>Pancreas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2019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48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w w:val="80"/>
        </w:rPr>
        <w:t>）：</w:t>
      </w:r>
      <w:r>
        <w:rPr>
          <w:sz w:val="15"/>
          <w:szCs w:val="15"/>
          <w:color w:val="231F20"/>
          <w:spacing w:val="-11"/>
        </w:rPr>
        <w:t>182-186.</w:t>
      </w:r>
    </w:p>
    <w:p>
      <w:pPr>
        <w:pStyle w:val="BodyText"/>
        <w:ind w:right="4"/>
        <w:spacing w:before="35" w:line="172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（收稿：</w:t>
      </w:r>
      <w:r>
        <w:rPr>
          <w:sz w:val="15"/>
          <w:szCs w:val="15"/>
          <w:color w:val="231F20"/>
          <w:spacing w:val="-2"/>
        </w:rPr>
        <w:t>2021-08-30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编辑：黄月薪）</w:t>
      </w:r>
    </w:p>
    <w:sectPr>
      <w:type w:val="continuous"/>
      <w:pgSz w:w="11906" w:h="16838"/>
      <w:pgMar w:top="1400" w:right="1066" w:bottom="0" w:left="407" w:header="1077" w:footer="0" w:gutter="0"/>
      <w:cols w:equalWidth="0" w:num="2">
        <w:col w:w="5602" w:space="100"/>
        <w:col w:w="473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8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0.4pt;margin-top:814.48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1"/>
      <w:spacing w:before="46" w:line="231" w:lineRule="auto"/>
      <w:rPr>
        <w:sz w:val="20"/>
        <w:szCs w:val="20"/>
      </w:rPr>
    </w:pPr>
    <w:r>
      <w:pict>
        <v:shape id="WordPictureWatermark8" style="position:absolute;margin-left:20.4pt;margin-top:814.48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实用医学杂志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3"/>
      </w:rPr>
      <w:t xml:space="preserve">   </w:t>
    </w:r>
    <w:r>
      <w:rPr>
        <w:sz w:val="15"/>
        <w:szCs w:val="15"/>
        <w:u w:val="single" w:color="auto"/>
        <w:color w:val="231F20"/>
      </w:rPr>
      <w:t>2021</w:t>
    </w:r>
    <w:r>
      <w:rPr>
        <w:sz w:val="15"/>
        <w:szCs w:val="15"/>
        <w:u w:val="single" w:color="auto"/>
        <w:color w:val="231F20"/>
        <w:spacing w:val="-4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年第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0"/>
      </w:rPr>
      <w:t xml:space="preserve"> </w:t>
    </w:r>
    <w:r>
      <w:rPr>
        <w:sz w:val="15"/>
        <w:szCs w:val="15"/>
        <w:u w:val="single" w:color="auto"/>
        <w:color w:val="231F20"/>
      </w:rPr>
      <w:t>37</w:t>
    </w:r>
    <w:r>
      <w:rPr>
        <w:sz w:val="15"/>
        <w:szCs w:val="15"/>
        <w:u w:val="single" w:color="auto"/>
        <w:color w:val="231F20"/>
        <w:spacing w:val="-4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3"/>
      </w:rPr>
      <w:t xml:space="preserve"> </w:t>
    </w:r>
    <w:r>
      <w:rPr>
        <w:sz w:val="15"/>
        <w:szCs w:val="15"/>
        <w:u w:val="single" w:color="auto"/>
        <w:color w:val="231F20"/>
      </w:rPr>
      <w:t>20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期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2"/>
      </w:rPr>
      <w:t xml:space="preserve">   </w:t>
    </w:r>
    <w:r>
      <w:rPr>
        <w:sz w:val="15"/>
        <w:szCs w:val="15"/>
        <w:u w:val="single" w:color="auto"/>
        <w:color w:val="231F20"/>
      </w:rPr>
      <w:t>The</w:t>
    </w:r>
    <w:r>
      <w:rPr>
        <w:sz w:val="15"/>
        <w:szCs w:val="15"/>
        <w:u w:val="single" w:color="auto"/>
        <w:color w:val="231F20"/>
        <w:spacing w:val="-27"/>
      </w:rPr>
      <w:t xml:space="preserve"> </w:t>
    </w:r>
    <w:r>
      <w:rPr>
        <w:sz w:val="15"/>
        <w:szCs w:val="15"/>
        <w:u w:val="single" w:color="auto"/>
        <w:color w:val="231F20"/>
      </w:rPr>
      <w:t>Journal</w:t>
    </w:r>
    <w:r>
      <w:rPr>
        <w:sz w:val="15"/>
        <w:szCs w:val="15"/>
        <w:u w:val="single" w:color="auto"/>
        <w:color w:val="231F20"/>
        <w:spacing w:val="-23"/>
      </w:rPr>
      <w:t xml:space="preserve"> </w:t>
    </w:r>
    <w:r>
      <w:rPr>
        <w:sz w:val="15"/>
        <w:szCs w:val="15"/>
        <w:u w:val="single" w:color="auto"/>
        <w:color w:val="231F20"/>
      </w:rPr>
      <w:t>of</w:t>
    </w:r>
    <w:r>
      <w:rPr>
        <w:sz w:val="15"/>
        <w:szCs w:val="15"/>
        <w:u w:val="single" w:color="auto"/>
        <w:color w:val="231F20"/>
        <w:spacing w:val="-33"/>
      </w:rPr>
      <w:t xml:space="preserve"> </w:t>
    </w:r>
    <w:r>
      <w:rPr>
        <w:sz w:val="15"/>
        <w:szCs w:val="15"/>
        <w:u w:val="single" w:color="auto"/>
        <w:color w:val="231F20"/>
      </w:rPr>
      <w:t>Practical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</w:rPr>
      <w:t>Medicine</w:t>
    </w:r>
    <w:r>
      <w:rPr>
        <w:sz w:val="15"/>
        <w:szCs w:val="15"/>
        <w:u w:val="single" w:color="auto"/>
        <w:color w:val="231F20"/>
      </w:rPr>
      <w:t xml:space="preserve">  </w:t>
    </w:r>
    <w:r>
      <w:rPr>
        <w:sz w:val="15"/>
        <w:szCs w:val="15"/>
        <w:u w:val="single" w:color="auto"/>
        <w:color w:val="231F20"/>
      </w:rPr>
      <w:t>2021</w:t>
    </w:r>
    <w:r>
      <w:rPr>
        <w:sz w:val="15"/>
        <w:szCs w:val="15"/>
        <w:u w:val="single" w:color="auto"/>
        <w:color w:val="231F20"/>
        <w:spacing w:val="-24"/>
      </w:rPr>
      <w:t xml:space="preserve"> </w:t>
    </w:r>
    <w:r>
      <w:rPr>
        <w:sz w:val="15"/>
        <w:szCs w:val="15"/>
        <w:u w:val="single" w:color="auto"/>
        <w:color w:val="231F20"/>
      </w:rPr>
      <w:t>Vol.37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</w:rPr>
      <w:t>No.20</w:t>
    </w:r>
    <w:r>
      <w:rPr>
        <w:sz w:val="15"/>
        <w:szCs w:val="15"/>
        <w:color w:val="231F20"/>
      </w:rPr>
      <w:t xml:space="preserve">                               </w:t>
    </w:r>
    <w:r>
      <w:rPr>
        <w:sz w:val="15"/>
        <w:szCs w:val="15"/>
        <w:color w:val="231F20"/>
        <w:spacing w:val="-1"/>
      </w:rPr>
      <w:t xml:space="preserve">   </w:t>
    </w:r>
    <w:r>
      <w:rPr>
        <w:sz w:val="20"/>
        <w:szCs w:val="20"/>
        <w:color w:val="231F20"/>
        <w:spacing w:val="-1"/>
        <w:position w:val="-3"/>
      </w:rPr>
      <w:t>2571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7"/>
      <w:spacing w:before="46" w:line="252" w:lineRule="auto"/>
      <w:rPr>
        <w:sz w:val="15"/>
        <w:szCs w:val="15"/>
      </w:rPr>
    </w:pPr>
    <w:r>
      <w:pict>
        <v:shape id="WordPictureWatermark10" style="position:absolute;margin-left:20.4pt;margin-top:814.489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20"/>
        <w:szCs w:val="20"/>
        <w:color w:val="231F20"/>
        <w:position w:val="-3"/>
      </w:rPr>
      <w:t>2572</w:t>
    </w:r>
    <w:r>
      <w:rPr>
        <w:sz w:val="20"/>
        <w:szCs w:val="20"/>
        <w:color w:val="231F20"/>
        <w:position w:val="-3"/>
      </w:rPr>
      <w:t xml:space="preserve">                   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2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实用医学杂志    </w:t>
    </w:r>
    <w:r>
      <w:rPr>
        <w:sz w:val="15"/>
        <w:szCs w:val="15"/>
        <w:u w:val="single" w:color="auto"/>
        <w:color w:val="231F20"/>
      </w:rPr>
      <w:t>2021</w:t>
    </w:r>
    <w:r>
      <w:rPr>
        <w:sz w:val="15"/>
        <w:szCs w:val="15"/>
        <w:u w:val="single" w:color="auto"/>
        <w:color w:val="231F20"/>
        <w:spacing w:val="-4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年第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0"/>
      </w:rPr>
      <w:t xml:space="preserve"> </w:t>
    </w:r>
    <w:r>
      <w:rPr>
        <w:sz w:val="15"/>
        <w:szCs w:val="15"/>
        <w:u w:val="single" w:color="auto"/>
        <w:color w:val="231F20"/>
      </w:rPr>
      <w:t>37</w:t>
    </w:r>
    <w:r>
      <w:rPr>
        <w:sz w:val="15"/>
        <w:szCs w:val="15"/>
        <w:u w:val="single" w:color="auto"/>
        <w:color w:val="231F20"/>
        <w:spacing w:val="-4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2"/>
      </w:rPr>
      <w:t xml:space="preserve"> </w:t>
    </w:r>
    <w:r>
      <w:rPr>
        <w:sz w:val="15"/>
        <w:szCs w:val="15"/>
        <w:u w:val="single" w:color="auto"/>
        <w:color w:val="231F20"/>
      </w:rPr>
      <w:t>20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期        </w:t>
    </w:r>
    <w:r>
      <w:rPr>
        <w:sz w:val="15"/>
        <w:szCs w:val="15"/>
        <w:u w:val="single" w:color="auto"/>
        <w:color w:val="231F20"/>
      </w:rPr>
      <w:t>The</w:t>
    </w:r>
    <w:r>
      <w:rPr>
        <w:sz w:val="15"/>
        <w:szCs w:val="15"/>
        <w:u w:val="single" w:color="auto"/>
        <w:color w:val="231F20"/>
        <w:spacing w:val="-28"/>
      </w:rPr>
      <w:t xml:space="preserve"> </w:t>
    </w:r>
    <w:r>
      <w:rPr>
        <w:sz w:val="15"/>
        <w:szCs w:val="15"/>
        <w:u w:val="single" w:color="auto"/>
        <w:color w:val="231F20"/>
      </w:rPr>
      <w:t>Journal</w:t>
    </w:r>
    <w:r>
      <w:rPr>
        <w:sz w:val="15"/>
        <w:szCs w:val="15"/>
        <w:u w:val="single" w:color="auto"/>
        <w:color w:val="231F20"/>
        <w:spacing w:val="-23"/>
      </w:rPr>
      <w:t xml:space="preserve"> </w:t>
    </w:r>
    <w:r>
      <w:rPr>
        <w:sz w:val="15"/>
        <w:szCs w:val="15"/>
        <w:u w:val="single" w:color="auto"/>
        <w:color w:val="231F20"/>
      </w:rPr>
      <w:t>of</w:t>
    </w:r>
    <w:r>
      <w:rPr>
        <w:sz w:val="15"/>
        <w:szCs w:val="15"/>
        <w:u w:val="single" w:color="auto"/>
        <w:color w:val="231F20"/>
        <w:spacing w:val="-32"/>
      </w:rPr>
      <w:t xml:space="preserve"> </w:t>
    </w:r>
    <w:r>
      <w:rPr>
        <w:sz w:val="15"/>
        <w:szCs w:val="15"/>
        <w:u w:val="single" w:color="auto"/>
        <w:color w:val="231F20"/>
      </w:rPr>
      <w:t>Practical</w:t>
    </w:r>
    <w:r>
      <w:rPr>
        <w:sz w:val="15"/>
        <w:szCs w:val="15"/>
        <w:u w:val="single" w:color="auto"/>
        <w:color w:val="231F20"/>
        <w:spacing w:val="-21"/>
      </w:rPr>
      <w:t xml:space="preserve"> </w:t>
    </w:r>
    <w:r>
      <w:rPr>
        <w:sz w:val="15"/>
        <w:szCs w:val="15"/>
        <w:u w:val="single" w:color="auto"/>
        <w:color w:val="231F20"/>
      </w:rPr>
      <w:t>Medicine</w:t>
    </w:r>
    <w:r>
      <w:rPr>
        <w:sz w:val="15"/>
        <w:szCs w:val="15"/>
        <w:u w:val="single" w:color="auto"/>
        <w:color w:val="231F20"/>
      </w:rPr>
      <w:t xml:space="preserve">  </w:t>
    </w:r>
    <w:r>
      <w:rPr>
        <w:sz w:val="15"/>
        <w:szCs w:val="15"/>
        <w:u w:val="single" w:color="auto"/>
        <w:color w:val="231F20"/>
      </w:rPr>
      <w:t>2021</w:t>
    </w:r>
    <w:r>
      <w:rPr>
        <w:sz w:val="15"/>
        <w:szCs w:val="15"/>
        <w:u w:val="single" w:color="auto"/>
        <w:color w:val="231F20"/>
        <w:spacing w:val="-24"/>
      </w:rPr>
      <w:t xml:space="preserve"> </w:t>
    </w:r>
    <w:r>
      <w:rPr>
        <w:sz w:val="15"/>
        <w:szCs w:val="15"/>
        <w:u w:val="single" w:color="auto"/>
        <w:color w:val="231F20"/>
      </w:rPr>
      <w:t>Vol.37</w:t>
    </w:r>
    <w:r>
      <w:rPr>
        <w:sz w:val="15"/>
        <w:szCs w:val="15"/>
        <w:u w:val="single" w:color="auto"/>
        <w:color w:val="231F20"/>
        <w:spacing w:val="-21"/>
      </w:rPr>
      <w:t xml:space="preserve"> </w:t>
    </w:r>
    <w:r>
      <w:rPr>
        <w:sz w:val="15"/>
        <w:szCs w:val="15"/>
        <w:u w:val="single" w:color="auto"/>
        <w:color w:val="231F20"/>
      </w:rPr>
      <w:t>No.20</w:t>
    </w:r>
  </w:p>
  <w:p>
    <w:pPr>
      <w:pStyle w:val="BodyText"/>
      <w:ind w:left="749"/>
      <w:spacing w:before="286" w:line="224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color w:val="231F20"/>
        <w:spacing w:val="19"/>
      </w:rPr>
      <w:t>同时还需注意评估患者的液体负荷，以免液体过</w:t>
    </w:r>
    <w:r>
      <w:rPr>
        <w:rFonts w:ascii="SimSun" w:hAnsi="SimSun" w:eastAsia="SimSun" w:cs="SimSun"/>
        <w:sz w:val="20"/>
        <w:szCs w:val="20"/>
        <w:color w:val="231F20"/>
        <w:spacing w:val="6"/>
      </w:rPr>
      <w:t xml:space="preserve">        </w:t>
    </w:r>
    <w:r>
      <w:rPr>
        <w:sz w:val="20"/>
        <w:szCs w:val="20"/>
        <w:color w:val="231F20"/>
      </w:rPr>
      <w:t>HTG</w:t>
    </w:r>
    <w:r>
      <w:rPr>
        <w:sz w:val="20"/>
        <w:szCs w:val="20"/>
        <w:color w:val="231F20"/>
        <w:spacing w:val="19"/>
      </w:rPr>
      <w:t>-</w:t>
    </w:r>
    <w:r>
      <w:rPr>
        <w:sz w:val="20"/>
        <w:szCs w:val="20"/>
        <w:color w:val="231F20"/>
      </w:rPr>
      <w:t>AP</w:t>
    </w:r>
    <w:r>
      <w:rPr>
        <w:sz w:val="20"/>
        <w:szCs w:val="20"/>
        <w:color w:val="231F20"/>
        <w:spacing w:val="-52"/>
      </w:rPr>
      <w:t xml:space="preserve"> </w:t>
    </w:r>
    <w:r>
      <w:rPr>
        <w:rFonts w:ascii="SimSun" w:hAnsi="SimSun" w:eastAsia="SimSun" w:cs="SimSun"/>
        <w:sz w:val="20"/>
        <w:szCs w:val="20"/>
        <w:color w:val="231F20"/>
        <w:spacing w:val="19"/>
      </w:rPr>
      <w:t>患者并非不能应用脂肪乳</w:t>
    </w:r>
    <w:r>
      <w:rPr>
        <w:rFonts w:ascii="SimSun" w:hAnsi="SimSun" w:eastAsia="SimSun" w:cs="SimSun"/>
        <w:sz w:val="20"/>
        <w:szCs w:val="20"/>
        <w:color w:val="231F20"/>
        <w:spacing w:val="18"/>
      </w:rPr>
      <w:t>剂，尤其当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1"/>
      <w:spacing w:before="46" w:line="231" w:lineRule="auto"/>
      <w:rPr>
        <w:sz w:val="20"/>
        <w:szCs w:val="20"/>
      </w:rPr>
    </w:pPr>
    <w:r>
      <w:pict>
        <v:shape id="WordPictureWatermark12" style="position:absolute;margin-left:20.4pt;margin-top:814.489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实用医学杂志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3"/>
      </w:rPr>
      <w:t xml:space="preserve">   </w:t>
    </w:r>
    <w:r>
      <w:rPr>
        <w:sz w:val="15"/>
        <w:szCs w:val="15"/>
        <w:u w:val="single" w:color="auto"/>
        <w:color w:val="231F20"/>
      </w:rPr>
      <w:t>2021</w:t>
    </w:r>
    <w:r>
      <w:rPr>
        <w:sz w:val="15"/>
        <w:szCs w:val="15"/>
        <w:u w:val="single" w:color="auto"/>
        <w:color w:val="231F20"/>
        <w:spacing w:val="-4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年第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0"/>
      </w:rPr>
      <w:t xml:space="preserve"> </w:t>
    </w:r>
    <w:r>
      <w:rPr>
        <w:sz w:val="15"/>
        <w:szCs w:val="15"/>
        <w:u w:val="single" w:color="auto"/>
        <w:color w:val="231F20"/>
      </w:rPr>
      <w:t>37</w:t>
    </w:r>
    <w:r>
      <w:rPr>
        <w:sz w:val="15"/>
        <w:szCs w:val="15"/>
        <w:u w:val="single" w:color="auto"/>
        <w:color w:val="231F20"/>
        <w:spacing w:val="-4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3"/>
      </w:rPr>
      <w:t xml:space="preserve"> </w:t>
    </w:r>
    <w:r>
      <w:rPr>
        <w:sz w:val="15"/>
        <w:szCs w:val="15"/>
        <w:u w:val="single" w:color="auto"/>
        <w:color w:val="231F20"/>
      </w:rPr>
      <w:t>20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期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2"/>
      </w:rPr>
      <w:t xml:space="preserve">   </w:t>
    </w:r>
    <w:r>
      <w:rPr>
        <w:sz w:val="15"/>
        <w:szCs w:val="15"/>
        <w:u w:val="single" w:color="auto"/>
        <w:color w:val="231F20"/>
      </w:rPr>
      <w:t>The</w:t>
    </w:r>
    <w:r>
      <w:rPr>
        <w:sz w:val="15"/>
        <w:szCs w:val="15"/>
        <w:u w:val="single" w:color="auto"/>
        <w:color w:val="231F20"/>
        <w:spacing w:val="-27"/>
      </w:rPr>
      <w:t xml:space="preserve"> </w:t>
    </w:r>
    <w:r>
      <w:rPr>
        <w:sz w:val="15"/>
        <w:szCs w:val="15"/>
        <w:u w:val="single" w:color="auto"/>
        <w:color w:val="231F20"/>
      </w:rPr>
      <w:t>Journal</w:t>
    </w:r>
    <w:r>
      <w:rPr>
        <w:sz w:val="15"/>
        <w:szCs w:val="15"/>
        <w:u w:val="single" w:color="auto"/>
        <w:color w:val="231F20"/>
        <w:spacing w:val="-23"/>
      </w:rPr>
      <w:t xml:space="preserve"> </w:t>
    </w:r>
    <w:r>
      <w:rPr>
        <w:sz w:val="15"/>
        <w:szCs w:val="15"/>
        <w:u w:val="single" w:color="auto"/>
        <w:color w:val="231F20"/>
      </w:rPr>
      <w:t>of</w:t>
    </w:r>
    <w:r>
      <w:rPr>
        <w:sz w:val="15"/>
        <w:szCs w:val="15"/>
        <w:u w:val="single" w:color="auto"/>
        <w:color w:val="231F20"/>
        <w:spacing w:val="-33"/>
      </w:rPr>
      <w:t xml:space="preserve"> </w:t>
    </w:r>
    <w:r>
      <w:rPr>
        <w:sz w:val="15"/>
        <w:szCs w:val="15"/>
        <w:u w:val="single" w:color="auto"/>
        <w:color w:val="231F20"/>
      </w:rPr>
      <w:t>Practical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</w:rPr>
      <w:t>Medicine</w:t>
    </w:r>
    <w:r>
      <w:rPr>
        <w:sz w:val="15"/>
        <w:szCs w:val="15"/>
        <w:u w:val="single" w:color="auto"/>
        <w:color w:val="231F20"/>
      </w:rPr>
      <w:t xml:space="preserve">  </w:t>
    </w:r>
    <w:r>
      <w:rPr>
        <w:sz w:val="15"/>
        <w:szCs w:val="15"/>
        <w:u w:val="single" w:color="auto"/>
        <w:color w:val="231F20"/>
      </w:rPr>
      <w:t>2021</w:t>
    </w:r>
    <w:r>
      <w:rPr>
        <w:sz w:val="15"/>
        <w:szCs w:val="15"/>
        <w:u w:val="single" w:color="auto"/>
        <w:color w:val="231F20"/>
        <w:spacing w:val="-24"/>
      </w:rPr>
      <w:t xml:space="preserve"> </w:t>
    </w:r>
    <w:r>
      <w:rPr>
        <w:sz w:val="15"/>
        <w:szCs w:val="15"/>
        <w:u w:val="single" w:color="auto"/>
        <w:color w:val="231F20"/>
      </w:rPr>
      <w:t>Vol.37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</w:rPr>
      <w:t>No.20</w:t>
    </w:r>
    <w:r>
      <w:rPr>
        <w:sz w:val="15"/>
        <w:szCs w:val="15"/>
        <w:color w:val="231F20"/>
      </w:rPr>
      <w:t xml:space="preserve">                               </w:t>
    </w:r>
    <w:r>
      <w:rPr>
        <w:sz w:val="15"/>
        <w:szCs w:val="15"/>
        <w:color w:val="231F20"/>
        <w:spacing w:val="-1"/>
      </w:rPr>
      <w:t xml:space="preserve">   </w:t>
    </w:r>
    <w:r>
      <w:rPr>
        <w:sz w:val="20"/>
        <w:szCs w:val="20"/>
        <w:color w:val="231F20"/>
        <w:spacing w:val="-1"/>
        <w:position w:val="-3"/>
      </w:rPr>
      <w:t>2573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7"/>
      <w:spacing w:before="46" w:line="231" w:lineRule="auto"/>
      <w:rPr>
        <w:sz w:val="15"/>
        <w:szCs w:val="15"/>
      </w:rPr>
    </w:pPr>
    <w:r>
      <w:pict>
        <v:shape id="WordPictureWatermark14" style="position:absolute;margin-left:20.4pt;margin-top:814.489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sz w:val="20"/>
        <w:szCs w:val="20"/>
        <w:color w:val="231F20"/>
        <w:position w:val="-3"/>
      </w:rPr>
      <w:t>2574</w:t>
    </w:r>
    <w:r>
      <w:rPr>
        <w:sz w:val="20"/>
        <w:szCs w:val="20"/>
        <w:color w:val="231F20"/>
        <w:position w:val="-3"/>
      </w:rPr>
      <w:t xml:space="preserve">                   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2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实用医学杂志    </w:t>
    </w:r>
    <w:r>
      <w:rPr>
        <w:sz w:val="15"/>
        <w:szCs w:val="15"/>
        <w:u w:val="single" w:color="auto"/>
        <w:color w:val="231F20"/>
      </w:rPr>
      <w:t>2021</w:t>
    </w:r>
    <w:r>
      <w:rPr>
        <w:sz w:val="15"/>
        <w:szCs w:val="15"/>
        <w:u w:val="single" w:color="auto"/>
        <w:color w:val="231F20"/>
        <w:spacing w:val="-4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年第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0"/>
      </w:rPr>
      <w:t xml:space="preserve"> </w:t>
    </w:r>
    <w:r>
      <w:rPr>
        <w:sz w:val="15"/>
        <w:szCs w:val="15"/>
        <w:u w:val="single" w:color="auto"/>
        <w:color w:val="231F20"/>
      </w:rPr>
      <w:t>37</w:t>
    </w:r>
    <w:r>
      <w:rPr>
        <w:sz w:val="15"/>
        <w:szCs w:val="15"/>
        <w:u w:val="single" w:color="auto"/>
        <w:color w:val="231F20"/>
        <w:spacing w:val="-4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2"/>
      </w:rPr>
      <w:t xml:space="preserve"> </w:t>
    </w:r>
    <w:r>
      <w:rPr>
        <w:sz w:val="15"/>
        <w:szCs w:val="15"/>
        <w:u w:val="single" w:color="auto"/>
        <w:color w:val="231F20"/>
      </w:rPr>
      <w:t>20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期        </w:t>
    </w:r>
    <w:r>
      <w:rPr>
        <w:sz w:val="15"/>
        <w:szCs w:val="15"/>
        <w:u w:val="single" w:color="auto"/>
        <w:color w:val="231F20"/>
      </w:rPr>
      <w:t>The</w:t>
    </w:r>
    <w:r>
      <w:rPr>
        <w:sz w:val="15"/>
        <w:szCs w:val="15"/>
        <w:u w:val="single" w:color="auto"/>
        <w:color w:val="231F20"/>
        <w:spacing w:val="-28"/>
      </w:rPr>
      <w:t xml:space="preserve"> </w:t>
    </w:r>
    <w:r>
      <w:rPr>
        <w:sz w:val="15"/>
        <w:szCs w:val="15"/>
        <w:u w:val="single" w:color="auto"/>
        <w:color w:val="231F20"/>
      </w:rPr>
      <w:t>Journal</w:t>
    </w:r>
    <w:r>
      <w:rPr>
        <w:sz w:val="15"/>
        <w:szCs w:val="15"/>
        <w:u w:val="single" w:color="auto"/>
        <w:color w:val="231F20"/>
        <w:spacing w:val="-23"/>
      </w:rPr>
      <w:t xml:space="preserve"> </w:t>
    </w:r>
    <w:r>
      <w:rPr>
        <w:sz w:val="15"/>
        <w:szCs w:val="15"/>
        <w:u w:val="single" w:color="auto"/>
        <w:color w:val="231F20"/>
      </w:rPr>
      <w:t>of</w:t>
    </w:r>
    <w:r>
      <w:rPr>
        <w:sz w:val="15"/>
        <w:szCs w:val="15"/>
        <w:u w:val="single" w:color="auto"/>
        <w:color w:val="231F20"/>
        <w:spacing w:val="-32"/>
      </w:rPr>
      <w:t xml:space="preserve"> </w:t>
    </w:r>
    <w:r>
      <w:rPr>
        <w:sz w:val="15"/>
        <w:szCs w:val="15"/>
        <w:u w:val="single" w:color="auto"/>
        <w:color w:val="231F20"/>
      </w:rPr>
      <w:t>Practical</w:t>
    </w:r>
    <w:r>
      <w:rPr>
        <w:sz w:val="15"/>
        <w:szCs w:val="15"/>
        <w:u w:val="single" w:color="auto"/>
        <w:color w:val="231F20"/>
        <w:spacing w:val="-21"/>
      </w:rPr>
      <w:t xml:space="preserve"> </w:t>
    </w:r>
    <w:r>
      <w:rPr>
        <w:sz w:val="15"/>
        <w:szCs w:val="15"/>
        <w:u w:val="single" w:color="auto"/>
        <w:color w:val="231F20"/>
      </w:rPr>
      <w:t>Medicine</w:t>
    </w:r>
    <w:r>
      <w:rPr>
        <w:sz w:val="15"/>
        <w:szCs w:val="15"/>
        <w:u w:val="single" w:color="auto"/>
        <w:color w:val="231F20"/>
      </w:rPr>
      <w:t xml:space="preserve">  </w:t>
    </w:r>
    <w:r>
      <w:rPr>
        <w:sz w:val="15"/>
        <w:szCs w:val="15"/>
        <w:u w:val="single" w:color="auto"/>
        <w:color w:val="231F20"/>
      </w:rPr>
      <w:t>2021</w:t>
    </w:r>
    <w:r>
      <w:rPr>
        <w:sz w:val="15"/>
        <w:szCs w:val="15"/>
        <w:u w:val="single" w:color="auto"/>
        <w:color w:val="231F20"/>
        <w:spacing w:val="-24"/>
      </w:rPr>
      <w:t xml:space="preserve"> </w:t>
    </w:r>
    <w:r>
      <w:rPr>
        <w:sz w:val="15"/>
        <w:szCs w:val="15"/>
        <w:u w:val="single" w:color="auto"/>
        <w:color w:val="231F20"/>
      </w:rPr>
      <w:t>Vol.37</w:t>
    </w:r>
    <w:r>
      <w:rPr>
        <w:sz w:val="15"/>
        <w:szCs w:val="15"/>
        <w:u w:val="single" w:color="auto"/>
        <w:color w:val="231F20"/>
        <w:spacing w:val="-21"/>
      </w:rPr>
      <w:t xml:space="preserve"> </w:t>
    </w:r>
    <w:r>
      <w:rPr>
        <w:sz w:val="15"/>
        <w:szCs w:val="15"/>
        <w:u w:val="single" w:color="auto"/>
        <w:color w:val="231F20"/>
      </w:rPr>
      <w:t>No.20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NSimSun" w:hAnsi="NSimSun" w:eastAsia="NSimSun" w:cs="N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6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2023-01-03T22:00:47Z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2025-10-28T21:38:33</vt:filetime>
  </property>
</Properties>
</file>