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523"/>
        <w:spacing w:before="52" w:line="267" w:lineRule="auto"/>
        <w:rPr>
          <w:rFonts w:ascii="Arial" w:hAnsi="Arial" w:eastAsia="Arial" w:cs="Arial"/>
          <w:sz w:val="23"/>
          <w:szCs w:val="23"/>
        </w:rPr>
      </w:pPr>
      <w:r>
        <w:rPr>
          <w:rFonts w:ascii="SimSun" w:hAnsi="SimSun" w:eastAsia="SimSun" w:cs="SimSun"/>
          <w:sz w:val="18"/>
          <w:szCs w:val="18"/>
          <w:u w:val="single" w:color="auto"/>
          <w:color w:val="231F20"/>
          <w:spacing w:val="-3"/>
          <w:position w:val="1"/>
        </w:rPr>
        <w:t>中国医刊 </w:t>
      </w:r>
      <w:r>
        <w:rPr>
          <w:sz w:val="18"/>
          <w:szCs w:val="18"/>
          <w:u w:val="single" w:color="auto"/>
          <w:color w:val="231F20"/>
          <w:spacing w:val="-3"/>
          <w:position w:val="1"/>
        </w:rPr>
        <w:t>2024 </w:t>
      </w:r>
      <w:r>
        <w:rPr>
          <w:rFonts w:ascii="SimSun" w:hAnsi="SimSun" w:eastAsia="SimSun" w:cs="SimSun"/>
          <w:sz w:val="18"/>
          <w:szCs w:val="18"/>
          <w:u w:val="single" w:color="auto"/>
          <w:color w:val="231F20"/>
          <w:spacing w:val="-3"/>
          <w:position w:val="1"/>
        </w:rPr>
        <w:t>年</w:t>
      </w:r>
      <w:r>
        <w:rPr>
          <w:rFonts w:ascii="SimSun" w:hAnsi="SimSun" w:eastAsia="SimSun" w:cs="SimSun"/>
          <w:sz w:val="18"/>
          <w:szCs w:val="18"/>
          <w:u w:val="single" w:color="auto"/>
          <w:color w:val="231F20"/>
          <w:spacing w:val="22"/>
          <w:position w:val="1"/>
        </w:rPr>
        <w:t xml:space="preserve"> </w:t>
      </w:r>
      <w:r>
        <w:rPr>
          <w:rFonts w:ascii="SimSun" w:hAnsi="SimSun" w:eastAsia="SimSun" w:cs="SimSun"/>
          <w:sz w:val="18"/>
          <w:szCs w:val="18"/>
          <w:u w:val="single" w:color="auto"/>
          <w:color w:val="231F20"/>
          <w:spacing w:val="-3"/>
          <w:position w:val="1"/>
        </w:rPr>
        <w:t>第</w:t>
      </w:r>
      <w:r>
        <w:rPr>
          <w:sz w:val="18"/>
          <w:szCs w:val="18"/>
          <w:u w:val="single" w:color="auto"/>
          <w:color w:val="231F20"/>
          <w:spacing w:val="-3"/>
          <w:position w:val="1"/>
        </w:rPr>
        <w:t>59</w:t>
      </w:r>
      <w:r>
        <w:rPr>
          <w:sz w:val="18"/>
          <w:szCs w:val="18"/>
          <w:u w:val="single" w:color="auto"/>
          <w:color w:val="231F20"/>
          <w:spacing w:val="-18"/>
          <w:position w:val="1"/>
        </w:rPr>
        <w:t xml:space="preserve"> </w:t>
      </w:r>
      <w:r>
        <w:rPr>
          <w:rFonts w:ascii="SimSun" w:hAnsi="SimSun" w:eastAsia="SimSun" w:cs="SimSun"/>
          <w:sz w:val="18"/>
          <w:szCs w:val="18"/>
          <w:u w:val="single" w:color="auto"/>
          <w:color w:val="231F20"/>
          <w:spacing w:val="-3"/>
          <w:position w:val="1"/>
        </w:rPr>
        <w:t>卷</w:t>
      </w:r>
      <w:r>
        <w:rPr>
          <w:rFonts w:ascii="SimSun" w:hAnsi="SimSun" w:eastAsia="SimSun" w:cs="SimSun"/>
          <w:sz w:val="18"/>
          <w:szCs w:val="18"/>
          <w:u w:val="single" w:color="auto"/>
          <w:color w:val="231F20"/>
          <w:spacing w:val="23"/>
          <w:position w:val="1"/>
        </w:rPr>
        <w:t xml:space="preserve"> </w:t>
      </w:r>
      <w:r>
        <w:rPr>
          <w:rFonts w:ascii="SimSun" w:hAnsi="SimSun" w:eastAsia="SimSun" w:cs="SimSun"/>
          <w:sz w:val="18"/>
          <w:szCs w:val="18"/>
          <w:u w:val="single" w:color="auto"/>
          <w:color w:val="231F20"/>
          <w:spacing w:val="-3"/>
          <w:position w:val="1"/>
        </w:rPr>
        <w:t>第</w:t>
      </w:r>
      <w:r>
        <w:rPr>
          <w:sz w:val="18"/>
          <w:szCs w:val="18"/>
          <w:u w:val="single" w:color="auto"/>
          <w:color w:val="231F20"/>
          <w:spacing w:val="-3"/>
          <w:position w:val="1"/>
        </w:rPr>
        <w:t>7</w:t>
      </w:r>
      <w:r>
        <w:rPr>
          <w:sz w:val="18"/>
          <w:szCs w:val="18"/>
          <w:u w:val="single" w:color="auto"/>
          <w:color w:val="231F20"/>
          <w:spacing w:val="-17"/>
          <w:position w:val="1"/>
        </w:rPr>
        <w:t xml:space="preserve"> </w:t>
      </w:r>
      <w:r>
        <w:rPr>
          <w:rFonts w:ascii="SimSun" w:hAnsi="SimSun" w:eastAsia="SimSun" w:cs="SimSun"/>
          <w:sz w:val="18"/>
          <w:szCs w:val="18"/>
          <w:u w:val="single" w:color="auto"/>
          <w:color w:val="231F20"/>
          <w:spacing w:val="-3"/>
          <w:position w:val="1"/>
        </w:rPr>
        <w:t>期 </w:t>
      </w:r>
      <w:r>
        <w:rPr>
          <w:sz w:val="18"/>
          <w:szCs w:val="18"/>
          <w:u w:val="single" w:color="auto"/>
          <w:color w:val="231F20"/>
          <w:spacing w:val="-4"/>
          <w:position w:val="1"/>
        </w:rPr>
        <w:t>Chin J Med, 2024, Vol 59,</w:t>
      </w:r>
      <w:r>
        <w:rPr>
          <w:sz w:val="18"/>
          <w:szCs w:val="18"/>
          <w:u w:val="single" w:color="auto"/>
          <w:color w:val="231F20"/>
          <w:spacing w:val="-10"/>
          <w:position w:val="1"/>
        </w:rPr>
        <w:t xml:space="preserve"> </w:t>
      </w:r>
      <w:r>
        <w:rPr>
          <w:sz w:val="18"/>
          <w:szCs w:val="18"/>
          <w:u w:val="single" w:color="auto"/>
          <w:color w:val="231F20"/>
          <w:spacing w:val="-4"/>
          <w:position w:val="1"/>
        </w:rPr>
        <w:t>No.7</w:t>
      </w:r>
      <w:r>
        <w:rPr>
          <w:sz w:val="18"/>
          <w:szCs w:val="18"/>
          <w:u w:val="single" w:color="auto"/>
          <w:color w:val="231F20"/>
          <w:spacing w:val="-42"/>
          <w:position w:val="1"/>
        </w:rPr>
        <w:t xml:space="preserve"> </w:t>
      </w:r>
      <w:r>
        <w:rPr>
          <w:sz w:val="18"/>
          <w:szCs w:val="18"/>
          <w:color w:val="231F20"/>
          <w:spacing w:val="1"/>
          <w:position w:val="1"/>
        </w:rPr>
        <w:t xml:space="preserve">                             </w:t>
      </w:r>
      <w:r>
        <w:rPr>
          <w:sz w:val="18"/>
          <w:szCs w:val="18"/>
          <w:color w:val="231F20"/>
          <w:position w:val="1"/>
        </w:rPr>
        <w:t xml:space="preserve">                                                                          </w:t>
      </w:r>
      <w:r>
        <w:rPr>
          <w:rFonts w:ascii="Arial" w:hAnsi="Arial" w:eastAsia="Arial" w:cs="Arial"/>
          <w:sz w:val="23"/>
          <w:szCs w:val="23"/>
          <w:color w:val="231F20"/>
          <w:spacing w:val="-4"/>
          <w:position w:val="-4"/>
        </w:rPr>
        <w:t>709</w:t>
      </w:r>
    </w:p>
    <w:p>
      <w:pPr>
        <w:spacing w:line="455" w:lineRule="auto"/>
        <w:rPr>
          <w:rFonts w:ascii="Arial"/>
          <w:sz w:val="21"/>
        </w:rPr>
      </w:pPr>
      <w:r/>
    </w:p>
    <w:p>
      <w:pPr>
        <w:ind w:left="508"/>
        <w:spacing w:before="117" w:line="216" w:lineRule="auto"/>
        <w:outlineLvl w:val="0"/>
        <w:rPr>
          <w:rFonts w:ascii="SimSun" w:hAnsi="SimSun" w:eastAsia="SimSun" w:cs="SimSun"/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:color w:val="231F20"/>
          <w:spacing w:val="-1"/>
        </w:rPr>
        <w:t>儿童功能性腹痛病的病因与管理</w:t>
      </w:r>
    </w:p>
    <w:p>
      <w:pPr>
        <w:ind w:left="501"/>
        <w:spacing w:before="267" w:line="23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color w:val="231F20"/>
          <w:spacing w:val="-1"/>
        </w:rPr>
        <w:t>赵煜</w:t>
      </w:r>
    </w:p>
    <w:p>
      <w:pPr>
        <w:pStyle w:val="BodyText"/>
        <w:ind w:left="510"/>
        <w:spacing w:before="45" w:line="237" w:lineRule="exact"/>
        <w:rPr>
          <w:sz w:val="18"/>
          <w:szCs w:val="18"/>
        </w:rPr>
      </w:pPr>
      <w:r>
        <w:rPr>
          <w:rFonts w:ascii="FangSong" w:hAnsi="FangSong" w:eastAsia="FangSong" w:cs="FangSong"/>
          <w:sz w:val="18"/>
          <w:szCs w:val="18"/>
          <w:color w:val="231F20"/>
          <w:spacing w:val="-1"/>
          <w:position w:val="1"/>
        </w:rPr>
        <w:t>天津市儿童医院</w:t>
      </w:r>
      <w:r>
        <w:rPr>
          <w:rFonts w:ascii="FangSong" w:hAnsi="FangSong" w:eastAsia="FangSong" w:cs="FangSong"/>
          <w:sz w:val="18"/>
          <w:szCs w:val="18"/>
          <w:color w:val="231F20"/>
          <w:spacing w:val="-40"/>
          <w:position w:val="1"/>
        </w:rPr>
        <w:t xml:space="preserve"> </w:t>
      </w:r>
      <w:r>
        <w:rPr>
          <w:sz w:val="18"/>
          <w:szCs w:val="18"/>
          <w:color w:val="231F20"/>
          <w:spacing w:val="-1"/>
          <w:position w:val="1"/>
        </w:rPr>
        <w:t>/</w:t>
      </w:r>
      <w:r>
        <w:rPr>
          <w:sz w:val="18"/>
          <w:szCs w:val="18"/>
          <w:color w:val="231F20"/>
          <w:spacing w:val="12"/>
          <w:position w:val="1"/>
        </w:rPr>
        <w:t xml:space="preserve"> </w:t>
      </w:r>
      <w:r>
        <w:rPr>
          <w:rFonts w:ascii="FangSong" w:hAnsi="FangSong" w:eastAsia="FangSong" w:cs="FangSong"/>
          <w:sz w:val="18"/>
          <w:szCs w:val="18"/>
          <w:color w:val="231F20"/>
          <w:spacing w:val="-1"/>
          <w:position w:val="1"/>
        </w:rPr>
        <w:t>天津大学儿童医院消化科</w:t>
      </w:r>
      <w:r>
        <w:rPr>
          <w:rFonts w:ascii="SimSun" w:hAnsi="SimSun" w:eastAsia="SimSun" w:cs="SimSun"/>
          <w:sz w:val="18"/>
          <w:szCs w:val="18"/>
          <w:color w:val="231F20"/>
          <w:spacing w:val="-1"/>
          <w:position w:val="1"/>
        </w:rPr>
        <w:t>，</w:t>
      </w:r>
      <w:r>
        <w:rPr>
          <w:rFonts w:ascii="FangSong" w:hAnsi="FangSong" w:eastAsia="FangSong" w:cs="FangSong"/>
          <w:sz w:val="18"/>
          <w:szCs w:val="18"/>
          <w:color w:val="231F20"/>
          <w:spacing w:val="-1"/>
          <w:position w:val="1"/>
        </w:rPr>
        <w:t>天津</w:t>
      </w:r>
      <w:r>
        <w:rPr>
          <w:rFonts w:ascii="FangSong" w:hAnsi="FangSong" w:eastAsia="FangSong" w:cs="FangSong"/>
          <w:sz w:val="18"/>
          <w:szCs w:val="18"/>
          <w:color w:val="231F20"/>
          <w:spacing w:val="-1"/>
          <w:position w:val="1"/>
        </w:rPr>
        <w:t xml:space="preserve"> </w:t>
      </w:r>
      <w:r>
        <w:rPr>
          <w:sz w:val="18"/>
          <w:szCs w:val="18"/>
          <w:color w:val="231F20"/>
          <w:spacing w:val="-1"/>
          <w:position w:val="1"/>
        </w:rPr>
        <w:t>300134</w:t>
      </w:r>
    </w:p>
    <w:p>
      <w:pPr>
        <w:ind w:left="491"/>
        <w:spacing w:before="278" w:line="216" w:lineRule="auto"/>
        <w:rPr>
          <w:rFonts w:ascii="SimSun" w:hAnsi="SimSun" w:eastAsia="SimSun" w:cs="SimSun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【关键词】</w:t>
      </w:r>
      <w:r>
        <w:rPr>
          <w:rFonts w:ascii="SimSun" w:hAnsi="SimSun" w:eastAsia="SimSun" w:cs="SimSun"/>
          <w:sz w:val="18"/>
          <w:szCs w:val="18"/>
          <w:color w:val="231F20"/>
        </w:rPr>
        <w:t>功能性腹痛病；儿童；肠易激综合征；功能性消化不良；腹型偏头痛</w:t>
      </w:r>
    </w:p>
    <w:p>
      <w:pPr>
        <w:ind w:left="523"/>
        <w:spacing w:before="156" w:line="203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中图分类号：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R725.7       文献标识码：A       文章编号：1008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-1070（2024）07-0709-05</w:t>
      </w:r>
    </w:p>
    <w:p>
      <w:pPr>
        <w:pStyle w:val="BodyText"/>
        <w:ind w:left="505"/>
        <w:spacing w:before="85" w:line="237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doi:10.3969/j.issn.1008-1070.2024</w:t>
      </w:r>
      <w:r>
        <w:rPr>
          <w:sz w:val="18"/>
          <w:szCs w:val="18"/>
          <w:color w:val="231F20"/>
          <w:spacing w:val="-1"/>
          <w:position w:val="3"/>
        </w:rPr>
        <w:t>.07.004</w:t>
      </w:r>
    </w:p>
    <w:p>
      <w:pPr>
        <w:spacing w:before="158"/>
        <w:rPr/>
      </w:pPr>
      <w:r/>
    </w:p>
    <w:p>
      <w:pPr>
        <w:sectPr>
          <w:footerReference w:type="default" r:id="rId1"/>
          <w:pgSz w:w="11906" w:h="16158"/>
          <w:pgMar w:top="627" w:right="847" w:bottom="547" w:left="407" w:header="0" w:footer="354" w:gutter="0"/>
          <w:cols w:equalWidth="0" w:num="1">
            <w:col w:w="10651" w:space="0"/>
          </w:cols>
        </w:sectPr>
        <w:rPr/>
      </w:pPr>
    </w:p>
    <w:p>
      <w:pPr>
        <w:pStyle w:val="BodyText"/>
        <w:ind w:left="504" w:right="261" w:firstLine="423"/>
        <w:spacing w:before="53" w:line="27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25"/>
        </w:rPr>
        <w:t>儿童功能性腹痛病</w:t>
      </w:r>
      <w:r>
        <w:rPr>
          <w:rFonts w:ascii="SimSun" w:hAnsi="SimSun" w:eastAsia="SimSun" w:cs="SimSun"/>
          <w:sz w:val="21"/>
          <w:szCs w:val="21"/>
          <w:color w:val="231F20"/>
          <w:spacing w:val="25"/>
        </w:rPr>
        <w:t>（</w:t>
      </w:r>
      <w:r>
        <w:rPr>
          <w:sz w:val="21"/>
          <w:szCs w:val="21"/>
          <w:color w:val="231F20"/>
        </w:rPr>
        <w:t>functional</w:t>
      </w:r>
      <w:r>
        <w:rPr>
          <w:sz w:val="21"/>
          <w:szCs w:val="21"/>
          <w:color w:val="231F20"/>
          <w:spacing w:val="43"/>
        </w:rPr>
        <w:t xml:space="preserve"> </w:t>
      </w:r>
      <w:r>
        <w:rPr>
          <w:sz w:val="21"/>
          <w:szCs w:val="21"/>
          <w:color w:val="231F20"/>
        </w:rPr>
        <w:t>abdominal</w:t>
      </w:r>
      <w:r>
        <w:rPr>
          <w:sz w:val="21"/>
          <w:szCs w:val="21"/>
          <w:color w:val="231F20"/>
          <w:spacing w:val="27"/>
          <w:w w:val="101"/>
        </w:rPr>
        <w:t xml:space="preserve"> </w:t>
      </w:r>
      <w:r>
        <w:rPr>
          <w:sz w:val="21"/>
          <w:szCs w:val="21"/>
          <w:color w:val="231F20"/>
        </w:rPr>
        <w:t>pain </w:t>
      </w:r>
      <w:r>
        <w:rPr>
          <w:sz w:val="21"/>
          <w:szCs w:val="21"/>
          <w:color w:val="231F20"/>
          <w:spacing w:val="-1"/>
        </w:rPr>
        <w:t>disorders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，</w:t>
      </w:r>
      <w:r>
        <w:rPr>
          <w:sz w:val="21"/>
          <w:szCs w:val="21"/>
          <w:color w:val="231F20"/>
          <w:spacing w:val="-1"/>
        </w:rPr>
        <w:t>FAPD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）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包括肠易激综合征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（</w:t>
      </w:r>
      <w:r>
        <w:rPr>
          <w:sz w:val="21"/>
          <w:szCs w:val="21"/>
          <w:color w:val="231F20"/>
          <w:spacing w:val="-1"/>
        </w:rPr>
        <w:t>irritable bowel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</w:rPr>
        <w:t>syndrome</w:t>
      </w:r>
      <w:r>
        <w:rPr>
          <w:sz w:val="21"/>
          <w:szCs w:val="21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7"/>
        </w:rPr>
        <w:t>，</w:t>
      </w:r>
      <w:r>
        <w:rPr>
          <w:sz w:val="21"/>
          <w:szCs w:val="21"/>
          <w:color w:val="231F20"/>
        </w:rPr>
        <w:t>IBS</w:t>
      </w:r>
      <w:r>
        <w:rPr>
          <w:rFonts w:ascii="SimSun" w:hAnsi="SimSun" w:eastAsia="SimSun" w:cs="SimSun"/>
          <w:sz w:val="21"/>
          <w:szCs w:val="21"/>
          <w:color w:val="231F20"/>
          <w:spacing w:val="37"/>
        </w:rPr>
        <w:t>）、</w:t>
      </w:r>
      <w:r>
        <w:rPr>
          <w:rFonts w:ascii="SimSun" w:hAnsi="SimSun" w:eastAsia="SimSun" w:cs="SimSun"/>
          <w:sz w:val="21"/>
          <w:szCs w:val="21"/>
          <w:color w:val="231F20"/>
          <w:spacing w:val="-59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37"/>
        </w:rPr>
        <w:t>功能性消化不良</w:t>
      </w:r>
      <w:r>
        <w:rPr>
          <w:rFonts w:ascii="SimSun" w:hAnsi="SimSun" w:eastAsia="SimSun" w:cs="SimSun"/>
          <w:sz w:val="21"/>
          <w:szCs w:val="21"/>
          <w:color w:val="231F20"/>
          <w:spacing w:val="37"/>
        </w:rPr>
        <w:t>（</w:t>
      </w:r>
      <w:r>
        <w:rPr>
          <w:sz w:val="21"/>
          <w:szCs w:val="21"/>
          <w:color w:val="231F20"/>
        </w:rPr>
        <w:t>functional </w:t>
      </w:r>
      <w:r>
        <w:rPr>
          <w:sz w:val="21"/>
          <w:szCs w:val="21"/>
          <w:color w:val="231F20"/>
          <w:spacing w:val="-3"/>
        </w:rPr>
        <w:t>dyspepsia</w:t>
      </w:r>
      <w:r>
        <w:rPr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，</w:t>
      </w:r>
      <w:r>
        <w:rPr>
          <w:sz w:val="21"/>
          <w:szCs w:val="21"/>
          <w:color w:val="231F20"/>
          <w:spacing w:val="-3"/>
        </w:rPr>
        <w:t>FD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）、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腹型偏头痛和罗马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Ⅳ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诊断标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>准定义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的未另行指定的</w:t>
      </w:r>
      <w:r>
        <w:rPr>
          <w:rFonts w:ascii="FangSong" w:hAnsi="FangSong" w:eastAsia="FangSong" w:cs="FangSong"/>
          <w:sz w:val="21"/>
          <w:szCs w:val="21"/>
          <w:color w:val="231F20"/>
          <w:spacing w:val="-36"/>
        </w:rPr>
        <w:t xml:space="preserve"> </w:t>
      </w:r>
      <w:r>
        <w:rPr>
          <w:sz w:val="21"/>
          <w:szCs w:val="21"/>
          <w:color w:val="231F20"/>
        </w:rPr>
        <w:t>FAPD</w:t>
      </w:r>
      <w:r>
        <w:rPr>
          <w:sz w:val="21"/>
          <w:szCs w:val="21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。</w:t>
      </w:r>
      <w:r>
        <w:rPr>
          <w:sz w:val="21"/>
          <w:szCs w:val="21"/>
          <w:color w:val="231F20"/>
        </w:rPr>
        <w:t>FAPD</w:t>
      </w:r>
      <w:r>
        <w:rPr>
          <w:sz w:val="21"/>
          <w:szCs w:val="21"/>
          <w:color w:val="231F20"/>
          <w:spacing w:val="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是一种常见疾病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其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病因包括肠道因素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（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炎症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动力和微生物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）、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心理因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素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外在因素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。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诊断主要基于临床症状和排除其他</w:t>
      </w:r>
      <w:r>
        <w:rPr>
          <w:rFonts w:ascii="FangSong" w:hAnsi="FangSong" w:eastAsia="FangSong" w:cs="FangSong"/>
          <w:sz w:val="21"/>
          <w:szCs w:val="21"/>
          <w:color w:val="231F20"/>
          <w:spacing w:val="17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>器质性病因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。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>儿童可用的药物干预是有限的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，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>因此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通过对病因及病理生理学深入的了解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侧重于综合</w:t>
      </w:r>
      <w:r>
        <w:rPr>
          <w:rFonts w:ascii="FangSong" w:hAnsi="FangSong" w:eastAsia="FangSong" w:cs="FangSong"/>
          <w:sz w:val="21"/>
          <w:szCs w:val="21"/>
          <w:color w:val="231F20"/>
          <w:spacing w:val="1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方法进行管理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包括认知行为疗法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饮食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益生菌</w:t>
      </w:r>
      <w:r>
        <w:rPr>
          <w:rFonts w:ascii="FangSong" w:hAnsi="FangSong" w:eastAsia="FangSong" w:cs="FangSong"/>
          <w:sz w:val="21"/>
          <w:szCs w:val="21"/>
          <w:color w:val="231F20"/>
          <w:spacing w:val="17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等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可对临床症状和生活质量有积极影响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</w:t>
      </w:r>
    </w:p>
    <w:p>
      <w:pPr>
        <w:ind w:left="513"/>
        <w:spacing w:before="175" w:line="290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1"/>
        </w:rPr>
        <w:t>1  儿童功能性腹痛病的概述</w:t>
      </w:r>
    </w:p>
    <w:p>
      <w:pPr>
        <w:pStyle w:val="BodyText"/>
        <w:ind w:left="500" w:right="202" w:firstLine="421"/>
        <w:spacing w:before="200" w:line="267" w:lineRule="auto"/>
        <w:jc w:val="both"/>
        <w:rPr>
          <w:rFonts w:ascii="FangSong" w:hAnsi="FangSong" w:eastAsia="FangSong" w:cs="FangSong"/>
          <w:sz w:val="21"/>
          <w:szCs w:val="21"/>
        </w:rPr>
      </w:pPr>
      <w:r>
        <w:pict>
          <v:shape id="_x0000_s2" style="position:absolute;margin-left:25.0958pt;margin-top:171.101pt;mso-position-vertical-relative:text;mso-position-horizontal-relative:text;width:504.6pt;height:0.3pt;z-index:251658240;" filled="false" strokecolor="#231F20" strokeweight="0.28pt" coordsize="10092,6" coordorigin="0,0" path="m0,2l10091,2e">
            <v:stroke joinstyle="miter" miterlimit="4"/>
          </v:shape>
        </w:pict>
      </w:r>
      <w:r>
        <w:rPr>
          <w:sz w:val="21"/>
          <w:szCs w:val="21"/>
          <w:color w:val="231F20"/>
        </w:rPr>
        <w:t>FAPD</w:t>
      </w:r>
      <w:r>
        <w:rPr>
          <w:sz w:val="21"/>
          <w:szCs w:val="21"/>
          <w:color w:val="231F20"/>
          <w:spacing w:val="2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</w:rPr>
        <w:t>常指任何与腹痛相关的功能性胃肠病</w:t>
      </w:r>
      <w:r>
        <w:rPr>
          <w:rFonts w:ascii="SimSun" w:hAnsi="SimSun" w:eastAsia="SimSun" w:cs="SimSun"/>
          <w:sz w:val="21"/>
          <w:szCs w:val="21"/>
          <w:color w:val="231F20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</w:rPr>
        <w:t>临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9"/>
        </w:rPr>
        <w:t>床上大多数慢性腹痛是功能性的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9"/>
        </w:rPr>
        <w:t>无解剖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9"/>
        </w:rPr>
        <w:t>代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谢异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9"/>
        </w:rPr>
        <w:t>常或感染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9"/>
        </w:rPr>
        <w:t>炎症和肿瘤因素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。</w:t>
      </w:r>
      <w:r>
        <w:rPr>
          <w:sz w:val="21"/>
          <w:szCs w:val="21"/>
          <w:color w:val="231F20"/>
        </w:rPr>
        <w:t>FAPD</w:t>
      </w:r>
      <w:r>
        <w:rPr>
          <w:sz w:val="21"/>
          <w:szCs w:val="21"/>
          <w:color w:val="231F20"/>
          <w:spacing w:val="9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9"/>
        </w:rPr>
        <w:t>定义为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：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9"/>
        </w:rPr>
        <w:t>①症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>状持续</w:t>
      </w:r>
      <w:r>
        <w:rPr>
          <w:rFonts w:ascii="FangSong" w:hAnsi="FangSong" w:eastAsia="FangSong" w:cs="FangSong"/>
          <w:sz w:val="21"/>
          <w:szCs w:val="21"/>
          <w:color w:val="231F20"/>
          <w:spacing w:val="-48"/>
        </w:rPr>
        <w:t xml:space="preserve"> </w:t>
      </w:r>
      <w:r>
        <w:rPr>
          <w:sz w:val="21"/>
          <w:szCs w:val="21"/>
          <w:color w:val="231F20"/>
          <w:spacing w:val="4"/>
        </w:rPr>
        <w:t>2 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>个月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；</w:t>
      </w:r>
      <w:r>
        <w:rPr>
          <w:rFonts w:ascii="SimSun" w:hAnsi="SimSun" w:eastAsia="SimSun" w:cs="SimSun"/>
          <w:sz w:val="21"/>
          <w:szCs w:val="21"/>
          <w:color w:val="231F20"/>
          <w:spacing w:val="-73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>②症状每周发作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＞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sz w:val="21"/>
          <w:szCs w:val="21"/>
          <w:color w:val="231F20"/>
          <w:spacing w:val="4"/>
        </w:rPr>
        <w:t>1</w:t>
      </w:r>
      <w:r>
        <w:rPr>
          <w:sz w:val="21"/>
          <w:szCs w:val="21"/>
          <w:color w:val="231F20"/>
          <w:spacing w:val="1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>次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；</w:t>
      </w:r>
      <w:r>
        <w:rPr>
          <w:rFonts w:ascii="SimSun" w:hAnsi="SimSun" w:eastAsia="SimSun" w:cs="SimSun"/>
          <w:sz w:val="21"/>
          <w:szCs w:val="21"/>
          <w:color w:val="231F20"/>
          <w:spacing w:val="-73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③排除器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>质性或生化异常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。</w:t>
      </w:r>
      <w:r>
        <w:rPr>
          <w:sz w:val="21"/>
          <w:szCs w:val="21"/>
          <w:color w:val="231F20"/>
        </w:rPr>
        <w:t>FAPD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>是儿童最常见的疾病之一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，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>包括</w:t>
      </w:r>
      <w:r>
        <w:rPr>
          <w:rFonts w:ascii="FangSong" w:hAnsi="FangSong" w:eastAsia="FangSong" w:cs="FangSong"/>
          <w:sz w:val="21"/>
          <w:szCs w:val="21"/>
          <w:color w:val="231F20"/>
          <w:spacing w:val="-34"/>
        </w:rPr>
        <w:t xml:space="preserve"> </w:t>
      </w:r>
      <w:r>
        <w:rPr>
          <w:sz w:val="21"/>
          <w:szCs w:val="21"/>
          <w:color w:val="231F20"/>
        </w:rPr>
        <w:t>FD</w:t>
      </w:r>
      <w:r>
        <w:rPr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、</w:t>
      </w:r>
      <w:r>
        <w:rPr>
          <w:sz w:val="21"/>
          <w:szCs w:val="21"/>
          <w:color w:val="231F20"/>
        </w:rPr>
        <w:t>IBS</w:t>
      </w:r>
      <w:r>
        <w:rPr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>腹型偏头痛和罗马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"/>
        </w:rPr>
        <w:t>Ⅳ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>诊断标准定义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的未另行指定的</w:t>
      </w:r>
      <w:r>
        <w:rPr>
          <w:rFonts w:ascii="FangSong" w:hAnsi="FangSong" w:eastAsia="FangSong" w:cs="FangSong"/>
          <w:sz w:val="21"/>
          <w:szCs w:val="21"/>
          <w:color w:val="231F20"/>
          <w:spacing w:val="-39"/>
        </w:rPr>
        <w:t xml:space="preserve"> </w:t>
      </w:r>
      <w:r>
        <w:rPr>
          <w:sz w:val="21"/>
          <w:szCs w:val="21"/>
          <w:color w:val="231F20"/>
        </w:rPr>
        <w:t>FAPD</w:t>
      </w:r>
      <w:r>
        <w:rPr>
          <w:sz w:val="21"/>
          <w:szCs w:val="21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。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目前罗马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7"/>
        </w:rPr>
        <w:t>Ⅳ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诊断标准主要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基于临床症状和排除其他器质性疾病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（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表</w:t>
      </w:r>
      <w:r>
        <w:rPr>
          <w:rFonts w:ascii="FangSong" w:hAnsi="FangSong" w:eastAsia="FangSong" w:cs="FangSong"/>
          <w:sz w:val="21"/>
          <w:szCs w:val="21"/>
          <w:color w:val="231F20"/>
          <w:spacing w:val="-23"/>
        </w:rPr>
        <w:t xml:space="preserve"> </w:t>
      </w:r>
      <w:r>
        <w:rPr>
          <w:sz w:val="21"/>
          <w:szCs w:val="21"/>
          <w:color w:val="231F20"/>
          <w:spacing w:val="8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）。</w:t>
      </w:r>
      <w:r>
        <w:rPr>
          <w:rFonts w:ascii="SimSun" w:hAnsi="SimSun" w:eastAsia="SimSun" w:cs="SimSun"/>
          <w:sz w:val="21"/>
          <w:szCs w:val="21"/>
          <w:color w:val="231F20"/>
          <w:spacing w:val="-63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临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床中应尽量区分</w:t>
      </w:r>
      <w:r>
        <w:rPr>
          <w:rFonts w:ascii="FangSong" w:hAnsi="FangSong" w:eastAsia="FangSong" w:cs="FangSong"/>
          <w:sz w:val="21"/>
          <w:szCs w:val="21"/>
          <w:color w:val="231F20"/>
          <w:spacing w:val="-42"/>
        </w:rPr>
        <w:t xml:space="preserve"> </w:t>
      </w:r>
      <w:r>
        <w:rPr>
          <w:sz w:val="21"/>
          <w:szCs w:val="21"/>
          <w:color w:val="231F20"/>
        </w:rPr>
        <w:t>FAPD</w:t>
      </w:r>
      <w:r>
        <w:rPr>
          <w:sz w:val="21"/>
          <w:szCs w:val="21"/>
          <w:color w:val="231F20"/>
          <w:spacing w:val="2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患儿的分型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从而进行更精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1" w:right="59" w:firstLine="2"/>
        <w:spacing w:before="85" w:line="28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10"/>
        </w:rPr>
        <w:t>准有效的管理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。</w:t>
      </w:r>
      <w:r>
        <w:rPr>
          <w:sz w:val="21"/>
          <w:szCs w:val="21"/>
          <w:color w:val="231F20"/>
        </w:rPr>
        <w:t>FAPD</w:t>
      </w:r>
      <w:r>
        <w:rPr>
          <w:sz w:val="21"/>
          <w:szCs w:val="21"/>
          <w:color w:val="231F20"/>
          <w:spacing w:val="3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0"/>
        </w:rPr>
        <w:t>与内脏高敏性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10"/>
        </w:rPr>
        <w:t>遗传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10"/>
        </w:rPr>
        <w:t>环境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和社会心理因素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黏膜和免疫功能改变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肠道动力</w:t>
      </w:r>
      <w:r>
        <w:rPr>
          <w:rFonts w:ascii="FangSong" w:hAnsi="FangSong" w:eastAsia="FangSong" w:cs="FangSong"/>
          <w:sz w:val="21"/>
          <w:szCs w:val="21"/>
          <w:color w:val="231F20"/>
          <w:spacing w:val="12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>紊乱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>肠道菌群变化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、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>中枢神经系统调节功能异常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>有关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。</w:t>
      </w:r>
    </w:p>
    <w:p>
      <w:pPr>
        <w:ind w:left="94"/>
        <w:spacing w:before="157" w:line="290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1"/>
        </w:rPr>
        <w:t>2  儿童功能性腹痛病的病因</w:t>
      </w:r>
    </w:p>
    <w:p>
      <w:pPr>
        <w:pStyle w:val="BodyText"/>
        <w:ind w:left="96"/>
        <w:spacing w:before="203" w:line="222" w:lineRule="auto"/>
        <w:rPr>
          <w:rFonts w:ascii="SimHei" w:hAnsi="SimHei" w:eastAsia="SimHei" w:cs="SimHei"/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1"/>
        </w:rPr>
        <w:t>2.1    </w:t>
      </w:r>
      <w:r>
        <w:rPr>
          <w:rFonts w:ascii="SimHei" w:hAnsi="SimHei" w:eastAsia="SimHei" w:cs="SimHei"/>
          <w:sz w:val="21"/>
          <w:szCs w:val="21"/>
          <w:color w:val="231F20"/>
          <w:spacing w:val="-1"/>
        </w:rPr>
        <w:t>危险因素</w:t>
      </w:r>
    </w:p>
    <w:p>
      <w:pPr>
        <w:pStyle w:val="BodyText"/>
        <w:ind w:right="59" w:firstLine="525"/>
        <w:spacing w:before="71" w:line="28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9"/>
        </w:rPr>
        <w:t>影响反复腹痛发生和加重的危险因素包括遗传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21"/>
        </w:rPr>
        <w:t>易感性</w:t>
      </w:r>
      <w:r>
        <w:rPr>
          <w:rFonts w:ascii="SimSun" w:hAnsi="SimSun" w:eastAsia="SimSun" w:cs="SimSun"/>
          <w:sz w:val="21"/>
          <w:szCs w:val="21"/>
          <w:color w:val="231F20"/>
          <w:spacing w:val="21"/>
        </w:rPr>
        <w:t>、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21"/>
        </w:rPr>
        <w:t>生活事件</w:t>
      </w:r>
      <w:r>
        <w:rPr>
          <w:rFonts w:ascii="SimSun" w:hAnsi="SimSun" w:eastAsia="SimSun" w:cs="SimSun"/>
          <w:sz w:val="21"/>
          <w:szCs w:val="21"/>
          <w:color w:val="231F20"/>
          <w:spacing w:val="21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21"/>
        </w:rPr>
        <w:t>儿童应对压力和疼痛的反应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（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>表</w:t>
      </w:r>
      <w:r>
        <w:rPr>
          <w:sz w:val="21"/>
          <w:szCs w:val="21"/>
          <w:color w:val="231F20"/>
          <w:spacing w:val="4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>），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>这些生物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>社会和心理因素通过脑</w:t>
      </w:r>
      <w:r>
        <w:rPr>
          <w:rFonts w:ascii="FangSong" w:hAnsi="FangSong" w:eastAsia="FangSong" w:cs="FangSong"/>
          <w:sz w:val="21"/>
          <w:szCs w:val="21"/>
          <w:color w:val="231F20"/>
          <w:spacing w:val="-44"/>
        </w:rPr>
        <w:t xml:space="preserve"> </w:t>
      </w:r>
      <w:r>
        <w:rPr>
          <w:sz w:val="21"/>
          <w:szCs w:val="21"/>
          <w:color w:val="231F20"/>
          <w:spacing w:val="4"/>
        </w:rPr>
        <w:t>- 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>肠轴改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>变肠道生理功能而引起腹痛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。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>让家长了解影响反复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>腹痛发生和加重的因素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>是管理反复腹痛的关键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。</w:t>
      </w:r>
    </w:p>
    <w:p>
      <w:pPr>
        <w:pStyle w:val="BodyText"/>
        <w:ind w:left="95"/>
        <w:spacing w:before="9" w:line="28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</w:rPr>
        <w:t>2.1.1    </w:t>
      </w:r>
      <w:r>
        <w:rPr>
          <w:rFonts w:ascii="KaiTi" w:hAnsi="KaiTi" w:eastAsia="KaiTi" w:cs="KaiTi"/>
          <w:sz w:val="21"/>
          <w:szCs w:val="21"/>
          <w:color w:val="231F20"/>
        </w:rPr>
        <w:t>遗传因素</w:t>
      </w:r>
      <w:r>
        <w:rPr>
          <w:rFonts w:ascii="KaiTi" w:hAnsi="KaiTi" w:eastAsia="KaiTi" w:cs="KaiTi"/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</w:rPr>
        <w:t>对于</w:t>
      </w:r>
      <w:r>
        <w:rPr>
          <w:rFonts w:ascii="FangSong" w:hAnsi="FangSong" w:eastAsia="FangSong" w:cs="FangSong"/>
          <w:sz w:val="21"/>
          <w:szCs w:val="21"/>
          <w:color w:val="231F20"/>
          <w:spacing w:val="-47"/>
        </w:rPr>
        <w:t xml:space="preserve"> </w:t>
      </w:r>
      <w:r>
        <w:rPr>
          <w:sz w:val="21"/>
          <w:szCs w:val="21"/>
          <w:color w:val="231F20"/>
        </w:rPr>
        <w:t>IBS</w:t>
      </w:r>
      <w:r>
        <w:rPr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</w:rPr>
        <w:t>母子在腹部症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状的发生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率上有很大的重叠</w:t>
      </w:r>
      <w:r>
        <w:rPr>
          <w:rFonts w:ascii="FangSong" w:hAnsi="FangSong" w:eastAsia="FangSong" w:cs="FangSong"/>
          <w:sz w:val="21"/>
          <w:szCs w:val="21"/>
          <w:color w:val="231F20"/>
          <w:spacing w:val="-42"/>
        </w:rPr>
        <w:t xml:space="preserve"> </w:t>
      </w:r>
      <w:r>
        <w:rPr>
          <w:sz w:val="12"/>
          <w:szCs w:val="12"/>
          <w:color w:val="231F20"/>
          <w:spacing w:val="7"/>
          <w:position w:val="8"/>
        </w:rPr>
        <w:t>[1]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。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这种重叠可能与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>某些基因有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关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但更可能是由于一些社会因素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包括父母对孩</w:t>
      </w:r>
      <w:r>
        <w:rPr>
          <w:rFonts w:ascii="FangSong" w:hAnsi="FangSong" w:eastAsia="FangSong" w:cs="FangSong"/>
          <w:sz w:val="21"/>
          <w:szCs w:val="21"/>
          <w:color w:val="231F20"/>
          <w:spacing w:val="1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子腹痛的过度反应</w:t>
      </w:r>
      <w:r>
        <w:rPr>
          <w:rFonts w:ascii="FangSong" w:hAnsi="FangSong" w:eastAsia="FangSong" w:cs="FangSong"/>
          <w:sz w:val="21"/>
          <w:szCs w:val="21"/>
          <w:color w:val="231F20"/>
          <w:spacing w:val="-42"/>
        </w:rPr>
        <w:t xml:space="preserve"> </w:t>
      </w:r>
      <w:r>
        <w:rPr>
          <w:sz w:val="12"/>
          <w:szCs w:val="12"/>
          <w:color w:val="231F20"/>
          <w:spacing w:val="1"/>
          <w:position w:val="8"/>
        </w:rPr>
        <w:t>[2]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。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一项关于双胞</w:t>
      </w:r>
      <w:r>
        <w:rPr>
          <w:rFonts w:ascii="FangSong" w:hAnsi="FangSong" w:eastAsia="FangSong" w:cs="FangSong"/>
          <w:sz w:val="21"/>
          <w:szCs w:val="21"/>
          <w:color w:val="231F20"/>
        </w:rPr>
        <w:t>胎的研究表明</w:t>
      </w:r>
      <w:r>
        <w:rPr>
          <w:rFonts w:ascii="SimSun" w:hAnsi="SimSun" w:eastAsia="SimSun" w:cs="SimSun"/>
          <w:sz w:val="21"/>
          <w:szCs w:val="21"/>
          <w:color w:val="231F20"/>
        </w:rPr>
        <w:t>， </w:t>
      </w:r>
      <w:r>
        <w:rPr>
          <w:sz w:val="21"/>
          <w:szCs w:val="21"/>
          <w:color w:val="231F20"/>
        </w:rPr>
        <w:t>IBS</w:t>
      </w:r>
      <w:r>
        <w:rPr>
          <w:sz w:val="21"/>
          <w:szCs w:val="21"/>
          <w:color w:val="231F20"/>
          <w:spacing w:val="41"/>
          <w:w w:val="10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的患病率在同卵双胞胎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（</w:t>
      </w:r>
      <w:r>
        <w:rPr>
          <w:sz w:val="21"/>
          <w:szCs w:val="21"/>
          <w:color w:val="231F20"/>
          <w:spacing w:val="3"/>
        </w:rPr>
        <w:t>17.2%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）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中明显高于在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>异卵双胞胎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（</w:t>
      </w:r>
      <w:r>
        <w:rPr>
          <w:sz w:val="21"/>
          <w:szCs w:val="21"/>
          <w:color w:val="231F20"/>
          <w:spacing w:val="4"/>
        </w:rPr>
        <w:t>8.4%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）</w:t>
      </w:r>
      <w:r>
        <w:rPr>
          <w:rFonts w:ascii="SimSun" w:hAnsi="SimSun" w:eastAsia="SimSun" w:cs="SimSun"/>
          <w:sz w:val="21"/>
          <w:szCs w:val="21"/>
          <w:color w:val="231F20"/>
          <w:spacing w:val="-59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>中</w:t>
      </w:r>
      <w:r>
        <w:rPr>
          <w:rFonts w:ascii="FangSong" w:hAnsi="FangSong" w:eastAsia="FangSong" w:cs="FangSong"/>
          <w:sz w:val="21"/>
          <w:szCs w:val="21"/>
          <w:color w:val="231F20"/>
          <w:spacing w:val="-43"/>
        </w:rPr>
        <w:t xml:space="preserve"> </w:t>
      </w:r>
      <w:r>
        <w:rPr>
          <w:sz w:val="12"/>
          <w:szCs w:val="12"/>
          <w:color w:val="231F20"/>
          <w:spacing w:val="4"/>
          <w:position w:val="8"/>
        </w:rPr>
        <w:t>[3]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。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>几项针对成人的研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究表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明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许多易感基因与</w:t>
      </w:r>
      <w:r>
        <w:rPr>
          <w:rFonts w:ascii="FangSong" w:hAnsi="FangSong" w:eastAsia="FangSong" w:cs="FangSong"/>
          <w:sz w:val="21"/>
          <w:szCs w:val="21"/>
          <w:color w:val="231F20"/>
          <w:spacing w:val="-32"/>
        </w:rPr>
        <w:t xml:space="preserve"> </w:t>
      </w:r>
      <w:r>
        <w:rPr>
          <w:sz w:val="21"/>
          <w:szCs w:val="21"/>
          <w:color w:val="231F20"/>
        </w:rPr>
        <w:t>FAPD</w:t>
      </w:r>
      <w:r>
        <w:rPr>
          <w:sz w:val="21"/>
          <w:szCs w:val="21"/>
          <w:color w:val="231F20"/>
          <w:spacing w:val="26"/>
          <w:w w:val="10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的发生有关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但结果并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不一致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在儿童中没有类似的研究报道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。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一项小型</w:t>
      </w:r>
      <w:r>
        <w:rPr>
          <w:rFonts w:ascii="FangSong" w:hAnsi="FangSong" w:eastAsia="FangSong" w:cs="FangSong"/>
          <w:sz w:val="21"/>
          <w:szCs w:val="21"/>
          <w:color w:val="231F20"/>
          <w:spacing w:val="1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>试点研究表明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>约</w:t>
      </w:r>
      <w:r>
        <w:rPr>
          <w:rFonts w:ascii="FangSong" w:hAnsi="FangSong" w:eastAsia="FangSong" w:cs="FangSong"/>
          <w:sz w:val="21"/>
          <w:szCs w:val="21"/>
          <w:color w:val="231F20"/>
          <w:spacing w:val="-24"/>
        </w:rPr>
        <w:t xml:space="preserve"> </w:t>
      </w:r>
      <w:r>
        <w:rPr>
          <w:sz w:val="21"/>
          <w:szCs w:val="21"/>
          <w:color w:val="231F20"/>
          <w:spacing w:val="5"/>
        </w:rPr>
        <w:t>16%</w:t>
      </w:r>
      <w:r>
        <w:rPr>
          <w:sz w:val="21"/>
          <w:szCs w:val="21"/>
          <w:color w:val="231F20"/>
          <w:spacing w:val="26"/>
          <w:w w:val="10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>的</w:t>
      </w:r>
      <w:r>
        <w:rPr>
          <w:rFonts w:ascii="FangSong" w:hAnsi="FangSong" w:eastAsia="FangSong" w:cs="FangSong"/>
          <w:sz w:val="21"/>
          <w:szCs w:val="21"/>
          <w:color w:val="231F20"/>
          <w:spacing w:val="-47"/>
        </w:rPr>
        <w:t xml:space="preserve"> </w:t>
      </w:r>
      <w:r>
        <w:rPr>
          <w:sz w:val="21"/>
          <w:szCs w:val="21"/>
          <w:color w:val="231F20"/>
        </w:rPr>
        <w:t>IBS</w:t>
      </w:r>
      <w:r>
        <w:rPr>
          <w:sz w:val="21"/>
          <w:szCs w:val="21"/>
          <w:color w:val="231F20"/>
          <w:spacing w:val="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>儿童存在母系遗传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可能与线粒体</w:t>
      </w:r>
      <w:r>
        <w:rPr>
          <w:rFonts w:ascii="FangSong" w:hAnsi="FangSong" w:eastAsia="FangSong" w:cs="FangSong"/>
          <w:sz w:val="21"/>
          <w:szCs w:val="21"/>
          <w:color w:val="231F20"/>
          <w:spacing w:val="-42"/>
        </w:rPr>
        <w:t xml:space="preserve"> </w:t>
      </w:r>
      <w:r>
        <w:rPr>
          <w:sz w:val="21"/>
          <w:szCs w:val="21"/>
          <w:color w:val="231F20"/>
          <w:spacing w:val="-2"/>
        </w:rPr>
        <w:t>DNA</w:t>
      </w:r>
      <w:r>
        <w:rPr>
          <w:sz w:val="21"/>
          <w:szCs w:val="21"/>
          <w:color w:val="231F20"/>
          <w:spacing w:val="13"/>
          <w:w w:val="10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功能障碍有关</w:t>
      </w:r>
      <w:r>
        <w:rPr>
          <w:rFonts w:ascii="FangSong" w:hAnsi="FangSong" w:eastAsia="FangSong" w:cs="FangSong"/>
          <w:sz w:val="21"/>
          <w:szCs w:val="21"/>
          <w:color w:val="231F20"/>
          <w:spacing w:val="-43"/>
        </w:rPr>
        <w:t xml:space="preserve"> </w:t>
      </w:r>
      <w:r>
        <w:rPr>
          <w:sz w:val="12"/>
          <w:szCs w:val="12"/>
          <w:color w:val="231F20"/>
          <w:spacing w:val="-2"/>
          <w:position w:val="8"/>
        </w:rPr>
        <w:t>[4]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。</w:t>
      </w:r>
    </w:p>
    <w:p>
      <w:pPr>
        <w:spacing w:line="285" w:lineRule="auto"/>
        <w:sectPr>
          <w:type w:val="continuous"/>
          <w:pgSz w:w="11906" w:h="16158"/>
          <w:pgMar w:top="627" w:right="847" w:bottom="547" w:left="407" w:header="0" w:footer="354" w:gutter="0"/>
          <w:cols w:equalWidth="0" w:num="2">
            <w:col w:w="5581" w:space="100"/>
            <w:col w:w="4970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before="18"/>
        <w:rPr/>
      </w:pPr>
      <w:r/>
    </w:p>
    <w:p>
      <w:pPr>
        <w:spacing w:before="17"/>
        <w:rPr/>
      </w:pPr>
      <w:r/>
    </w:p>
    <w:p>
      <w:pPr>
        <w:sectPr>
          <w:type w:val="continuous"/>
          <w:pgSz w:w="11906" w:h="16158"/>
          <w:pgMar w:top="627" w:right="847" w:bottom="547" w:left="407" w:header="0" w:footer="354" w:gutter="0"/>
          <w:cols w:equalWidth="0" w:num="1">
            <w:col w:w="10651" w:space="0"/>
          </w:cols>
        </w:sectPr>
        <w:rPr/>
      </w:pPr>
    </w:p>
    <w:p>
      <w:pPr>
        <w:pStyle w:val="BodyText"/>
        <w:ind w:left="927" w:right="365" w:firstLine="2"/>
        <w:spacing w:before="42" w:line="260" w:lineRule="auto"/>
        <w:rPr/>
      </w:pPr>
      <w:r>
        <w:rPr>
          <w:color w:val="231F20"/>
        </w:rPr>
        <w:t>complete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review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biomedical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question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answering</w:t>
      </w:r>
      <w:r>
        <w:rPr>
          <w:color w:val="231F20"/>
          <w:spacing w:val="12"/>
        </w:rPr>
        <w:t>[J].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Biophysics </w:t>
      </w:r>
      <w:r>
        <w:rPr>
          <w:color w:val="231F20"/>
        </w:rPr>
        <w:t>Reports, 2024. doi: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10.52</w:t>
      </w:r>
      <w:r>
        <w:rPr>
          <w:color w:val="231F20"/>
          <w:spacing w:val="-1"/>
        </w:rPr>
        <w:t>601/bpr.2024.240004.</w:t>
      </w:r>
    </w:p>
    <w:p>
      <w:pPr>
        <w:pStyle w:val="BodyText"/>
        <w:ind w:left="923" w:right="365" w:hanging="411"/>
        <w:spacing w:line="258" w:lineRule="auto"/>
        <w:rPr/>
      </w:pPr>
      <w:r>
        <w:rPr>
          <w:color w:val="231F20"/>
        </w:rPr>
        <w:t>[16]    LEE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E,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BARNES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H,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MEHR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S,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et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1"/>
        </w:rPr>
        <w:t>al.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Differentiating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acute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food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protein-induced enterocolitis syndrome from its m</w:t>
      </w:r>
      <w:r>
        <w:rPr>
          <w:color w:val="231F20"/>
          <w:spacing w:val="-3"/>
        </w:rPr>
        <w:t>imics: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3"/>
        </w:rPr>
        <w:t>A comparison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clinical features and routine laboratory biomarkers[J]. J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Aller</w:t>
      </w:r>
      <w:r>
        <w:rPr>
          <w:color w:val="231F20"/>
          <w:spacing w:val="-3"/>
        </w:rPr>
        <w:t>gy Clin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Immunol Pract, 2019, 7(2)</w:t>
      </w:r>
      <w:r>
        <w:rPr>
          <w:color w:val="231F20"/>
          <w:spacing w:val="-3"/>
        </w:rPr>
        <w:t>: 471-478.</w:t>
      </w:r>
    </w:p>
    <w:p>
      <w:pPr>
        <w:pStyle w:val="BodyText"/>
        <w:ind w:left="930" w:right="367" w:hanging="418"/>
        <w:spacing w:before="10" w:line="226" w:lineRule="auto"/>
        <w:rPr/>
      </w:pPr>
      <w:r>
        <w:rPr>
          <w:color w:val="231F20"/>
          <w:spacing w:val="1"/>
        </w:rPr>
        <w:t>[17]    </w:t>
      </w:r>
      <w:r>
        <w:rPr>
          <w:rFonts w:ascii="SimSun" w:hAnsi="SimSun" w:eastAsia="SimSun" w:cs="SimSun"/>
          <w:color w:val="231F20"/>
          <w:spacing w:val="1"/>
        </w:rPr>
        <w:t>张超蕾</w:t>
      </w:r>
      <w:r>
        <w:rPr>
          <w:color w:val="231F20"/>
          <w:spacing w:val="1"/>
        </w:rPr>
        <w:t>,</w:t>
      </w:r>
      <w:r>
        <w:rPr>
          <w:color w:val="231F20"/>
          <w:spacing w:val="45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周瑾洁</w:t>
      </w:r>
      <w:r>
        <w:rPr>
          <w:color w:val="231F20"/>
          <w:spacing w:val="1"/>
        </w:rPr>
        <w:t>,</w:t>
      </w:r>
      <w:r>
        <w:rPr>
          <w:color w:val="231F20"/>
          <w:spacing w:val="28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姜莉莉</w:t>
      </w:r>
      <w:r>
        <w:rPr>
          <w:color w:val="231F20"/>
          <w:spacing w:val="1"/>
        </w:rPr>
        <w:t>,</w:t>
      </w:r>
      <w:r>
        <w:rPr>
          <w:color w:val="231F20"/>
          <w:spacing w:val="28"/>
          <w:w w:val="102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等</w:t>
      </w:r>
      <w:r>
        <w:rPr>
          <w:color w:val="231F20"/>
          <w:spacing w:val="1"/>
        </w:rPr>
        <w:t>.</w:t>
      </w:r>
      <w:r>
        <w:rPr>
          <w:color w:val="231F20"/>
          <w:spacing w:val="27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微生物组学及其应用研究进展</w:t>
      </w:r>
      <w:r>
        <w:rPr>
          <w:color w:val="231F20"/>
          <w:spacing w:val="1"/>
        </w:rPr>
        <w:t>[J].</w:t>
      </w:r>
      <w:r>
        <w:rPr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>微生物学杂志</w:t>
      </w:r>
      <w:r>
        <w:rPr>
          <w:color w:val="231F20"/>
        </w:rPr>
        <w:t>, 2017, 37(4)</w:t>
      </w:r>
      <w:r>
        <w:rPr>
          <w:color w:val="231F20"/>
          <w:spacing w:val="-1"/>
        </w:rPr>
        <w:t>: 74-81.</w:t>
      </w:r>
    </w:p>
    <w:p>
      <w:pPr>
        <w:pStyle w:val="BodyText"/>
        <w:ind w:left="933" w:right="366" w:hanging="421"/>
        <w:spacing w:line="226" w:lineRule="auto"/>
        <w:rPr/>
      </w:pPr>
      <w:r>
        <w:rPr>
          <w:color w:val="231F20"/>
          <w:spacing w:val="1"/>
        </w:rPr>
        <w:t>[18]    </w:t>
      </w:r>
      <w:r>
        <w:rPr>
          <w:rFonts w:ascii="SimSun" w:hAnsi="SimSun" w:eastAsia="SimSun" w:cs="SimSun"/>
          <w:color w:val="231F20"/>
          <w:spacing w:val="1"/>
        </w:rPr>
        <w:t>蒋易蓉</w:t>
      </w:r>
      <w:r>
        <w:rPr>
          <w:color w:val="231F20"/>
          <w:spacing w:val="1"/>
        </w:rPr>
        <w:t>,</w:t>
      </w:r>
      <w:r>
        <w:rPr>
          <w:color w:val="231F20"/>
          <w:spacing w:val="41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任一平</w:t>
      </w:r>
      <w:r>
        <w:rPr>
          <w:color w:val="231F20"/>
          <w:spacing w:val="1"/>
        </w:rPr>
        <w:t>,</w:t>
      </w:r>
      <w:r>
        <w:rPr>
          <w:color w:val="231F20"/>
          <w:spacing w:val="35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陆柏益</w:t>
      </w:r>
      <w:r>
        <w:rPr>
          <w:color w:val="231F20"/>
          <w:spacing w:val="1"/>
        </w:rPr>
        <w:t>.</w:t>
      </w:r>
      <w:r>
        <w:rPr>
          <w:color w:val="231F20"/>
          <w:spacing w:val="26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靶向蛋白质组学质谱技术在食物过敏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原定量检测中的应用</w:t>
      </w:r>
      <w:r>
        <w:rPr>
          <w:color w:val="231F20"/>
          <w:spacing w:val="-1"/>
        </w:rPr>
        <w:t>[J].</w:t>
      </w:r>
      <w:r>
        <w:rPr>
          <w:color w:val="231F20"/>
          <w:spacing w:val="30"/>
          <w:w w:val="102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中国食品学报</w:t>
      </w:r>
      <w:r>
        <w:rPr>
          <w:color w:val="231F20"/>
          <w:spacing w:val="-1"/>
        </w:rPr>
        <w:t>, 2020, 20(1): 302-310.</w:t>
      </w:r>
    </w:p>
    <w:p>
      <w:pPr>
        <w:pStyle w:val="BodyText"/>
        <w:ind w:left="945" w:right="366" w:hanging="433"/>
        <w:spacing w:line="226" w:lineRule="auto"/>
        <w:rPr/>
      </w:pPr>
      <w:r>
        <w:rPr>
          <w:color w:val="231F20"/>
          <w:spacing w:val="-4"/>
        </w:rPr>
        <w:t>[19]    </w:t>
      </w:r>
      <w:r>
        <w:rPr>
          <w:rFonts w:ascii="SimSun" w:hAnsi="SimSun" w:eastAsia="SimSun" w:cs="SimSun"/>
          <w:color w:val="231F20"/>
          <w:spacing w:val="-4"/>
        </w:rPr>
        <w:t>杨若婷</w:t>
      </w:r>
      <w:r>
        <w:rPr>
          <w:color w:val="231F20"/>
          <w:spacing w:val="-4"/>
        </w:rPr>
        <w:t>, </w:t>
      </w:r>
      <w:r>
        <w:rPr>
          <w:rFonts w:ascii="SimSun" w:hAnsi="SimSun" w:eastAsia="SimSun" w:cs="SimSun"/>
          <w:color w:val="231F20"/>
          <w:spacing w:val="-4"/>
        </w:rPr>
        <w:t>杨帆</w:t>
      </w:r>
      <w:r>
        <w:rPr>
          <w:color w:val="231F20"/>
          <w:spacing w:val="-4"/>
        </w:rPr>
        <w:t>,</w:t>
      </w:r>
      <w:r>
        <w:rPr>
          <w:color w:val="231F20"/>
          <w:spacing w:val="25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白天亮</w:t>
      </w:r>
      <w:r>
        <w:rPr>
          <w:color w:val="231F20"/>
          <w:spacing w:val="-4"/>
        </w:rPr>
        <w:t>, </w:t>
      </w:r>
      <w:r>
        <w:rPr>
          <w:rFonts w:ascii="SimSun" w:hAnsi="SimSun" w:eastAsia="SimSun" w:cs="SimSun"/>
          <w:color w:val="231F20"/>
          <w:spacing w:val="-4"/>
        </w:rPr>
        <w:t>等</w:t>
      </w:r>
      <w:r>
        <w:rPr>
          <w:color w:val="231F20"/>
          <w:spacing w:val="-4"/>
        </w:rPr>
        <w:t>. </w:t>
      </w:r>
      <w:r>
        <w:rPr>
          <w:rFonts w:ascii="SimSun" w:hAnsi="SimSun" w:eastAsia="SimSun" w:cs="SimSun"/>
          <w:color w:val="231F20"/>
          <w:spacing w:val="-4"/>
        </w:rPr>
        <w:t>表观遗传学在食物过敏中的研究进展</w:t>
      </w:r>
      <w:r>
        <w:rPr>
          <w:color w:val="231F20"/>
          <w:spacing w:val="-4"/>
        </w:rPr>
        <w:t>[J].</w:t>
      </w:r>
      <w:r>
        <w:rPr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中国食品学报</w:t>
      </w:r>
      <w:r>
        <w:rPr>
          <w:color w:val="231F20"/>
          <w:spacing w:val="-1"/>
        </w:rPr>
        <w:t>, 2023, 23(4): 413-423.</w:t>
      </w:r>
    </w:p>
    <w:p>
      <w:pPr>
        <w:pStyle w:val="BodyText"/>
        <w:ind w:left="930" w:right="366" w:hanging="418"/>
        <w:spacing w:before="1" w:line="210" w:lineRule="auto"/>
        <w:rPr/>
      </w:pPr>
      <w:r>
        <w:rPr>
          <w:color w:val="231F20"/>
          <w:spacing w:val="-1"/>
        </w:rPr>
        <w:t>[20]    </w:t>
      </w:r>
      <w:r>
        <w:rPr>
          <w:rFonts w:ascii="SimSun" w:hAnsi="SimSun" w:eastAsia="SimSun" w:cs="SimSun"/>
          <w:color w:val="231F20"/>
          <w:spacing w:val="-1"/>
        </w:rPr>
        <w:t>王晶</w:t>
      </w:r>
      <w:r>
        <w:rPr>
          <w:color w:val="231F20"/>
          <w:spacing w:val="-1"/>
        </w:rPr>
        <w:t>,</w:t>
      </w:r>
      <w:r>
        <w:rPr>
          <w:color w:val="231F20"/>
          <w:spacing w:val="12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黄丽英</w:t>
      </w:r>
      <w:r>
        <w:rPr>
          <w:color w:val="231F20"/>
          <w:spacing w:val="-1"/>
        </w:rPr>
        <w:t>,</w:t>
      </w:r>
      <w:r>
        <w:rPr>
          <w:color w:val="231F20"/>
          <w:spacing w:val="21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陆俊佳</w:t>
      </w:r>
      <w:r>
        <w:rPr>
          <w:color w:val="231F20"/>
          <w:spacing w:val="-1"/>
        </w:rPr>
        <w:t>,</w:t>
      </w:r>
      <w:r>
        <w:rPr>
          <w:color w:val="231F20"/>
          <w:spacing w:val="14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等</w:t>
      </w:r>
      <w:r>
        <w:rPr>
          <w:color w:val="231F20"/>
          <w:spacing w:val="-1"/>
        </w:rPr>
        <w:t>.</w:t>
      </w:r>
      <w:r>
        <w:rPr>
          <w:color w:val="231F20"/>
          <w:spacing w:val="13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基于</w:t>
      </w:r>
      <w:r>
        <w:rPr>
          <w:color w:val="231F20"/>
          <w:spacing w:val="-1"/>
        </w:rPr>
        <w:t>16S rRNA</w:t>
      </w:r>
      <w:r>
        <w:rPr>
          <w:rFonts w:ascii="SimSun" w:hAnsi="SimSun" w:eastAsia="SimSun" w:cs="SimSun"/>
          <w:color w:val="231F20"/>
          <w:spacing w:val="-1"/>
        </w:rPr>
        <w:t>基因测序分析不同</w:t>
      </w:r>
      <w:r>
        <w:rPr>
          <w:rFonts w:ascii="SimSun" w:hAnsi="SimSun" w:eastAsia="SimSun" w:cs="SimSun"/>
          <w:color w:val="231F20"/>
          <w:spacing w:val="-2"/>
        </w:rPr>
        <w:t>喂养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方式对食物过敏婴幼儿肠道微生态的影响</w:t>
      </w:r>
      <w:r>
        <w:rPr>
          <w:color w:val="231F20"/>
          <w:spacing w:val="3"/>
        </w:rPr>
        <w:t>[J]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3"/>
        </w:rPr>
        <w:t>.</w:t>
      </w:r>
      <w:r>
        <w:rPr>
          <w:color w:val="231F20"/>
          <w:spacing w:val="29"/>
          <w:w w:val="102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重庆医学</w:t>
      </w:r>
      <w:r>
        <w:rPr>
          <w:color w:val="231F20"/>
          <w:spacing w:val="3"/>
        </w:rPr>
        <w:t>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2021,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19"/>
        <w:spacing w:before="40" w:line="203" w:lineRule="exact"/>
        <w:rPr/>
      </w:pPr>
      <w:r>
        <w:rPr>
          <w:color w:val="231F20"/>
          <w:spacing w:val="-1"/>
          <w:position w:val="2"/>
        </w:rPr>
        <w:t>50(24): 4218-4222.</w:t>
      </w:r>
    </w:p>
    <w:p>
      <w:pPr>
        <w:pStyle w:val="BodyText"/>
        <w:ind w:left="417" w:right="58" w:hanging="417"/>
        <w:spacing w:before="2" w:line="255" w:lineRule="auto"/>
        <w:rPr/>
      </w:pPr>
      <w:r>
        <w:rPr>
          <w:color w:val="231F20"/>
          <w:spacing w:val="5"/>
        </w:rPr>
        <w:t>[21]    </w:t>
      </w:r>
      <w:r>
        <w:rPr>
          <w:color w:val="231F20"/>
        </w:rPr>
        <w:t>GROETCH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M</w:t>
      </w:r>
      <w:r>
        <w:rPr>
          <w:color w:val="231F20"/>
          <w:spacing w:val="5"/>
        </w:rPr>
        <w:t>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BAKER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M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G</w:t>
      </w:r>
      <w:r>
        <w:rPr>
          <w:color w:val="231F20"/>
          <w:spacing w:val="5"/>
        </w:rPr>
        <w:t>,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</w:rPr>
        <w:t>DURBAN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R</w:t>
      </w:r>
      <w:r>
        <w:rPr>
          <w:color w:val="231F20"/>
          <w:spacing w:val="5"/>
        </w:rPr>
        <w:t>,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5"/>
        </w:rPr>
        <w:t>.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practical </w:t>
      </w:r>
      <w:r>
        <w:rPr>
          <w:color w:val="231F20"/>
          <w:spacing w:val="10"/>
        </w:rPr>
        <w:t>dietary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10"/>
        </w:rPr>
        <w:t>management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of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10"/>
        </w:rPr>
        <w:t>food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10"/>
        </w:rPr>
        <w:t>protein-induced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enterocolitis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syndrome[J].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Ann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Allergy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Ast</w:t>
      </w:r>
      <w:r>
        <w:rPr>
          <w:color w:val="231F20"/>
          <w:spacing w:val="-1"/>
        </w:rPr>
        <w:t>hma Immunol, 2021,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127(1): 28-35.</w:t>
      </w:r>
    </w:p>
    <w:p>
      <w:pPr>
        <w:pStyle w:val="BodyText"/>
        <w:ind w:left="417" w:right="58" w:hanging="417"/>
        <w:spacing w:before="1" w:line="255" w:lineRule="auto"/>
        <w:rPr/>
      </w:pPr>
      <w:r>
        <w:rPr>
          <w:color w:val="231F20"/>
        </w:rPr>
        <w:t>[22]    MEYER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R,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WRIGHT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K,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VIEIR</w:t>
      </w:r>
      <w:r>
        <w:rPr>
          <w:color w:val="231F20"/>
          <w:spacing w:val="-1"/>
        </w:rPr>
        <w:t>A M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1"/>
        </w:rPr>
        <w:t>C,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et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al.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International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survey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on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3"/>
        </w:rPr>
        <w:t>growth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indices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impacting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factors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children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with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food</w:t>
      </w:r>
      <w:r>
        <w:rPr>
          <w:color w:val="231F20"/>
        </w:rPr>
        <w:t xml:space="preserve"> </w:t>
      </w:r>
      <w:r>
        <w:rPr>
          <w:color w:val="231F20"/>
        </w:rPr>
        <w:t>allergies[J]. J Hum Nu</w:t>
      </w:r>
      <w:r>
        <w:rPr>
          <w:color w:val="231F20"/>
          <w:spacing w:val="-1"/>
        </w:rPr>
        <w:t>tr Diet, 2019, 32(2):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175-184.</w:t>
      </w:r>
    </w:p>
    <w:p>
      <w:pPr>
        <w:pStyle w:val="BodyText"/>
        <w:ind w:left="417" w:right="60" w:hanging="417"/>
        <w:spacing w:before="2" w:line="255" w:lineRule="auto"/>
        <w:rPr/>
      </w:pPr>
      <w:r>
        <w:rPr>
          <w:color w:val="231F20"/>
          <w:spacing w:val="2"/>
        </w:rPr>
        <w:t>[23]    </w:t>
      </w:r>
      <w:r>
        <w:rPr>
          <w:color w:val="231F20"/>
        </w:rPr>
        <w:t>INFANTE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S</w:t>
      </w:r>
      <w:r>
        <w:rPr>
          <w:color w:val="231F20"/>
          <w:spacing w:val="2"/>
        </w:rPr>
        <w:t>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CABRERA</w:t>
      </w:r>
      <w:r>
        <w:rPr>
          <w:color w:val="231F20"/>
          <w:spacing w:val="2"/>
        </w:rPr>
        <w:t>-</w:t>
      </w:r>
      <w:r>
        <w:rPr>
          <w:color w:val="231F20"/>
        </w:rPr>
        <w:t>FREITAG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P</w:t>
      </w:r>
      <w:r>
        <w:rPr>
          <w:color w:val="231F20"/>
          <w:spacing w:val="2"/>
        </w:rPr>
        <w:t>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MORALES</w:t>
      </w:r>
      <w:r>
        <w:rPr>
          <w:color w:val="231F20"/>
          <w:spacing w:val="2"/>
        </w:rPr>
        <w:t>-</w:t>
      </w:r>
      <w:r>
        <w:rPr>
          <w:color w:val="231F20"/>
        </w:rPr>
        <w:t>CABEZA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C</w:t>
      </w:r>
      <w:r>
        <w:rPr>
          <w:color w:val="231F20"/>
          <w:spacing w:val="2"/>
        </w:rPr>
        <w:t>,</w:t>
      </w:r>
      <w:r>
        <w:rPr>
          <w:color w:val="231F20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al.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Geographical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variations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food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protein-induced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ent</w:t>
      </w:r>
      <w:r>
        <w:rPr>
          <w:color w:val="231F20"/>
          <w:spacing w:val="-1"/>
        </w:rPr>
        <w:t>erocolitis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Syndrome[J]. Curr Treat Options Allergy, 2019, 6(4):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1-13.</w:t>
      </w:r>
    </w:p>
    <w:p>
      <w:pPr>
        <w:pStyle w:val="BodyText"/>
        <w:ind w:left="412" w:right="57" w:hanging="413"/>
        <w:spacing w:before="2" w:line="258" w:lineRule="auto"/>
        <w:rPr/>
      </w:pPr>
      <w:r>
        <w:rPr>
          <w:color w:val="231F20"/>
          <w:spacing w:val="13"/>
        </w:rPr>
        <w:t>[24]</w:t>
      </w:r>
      <w:r>
        <w:rPr>
          <w:color w:val="231F20"/>
        </w:rPr>
        <w:t xml:space="preserve">    PECORA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V</w:t>
      </w:r>
      <w:r>
        <w:rPr>
          <w:color w:val="231F20"/>
          <w:spacing w:val="13"/>
        </w:rPr>
        <w:t>,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VALLUZZI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R</w:t>
      </w:r>
      <w:r>
        <w:rPr>
          <w:color w:val="231F20"/>
          <w:spacing w:val="13"/>
        </w:rPr>
        <w:t>,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DAHDAH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L</w:t>
      </w:r>
      <w:r>
        <w:rPr>
          <w:color w:val="231F20"/>
          <w:spacing w:val="13"/>
        </w:rPr>
        <w:t>,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3"/>
        </w:rPr>
        <w:t>.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Food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protein</w:t>
      </w:r>
      <w:r>
        <w:rPr>
          <w:color w:val="231F20"/>
          <w:spacing w:val="13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induced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6"/>
        </w:rPr>
        <w:t>enterocolitis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6"/>
        </w:rPr>
        <w:t>syndrome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6"/>
        </w:rPr>
        <w:t>epi</w:t>
      </w:r>
      <w:r>
        <w:rPr>
          <w:color w:val="231F20"/>
          <w:spacing w:val="5"/>
        </w:rPr>
        <w:t>demiology,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5"/>
        </w:rPr>
        <w:t>diagnosis,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treatment[J]. Curr Opin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Allergy Clin Immunol, 2020, 20(3</w:t>
      </w:r>
      <w:r>
        <w:rPr>
          <w:color w:val="231F20"/>
          <w:spacing w:val="-4"/>
        </w:rPr>
        <w:t>): 316-322.</w:t>
      </w:r>
    </w:p>
    <w:p>
      <w:pPr>
        <w:pStyle w:val="BodyText"/>
        <w:ind w:left="2949"/>
        <w:spacing w:before="9" w:line="195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（收稿日期：</w:t>
      </w:r>
      <w:r>
        <w:rPr>
          <w:color w:val="231F20"/>
          <w:spacing w:val="-1"/>
        </w:rPr>
        <w:t>2024-05-10</w:t>
      </w:r>
      <w:r>
        <w:rPr>
          <w:rFonts w:ascii="SimSun" w:hAnsi="SimSun" w:eastAsia="SimSun" w:cs="SimSun"/>
          <w:color w:val="231F20"/>
          <w:spacing w:val="-1"/>
        </w:rPr>
        <w:t>）</w:t>
      </w:r>
    </w:p>
    <w:p>
      <w:pPr>
        <w:spacing w:line="195" w:lineRule="auto"/>
        <w:sectPr>
          <w:type w:val="continuous"/>
          <w:pgSz w:w="11906" w:h="16158"/>
          <w:pgMar w:top="627" w:right="847" w:bottom="547" w:left="407" w:header="0" w:footer="354" w:gutter="0"/>
          <w:cols w:equalWidth="0" w:num="2">
            <w:col w:w="5685" w:space="100"/>
            <w:col w:w="4866" w:space="0"/>
          </w:cols>
        </w:sectPr>
        <w:rPr>
          <w:rFonts w:ascii="SimSun" w:hAnsi="SimSun" w:eastAsia="SimSun" w:cs="SimSun"/>
        </w:rPr>
      </w:pPr>
    </w:p>
    <w:p>
      <w:pPr>
        <w:pStyle w:val="BodyText"/>
        <w:ind w:left="643"/>
        <w:spacing w:before="52" w:line="267" w:lineRule="auto"/>
        <w:rPr>
          <w:sz w:val="18"/>
          <w:szCs w:val="18"/>
        </w:rPr>
      </w:pPr>
      <w:r>
        <w:rPr>
          <w:rFonts w:ascii="Arial" w:hAnsi="Arial" w:eastAsia="Arial" w:cs="Arial"/>
          <w:sz w:val="23"/>
          <w:szCs w:val="23"/>
          <w:color w:val="231F20"/>
          <w:spacing w:val="-2"/>
          <w:position w:val="-4"/>
        </w:rPr>
        <w:t>710                                                            </w:t>
      </w:r>
      <w:r>
        <w:rPr>
          <w:rFonts w:ascii="Arial" w:hAnsi="Arial" w:eastAsia="Arial" w:cs="Arial"/>
          <w:sz w:val="23"/>
          <w:szCs w:val="23"/>
          <w:color w:val="231F20"/>
          <w:spacing w:val="-3"/>
          <w:position w:val="-4"/>
        </w:rPr>
        <w:t xml:space="preserve">               </w:t>
      </w:r>
      <w:r>
        <w:rPr>
          <w:rFonts w:ascii="SimSun" w:hAnsi="SimSun" w:eastAsia="SimSun" w:cs="SimSun"/>
          <w:sz w:val="18"/>
          <w:szCs w:val="18"/>
          <w:u w:val="single" w:color="auto"/>
          <w:color w:val="231F20"/>
          <w:spacing w:val="-62"/>
          <w:position w:val="1"/>
        </w:rPr>
        <w:t xml:space="preserve"> </w:t>
      </w:r>
      <w:r>
        <w:rPr>
          <w:rFonts w:ascii="SimSun" w:hAnsi="SimSun" w:eastAsia="SimSun" w:cs="SimSun"/>
          <w:sz w:val="18"/>
          <w:szCs w:val="18"/>
          <w:u w:val="single" w:color="auto"/>
          <w:color w:val="231F20"/>
          <w:spacing w:val="-3"/>
          <w:position w:val="1"/>
        </w:rPr>
        <w:t>中国医刊 </w:t>
      </w:r>
      <w:r>
        <w:rPr>
          <w:sz w:val="18"/>
          <w:szCs w:val="18"/>
          <w:u w:val="single" w:color="auto"/>
          <w:color w:val="231F20"/>
          <w:spacing w:val="-3"/>
          <w:position w:val="1"/>
        </w:rPr>
        <w:t>2024 </w:t>
      </w:r>
      <w:r>
        <w:rPr>
          <w:rFonts w:ascii="SimSun" w:hAnsi="SimSun" w:eastAsia="SimSun" w:cs="SimSun"/>
          <w:sz w:val="18"/>
          <w:szCs w:val="18"/>
          <w:u w:val="single" w:color="auto"/>
          <w:color w:val="231F20"/>
          <w:spacing w:val="-3"/>
          <w:position w:val="1"/>
        </w:rPr>
        <w:t>年</w:t>
      </w:r>
      <w:r>
        <w:rPr>
          <w:rFonts w:ascii="SimSun" w:hAnsi="SimSun" w:eastAsia="SimSun" w:cs="SimSun"/>
          <w:sz w:val="18"/>
          <w:szCs w:val="18"/>
          <w:u w:val="single" w:color="auto"/>
          <w:color w:val="231F20"/>
          <w:spacing w:val="22"/>
          <w:position w:val="1"/>
        </w:rPr>
        <w:t xml:space="preserve"> </w:t>
      </w:r>
      <w:r>
        <w:rPr>
          <w:rFonts w:ascii="SimSun" w:hAnsi="SimSun" w:eastAsia="SimSun" w:cs="SimSun"/>
          <w:sz w:val="18"/>
          <w:szCs w:val="18"/>
          <w:u w:val="single" w:color="auto"/>
          <w:color w:val="231F20"/>
          <w:spacing w:val="-3"/>
          <w:position w:val="1"/>
        </w:rPr>
        <w:t>第</w:t>
      </w:r>
      <w:r>
        <w:rPr>
          <w:sz w:val="18"/>
          <w:szCs w:val="18"/>
          <w:u w:val="single" w:color="auto"/>
          <w:color w:val="231F20"/>
          <w:spacing w:val="-3"/>
          <w:position w:val="1"/>
        </w:rPr>
        <w:t>59</w:t>
      </w:r>
      <w:r>
        <w:rPr>
          <w:sz w:val="18"/>
          <w:szCs w:val="18"/>
          <w:u w:val="single" w:color="auto"/>
          <w:color w:val="231F20"/>
          <w:spacing w:val="-18"/>
          <w:position w:val="1"/>
        </w:rPr>
        <w:t xml:space="preserve"> </w:t>
      </w:r>
      <w:r>
        <w:rPr>
          <w:rFonts w:ascii="SimSun" w:hAnsi="SimSun" w:eastAsia="SimSun" w:cs="SimSun"/>
          <w:sz w:val="18"/>
          <w:szCs w:val="18"/>
          <w:u w:val="single" w:color="auto"/>
          <w:color w:val="231F20"/>
          <w:spacing w:val="-3"/>
          <w:position w:val="1"/>
        </w:rPr>
        <w:t>卷</w:t>
      </w:r>
      <w:r>
        <w:rPr>
          <w:rFonts w:ascii="SimSun" w:hAnsi="SimSun" w:eastAsia="SimSun" w:cs="SimSun"/>
          <w:sz w:val="18"/>
          <w:szCs w:val="18"/>
          <w:u w:val="single" w:color="auto"/>
          <w:color w:val="231F20"/>
          <w:spacing w:val="23"/>
          <w:position w:val="1"/>
        </w:rPr>
        <w:t xml:space="preserve"> </w:t>
      </w:r>
      <w:r>
        <w:rPr>
          <w:rFonts w:ascii="SimSun" w:hAnsi="SimSun" w:eastAsia="SimSun" w:cs="SimSun"/>
          <w:sz w:val="18"/>
          <w:szCs w:val="18"/>
          <w:u w:val="single" w:color="auto"/>
          <w:color w:val="231F20"/>
          <w:spacing w:val="-3"/>
          <w:position w:val="1"/>
        </w:rPr>
        <w:t>第</w:t>
      </w:r>
      <w:r>
        <w:rPr>
          <w:sz w:val="18"/>
          <w:szCs w:val="18"/>
          <w:u w:val="single" w:color="auto"/>
          <w:color w:val="231F20"/>
          <w:spacing w:val="-3"/>
          <w:position w:val="1"/>
        </w:rPr>
        <w:t>7</w:t>
      </w:r>
      <w:r>
        <w:rPr>
          <w:sz w:val="18"/>
          <w:szCs w:val="18"/>
          <w:u w:val="single" w:color="auto"/>
          <w:color w:val="231F20"/>
          <w:spacing w:val="-17"/>
          <w:position w:val="1"/>
        </w:rPr>
        <w:t xml:space="preserve"> </w:t>
      </w:r>
      <w:r>
        <w:rPr>
          <w:rFonts w:ascii="SimSun" w:hAnsi="SimSun" w:eastAsia="SimSun" w:cs="SimSun"/>
          <w:sz w:val="18"/>
          <w:szCs w:val="18"/>
          <w:u w:val="single" w:color="auto"/>
          <w:color w:val="231F20"/>
          <w:spacing w:val="-3"/>
          <w:position w:val="1"/>
        </w:rPr>
        <w:t>期 </w:t>
      </w:r>
      <w:r>
        <w:rPr>
          <w:sz w:val="18"/>
          <w:szCs w:val="18"/>
          <w:u w:val="single" w:color="auto"/>
          <w:color w:val="231F20"/>
          <w:spacing w:val="-3"/>
          <w:position w:val="1"/>
        </w:rPr>
        <w:t>Chin J Med, 2024,</w:t>
      </w:r>
      <w:r>
        <w:rPr>
          <w:sz w:val="18"/>
          <w:szCs w:val="18"/>
          <w:u w:val="single" w:color="auto"/>
          <w:color w:val="231F20"/>
          <w:spacing w:val="-9"/>
          <w:position w:val="1"/>
        </w:rPr>
        <w:t xml:space="preserve"> </w:t>
      </w:r>
      <w:r>
        <w:rPr>
          <w:sz w:val="18"/>
          <w:szCs w:val="18"/>
          <w:u w:val="single" w:color="auto"/>
          <w:color w:val="231F20"/>
          <w:spacing w:val="-3"/>
          <w:position w:val="1"/>
        </w:rPr>
        <w:t>Vol 59,</w:t>
      </w:r>
      <w:r>
        <w:rPr>
          <w:sz w:val="18"/>
          <w:szCs w:val="18"/>
          <w:u w:val="single" w:color="auto"/>
          <w:color w:val="231F20"/>
          <w:spacing w:val="-10"/>
          <w:position w:val="1"/>
        </w:rPr>
        <w:t xml:space="preserve"> </w:t>
      </w:r>
      <w:r>
        <w:rPr>
          <w:sz w:val="18"/>
          <w:szCs w:val="18"/>
          <w:u w:val="single" w:color="auto"/>
          <w:color w:val="231F20"/>
          <w:spacing w:val="-3"/>
          <w:position w:val="1"/>
        </w:rPr>
        <w:t>No.7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4047"/>
        <w:spacing w:before="58" w:line="221" w:lineRule="auto"/>
        <w:outlineLvl w:val="0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-2"/>
        </w:rPr>
        <w:t>表</w:t>
      </w:r>
      <w:r>
        <w:rPr>
          <w:rFonts w:ascii="SimHei" w:hAnsi="SimHei" w:eastAsia="SimHei" w:cs="SimHei"/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b/>
          <w:bCs/>
          <w:color w:val="231F20"/>
          <w:spacing w:val="-2"/>
        </w:rPr>
        <w:t>1    </w:t>
      </w:r>
      <w:r>
        <w:rPr>
          <w:rFonts w:ascii="SimHei" w:hAnsi="SimHei" w:eastAsia="SimHei" w:cs="SimHei"/>
          <w:sz w:val="18"/>
          <w:szCs w:val="18"/>
          <w:color w:val="231F20"/>
          <w:spacing w:val="-2"/>
        </w:rPr>
        <w:t>功能性腹痛病的罗马Ⅳ诊断标准</w:t>
      </w:r>
    </w:p>
    <w:p>
      <w:pPr>
        <w:spacing w:line="77" w:lineRule="exact"/>
        <w:rPr/>
      </w:pPr>
      <w:r/>
    </w:p>
    <w:tbl>
      <w:tblPr>
        <w:tblStyle w:val="TableNormal"/>
        <w:tblW w:w="10091" w:type="dxa"/>
        <w:tblInd w:w="49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002"/>
        <w:gridCol w:w="8089"/>
      </w:tblGrid>
      <w:tr>
        <w:trPr>
          <w:trHeight w:val="332" w:hRule="atLeast"/>
        </w:trPr>
        <w:tc>
          <w:tcPr>
            <w:shd w:val="clear" w:fill="E1F4FC"/>
            <w:tcW w:w="2002" w:type="dxa"/>
            <w:vAlign w:val="top"/>
            <w:tcBorders>
              <w:bottom w:val="single" w:color="00AEEF" w:sz="2" w:space="0"/>
              <w:top w:val="single" w:color="00AEEF" w:sz="4" w:space="0"/>
            </w:tcBorders>
          </w:tcPr>
          <w:p>
            <w:pPr>
              <w:pStyle w:val="TableText"/>
              <w:ind w:left="428"/>
              <w:spacing w:before="90" w:line="220" w:lineRule="auto"/>
              <w:rPr/>
            </w:pPr>
            <w:r>
              <w:rPr>
                <w:color w:val="231F20"/>
                <w:spacing w:val="-1"/>
              </w:rPr>
              <w:t>功能性腹痛病分类</w:t>
            </w:r>
          </w:p>
        </w:tc>
        <w:tc>
          <w:tcPr>
            <w:shd w:val="clear" w:fill="E1F4FC"/>
            <w:tcW w:w="8089" w:type="dxa"/>
            <w:vAlign w:val="top"/>
            <w:tcBorders>
              <w:bottom w:val="single" w:color="00AEEF" w:sz="2" w:space="0"/>
              <w:top w:val="single" w:color="00AEEF" w:sz="4" w:space="0"/>
            </w:tcBorders>
          </w:tcPr>
          <w:p>
            <w:pPr>
              <w:pStyle w:val="TableText"/>
              <w:ind w:left="3770"/>
              <w:spacing w:before="90" w:line="220" w:lineRule="auto"/>
              <w:rPr/>
            </w:pPr>
            <w:r>
              <w:rPr>
                <w:color w:val="231F20"/>
                <w:spacing w:val="-2"/>
              </w:rPr>
              <w:t>诊断标准</w:t>
            </w:r>
          </w:p>
        </w:tc>
      </w:tr>
      <w:tr>
        <w:trPr>
          <w:trHeight w:val="563" w:hRule="atLeast"/>
        </w:trPr>
        <w:tc>
          <w:tcPr>
            <w:shd w:val="clear" w:fill="FFFFFF"/>
            <w:tcW w:w="2002" w:type="dxa"/>
            <w:vAlign w:val="top"/>
            <w:tcBorders>
              <w:top w:val="single" w:color="00AEEF" w:sz="2" w:space="0"/>
            </w:tcBorders>
          </w:tcPr>
          <w:p>
            <w:pPr>
              <w:pStyle w:val="TableText"/>
              <w:ind w:left="93"/>
              <w:spacing w:before="87" w:line="222" w:lineRule="auto"/>
              <w:rPr/>
            </w:pPr>
            <w:r>
              <w:rPr>
                <w:color w:val="231F20"/>
                <w:spacing w:val="-2"/>
              </w:rPr>
              <w:t>功能性消化不良</w:t>
            </w:r>
          </w:p>
        </w:tc>
        <w:tc>
          <w:tcPr>
            <w:shd w:val="clear" w:fill="FFFFFF"/>
            <w:tcW w:w="8089" w:type="dxa"/>
            <w:vAlign w:val="top"/>
            <w:tcBorders>
              <w:top w:val="single" w:color="00AEEF" w:sz="2" w:space="0"/>
            </w:tcBorders>
          </w:tcPr>
          <w:p>
            <w:pPr>
              <w:pStyle w:val="TableText"/>
              <w:ind w:left="132" w:right="41" w:hanging="2"/>
              <w:spacing w:before="89" w:line="285" w:lineRule="auto"/>
              <w:rPr/>
            </w:pPr>
            <w:r>
              <w:rPr>
                <w:color w:val="231F20"/>
              </w:rPr>
              <w:t>诊断前症状至少持续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2 </w:t>
            </w:r>
            <w:r>
              <w:rPr>
                <w:color w:val="231F20"/>
              </w:rPr>
              <w:t>个月，包括以下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1 </w:t>
            </w:r>
            <w:r>
              <w:rPr>
                <w:color w:val="231F20"/>
              </w:rPr>
              <w:t>项</w:t>
            </w:r>
            <w:r>
              <w:rPr>
                <w:color w:val="231F20"/>
                <w:spacing w:val="-1"/>
              </w:rPr>
              <w:t>或多项，且至少每月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4</w:t>
            </w:r>
            <w:r>
              <w:rPr>
                <w:rFonts w:ascii="Times New Roman" w:hAnsi="Times New Roman" w:eastAsia="Times New Roman" w:cs="Times New Roman"/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"/>
              </w:rPr>
              <w:t>次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1"/>
              </w:rPr>
              <w:t>：①餐后饱胀感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1"/>
              </w:rPr>
              <w:t>；②早饱感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1"/>
              </w:rPr>
              <w:t>；③上腹痛或烧灼感，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与排便无关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4"/>
              </w:rPr>
              <w:t>；④症状不能用其他疾病解释。</w:t>
            </w:r>
          </w:p>
        </w:tc>
      </w:tr>
      <w:tr>
        <w:trPr>
          <w:trHeight w:val="570" w:hRule="atLeast"/>
        </w:trPr>
        <w:tc>
          <w:tcPr>
            <w:shd w:val="clear" w:fill="E1F4FC"/>
            <w:tcW w:w="2002" w:type="dxa"/>
            <w:vAlign w:val="top"/>
          </w:tcPr>
          <w:p>
            <w:pPr>
              <w:pStyle w:val="TableText"/>
              <w:ind w:left="90"/>
              <w:spacing w:before="96" w:line="220" w:lineRule="auto"/>
              <w:rPr/>
            </w:pPr>
            <w:r>
              <w:rPr>
                <w:color w:val="231F20"/>
                <w:spacing w:val="-1"/>
              </w:rPr>
              <w:t>肠易激综合征</w:t>
            </w:r>
          </w:p>
        </w:tc>
        <w:tc>
          <w:tcPr>
            <w:shd w:val="clear" w:fill="E1F4FC"/>
            <w:tcW w:w="8089" w:type="dxa"/>
            <w:vAlign w:val="top"/>
          </w:tcPr>
          <w:p>
            <w:pPr>
              <w:pStyle w:val="TableText"/>
              <w:ind w:left="130" w:right="84"/>
              <w:spacing w:before="77" w:line="288" w:lineRule="auto"/>
              <w:rPr/>
            </w:pPr>
            <w:r>
              <w:rPr>
                <w:color w:val="231F20"/>
              </w:rPr>
              <w:t>诊断前症状至少持续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2 </w:t>
            </w:r>
            <w:r>
              <w:rPr>
                <w:color w:val="231F20"/>
              </w:rPr>
              <w:t>个月，包括以下所有条件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color w:val="231F20"/>
              </w:rPr>
              <w:t>：①腹痛至少每月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4</w:t>
            </w:r>
            <w:r>
              <w:rPr>
                <w:rFonts w:ascii="Times New Roman" w:hAnsi="Times New Roman" w:eastAsia="Times New Roman" w:cs="Times New Roman"/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</w:rPr>
              <w:t>次，伴有以下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1 </w:t>
            </w:r>
            <w:r>
              <w:rPr>
                <w:color w:val="231F20"/>
              </w:rPr>
              <w:t>项或多项。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a.</w:t>
            </w:r>
            <w:r>
              <w:rPr>
                <w:rFonts w:ascii="Times New Roman" w:hAnsi="Times New Roman" w:eastAsia="Times New Roman" w:cs="Times New Roman"/>
                <w:color w:val="231F20"/>
                <w:spacing w:val="9"/>
                <w:w w:val="102"/>
              </w:rPr>
              <w:t xml:space="preserve"> </w:t>
            </w:r>
            <w:r>
              <w:rPr>
                <w:color w:val="231F20"/>
              </w:rPr>
              <w:t>与排便有关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color w:val="231F20"/>
              </w:rPr>
              <w:t>；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b. </w:t>
            </w:r>
            <w:r>
              <w:rPr>
                <w:color w:val="231F20"/>
              </w:rPr>
              <w:t>排便 </w:t>
            </w:r>
            <w:r>
              <w:rPr>
                <w:color w:val="231F20"/>
                <w:spacing w:val="-1"/>
              </w:rPr>
              <w:t>频率改变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1"/>
              </w:rPr>
              <w:t>；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c. </w:t>
            </w:r>
            <w:r>
              <w:rPr>
                <w:color w:val="231F20"/>
                <w:spacing w:val="-1"/>
              </w:rPr>
              <w:t>粪便性状改变。②有腹痛和便秘的患儿中，便秘缓解后腹痛无减</w:t>
            </w:r>
            <w:r>
              <w:rPr>
                <w:color w:val="231F20"/>
                <w:spacing w:val="-2"/>
              </w:rPr>
              <w:t>轻。③症状不能用其他疾病解释。</w:t>
            </w:r>
          </w:p>
        </w:tc>
      </w:tr>
      <w:tr>
        <w:trPr>
          <w:trHeight w:val="805" w:hRule="atLeast"/>
        </w:trPr>
        <w:tc>
          <w:tcPr>
            <w:shd w:val="clear" w:fill="FFFFFF"/>
            <w:tcW w:w="2002" w:type="dxa"/>
            <w:vAlign w:val="top"/>
          </w:tcPr>
          <w:p>
            <w:pPr>
              <w:pStyle w:val="TableText"/>
              <w:ind w:left="90"/>
              <w:spacing w:before="98" w:line="220" w:lineRule="auto"/>
              <w:rPr/>
            </w:pPr>
            <w:r>
              <w:rPr>
                <w:color w:val="231F20"/>
                <w:spacing w:val="-1"/>
              </w:rPr>
              <w:t>腹型偏头痛</w:t>
            </w:r>
          </w:p>
        </w:tc>
        <w:tc>
          <w:tcPr>
            <w:shd w:val="clear" w:fill="FFFFFF"/>
            <w:tcW w:w="8089" w:type="dxa"/>
            <w:vAlign w:val="top"/>
          </w:tcPr>
          <w:p>
            <w:pPr>
              <w:pStyle w:val="TableText"/>
              <w:ind w:left="130" w:right="89"/>
              <w:spacing w:before="100" w:line="281" w:lineRule="auto"/>
              <w:jc w:val="both"/>
              <w:rPr/>
            </w:pPr>
            <w:r>
              <w:rPr>
                <w:color w:val="231F20"/>
              </w:rPr>
              <w:t>诊断前症状至少持续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6 </w:t>
            </w:r>
            <w:r>
              <w:rPr>
                <w:color w:val="231F20"/>
              </w:rPr>
              <w:t>个月，发作至少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2</w:t>
            </w:r>
            <w:r>
              <w:rPr>
                <w:rFonts w:ascii="Times New Roman" w:hAnsi="Times New Roman" w:eastAsia="Times New Roman" w:cs="Times New Roman"/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次，包括以下所有条件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</w:rPr>
              <w:t>：①急性发展性剧烈的</w:t>
            </w:r>
            <w:r>
              <w:rPr>
                <w:color w:val="231F20"/>
                <w:spacing w:val="-1"/>
              </w:rPr>
              <w:t>脐周、腹中线或弥漫性疼痛，持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续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>1 h </w:t>
            </w:r>
            <w:r>
              <w:rPr>
                <w:color w:val="231F20"/>
                <w:spacing w:val="2"/>
              </w:rPr>
              <w:t>或更长时间。②发作间隔数周至数月。③疼痛影响正常活动，甚至</w:t>
            </w:r>
            <w:r>
              <w:rPr>
                <w:color w:val="231F20"/>
                <w:spacing w:val="1"/>
              </w:rPr>
              <w:t>使患儿丧失活动能力。④每例患儿有固定的发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作模式和症状。⑤疼痛可伴随以下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 </w:t>
            </w:r>
            <w:r>
              <w:rPr>
                <w:color w:val="231F20"/>
                <w:spacing w:val="-4"/>
              </w:rPr>
              <w:t>种或多种症状，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a. </w:t>
            </w:r>
            <w:r>
              <w:rPr>
                <w:color w:val="231F20"/>
                <w:spacing w:val="-4"/>
              </w:rPr>
              <w:t>厌食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4"/>
              </w:rPr>
              <w:t>；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b. </w:t>
            </w:r>
            <w:r>
              <w:rPr>
                <w:color w:val="231F20"/>
                <w:spacing w:val="-4"/>
              </w:rPr>
              <w:t>恶心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4"/>
              </w:rPr>
              <w:t>；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c.</w:t>
            </w:r>
            <w:r>
              <w:rPr>
                <w:rFonts w:ascii="Times New Roman" w:hAnsi="Times New Roman" w:eastAsia="Times New Roman" w:cs="Times New Roman"/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4"/>
              </w:rPr>
              <w:t>呕吐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4"/>
              </w:rPr>
              <w:t>；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d.</w:t>
            </w:r>
            <w:r>
              <w:rPr>
                <w:rFonts w:ascii="Times New Roman" w:hAnsi="Times New Roman" w:eastAsia="Times New Roman" w:cs="Times New Roman"/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头痛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4"/>
              </w:rPr>
              <w:t>；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e. </w:t>
            </w:r>
            <w:r>
              <w:rPr>
                <w:color w:val="231F20"/>
                <w:spacing w:val="-4"/>
              </w:rPr>
              <w:t>畏光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4"/>
              </w:rPr>
              <w:t>；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f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.</w:t>
            </w:r>
            <w:r>
              <w:rPr>
                <w:rFonts w:ascii="Times New Roman" w:hAnsi="Times New Roman" w:eastAsia="Times New Roman" w:cs="Times New Roman"/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5"/>
              </w:rPr>
              <w:t>面色苍白。</w:t>
            </w:r>
          </w:p>
        </w:tc>
      </w:tr>
      <w:tr>
        <w:trPr>
          <w:trHeight w:val="577" w:hRule="atLeast"/>
        </w:trPr>
        <w:tc>
          <w:tcPr>
            <w:shd w:val="clear" w:fill="E1F4FC"/>
            <w:tcW w:w="2002" w:type="dxa"/>
            <w:vAlign w:val="top"/>
            <w:tcBorders>
              <w:bottom w:val="single" w:color="00AEEF" w:sz="4" w:space="0"/>
            </w:tcBorders>
          </w:tcPr>
          <w:p>
            <w:pPr>
              <w:pStyle w:val="TableText"/>
              <w:ind w:left="93"/>
              <w:spacing w:before="99" w:line="220" w:lineRule="auto"/>
              <w:rPr/>
            </w:pPr>
            <w:r>
              <w:rPr>
                <w:color w:val="231F20"/>
                <w:spacing w:val="-1"/>
              </w:rPr>
              <w:t>未另行指定的功能性腹痛病</w:t>
            </w:r>
          </w:p>
        </w:tc>
        <w:tc>
          <w:tcPr>
            <w:shd w:val="clear" w:fill="E1F4FC"/>
            <w:tcW w:w="8089" w:type="dxa"/>
            <w:vAlign w:val="top"/>
            <w:tcBorders>
              <w:bottom w:val="single" w:color="00AEEF" w:sz="4" w:space="0"/>
            </w:tcBorders>
          </w:tcPr>
          <w:p>
            <w:pPr>
              <w:pStyle w:val="TableText"/>
              <w:ind w:left="128" w:right="85" w:firstLine="1"/>
              <w:spacing w:before="102" w:line="286" w:lineRule="auto"/>
              <w:rPr/>
            </w:pPr>
            <w:r>
              <w:rPr>
                <w:color w:val="231F20"/>
                <w:spacing w:val="-4"/>
              </w:rPr>
              <w:t>诊断前症状至少持续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 </w:t>
            </w:r>
            <w:r>
              <w:rPr>
                <w:color w:val="231F20"/>
                <w:spacing w:val="-4"/>
              </w:rPr>
              <w:t>个月，发作至少每月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4</w:t>
            </w:r>
            <w:r>
              <w:rPr>
                <w:rFonts w:ascii="Times New Roman" w:hAnsi="Times New Roman" w:eastAsia="Times New Roman" w:cs="Times New Roman"/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4"/>
              </w:rPr>
              <w:t>次，包括以下所有条件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4"/>
              </w:rPr>
              <w:t>：①发</w:t>
            </w:r>
            <w:r>
              <w:rPr>
                <w:color w:val="231F20"/>
                <w:spacing w:val="-5"/>
              </w:rPr>
              <w:t>作性或持续性腹痛，不只在生理情况时发作（如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进食、月经期</w:t>
            </w:r>
            <w:r>
              <w:rPr>
                <w:color w:val="231F20"/>
                <w:spacing w:val="-20"/>
              </w:rPr>
              <w:t>）；</w:t>
            </w:r>
            <w:r>
              <w:rPr>
                <w:color w:val="231F20"/>
                <w:spacing w:val="-2"/>
              </w:rPr>
              <w:t>②不符合肠易激综合征、功能性消化不良或腹型偏头痛的诊断标准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2"/>
              </w:rPr>
              <w:t>；③症状不能用其他疾病解释。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69" w:lineRule="exact"/>
        <w:rPr/>
      </w:pPr>
      <w:r/>
    </w:p>
    <w:p>
      <w:pPr>
        <w:spacing w:line="169" w:lineRule="exact"/>
        <w:sectPr>
          <w:footerReference w:type="default" r:id="rId2"/>
          <w:pgSz w:w="11906" w:h="16158"/>
          <w:pgMar w:top="627" w:right="831" w:bottom="547" w:left="407" w:header="0" w:footer="354" w:gutter="0"/>
          <w:cols w:equalWidth="0" w:num="1">
            <w:col w:w="10666" w:space="0"/>
          </w:cols>
        </w:sectPr>
        <w:rPr/>
      </w:pPr>
    </w:p>
    <w:p>
      <w:pPr>
        <w:pStyle w:val="BodyText"/>
        <w:ind w:left="1410"/>
        <w:spacing w:before="43" w:line="221" w:lineRule="auto"/>
        <w:outlineLvl w:val="0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-1"/>
        </w:rPr>
        <w:t>表</w:t>
      </w:r>
      <w:r>
        <w:rPr>
          <w:rFonts w:ascii="SimHei" w:hAnsi="SimHei" w:eastAsia="SimHei" w:cs="SimHei"/>
          <w:sz w:val="18"/>
          <w:szCs w:val="18"/>
          <w:color w:val="231F20"/>
          <w:spacing w:val="-36"/>
        </w:rPr>
        <w:t xml:space="preserve"> </w:t>
      </w:r>
      <w:r>
        <w:rPr>
          <w:sz w:val="18"/>
          <w:szCs w:val="18"/>
          <w:b/>
          <w:bCs/>
          <w:color w:val="231F20"/>
          <w:spacing w:val="-1"/>
        </w:rPr>
        <w:t>2    </w:t>
      </w:r>
      <w:r>
        <w:rPr>
          <w:rFonts w:ascii="SimHei" w:hAnsi="SimHei" w:eastAsia="SimHei" w:cs="SimHei"/>
          <w:sz w:val="18"/>
          <w:szCs w:val="18"/>
          <w:color w:val="231F20"/>
          <w:spacing w:val="-1"/>
        </w:rPr>
        <w:t>影响反复腹痛发生和加重的因素</w:t>
      </w:r>
    </w:p>
    <w:p>
      <w:pPr>
        <w:spacing w:line="85" w:lineRule="exact"/>
        <w:rPr/>
      </w:pPr>
      <w:r/>
    </w:p>
    <w:tbl>
      <w:tblPr>
        <w:tblStyle w:val="TableNormal"/>
        <w:tblW w:w="4818" w:type="dxa"/>
        <w:tblInd w:w="49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576"/>
        <w:gridCol w:w="2242"/>
      </w:tblGrid>
      <w:tr>
        <w:trPr>
          <w:trHeight w:val="388" w:hRule="atLeast"/>
        </w:trPr>
        <w:tc>
          <w:tcPr>
            <w:shd w:val="clear" w:fill="E1F4FC"/>
            <w:tcW w:w="2576" w:type="dxa"/>
            <w:vAlign w:val="top"/>
            <w:tcBorders>
              <w:bottom w:val="single" w:color="00AEEF" w:sz="2" w:space="0"/>
              <w:top w:val="single" w:color="00AEEF" w:sz="4" w:space="0"/>
            </w:tcBorders>
          </w:tcPr>
          <w:p>
            <w:pPr>
              <w:pStyle w:val="TableText"/>
              <w:ind w:left="996"/>
              <w:spacing w:before="118" w:line="220" w:lineRule="auto"/>
              <w:rPr/>
            </w:pPr>
            <w:r>
              <w:rPr>
                <w:color w:val="231F20"/>
                <w:spacing w:val="-2"/>
              </w:rPr>
              <w:t>身体因素</w:t>
            </w:r>
          </w:p>
        </w:tc>
        <w:tc>
          <w:tcPr>
            <w:shd w:val="clear" w:fill="E1F4FC"/>
            <w:tcW w:w="2242" w:type="dxa"/>
            <w:vAlign w:val="top"/>
            <w:tcBorders>
              <w:bottom w:val="single" w:color="00AEEF" w:sz="2" w:space="0"/>
              <w:top w:val="single" w:color="00AEEF" w:sz="4" w:space="0"/>
            </w:tcBorders>
          </w:tcPr>
          <w:p>
            <w:pPr>
              <w:pStyle w:val="TableText"/>
              <w:ind w:left="827"/>
              <w:spacing w:before="118" w:line="220" w:lineRule="auto"/>
              <w:rPr/>
            </w:pPr>
            <w:r>
              <w:rPr>
                <w:color w:val="231F20"/>
                <w:spacing w:val="-2"/>
              </w:rPr>
              <w:t>社会因素</w:t>
            </w:r>
          </w:p>
        </w:tc>
      </w:tr>
      <w:tr>
        <w:trPr>
          <w:trHeight w:val="1415" w:hRule="atLeast"/>
        </w:trPr>
        <w:tc>
          <w:tcPr>
            <w:tcW w:w="2576" w:type="dxa"/>
            <w:vAlign w:val="top"/>
            <w:tcBorders>
              <w:top w:val="single" w:color="00AEEF" w:sz="2" w:space="0"/>
              <w:bottom w:val="single" w:color="00AEEF" w:sz="4" w:space="0"/>
            </w:tcBorders>
          </w:tcPr>
          <w:p>
            <w:pPr>
              <w:pStyle w:val="TableText"/>
              <w:ind w:left="90" w:right="46"/>
              <w:spacing w:before="141" w:line="278" w:lineRule="auto"/>
              <w:rPr/>
            </w:pPr>
            <w:r>
              <w:rPr>
                <w:color w:val="231F20"/>
                <w:spacing w:val="1"/>
              </w:rPr>
              <w:t>①近期身体疾病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1"/>
              </w:rPr>
              <w:t>；②病毒性后感染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/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 xml:space="preserve">  </w:t>
            </w:r>
            <w:r>
              <w:rPr>
                <w:color w:val="231F20"/>
                <w:spacing w:val="-4"/>
              </w:rPr>
              <w:t>病毒性后胃轻瘫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4"/>
              </w:rPr>
              <w:t>；③食物不耐受，山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3"/>
              </w:rPr>
              <w:t>梨醇过量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-3"/>
              </w:rPr>
              <w:t>；④多种药物，如非甾体抗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4"/>
              </w:rPr>
              <w:t>炎药、抗痉挛药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14"/>
              </w:rPr>
              <w:t>；⑤便秘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14"/>
              </w:rPr>
              <w:t>；⑥慢性病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14"/>
              </w:rPr>
              <w:t>；</w:t>
            </w:r>
          </w:p>
          <w:p>
            <w:pPr>
              <w:pStyle w:val="TableText"/>
              <w:ind w:left="89"/>
              <w:spacing w:before="57" w:line="218" w:lineRule="auto"/>
              <w:rPr/>
            </w:pPr>
            <w:r>
              <w:rPr>
                <w:color w:val="231F20"/>
                <w:spacing w:val="-1"/>
              </w:rPr>
              <w:t>⑦缺乏锻炼</w:t>
            </w:r>
          </w:p>
        </w:tc>
        <w:tc>
          <w:tcPr>
            <w:tcW w:w="2242" w:type="dxa"/>
            <w:vAlign w:val="top"/>
            <w:tcBorders>
              <w:top w:val="single" w:color="00AEEF" w:sz="2" w:space="0"/>
              <w:bottom w:val="single" w:color="00AEEF" w:sz="4" w:space="0"/>
            </w:tcBorders>
          </w:tcPr>
          <w:p>
            <w:pPr>
              <w:pStyle w:val="TableText"/>
              <w:ind w:left="88" w:right="84"/>
              <w:spacing w:before="278" w:line="290" w:lineRule="auto"/>
              <w:jc w:val="both"/>
              <w:rPr/>
            </w:pPr>
            <w:r>
              <w:rPr>
                <w:color w:val="231F20"/>
                <w:spacing w:val="-8"/>
              </w:rPr>
              <w:t>①贫困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8"/>
              </w:rPr>
              <w:t>；②家人去世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-8"/>
              </w:rPr>
              <w:t>；③家人分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离、去上大学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5"/>
              </w:rPr>
              <w:t>；④同伴关系的改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变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8"/>
              </w:rPr>
              <w:t>；⑤校园生活困难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-8"/>
              </w:rPr>
              <w:t>；⑥父母或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兄弟姐妹患病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6"/>
              </w:rPr>
              <w:t>；⑦搬家</w:t>
            </w:r>
          </w:p>
        </w:tc>
      </w:tr>
    </w:tbl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506" w:right="280" w:hanging="3"/>
        <w:spacing w:before="69" w:line="277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7"/>
        </w:rPr>
        <w:t>2.1.2    </w:t>
      </w:r>
      <w:r>
        <w:rPr>
          <w:rFonts w:ascii="KaiTi" w:hAnsi="KaiTi" w:eastAsia="KaiTi" w:cs="KaiTi"/>
          <w:sz w:val="21"/>
          <w:szCs w:val="21"/>
          <w:color w:val="231F20"/>
          <w:spacing w:val="7"/>
        </w:rPr>
        <w:t>社会心理因素</w:t>
      </w:r>
      <w:r>
        <w:rPr>
          <w:rFonts w:ascii="KaiTi" w:hAnsi="KaiTi" w:eastAsia="KaiTi" w:cs="KaiTi"/>
          <w:sz w:val="21"/>
          <w:szCs w:val="21"/>
          <w:color w:val="231F20"/>
          <w:spacing w:val="7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家族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>史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>其他症状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（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>例如头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痛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头晕和肌肉疼痛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）、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心理健康状况和社会经济变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量常被认为是所有类型</w:t>
      </w:r>
      <w:r>
        <w:rPr>
          <w:rFonts w:ascii="FangSong" w:hAnsi="FangSong" w:eastAsia="FangSong" w:cs="FangSong"/>
          <w:sz w:val="21"/>
          <w:szCs w:val="21"/>
          <w:color w:val="231F20"/>
          <w:spacing w:val="-34"/>
        </w:rPr>
        <w:t xml:space="preserve"> </w:t>
      </w:r>
      <w:r>
        <w:rPr>
          <w:sz w:val="21"/>
          <w:szCs w:val="21"/>
          <w:color w:val="231F20"/>
        </w:rPr>
        <w:t>FAPD</w:t>
      </w:r>
      <w:r>
        <w:rPr>
          <w:sz w:val="21"/>
          <w:szCs w:val="21"/>
          <w:color w:val="231F20"/>
          <w:spacing w:val="26"/>
          <w:w w:val="10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的相关因素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。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有研究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指出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患有</w:t>
      </w:r>
      <w:r>
        <w:rPr>
          <w:rFonts w:ascii="FangSong" w:hAnsi="FangSong" w:eastAsia="FangSong" w:cs="FangSong"/>
          <w:sz w:val="21"/>
          <w:szCs w:val="21"/>
          <w:color w:val="231F20"/>
          <w:spacing w:val="-33"/>
        </w:rPr>
        <w:t xml:space="preserve"> </w:t>
      </w:r>
      <w:r>
        <w:rPr>
          <w:sz w:val="21"/>
          <w:szCs w:val="21"/>
          <w:color w:val="231F20"/>
        </w:rPr>
        <w:t>FAPD</w:t>
      </w:r>
      <w:r>
        <w:rPr>
          <w:sz w:val="21"/>
          <w:szCs w:val="21"/>
          <w:color w:val="231F20"/>
          <w:spacing w:val="26"/>
          <w:w w:val="10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的儿童和青少年心理健康状况较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差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存在焦虑和</w:t>
      </w:r>
      <w:r>
        <w:rPr>
          <w:rFonts w:ascii="FangSong" w:hAnsi="FangSong" w:eastAsia="FangSong" w:cs="FangSong"/>
          <w:sz w:val="21"/>
          <w:szCs w:val="21"/>
          <w:color w:val="231F20"/>
          <w:spacing w:val="-51"/>
        </w:rPr>
        <w:t xml:space="preserve"> </w:t>
      </w:r>
      <w:r>
        <w:rPr>
          <w:sz w:val="21"/>
          <w:szCs w:val="21"/>
          <w:color w:val="231F20"/>
          <w:spacing w:val="1"/>
        </w:rPr>
        <w:t>/ 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或抑郁等情绪问题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其压力水平较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高或经历过压力事件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生活质量低于健康儿童</w:t>
      </w:r>
      <w:r>
        <w:rPr>
          <w:rFonts w:ascii="FangSong" w:hAnsi="FangSong" w:eastAsia="FangSong" w:cs="FangSong"/>
          <w:sz w:val="21"/>
          <w:szCs w:val="21"/>
          <w:color w:val="231F20"/>
          <w:spacing w:val="-34"/>
        </w:rPr>
        <w:t xml:space="preserve"> </w:t>
      </w:r>
      <w:r>
        <w:rPr>
          <w:sz w:val="12"/>
          <w:szCs w:val="12"/>
          <w:color w:val="231F20"/>
          <w:spacing w:val="-2"/>
          <w:position w:val="8"/>
        </w:rPr>
        <w:t>[5]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。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多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达</w:t>
      </w:r>
      <w:r>
        <w:rPr>
          <w:rFonts w:ascii="FangSong" w:hAnsi="FangSong" w:eastAsia="FangSong" w:cs="FangSong"/>
          <w:sz w:val="21"/>
          <w:szCs w:val="21"/>
          <w:color w:val="231F20"/>
          <w:spacing w:val="-41"/>
        </w:rPr>
        <w:t xml:space="preserve"> </w:t>
      </w:r>
      <w:r>
        <w:rPr>
          <w:sz w:val="21"/>
          <w:szCs w:val="21"/>
          <w:color w:val="231F20"/>
          <w:spacing w:val="-3"/>
        </w:rPr>
        <w:t>50%</w:t>
      </w:r>
      <w:r>
        <w:rPr>
          <w:sz w:val="21"/>
          <w:szCs w:val="21"/>
          <w:color w:val="231F20"/>
          <w:spacing w:val="26"/>
          <w:w w:val="10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的</w:t>
      </w:r>
      <w:r>
        <w:rPr>
          <w:rFonts w:ascii="FangSong" w:hAnsi="FangSong" w:eastAsia="FangSong" w:cs="FangSong"/>
          <w:sz w:val="21"/>
          <w:szCs w:val="21"/>
          <w:color w:val="231F20"/>
          <w:spacing w:val="-49"/>
        </w:rPr>
        <w:t xml:space="preserve"> </w:t>
      </w:r>
      <w:r>
        <w:rPr>
          <w:sz w:val="21"/>
          <w:szCs w:val="21"/>
          <w:color w:val="231F20"/>
          <w:spacing w:val="-3"/>
        </w:rPr>
        <w:t>FAPD</w:t>
      </w:r>
      <w:r>
        <w:rPr>
          <w:sz w:val="21"/>
          <w:szCs w:val="21"/>
          <w:color w:val="231F20"/>
          <w:spacing w:val="20"/>
          <w:w w:val="10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患儿存在临床相关的焦虑或抑郁</w:t>
      </w:r>
      <w:r>
        <w:rPr>
          <w:rFonts w:ascii="FangSong" w:hAnsi="FangSong" w:eastAsia="FangSong" w:cs="FangSong"/>
          <w:sz w:val="21"/>
          <w:szCs w:val="21"/>
          <w:color w:val="231F20"/>
          <w:spacing w:val="-43"/>
        </w:rPr>
        <w:t xml:space="preserve"> </w:t>
      </w:r>
      <w:r>
        <w:rPr>
          <w:sz w:val="12"/>
          <w:szCs w:val="12"/>
          <w:color w:val="231F20"/>
          <w:spacing w:val="-3"/>
          <w:position w:val="8"/>
        </w:rPr>
        <w:t>[6]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患有</w:t>
      </w:r>
      <w:r>
        <w:rPr>
          <w:rFonts w:ascii="FangSong" w:hAnsi="FangSong" w:eastAsia="FangSong" w:cs="FangSong"/>
          <w:sz w:val="21"/>
          <w:szCs w:val="21"/>
          <w:color w:val="231F20"/>
          <w:spacing w:val="-35"/>
        </w:rPr>
        <w:t xml:space="preserve"> </w:t>
      </w:r>
      <w:r>
        <w:rPr>
          <w:sz w:val="21"/>
          <w:szCs w:val="21"/>
          <w:color w:val="231F20"/>
          <w:spacing w:val="-3"/>
        </w:rPr>
        <w:t>FAPD</w:t>
      </w:r>
      <w:r>
        <w:rPr>
          <w:sz w:val="21"/>
          <w:szCs w:val="21"/>
          <w:color w:val="231F20"/>
          <w:spacing w:val="22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的女孩更有可能在生命早期经历过胃肠道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</w:rPr>
        <w:t>感染或胃肠道手术</w:t>
      </w:r>
      <w:r>
        <w:rPr>
          <w:rFonts w:ascii="SimSun" w:hAnsi="SimSun" w:eastAsia="SimSun" w:cs="SimSun"/>
          <w:sz w:val="21"/>
          <w:szCs w:val="21"/>
          <w:color w:val="231F20"/>
        </w:rPr>
        <w:t>。</w:t>
      </w:r>
      <w:r>
        <w:rPr>
          <w:rFonts w:ascii="FangSong" w:hAnsi="FangSong" w:eastAsia="FangSong" w:cs="FangSong"/>
          <w:sz w:val="21"/>
          <w:szCs w:val="21"/>
          <w:color w:val="231F20"/>
        </w:rPr>
        <w:t>与健康儿童相比</w:t>
      </w:r>
      <w:r>
        <w:rPr>
          <w:rFonts w:ascii="SimSun" w:hAnsi="SimSun" w:eastAsia="SimSun" w:cs="SimSun"/>
          <w:sz w:val="21"/>
          <w:szCs w:val="21"/>
          <w:color w:val="231F20"/>
        </w:rPr>
        <w:t>，</w:t>
      </w:r>
      <w:r>
        <w:rPr>
          <w:sz w:val="21"/>
          <w:szCs w:val="21"/>
          <w:color w:val="231F20"/>
        </w:rPr>
        <w:t>FAPD</w:t>
      </w:r>
      <w:r>
        <w:rPr>
          <w:sz w:val="21"/>
          <w:szCs w:val="21"/>
          <w:color w:val="231F20"/>
          <w:spacing w:val="20"/>
          <w:w w:val="10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</w:rPr>
        <w:t>患儿肠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外躯体症状如头痛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疲劳和睡眠问题发生率更高</w:t>
      </w:r>
      <w:r>
        <w:rPr>
          <w:rFonts w:ascii="FangSong" w:hAnsi="FangSong" w:eastAsia="FangSong" w:cs="FangSong"/>
          <w:sz w:val="21"/>
          <w:szCs w:val="21"/>
          <w:color w:val="231F20"/>
          <w:spacing w:val="-30"/>
        </w:rPr>
        <w:t xml:space="preserve"> </w:t>
      </w:r>
      <w:r>
        <w:rPr>
          <w:sz w:val="12"/>
          <w:szCs w:val="12"/>
          <w:color w:val="231F20"/>
          <w:spacing w:val="2"/>
          <w:position w:val="8"/>
        </w:rPr>
        <w:t>[5]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2"/>
        </w:rPr>
        <w:t>父母存在慢性腹痛也与儿童腹痛发作的增加有关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。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与对照组相比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患有</w:t>
      </w:r>
      <w:r>
        <w:rPr>
          <w:rFonts w:ascii="FangSong" w:hAnsi="FangSong" w:eastAsia="FangSong" w:cs="FangSong"/>
          <w:sz w:val="21"/>
          <w:szCs w:val="21"/>
          <w:color w:val="231F20"/>
          <w:spacing w:val="-41"/>
        </w:rPr>
        <w:t xml:space="preserve"> </w:t>
      </w:r>
      <w:r>
        <w:rPr>
          <w:sz w:val="21"/>
          <w:szCs w:val="21"/>
          <w:color w:val="231F20"/>
        </w:rPr>
        <w:t>IBS</w:t>
      </w:r>
      <w:r>
        <w:rPr>
          <w:sz w:val="21"/>
          <w:szCs w:val="21"/>
          <w:color w:val="231F20"/>
          <w:spacing w:val="26"/>
          <w:w w:val="10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的母亲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其子女更易患有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2"/>
        </w:rPr>
        <w:t>胃肠道疾病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。</w:t>
      </w:r>
      <w:r>
        <w:rPr>
          <w:rFonts w:ascii="FangSong" w:hAnsi="FangSong" w:eastAsia="FangSong" w:cs="FangSong"/>
          <w:sz w:val="21"/>
          <w:szCs w:val="21"/>
          <w:color w:val="231F20"/>
          <w:spacing w:val="12"/>
        </w:rPr>
        <w:t>与父母一方有慢性腹痛的情况相比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，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父母双方都有慢性腹痛的子女更易患有</w:t>
      </w:r>
      <w:r>
        <w:rPr>
          <w:rFonts w:ascii="FangSong" w:hAnsi="FangSong" w:eastAsia="FangSong" w:cs="FangSong"/>
          <w:sz w:val="21"/>
          <w:szCs w:val="21"/>
          <w:color w:val="231F20"/>
          <w:spacing w:val="-34"/>
        </w:rPr>
        <w:t xml:space="preserve"> </w:t>
      </w:r>
      <w:r>
        <w:rPr>
          <w:sz w:val="21"/>
          <w:szCs w:val="21"/>
          <w:color w:val="231F20"/>
          <w:spacing w:val="-1"/>
        </w:rPr>
        <w:t>FAPD</w:t>
      </w:r>
      <w:r>
        <w:rPr>
          <w:sz w:val="12"/>
          <w:szCs w:val="12"/>
          <w:color w:val="231F20"/>
          <w:spacing w:val="-1"/>
          <w:position w:val="8"/>
        </w:rPr>
        <w:t>[7]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</w:t>
      </w:r>
    </w:p>
    <w:p>
      <w:pPr>
        <w:pStyle w:val="BodyText"/>
        <w:ind w:left="508" w:right="296" w:hanging="5"/>
        <w:spacing w:before="79" w:line="272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</w:rPr>
        <w:t>2.1.3    </w:t>
      </w:r>
      <w:r>
        <w:rPr>
          <w:rFonts w:ascii="KaiTi" w:hAnsi="KaiTi" w:eastAsia="KaiTi" w:cs="KaiTi"/>
          <w:sz w:val="21"/>
          <w:szCs w:val="21"/>
          <w:color w:val="231F20"/>
        </w:rPr>
        <w:t>性别和年龄因素</w:t>
      </w:r>
      <w:r>
        <w:rPr>
          <w:rFonts w:ascii="KaiTi" w:hAnsi="KaiTi" w:eastAsia="KaiTi" w:cs="KaiTi"/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</w:rPr>
        <w:t>除了上诉因素外</w:t>
      </w:r>
      <w:r>
        <w:rPr>
          <w:rFonts w:ascii="SimSun" w:hAnsi="SimSun" w:eastAsia="SimSun" w:cs="SimSun"/>
          <w:sz w:val="21"/>
          <w:szCs w:val="21"/>
          <w:color w:val="231F20"/>
        </w:rPr>
        <w:t>，</w:t>
      </w:r>
      <w:r>
        <w:rPr>
          <w:sz w:val="21"/>
          <w:szCs w:val="21"/>
          <w:color w:val="231F20"/>
        </w:rPr>
        <w:t>FAPD</w:t>
      </w:r>
      <w:r>
        <w:rPr>
          <w:sz w:val="21"/>
          <w:szCs w:val="21"/>
          <w:color w:val="231F20"/>
          <w:spacing w:val="2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</w:rPr>
        <w:t>与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1"/>
        </w:rPr>
        <w:t>性别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11"/>
        </w:rPr>
        <w:t>年龄可能相关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11"/>
        </w:rPr>
        <w:t>世界各地的研究报告显示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无论是青少年还是年幼儿童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，</w:t>
      </w:r>
      <w:r>
        <w:rPr>
          <w:sz w:val="21"/>
          <w:szCs w:val="21"/>
          <w:color w:val="231F20"/>
          <w:spacing w:val="-1"/>
        </w:rPr>
        <w:t>FAPD</w:t>
      </w:r>
      <w:r>
        <w:rPr>
          <w:sz w:val="21"/>
          <w:szCs w:val="21"/>
          <w:color w:val="231F20"/>
          <w:spacing w:val="42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的发病率均以女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孩居多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。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一些研究还发现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女孩的</w:t>
      </w:r>
      <w:r>
        <w:rPr>
          <w:rFonts w:ascii="FangSong" w:hAnsi="FangSong" w:eastAsia="FangSong" w:cs="FangSong"/>
          <w:sz w:val="21"/>
          <w:szCs w:val="21"/>
          <w:color w:val="231F20"/>
          <w:spacing w:val="-45"/>
        </w:rPr>
        <w:t xml:space="preserve"> </w:t>
      </w:r>
      <w:r>
        <w:rPr>
          <w:sz w:val="21"/>
          <w:szCs w:val="21"/>
          <w:color w:val="231F20"/>
        </w:rPr>
        <w:t>IBS</w:t>
      </w:r>
      <w:r>
        <w:rPr>
          <w:sz w:val="21"/>
          <w:szCs w:val="21"/>
          <w:color w:val="231F20"/>
          <w:spacing w:val="8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和未另行指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定的</w:t>
      </w:r>
      <w:r>
        <w:rPr>
          <w:rFonts w:ascii="FangSong" w:hAnsi="FangSong" w:eastAsia="FangSong" w:cs="FangSong"/>
          <w:sz w:val="21"/>
          <w:szCs w:val="21"/>
          <w:color w:val="231F20"/>
          <w:spacing w:val="-49"/>
        </w:rPr>
        <w:t xml:space="preserve"> </w:t>
      </w:r>
      <w:r>
        <w:rPr>
          <w:sz w:val="21"/>
          <w:szCs w:val="21"/>
          <w:color w:val="231F20"/>
          <w:spacing w:val="-1"/>
        </w:rPr>
        <w:t>FAPD</w:t>
      </w:r>
      <w:r>
        <w:rPr>
          <w:sz w:val="21"/>
          <w:szCs w:val="21"/>
          <w:color w:val="231F20"/>
          <w:spacing w:val="21"/>
          <w:w w:val="10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患病率较高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关于性别在</w:t>
      </w:r>
      <w:r>
        <w:rPr>
          <w:rFonts w:ascii="FangSong" w:hAnsi="FangSong" w:eastAsia="FangSong" w:cs="FangSong"/>
          <w:sz w:val="21"/>
          <w:szCs w:val="21"/>
          <w:color w:val="231F20"/>
          <w:spacing w:val="-50"/>
        </w:rPr>
        <w:t xml:space="preserve"> </w:t>
      </w:r>
      <w:r>
        <w:rPr>
          <w:sz w:val="21"/>
          <w:szCs w:val="21"/>
          <w:color w:val="231F20"/>
          <w:spacing w:val="-1"/>
        </w:rPr>
        <w:t>FD</w:t>
      </w:r>
      <w:r>
        <w:rPr>
          <w:sz w:val="21"/>
          <w:szCs w:val="21"/>
          <w:color w:val="231F20"/>
          <w:spacing w:val="1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和腹型偏头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痛中的患病率还缺乏数据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。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年龄在</w:t>
      </w:r>
      <w:r>
        <w:rPr>
          <w:rFonts w:ascii="FangSong" w:hAnsi="FangSong" w:eastAsia="FangSong" w:cs="FangSong"/>
          <w:sz w:val="21"/>
          <w:szCs w:val="21"/>
          <w:color w:val="231F20"/>
          <w:spacing w:val="-36"/>
        </w:rPr>
        <w:t xml:space="preserve"> </w:t>
      </w:r>
      <w:r>
        <w:rPr>
          <w:sz w:val="21"/>
          <w:szCs w:val="21"/>
          <w:color w:val="231F20"/>
        </w:rPr>
        <w:t>FAPD</w:t>
      </w:r>
      <w:r>
        <w:rPr>
          <w:sz w:val="21"/>
          <w:szCs w:val="21"/>
          <w:color w:val="231F20"/>
          <w:spacing w:val="8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病因学中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的作用尚无定论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。</w:t>
      </w:r>
    </w:p>
    <w:p>
      <w:pPr>
        <w:pStyle w:val="BodyText"/>
        <w:ind w:left="504"/>
        <w:spacing w:before="75" w:line="222" w:lineRule="auto"/>
        <w:rPr>
          <w:rFonts w:ascii="SimHei" w:hAnsi="SimHei" w:eastAsia="SimHei" w:cs="SimHei"/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1"/>
        </w:rPr>
        <w:t>2.2    </w:t>
      </w:r>
      <w:r>
        <w:rPr>
          <w:rFonts w:ascii="SimHei" w:hAnsi="SimHei" w:eastAsia="SimHei" w:cs="SimHei"/>
          <w:sz w:val="21"/>
          <w:szCs w:val="21"/>
          <w:color w:val="231F20"/>
          <w:spacing w:val="-1"/>
        </w:rPr>
        <w:t>病理生理因素</w:t>
      </w:r>
    </w:p>
    <w:p>
      <w:pPr>
        <w:pStyle w:val="BodyText"/>
        <w:ind w:left="503" w:right="355"/>
        <w:spacing w:before="69" w:line="233" w:lineRule="auto"/>
        <w:rPr>
          <w:rFonts w:ascii="FangSong" w:hAnsi="FangSong" w:eastAsia="FangSong" w:cs="FangSong"/>
          <w:sz w:val="21"/>
          <w:szCs w:val="21"/>
        </w:rPr>
      </w:pPr>
      <w:r>
        <w:rPr>
          <w:sz w:val="21"/>
          <w:szCs w:val="21"/>
          <w:color w:val="231F20"/>
          <w:spacing w:val="-2"/>
        </w:rPr>
        <w:t>2.2.1    </w:t>
      </w:r>
      <w:r>
        <w:rPr>
          <w:rFonts w:ascii="KaiTi" w:hAnsi="KaiTi" w:eastAsia="KaiTi" w:cs="KaiTi"/>
          <w:sz w:val="21"/>
          <w:szCs w:val="21"/>
          <w:color w:val="231F20"/>
          <w:spacing w:val="-2"/>
        </w:rPr>
        <w:t>内脏高敏感性</w:t>
      </w:r>
      <w:r>
        <w:rPr>
          <w:rFonts w:ascii="KaiTi" w:hAnsi="KaiTi" w:eastAsia="KaiTi" w:cs="KaiTi"/>
          <w:sz w:val="21"/>
          <w:szCs w:val="21"/>
          <w:color w:val="231F20"/>
          <w:spacing w:val="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内脏高敏感性即内脏组织对于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刺激的感受性增强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包括痛觉过敏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（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由伤害性刺激导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14"/>
        <w:spacing w:before="42" w:line="28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致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）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和痛觉异常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（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由生理性刺激导致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）。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与对照组儿</w:t>
      </w:r>
      <w:r>
        <w:rPr>
          <w:rFonts w:ascii="FangSong" w:hAnsi="FangSong" w:eastAsia="FangSong" w:cs="FangSong"/>
          <w:sz w:val="21"/>
          <w:szCs w:val="21"/>
          <w:color w:val="231F20"/>
          <w:spacing w:val="17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9"/>
        </w:rPr>
        <w:t>童相比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9"/>
        </w:rPr>
        <w:t>儿童内脏高敏感性通常表现为对疼痛的感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觉阈值降低</w:t>
      </w:r>
      <w:r>
        <w:rPr>
          <w:rFonts w:ascii="FangSong" w:hAnsi="FangSong" w:eastAsia="FangSong" w:cs="FangSong"/>
          <w:sz w:val="21"/>
          <w:szCs w:val="21"/>
          <w:color w:val="231F20"/>
          <w:spacing w:val="-27"/>
        </w:rPr>
        <w:t xml:space="preserve"> </w:t>
      </w:r>
      <w:r>
        <w:rPr>
          <w:sz w:val="12"/>
          <w:szCs w:val="12"/>
          <w:color w:val="231F20"/>
          <w:spacing w:val="-2"/>
          <w:position w:val="8"/>
        </w:rPr>
        <w:t>[8]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。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这种肠道特异性超敏反应可能表现在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IBS</w:t>
      </w:r>
      <w:r>
        <w:rPr>
          <w:sz w:val="21"/>
          <w:szCs w:val="21"/>
          <w:color w:val="231F20"/>
          <w:spacing w:val="32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的腹胀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以及</w:t>
      </w:r>
      <w:r>
        <w:rPr>
          <w:rFonts w:ascii="FangSong" w:hAnsi="FangSong" w:eastAsia="FangSong" w:cs="FangSong"/>
          <w:sz w:val="21"/>
          <w:szCs w:val="21"/>
          <w:color w:val="231F20"/>
          <w:spacing w:val="-50"/>
        </w:rPr>
        <w:t xml:space="preserve"> </w:t>
      </w:r>
      <w:r>
        <w:rPr>
          <w:sz w:val="21"/>
          <w:szCs w:val="21"/>
          <w:color w:val="231F20"/>
        </w:rPr>
        <w:t>FD</w:t>
      </w:r>
      <w:r>
        <w:rPr>
          <w:sz w:val="21"/>
          <w:szCs w:val="21"/>
          <w:color w:val="231F20"/>
          <w:spacing w:val="19"/>
          <w:w w:val="10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患儿在食用高脂或酸性食物时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症状常有加重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这在一定程度上解释了调整饮食和抑</w:t>
      </w:r>
      <w:r>
        <w:rPr>
          <w:rFonts w:ascii="FangSong" w:hAnsi="FangSong" w:eastAsia="FangSong" w:cs="FangSong"/>
          <w:sz w:val="21"/>
          <w:szCs w:val="21"/>
          <w:color w:val="231F20"/>
          <w:spacing w:val="9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酸治疗对</w:t>
      </w:r>
      <w:r>
        <w:rPr>
          <w:rFonts w:ascii="FangSong" w:hAnsi="FangSong" w:eastAsia="FangSong" w:cs="FangSong"/>
          <w:sz w:val="21"/>
          <w:szCs w:val="21"/>
          <w:color w:val="231F20"/>
          <w:spacing w:val="-50"/>
        </w:rPr>
        <w:t xml:space="preserve"> </w:t>
      </w:r>
      <w:r>
        <w:rPr>
          <w:sz w:val="21"/>
          <w:szCs w:val="21"/>
          <w:color w:val="231F20"/>
          <w:spacing w:val="-1"/>
        </w:rPr>
        <w:t>FAPD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有效的原因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成人和使用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动物模型的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研究已经提出了许多潜在的触发因素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包括炎症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感</w:t>
      </w:r>
      <w:r>
        <w:rPr>
          <w:rFonts w:ascii="FangSong" w:hAnsi="FangSong" w:eastAsia="FangSong" w:cs="FangSong"/>
          <w:sz w:val="21"/>
          <w:szCs w:val="21"/>
          <w:color w:val="231F20"/>
          <w:spacing w:val="9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9"/>
        </w:rPr>
        <w:t>染和应激可触发内脏超敏反应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。</w:t>
      </w:r>
      <w:r>
        <w:rPr>
          <w:rFonts w:ascii="FangSong" w:hAnsi="FangSong" w:eastAsia="FangSong" w:cs="FangSong"/>
          <w:sz w:val="21"/>
          <w:szCs w:val="21"/>
          <w:color w:val="231F20"/>
          <w:spacing w:val="9"/>
        </w:rPr>
        <w:t>这些触发因素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可以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引起黏膜通透性的变化并导致炎症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释放致痛因子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，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包括</w:t>
      </w:r>
      <w:r>
        <w:rPr>
          <w:rFonts w:ascii="FangSong" w:hAnsi="FangSong" w:eastAsia="FangSong" w:cs="FangSong"/>
          <w:sz w:val="21"/>
          <w:szCs w:val="21"/>
          <w:color w:val="231F20"/>
          <w:spacing w:val="-34"/>
        </w:rPr>
        <w:t xml:space="preserve"> </w:t>
      </w:r>
      <w:r>
        <w:rPr>
          <w:sz w:val="21"/>
          <w:szCs w:val="21"/>
          <w:color w:val="231F20"/>
          <w:spacing w:val="-3"/>
        </w:rPr>
        <w:t>5-</w:t>
      </w:r>
      <w:r>
        <w:rPr>
          <w:sz w:val="21"/>
          <w:szCs w:val="21"/>
          <w:color w:val="231F20"/>
          <w:spacing w:val="12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羟色胺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（</w:t>
      </w:r>
      <w:r>
        <w:rPr>
          <w:sz w:val="21"/>
          <w:szCs w:val="21"/>
          <w:color w:val="231F20"/>
          <w:spacing w:val="-3"/>
        </w:rPr>
        <w:t>5-hydroxytryptamin</w:t>
      </w:r>
      <w:r>
        <w:rPr>
          <w:sz w:val="21"/>
          <w:szCs w:val="21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，</w:t>
      </w:r>
      <w:r>
        <w:rPr>
          <w:sz w:val="21"/>
          <w:szCs w:val="21"/>
          <w:color w:val="231F20"/>
          <w:spacing w:val="-3"/>
        </w:rPr>
        <w:t>5-HT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）、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组胺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蛋白酶和前列腺素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这些因子能够激活传入通路上的</w:t>
      </w:r>
      <w:r>
        <w:rPr>
          <w:rFonts w:ascii="FangSong" w:hAnsi="FangSong" w:eastAsia="FangSong" w:cs="FangSong"/>
          <w:sz w:val="21"/>
          <w:szCs w:val="21"/>
          <w:color w:val="231F20"/>
          <w:spacing w:val="1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受体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引起急性腹痛以及更持久的功能变化和结构变</w:t>
      </w:r>
      <w:r>
        <w:rPr>
          <w:rFonts w:ascii="FangSong" w:hAnsi="FangSong" w:eastAsia="FangSong" w:cs="FangSong"/>
          <w:sz w:val="21"/>
          <w:szCs w:val="21"/>
          <w:color w:val="231F20"/>
          <w:spacing w:val="1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化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这是慢性腹痛形成的关键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</w:t>
      </w:r>
    </w:p>
    <w:p>
      <w:pPr>
        <w:pStyle w:val="BodyText"/>
        <w:ind w:left="9" w:right="73" w:hanging="6"/>
        <w:spacing w:before="4" w:line="270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5"/>
        </w:rPr>
        <w:t>2.2.2    </w:t>
      </w:r>
      <w:r>
        <w:rPr>
          <w:rFonts w:ascii="KaiTi" w:hAnsi="KaiTi" w:eastAsia="KaiTi" w:cs="KaiTi"/>
          <w:sz w:val="21"/>
          <w:szCs w:val="21"/>
          <w:color w:val="231F20"/>
          <w:spacing w:val="5"/>
        </w:rPr>
        <w:t>中枢敏化</w:t>
      </w:r>
      <w:r>
        <w:rPr>
          <w:rFonts w:ascii="KaiTi" w:hAnsi="KaiTi" w:eastAsia="KaiTi" w:cs="KaiTi"/>
          <w:sz w:val="21"/>
          <w:szCs w:val="21"/>
          <w:color w:val="231F20"/>
          <w:spacing w:val="29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>中枢敏化是指因为中枢神经系统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内的神经元功能增强和神经信号放大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从而增强痛</w:t>
      </w:r>
      <w:r>
        <w:rPr>
          <w:rFonts w:ascii="FangSong" w:hAnsi="FangSong" w:eastAsia="FangSong" w:cs="FangSong"/>
          <w:sz w:val="21"/>
          <w:szCs w:val="21"/>
          <w:color w:val="231F20"/>
          <w:spacing w:val="1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觉敏感性的现象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。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这种现象会引起痛觉过敏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是慢</w:t>
      </w:r>
      <w:r>
        <w:rPr>
          <w:rFonts w:ascii="FangSong" w:hAnsi="FangSong" w:eastAsia="FangSong" w:cs="FangSong"/>
          <w:sz w:val="21"/>
          <w:szCs w:val="21"/>
          <w:color w:val="231F20"/>
          <w:spacing w:val="1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性腹痛发展的机制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。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除了痛觉过敏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中枢敏感性还</w:t>
      </w:r>
      <w:r>
        <w:rPr>
          <w:rFonts w:ascii="FangSong" w:hAnsi="FangSong" w:eastAsia="FangSong" w:cs="FangSong"/>
          <w:sz w:val="21"/>
          <w:szCs w:val="21"/>
          <w:color w:val="231F20"/>
          <w:spacing w:val="1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会导致大脑活动的继发性变化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这些变化可被电生</w:t>
      </w:r>
      <w:r>
        <w:rPr>
          <w:rFonts w:ascii="FangSong" w:hAnsi="FangSong" w:eastAsia="FangSong" w:cs="FangSong"/>
          <w:sz w:val="21"/>
          <w:szCs w:val="21"/>
          <w:color w:val="231F20"/>
          <w:spacing w:val="1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理技术检测到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。</w:t>
      </w:r>
    </w:p>
    <w:p>
      <w:pPr>
        <w:pStyle w:val="BodyText"/>
        <w:ind w:left="3" w:hanging="1"/>
        <w:spacing w:before="76" w:line="273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6"/>
        </w:rPr>
        <w:t>2.2.3    </w:t>
      </w:r>
      <w:r>
        <w:rPr>
          <w:rFonts w:ascii="KaiTi" w:hAnsi="KaiTi" w:eastAsia="KaiTi" w:cs="KaiTi"/>
          <w:sz w:val="21"/>
          <w:szCs w:val="21"/>
          <w:color w:val="231F20"/>
          <w:spacing w:val="6"/>
        </w:rPr>
        <w:t>神经免疫相互作用</w:t>
      </w:r>
      <w:r>
        <w:rPr>
          <w:rFonts w:ascii="KaiTi" w:hAnsi="KaiTi" w:eastAsia="KaiTi" w:cs="KaiTi"/>
          <w:sz w:val="21"/>
          <w:szCs w:val="21"/>
          <w:color w:val="231F20"/>
          <w:spacing w:val="6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>在部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>分</w:t>
      </w:r>
      <w:r>
        <w:rPr>
          <w:rFonts w:ascii="FangSong" w:hAnsi="FangSong" w:eastAsia="FangSong" w:cs="FangSong"/>
          <w:sz w:val="21"/>
          <w:szCs w:val="21"/>
          <w:color w:val="231F20"/>
          <w:spacing w:val="-48"/>
        </w:rPr>
        <w:t xml:space="preserve"> </w:t>
      </w:r>
      <w:r>
        <w:rPr>
          <w:sz w:val="21"/>
          <w:szCs w:val="21"/>
          <w:color w:val="231F20"/>
        </w:rPr>
        <w:t>IBS</w:t>
      </w:r>
      <w:r>
        <w:rPr>
          <w:sz w:val="21"/>
          <w:szCs w:val="21"/>
          <w:color w:val="231F20"/>
          <w:spacing w:val="2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>患儿中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>肠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道炎症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神经免疫相互作用在发病机制中也发挥了</w:t>
      </w:r>
      <w:r>
        <w:rPr>
          <w:rFonts w:ascii="FangSong" w:hAnsi="FangSong" w:eastAsia="FangSong" w:cs="FangSong"/>
          <w:sz w:val="21"/>
          <w:szCs w:val="21"/>
          <w:color w:val="231F20"/>
          <w:spacing w:val="1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</w:rPr>
        <w:t>作用</w:t>
      </w:r>
      <w:r>
        <w:rPr>
          <w:rFonts w:ascii="SimSun" w:hAnsi="SimSun" w:eastAsia="SimSun" w:cs="SimSun"/>
          <w:sz w:val="21"/>
          <w:szCs w:val="21"/>
          <w:color w:val="231F20"/>
        </w:rPr>
        <w:t>。</w:t>
      </w:r>
      <w:r>
        <w:rPr>
          <w:rFonts w:ascii="FangSong" w:hAnsi="FangSong" w:eastAsia="FangSong" w:cs="FangSong"/>
          <w:sz w:val="21"/>
          <w:szCs w:val="21"/>
          <w:color w:val="231F20"/>
        </w:rPr>
        <w:t>一项研究发现</w:t>
      </w:r>
      <w:r>
        <w:rPr>
          <w:rFonts w:ascii="SimSun" w:hAnsi="SimSun" w:eastAsia="SimSun" w:cs="SimSun"/>
          <w:sz w:val="21"/>
          <w:szCs w:val="21"/>
          <w:color w:val="231F20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</w:rPr>
        <w:t>与健康儿童相比</w:t>
      </w:r>
      <w:r>
        <w:rPr>
          <w:rFonts w:ascii="SimSun" w:hAnsi="SimSun" w:eastAsia="SimSun" w:cs="SimSun"/>
          <w:sz w:val="21"/>
          <w:szCs w:val="21"/>
          <w:color w:val="231F20"/>
        </w:rPr>
        <w:t>，</w:t>
      </w:r>
      <w:r>
        <w:rPr>
          <w:sz w:val="21"/>
          <w:szCs w:val="21"/>
          <w:color w:val="231F20"/>
        </w:rPr>
        <w:t>IBS</w:t>
      </w:r>
      <w:r>
        <w:rPr>
          <w:sz w:val="21"/>
          <w:szCs w:val="21"/>
          <w:color w:val="231F20"/>
          <w:spacing w:val="22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</w:rPr>
        <w:t>患儿的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回肠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结肠黏膜中靠近神经的肥大细胞数量增加</w:t>
      </w:r>
      <w:r>
        <w:rPr>
          <w:rFonts w:ascii="FangSong" w:hAnsi="FangSong" w:eastAsia="FangSong" w:cs="FangSong"/>
          <w:sz w:val="21"/>
          <w:szCs w:val="21"/>
          <w:color w:val="231F20"/>
          <w:spacing w:val="-29"/>
        </w:rPr>
        <w:t xml:space="preserve"> </w:t>
      </w:r>
      <w:r>
        <w:rPr>
          <w:sz w:val="12"/>
          <w:szCs w:val="12"/>
          <w:color w:val="231F20"/>
          <w:spacing w:val="2"/>
          <w:position w:val="8"/>
        </w:rPr>
        <w:t>[9]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此外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神经纤维相关肥大细胞计数与腹痛的强度和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疼痛发作的频率相关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。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有研究显示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超过</w:t>
      </w:r>
      <w:r>
        <w:rPr>
          <w:rFonts w:ascii="FangSong" w:hAnsi="FangSong" w:eastAsia="FangSong" w:cs="FangSong"/>
          <w:sz w:val="21"/>
          <w:szCs w:val="21"/>
          <w:color w:val="231F20"/>
          <w:spacing w:val="-25"/>
        </w:rPr>
        <w:t xml:space="preserve"> </w:t>
      </w:r>
      <w:r>
        <w:rPr>
          <w:sz w:val="21"/>
          <w:szCs w:val="21"/>
          <w:color w:val="231F20"/>
          <w:spacing w:val="-2"/>
        </w:rPr>
        <w:t>50%</w:t>
      </w:r>
      <w:r>
        <w:rPr>
          <w:sz w:val="21"/>
          <w:szCs w:val="21"/>
          <w:color w:val="231F20"/>
          <w:spacing w:val="26"/>
          <w:w w:val="10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的</w:t>
      </w:r>
      <w:r>
        <w:rPr>
          <w:rFonts w:ascii="FangSong" w:hAnsi="FangSong" w:eastAsia="FangSong" w:cs="FangSong"/>
          <w:sz w:val="21"/>
          <w:szCs w:val="21"/>
          <w:color w:val="231F20"/>
          <w:spacing w:val="-49"/>
        </w:rPr>
        <w:t xml:space="preserve"> </w:t>
      </w:r>
      <w:r>
        <w:rPr>
          <w:sz w:val="21"/>
          <w:szCs w:val="21"/>
          <w:color w:val="231F20"/>
          <w:spacing w:val="-2"/>
        </w:rPr>
        <w:t>FD</w:t>
      </w:r>
      <w:r>
        <w:rPr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12"/>
        </w:rPr>
        <w:t>患儿胃窦区嗜酸性粒细胞和肥大细胞被显著激活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，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>同时存在胃排空延迟和胃肌电活动异常</w:t>
      </w:r>
      <w:r>
        <w:rPr>
          <w:rFonts w:ascii="FangSong" w:hAnsi="FangSong" w:eastAsia="FangSong" w:cs="FangSong"/>
          <w:sz w:val="21"/>
          <w:szCs w:val="21"/>
          <w:color w:val="231F20"/>
          <w:spacing w:val="-32"/>
        </w:rPr>
        <w:t xml:space="preserve"> </w:t>
      </w:r>
      <w:r>
        <w:rPr>
          <w:sz w:val="12"/>
          <w:szCs w:val="12"/>
          <w:color w:val="231F20"/>
          <w:spacing w:val="5"/>
          <w:position w:val="8"/>
        </w:rPr>
        <w:t>[10]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。</w:t>
      </w:r>
      <w:r>
        <w:rPr>
          <w:rFonts w:ascii="SimSun" w:hAnsi="SimSun" w:eastAsia="SimSun" w:cs="SimSun"/>
          <w:sz w:val="21"/>
          <w:szCs w:val="21"/>
          <w:color w:val="231F20"/>
          <w:spacing w:val="-62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>同样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</w:rPr>
        <w:t>一项回顾性队列研究显示</w:t>
      </w:r>
      <w:r>
        <w:rPr>
          <w:rFonts w:ascii="SimSun" w:hAnsi="SimSun" w:eastAsia="SimSun" w:cs="SimSun"/>
          <w:sz w:val="21"/>
          <w:szCs w:val="21"/>
          <w:color w:val="231F20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</w:rPr>
        <w:t>儿童</w:t>
      </w:r>
      <w:r>
        <w:rPr>
          <w:rFonts w:ascii="FangSong" w:hAnsi="FangSong" w:eastAsia="FangSong" w:cs="FangSong"/>
          <w:sz w:val="21"/>
          <w:szCs w:val="21"/>
          <w:color w:val="231F20"/>
          <w:spacing w:val="-46"/>
        </w:rPr>
        <w:t xml:space="preserve"> </w:t>
      </w:r>
      <w:r>
        <w:rPr>
          <w:sz w:val="21"/>
          <w:szCs w:val="21"/>
          <w:color w:val="231F20"/>
        </w:rPr>
        <w:t>FD</w:t>
      </w:r>
      <w:r>
        <w:rPr>
          <w:sz w:val="21"/>
          <w:szCs w:val="21"/>
          <w:color w:val="231F20"/>
          <w:spacing w:val="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</w:rPr>
        <w:t>与十二指肠嗜酸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</w:rPr>
        <w:t>性粒细胞增多密切相关</w:t>
      </w:r>
      <w:r>
        <w:rPr>
          <w:rFonts w:ascii="SimSun" w:hAnsi="SimSun" w:eastAsia="SimSun" w:cs="SimSun"/>
          <w:sz w:val="21"/>
          <w:szCs w:val="21"/>
          <w:color w:val="231F20"/>
        </w:rPr>
        <w:t>：</w:t>
      </w:r>
      <w:r>
        <w:rPr>
          <w:rFonts w:ascii="FangSong" w:hAnsi="FangSong" w:eastAsia="FangSong" w:cs="FangSong"/>
          <w:sz w:val="21"/>
          <w:szCs w:val="21"/>
          <w:color w:val="231F20"/>
        </w:rPr>
        <w:t>在一组</w:t>
      </w:r>
      <w:r>
        <w:rPr>
          <w:rFonts w:ascii="FangSong" w:hAnsi="FangSong" w:eastAsia="FangSong" w:cs="FangSong"/>
          <w:sz w:val="21"/>
          <w:szCs w:val="21"/>
          <w:color w:val="231F20"/>
          <w:spacing w:val="-47"/>
        </w:rPr>
        <w:t xml:space="preserve"> </w:t>
      </w:r>
      <w:r>
        <w:rPr>
          <w:sz w:val="21"/>
          <w:szCs w:val="21"/>
          <w:color w:val="231F20"/>
        </w:rPr>
        <w:t>FD</w:t>
      </w:r>
      <w:r>
        <w:rPr>
          <w:sz w:val="21"/>
          <w:szCs w:val="21"/>
          <w:color w:val="231F20"/>
          <w:spacing w:val="21"/>
          <w:w w:val="10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</w:rPr>
        <w:t>患儿中</w:t>
      </w:r>
      <w:r>
        <w:rPr>
          <w:rFonts w:ascii="SimSun" w:hAnsi="SimSun" w:eastAsia="SimSun" w:cs="SimSun"/>
          <w:sz w:val="21"/>
          <w:szCs w:val="21"/>
          <w:color w:val="231F20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</w:rPr>
        <w:t>患有特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应性疾病的儿童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（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即过敏儿童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）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接触牛奶可导致肥</w:t>
      </w:r>
      <w:r>
        <w:rPr>
          <w:rFonts w:ascii="FangSong" w:hAnsi="FangSong" w:eastAsia="FangSong" w:cs="FangSong"/>
          <w:sz w:val="21"/>
          <w:szCs w:val="21"/>
          <w:color w:val="231F20"/>
          <w:spacing w:val="1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大细胞脱颗粒和胃节律失调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其神经相关肥大细胞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的数量高于无特应性疾病的儿童</w:t>
      </w:r>
      <w:r>
        <w:rPr>
          <w:rFonts w:ascii="FangSong" w:hAnsi="FangSong" w:eastAsia="FangSong" w:cs="FangSong"/>
          <w:sz w:val="21"/>
          <w:szCs w:val="21"/>
          <w:color w:val="231F20"/>
          <w:spacing w:val="-38"/>
        </w:rPr>
        <w:t xml:space="preserve"> </w:t>
      </w:r>
      <w:r>
        <w:rPr>
          <w:sz w:val="12"/>
          <w:szCs w:val="12"/>
          <w:color w:val="231F20"/>
          <w:spacing w:val="-1"/>
          <w:position w:val="8"/>
        </w:rPr>
        <w:t>[11]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</w:t>
      </w:r>
    </w:p>
    <w:p>
      <w:pPr>
        <w:spacing w:line="273" w:lineRule="auto"/>
        <w:sectPr>
          <w:type w:val="continuous"/>
          <w:pgSz w:w="11906" w:h="16158"/>
          <w:pgMar w:top="627" w:right="831" w:bottom="547" w:left="407" w:header="0" w:footer="354" w:gutter="0"/>
          <w:cols w:equalWidth="0" w:num="2">
            <w:col w:w="5674" w:space="100"/>
            <w:col w:w="4892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ind w:left="523"/>
        <w:spacing w:before="49" w:line="212" w:lineRule="auto"/>
        <w:rPr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u w:val="single" w:color="auto"/>
          <w:color w:val="231F20"/>
          <w:spacing w:val="-4"/>
        </w:rPr>
        <w:t>中国医刊 </w:t>
      </w:r>
      <w:r>
        <w:rPr>
          <w:sz w:val="18"/>
          <w:szCs w:val="18"/>
          <w:u w:val="single" w:color="auto"/>
          <w:color w:val="231F20"/>
          <w:spacing w:val="-4"/>
        </w:rPr>
        <w:t>2024 </w:t>
      </w:r>
      <w:r>
        <w:rPr>
          <w:rFonts w:ascii="SimSun" w:hAnsi="SimSun" w:eastAsia="SimSun" w:cs="SimSun"/>
          <w:sz w:val="18"/>
          <w:szCs w:val="18"/>
          <w:u w:val="single" w:color="auto"/>
          <w:color w:val="231F20"/>
          <w:spacing w:val="-4"/>
        </w:rPr>
        <w:t>年</w:t>
      </w:r>
      <w:r>
        <w:rPr>
          <w:rFonts w:ascii="SimSun" w:hAnsi="SimSun" w:eastAsia="SimSun" w:cs="SimSun"/>
          <w:sz w:val="18"/>
          <w:szCs w:val="18"/>
          <w:u w:val="single" w:color="auto"/>
          <w:color w:val="231F20"/>
          <w:spacing w:val="38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u w:val="single" w:color="auto"/>
          <w:color w:val="231F20"/>
          <w:spacing w:val="-4"/>
        </w:rPr>
        <w:t>第</w:t>
      </w:r>
      <w:r>
        <w:rPr>
          <w:sz w:val="18"/>
          <w:szCs w:val="18"/>
          <w:u w:val="single" w:color="auto"/>
          <w:color w:val="231F20"/>
          <w:spacing w:val="-4"/>
        </w:rPr>
        <w:t>59</w:t>
      </w:r>
      <w:r>
        <w:rPr>
          <w:sz w:val="18"/>
          <w:szCs w:val="18"/>
          <w:u w:val="single" w:color="auto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8"/>
          <w:szCs w:val="18"/>
          <w:u w:val="single" w:color="auto"/>
          <w:color w:val="231F20"/>
          <w:spacing w:val="-4"/>
        </w:rPr>
        <w:t>卷</w:t>
      </w:r>
      <w:r>
        <w:rPr>
          <w:rFonts w:ascii="SimSun" w:hAnsi="SimSun" w:eastAsia="SimSun" w:cs="SimSun"/>
          <w:sz w:val="18"/>
          <w:szCs w:val="18"/>
          <w:u w:val="single" w:color="auto"/>
          <w:color w:val="231F20"/>
          <w:spacing w:val="22"/>
        </w:rPr>
        <w:t xml:space="preserve"> </w:t>
      </w:r>
      <w:r>
        <w:rPr>
          <w:rFonts w:ascii="SimSun" w:hAnsi="SimSun" w:eastAsia="SimSun" w:cs="SimSun"/>
          <w:sz w:val="18"/>
          <w:szCs w:val="18"/>
          <w:u w:val="single" w:color="auto"/>
          <w:color w:val="231F20"/>
          <w:spacing w:val="-4"/>
        </w:rPr>
        <w:t>第</w:t>
      </w:r>
      <w:r>
        <w:rPr>
          <w:sz w:val="18"/>
          <w:szCs w:val="18"/>
          <w:u w:val="single" w:color="auto"/>
          <w:color w:val="231F20"/>
          <w:spacing w:val="-4"/>
        </w:rPr>
        <w:t>7</w:t>
      </w:r>
      <w:r>
        <w:rPr>
          <w:sz w:val="18"/>
          <w:szCs w:val="18"/>
          <w:u w:val="single" w:color="auto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8"/>
          <w:szCs w:val="18"/>
          <w:u w:val="single" w:color="auto"/>
          <w:color w:val="231F20"/>
          <w:spacing w:val="-4"/>
        </w:rPr>
        <w:t>期 </w:t>
      </w:r>
      <w:r>
        <w:rPr>
          <w:sz w:val="18"/>
          <w:szCs w:val="18"/>
          <w:u w:val="single" w:color="auto"/>
          <w:color w:val="231F20"/>
          <w:spacing w:val="-4"/>
        </w:rPr>
        <w:t>Chin J Med, 2024, Vol 59,</w:t>
      </w:r>
      <w:r>
        <w:rPr>
          <w:sz w:val="18"/>
          <w:szCs w:val="18"/>
          <w:u w:val="single" w:color="auto"/>
          <w:color w:val="231F20"/>
          <w:spacing w:val="-9"/>
        </w:rPr>
        <w:t xml:space="preserve"> </w:t>
      </w:r>
      <w:r>
        <w:rPr>
          <w:sz w:val="18"/>
          <w:szCs w:val="18"/>
          <w:u w:val="single" w:color="auto"/>
          <w:color w:val="231F20"/>
          <w:spacing w:val="-4"/>
        </w:rPr>
        <w:t>No.7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506" w:right="356" w:hanging="3"/>
        <w:spacing w:before="69" w:line="27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3"/>
        </w:rPr>
        <w:t>2.2.4</w:t>
      </w:r>
      <w:r>
        <w:rPr>
          <w:sz w:val="21"/>
          <w:szCs w:val="21"/>
          <w:color w:val="231F20"/>
          <w:spacing w:val="13"/>
          <w:w w:val="101"/>
        </w:rPr>
        <w:t xml:space="preserve">    </w:t>
      </w:r>
      <w:r>
        <w:rPr>
          <w:rFonts w:ascii="KaiTi" w:hAnsi="KaiTi" w:eastAsia="KaiTi" w:cs="KaiTi"/>
          <w:sz w:val="21"/>
          <w:szCs w:val="21"/>
          <w:color w:val="231F20"/>
          <w:spacing w:val="-3"/>
        </w:rPr>
        <w:t>胃肠运动异常</w:t>
      </w:r>
      <w:r>
        <w:rPr>
          <w:rFonts w:ascii="KaiTi" w:hAnsi="KaiTi" w:eastAsia="KaiTi" w:cs="KaiTi"/>
          <w:sz w:val="21"/>
          <w:szCs w:val="21"/>
          <w:color w:val="231F20"/>
          <w:spacing w:val="21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胃肠运动异常被认为与</w:t>
      </w:r>
      <w:r>
        <w:rPr>
          <w:rFonts w:ascii="FangSong" w:hAnsi="FangSong" w:eastAsia="FangSong" w:cs="FangSong"/>
          <w:sz w:val="21"/>
          <w:szCs w:val="21"/>
          <w:color w:val="231F20"/>
          <w:spacing w:val="-50"/>
        </w:rPr>
        <w:t xml:space="preserve"> </w:t>
      </w:r>
      <w:r>
        <w:rPr>
          <w:sz w:val="21"/>
          <w:szCs w:val="21"/>
          <w:color w:val="231F20"/>
          <w:spacing w:val="-3"/>
        </w:rPr>
        <w:t>FAPD</w:t>
      </w:r>
      <w:r>
        <w:rPr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</w:rPr>
        <w:t>的病理生理有关</w:t>
      </w:r>
      <w:r>
        <w:rPr>
          <w:rFonts w:ascii="SimSun" w:hAnsi="SimSun" w:eastAsia="SimSun" w:cs="SimSun"/>
          <w:sz w:val="21"/>
          <w:szCs w:val="21"/>
          <w:color w:val="231F20"/>
        </w:rPr>
        <w:t>。</w:t>
      </w:r>
      <w:r>
        <w:rPr>
          <w:sz w:val="21"/>
          <w:szCs w:val="21"/>
          <w:color w:val="231F20"/>
        </w:rPr>
        <w:t>FAPD</w:t>
      </w:r>
      <w:r>
        <w:rPr>
          <w:sz w:val="21"/>
          <w:szCs w:val="21"/>
          <w:color w:val="231F20"/>
          <w:spacing w:val="20"/>
          <w:w w:val="10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</w:rPr>
        <w:t>患者可能有胃排空延迟或胃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调节功能降低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同时可能有延迟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加速或正常的结</w:t>
      </w:r>
      <w:r>
        <w:rPr>
          <w:rFonts w:ascii="FangSong" w:hAnsi="FangSong" w:eastAsia="FangSong" w:cs="FangSong"/>
          <w:sz w:val="21"/>
          <w:szCs w:val="21"/>
          <w:color w:val="231F20"/>
          <w:spacing w:val="1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肠运动或盆底功能障碍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（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肌肉协调障碍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）。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单一症状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可能与一系列运动障碍有关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所以胃肠运动异常与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症状之间的因果关系难以明确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。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某一特定部分的失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调可能会在不同部位产生症状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如便秘可能导致胃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排空延迟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。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大多数有关胃肠道运动的研究都是在患</w:t>
      </w:r>
      <w:r>
        <w:rPr>
          <w:rFonts w:ascii="FangSong" w:hAnsi="FangSong" w:eastAsia="FangSong" w:cs="FangSong"/>
          <w:sz w:val="21"/>
          <w:szCs w:val="21"/>
          <w:color w:val="231F20"/>
          <w:spacing w:val="12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有</w:t>
      </w:r>
      <w:r>
        <w:rPr>
          <w:rFonts w:ascii="FangSong" w:hAnsi="FangSong" w:eastAsia="FangSong" w:cs="FangSong"/>
          <w:sz w:val="21"/>
          <w:szCs w:val="21"/>
          <w:color w:val="231F20"/>
          <w:spacing w:val="-35"/>
        </w:rPr>
        <w:t xml:space="preserve"> </w:t>
      </w:r>
      <w:r>
        <w:rPr>
          <w:sz w:val="21"/>
          <w:szCs w:val="21"/>
          <w:color w:val="231F20"/>
          <w:spacing w:val="-2"/>
        </w:rPr>
        <w:t>FD</w:t>
      </w:r>
      <w:r>
        <w:rPr>
          <w:sz w:val="21"/>
          <w:szCs w:val="21"/>
          <w:color w:val="231F20"/>
          <w:spacing w:val="13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和</w:t>
      </w:r>
      <w:r>
        <w:rPr>
          <w:rFonts w:ascii="FangSong" w:hAnsi="FangSong" w:eastAsia="FangSong" w:cs="FangSong"/>
          <w:sz w:val="21"/>
          <w:szCs w:val="21"/>
          <w:color w:val="231F20"/>
          <w:spacing w:val="-47"/>
        </w:rPr>
        <w:t xml:space="preserve"> </w:t>
      </w:r>
      <w:r>
        <w:rPr>
          <w:sz w:val="21"/>
          <w:szCs w:val="21"/>
          <w:color w:val="231F20"/>
          <w:spacing w:val="-2"/>
        </w:rPr>
        <w:t>IBS</w:t>
      </w:r>
      <w:r>
        <w:rPr>
          <w:sz w:val="21"/>
          <w:szCs w:val="21"/>
          <w:color w:val="231F20"/>
          <w:spacing w:val="2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的成人中进行的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胃肠道运动对腹型偏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头痛和未另行指定的</w:t>
      </w:r>
      <w:r>
        <w:rPr>
          <w:rFonts w:ascii="FangSong" w:hAnsi="FangSong" w:eastAsia="FangSong" w:cs="FangSong"/>
          <w:sz w:val="21"/>
          <w:szCs w:val="21"/>
          <w:color w:val="231F20"/>
          <w:spacing w:val="-45"/>
        </w:rPr>
        <w:t xml:space="preserve"> </w:t>
      </w:r>
      <w:r>
        <w:rPr>
          <w:sz w:val="21"/>
          <w:szCs w:val="21"/>
          <w:color w:val="231F20"/>
          <w:spacing w:val="-2"/>
        </w:rPr>
        <w:t>FAPD</w:t>
      </w:r>
      <w:r>
        <w:rPr>
          <w:sz w:val="21"/>
          <w:szCs w:val="21"/>
          <w:color w:val="231F20"/>
          <w:spacing w:val="27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的影响仍有待研究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。</w:t>
      </w:r>
    </w:p>
    <w:p>
      <w:pPr>
        <w:ind w:left="502"/>
        <w:spacing w:before="159" w:line="290" w:lineRule="exact"/>
        <w:outlineLvl w:val="1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1"/>
        </w:rPr>
        <w:t>3  儿童功能性腹痛病的管理</w:t>
      </w:r>
    </w:p>
    <w:p>
      <w:pPr>
        <w:pStyle w:val="BodyText"/>
        <w:ind w:left="513" w:right="356" w:firstLine="442"/>
        <w:spacing w:before="191" w:line="27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>由于目前儿童可用的药物干预是有限的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，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>因此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当前对</w:t>
      </w:r>
      <w:r>
        <w:rPr>
          <w:rFonts w:ascii="FangSong" w:hAnsi="FangSong" w:eastAsia="FangSong" w:cs="FangSong"/>
          <w:sz w:val="21"/>
          <w:szCs w:val="21"/>
          <w:color w:val="231F20"/>
          <w:spacing w:val="-41"/>
        </w:rPr>
        <w:t xml:space="preserve"> </w:t>
      </w:r>
      <w:r>
        <w:rPr>
          <w:sz w:val="21"/>
          <w:szCs w:val="21"/>
          <w:color w:val="231F20"/>
        </w:rPr>
        <w:t>FAPD</w:t>
      </w:r>
      <w:r>
        <w:rPr>
          <w:sz w:val="21"/>
          <w:szCs w:val="21"/>
          <w:color w:val="231F20"/>
          <w:spacing w:val="26"/>
          <w:w w:val="10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的管理侧重于综合方法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包括认知行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为疗法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饮食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益生菌等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。</w:t>
      </w:r>
    </w:p>
    <w:p>
      <w:pPr>
        <w:pStyle w:val="BodyText"/>
        <w:ind w:left="502"/>
        <w:spacing w:before="34" w:line="186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1"/>
        </w:rPr>
        <w:t>3.1    FD</w:t>
      </w:r>
    </w:p>
    <w:p>
      <w:pPr>
        <w:pStyle w:val="BodyText"/>
        <w:ind w:left="506" w:right="281" w:firstLine="415"/>
        <w:spacing w:before="85" w:line="27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</w:rPr>
        <w:t>FD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>根据主要症状分为餐后不适综合征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>上腹痛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综合征和混合型</w:t>
      </w:r>
      <w:r>
        <w:rPr>
          <w:rFonts w:ascii="FangSong" w:hAnsi="FangSong" w:eastAsia="FangSong" w:cs="FangSong"/>
          <w:sz w:val="21"/>
          <w:szCs w:val="21"/>
          <w:color w:val="231F20"/>
          <w:spacing w:val="-44"/>
        </w:rPr>
        <w:t xml:space="preserve"> </w:t>
      </w:r>
      <w:r>
        <w:rPr>
          <w:sz w:val="21"/>
          <w:szCs w:val="21"/>
          <w:color w:val="231F20"/>
          <w:spacing w:val="1"/>
        </w:rPr>
        <w:t>3 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个亚型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。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症状可以是</w:t>
      </w:r>
      <w:r>
        <w:rPr>
          <w:rFonts w:ascii="FangSong" w:hAnsi="FangSong" w:eastAsia="FangSong" w:cs="FangSong"/>
          <w:sz w:val="21"/>
          <w:szCs w:val="21"/>
          <w:color w:val="231F20"/>
          <w:spacing w:val="-28"/>
        </w:rPr>
        <w:t xml:space="preserve"> </w:t>
      </w:r>
      <w:r>
        <w:rPr>
          <w:sz w:val="21"/>
          <w:szCs w:val="21"/>
          <w:color w:val="231F20"/>
          <w:spacing w:val="1"/>
        </w:rPr>
        <w:t>1 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种或</w:t>
      </w:r>
      <w:r>
        <w:rPr>
          <w:rFonts w:ascii="FangSong" w:hAnsi="FangSong" w:eastAsia="FangSong" w:cs="FangSong"/>
          <w:sz w:val="21"/>
          <w:szCs w:val="21"/>
          <w:color w:val="231F20"/>
        </w:rPr>
        <w:t>多种</w:t>
      </w:r>
      <w:r>
        <w:rPr>
          <w:rFonts w:ascii="SimSun" w:hAnsi="SimSun" w:eastAsia="SimSun" w:cs="SimSun"/>
          <w:sz w:val="21"/>
          <w:szCs w:val="21"/>
          <w:color w:val="231F20"/>
        </w:rPr>
        <w:t>， 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可以反复发作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。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临床医生首先应详细询问患儿病史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，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>尤其是饮食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>精神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>心理等相关诱发因素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，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>了解症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状的严重程度与出现频率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持续时间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明确症状与</w:t>
      </w:r>
      <w:r>
        <w:rPr>
          <w:rFonts w:ascii="FangSong" w:hAnsi="FangSong" w:eastAsia="FangSong" w:cs="FangSong"/>
          <w:sz w:val="21"/>
          <w:szCs w:val="21"/>
          <w:color w:val="231F20"/>
          <w:spacing w:val="1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进食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排便的关系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。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其次应对患儿进行全面体格检</w:t>
      </w:r>
      <w:r>
        <w:rPr>
          <w:rFonts w:ascii="FangSong" w:hAnsi="FangSong" w:eastAsia="FangSong" w:cs="FangSong"/>
          <w:sz w:val="21"/>
          <w:szCs w:val="21"/>
          <w:color w:val="231F20"/>
          <w:spacing w:val="1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查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注意有无报警症状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如持续右上腹或右下腹痛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、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>夜间痛醒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>吞咽困难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>吞咽疼痛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>持续呕吐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、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>胃肠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道出血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夜间腹泻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直肠周围疾病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非自愿性体重</w:t>
      </w:r>
      <w:r>
        <w:rPr>
          <w:rFonts w:ascii="FangSong" w:hAnsi="FangSong" w:eastAsia="FangSong" w:cs="FangSong"/>
          <w:sz w:val="21"/>
          <w:szCs w:val="21"/>
          <w:color w:val="231F20"/>
          <w:spacing w:val="1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下降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青春期延迟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不明原因发热等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。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注意询问有</w:t>
      </w:r>
      <w:r>
        <w:rPr>
          <w:rFonts w:ascii="FangSong" w:hAnsi="FangSong" w:eastAsia="FangSong" w:cs="FangSong"/>
          <w:sz w:val="21"/>
          <w:szCs w:val="21"/>
          <w:color w:val="231F20"/>
          <w:spacing w:val="1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无炎症性肠病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消化性溃疡家族史等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。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对于怀疑</w:t>
      </w:r>
      <w:r>
        <w:rPr>
          <w:rFonts w:ascii="FangSong" w:hAnsi="FangSong" w:eastAsia="FangSong" w:cs="FangSong"/>
          <w:sz w:val="21"/>
          <w:szCs w:val="21"/>
          <w:color w:val="231F20"/>
          <w:spacing w:val="-36"/>
        </w:rPr>
        <w:t xml:space="preserve"> </w:t>
      </w:r>
      <w:r>
        <w:rPr>
          <w:sz w:val="21"/>
          <w:szCs w:val="21"/>
          <w:color w:val="231F20"/>
        </w:rPr>
        <w:t>FD  </w:t>
      </w:r>
      <w:r>
        <w:rPr>
          <w:rFonts w:ascii="FangSong" w:hAnsi="FangSong" w:eastAsia="FangSong" w:cs="FangSong"/>
          <w:sz w:val="21"/>
          <w:szCs w:val="21"/>
          <w:color w:val="231F20"/>
        </w:rPr>
        <w:t>的患儿采取针对性的辅助检查</w:t>
      </w:r>
      <w:r>
        <w:rPr>
          <w:rFonts w:ascii="SimSun" w:hAnsi="SimSun" w:eastAsia="SimSun" w:cs="SimSun"/>
          <w:sz w:val="21"/>
          <w:szCs w:val="21"/>
          <w:color w:val="231F20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</w:rPr>
        <w:t>如血常规</w:t>
      </w:r>
      <w:r>
        <w:rPr>
          <w:rFonts w:ascii="SimSun" w:hAnsi="SimSun" w:eastAsia="SimSun" w:cs="SimSun"/>
          <w:sz w:val="21"/>
          <w:szCs w:val="21"/>
          <w:color w:val="231F20"/>
        </w:rPr>
        <w:t>、</w:t>
      </w:r>
      <w:r>
        <w:rPr>
          <w:sz w:val="21"/>
          <w:szCs w:val="21"/>
          <w:color w:val="231F20"/>
        </w:rPr>
        <w:t>C </w:t>
      </w:r>
      <w:r>
        <w:rPr>
          <w:rFonts w:ascii="FangSong" w:hAnsi="FangSong" w:eastAsia="FangSong" w:cs="FangSong"/>
          <w:sz w:val="21"/>
          <w:szCs w:val="21"/>
          <w:color w:val="231F20"/>
        </w:rPr>
        <w:t>反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应蛋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白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肝肾功能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便常规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腹部</w:t>
      </w:r>
      <w:r>
        <w:rPr>
          <w:rFonts w:ascii="FangSong" w:hAnsi="FangSong" w:eastAsia="FangSong" w:cs="FangSong"/>
          <w:sz w:val="21"/>
          <w:szCs w:val="21"/>
          <w:color w:val="231F20"/>
          <w:spacing w:val="-45"/>
        </w:rPr>
        <w:t xml:space="preserve"> </w:t>
      </w:r>
      <w:r>
        <w:rPr>
          <w:sz w:val="21"/>
          <w:szCs w:val="21"/>
          <w:color w:val="231F20"/>
          <w:spacing w:val="2"/>
        </w:rPr>
        <w:t>B 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超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、</w:t>
      </w:r>
      <w:r>
        <w:rPr>
          <w:rFonts w:ascii="SimSun" w:hAnsi="SimSun" w:eastAsia="SimSun" w:cs="SimSun"/>
          <w:sz w:val="21"/>
          <w:szCs w:val="21"/>
          <w:color w:val="231F20"/>
          <w:spacing w:val="-5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胃镜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、</w:t>
      </w:r>
      <w:r>
        <w:rPr>
          <w:rFonts w:ascii="SimSun" w:hAnsi="SimSun" w:eastAsia="SimSun" w:cs="SimSun"/>
          <w:sz w:val="21"/>
          <w:szCs w:val="21"/>
          <w:color w:val="231F20"/>
          <w:spacing w:val="-53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胃肠钡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餐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幽门螺杆菌检测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心电图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胸部</w:t>
      </w:r>
      <w:r>
        <w:rPr>
          <w:rFonts w:ascii="FangSong" w:hAnsi="FangSong" w:eastAsia="FangSong" w:cs="FangSong"/>
          <w:sz w:val="21"/>
          <w:szCs w:val="21"/>
          <w:color w:val="231F20"/>
          <w:spacing w:val="-45"/>
        </w:rPr>
        <w:t xml:space="preserve"> </w:t>
      </w:r>
      <w:r>
        <w:rPr>
          <w:sz w:val="21"/>
          <w:szCs w:val="21"/>
          <w:color w:val="231F20"/>
          <w:spacing w:val="3"/>
        </w:rPr>
        <w:t>X</w:t>
      </w:r>
      <w:r>
        <w:rPr>
          <w:sz w:val="21"/>
          <w:szCs w:val="21"/>
          <w:color w:val="231F20"/>
          <w:spacing w:val="2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线片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、</w:t>
      </w:r>
      <w:r>
        <w:rPr>
          <w:rFonts w:ascii="SimSun" w:hAnsi="SimSun" w:eastAsia="SimSun" w:cs="SimSun"/>
          <w:sz w:val="21"/>
          <w:szCs w:val="21"/>
          <w:color w:val="231F20"/>
          <w:spacing w:val="-5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胃肠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动力检查等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。</w:t>
      </w:r>
    </w:p>
    <w:p>
      <w:pPr>
        <w:pStyle w:val="BodyText"/>
        <w:ind w:left="407" w:right="355" w:firstLine="515"/>
        <w:spacing w:before="1" w:line="269" w:lineRule="auto"/>
        <w:jc w:val="both"/>
        <w:rPr>
          <w:rFonts w:ascii="FangSong" w:hAnsi="FangSong" w:eastAsia="FangSong" w:cs="FangSong"/>
          <w:sz w:val="21"/>
          <w:szCs w:val="21"/>
        </w:rPr>
      </w:pPr>
      <w:r>
        <w:rPr>
          <w:sz w:val="21"/>
          <w:szCs w:val="21"/>
          <w:color w:val="231F20"/>
        </w:rPr>
        <w:t>FD</w:t>
      </w:r>
      <w:r>
        <w:rPr>
          <w:sz w:val="21"/>
          <w:szCs w:val="21"/>
          <w:color w:val="231F20"/>
          <w:spacing w:val="26"/>
          <w:w w:val="10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的治疗分为非药物治疗和药物治疗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。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非药物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>治疗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：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>可通过与患儿家长进行充分的沟通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>有助于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>家长认识及了解患儿的病情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>指导改善患儿家庭整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>体生活方式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>如调整饮食结构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>培养良好的作息习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>惯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>学会情绪管理等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>避免进食可能加重症状的食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>物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（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>如咖啡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>酒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>浓茶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>甜食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>辛辣食物和高脂饮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>食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>），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>规律进餐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>避免过快进餐等均有助于改善</w:t>
      </w:r>
      <w:r>
        <w:rPr>
          <w:rFonts w:ascii="FangSong" w:hAnsi="FangSong" w:eastAsia="FangSong" w:cs="FangSong"/>
          <w:sz w:val="21"/>
          <w:szCs w:val="21"/>
          <w:color w:val="231F20"/>
          <w:spacing w:val="-49"/>
        </w:rPr>
        <w:t xml:space="preserve"> </w:t>
      </w:r>
      <w:r>
        <w:rPr>
          <w:sz w:val="21"/>
          <w:szCs w:val="21"/>
          <w:color w:val="231F20"/>
        </w:rPr>
        <w:t>FD </w:t>
      </w:r>
      <w:r>
        <w:rPr>
          <w:rFonts w:ascii="FangSong" w:hAnsi="FangSong" w:eastAsia="FangSong" w:cs="FangSong"/>
          <w:sz w:val="21"/>
          <w:szCs w:val="21"/>
          <w:color w:val="231F20"/>
          <w:spacing w:val="16"/>
        </w:rPr>
        <w:t>症状</w:t>
      </w:r>
      <w:r>
        <w:rPr>
          <w:rFonts w:ascii="FangSong" w:hAnsi="FangSong" w:eastAsia="FangSong" w:cs="FangSong"/>
          <w:sz w:val="21"/>
          <w:szCs w:val="21"/>
          <w:color w:val="231F20"/>
          <w:spacing w:val="-26"/>
        </w:rPr>
        <w:t xml:space="preserve"> </w:t>
      </w:r>
      <w:r>
        <w:rPr>
          <w:sz w:val="12"/>
          <w:szCs w:val="12"/>
          <w:color w:val="231F20"/>
          <w:spacing w:val="16"/>
          <w:position w:val="8"/>
        </w:rPr>
        <w:t>[12] 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。</w:t>
      </w:r>
      <w:r>
        <w:rPr>
          <w:rFonts w:ascii="FangSong" w:hAnsi="FangSong" w:eastAsia="FangSong" w:cs="FangSong"/>
          <w:sz w:val="21"/>
          <w:szCs w:val="21"/>
          <w:color w:val="231F20"/>
          <w:spacing w:val="16"/>
        </w:rPr>
        <w:t>心理因素可能是症状加重的原因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16"/>
        </w:rPr>
        <w:t>应积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5"/>
        </w:rPr>
        <w:t>极解决</w:t>
      </w:r>
      <w:r>
        <w:rPr>
          <w:rFonts w:ascii="FangSong" w:hAnsi="FangSong" w:eastAsia="FangSong" w:cs="FangSong"/>
          <w:sz w:val="21"/>
          <w:szCs w:val="21"/>
          <w:color w:val="231F20"/>
          <w:spacing w:val="-38"/>
        </w:rPr>
        <w:t xml:space="preserve"> </w:t>
      </w:r>
      <w:r>
        <w:rPr>
          <w:sz w:val="21"/>
          <w:szCs w:val="21"/>
          <w:color w:val="231F20"/>
        </w:rPr>
        <w:t>FD</w:t>
      </w:r>
      <w:r>
        <w:rPr>
          <w:sz w:val="21"/>
          <w:szCs w:val="21"/>
          <w:color w:val="231F20"/>
          <w:spacing w:val="2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5"/>
        </w:rPr>
        <w:t>患儿的心理问题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15"/>
        </w:rPr>
        <w:t>适当给予抗焦虑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15"/>
        </w:rPr>
        <w:t>抗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>抑郁治疗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。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>药物治疗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：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>抗酸药及抑酸药适用于上腹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>痛为主要症状的患儿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>抗酸药包括碳酸钙口服混悬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6"/>
        </w:rPr>
        <w:t>液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16"/>
        </w:rPr>
        <w:t>复方氢氧化铝等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16"/>
        </w:rPr>
        <w:t>抑酸药包括</w:t>
      </w:r>
      <w:r>
        <w:rPr>
          <w:rFonts w:ascii="FangSong" w:hAnsi="FangSong" w:eastAsia="FangSong" w:cs="FangSong"/>
          <w:sz w:val="21"/>
          <w:szCs w:val="21"/>
          <w:color w:val="231F20"/>
          <w:spacing w:val="-50"/>
        </w:rPr>
        <w:t xml:space="preserve"> </w:t>
      </w:r>
      <w:r>
        <w:rPr>
          <w:sz w:val="21"/>
          <w:szCs w:val="21"/>
          <w:color w:val="231F20"/>
          <w:spacing w:val="16"/>
        </w:rPr>
        <w:t>H</w:t>
      </w:r>
      <w:r>
        <w:rPr>
          <w:sz w:val="12"/>
          <w:szCs w:val="12"/>
          <w:color w:val="231F20"/>
          <w:spacing w:val="16"/>
          <w:position w:val="-2"/>
        </w:rPr>
        <w:t>2  </w:t>
      </w:r>
      <w:r>
        <w:rPr>
          <w:rFonts w:ascii="FangSong" w:hAnsi="FangSong" w:eastAsia="FangSong" w:cs="FangSong"/>
          <w:sz w:val="21"/>
          <w:szCs w:val="21"/>
          <w:color w:val="231F20"/>
          <w:spacing w:val="16"/>
        </w:rPr>
        <w:t>受体拮</w:t>
      </w:r>
      <w:r>
        <w:rPr>
          <w:rFonts w:ascii="FangSong" w:hAnsi="FangSong" w:eastAsia="FangSong" w:cs="FangSong"/>
          <w:sz w:val="21"/>
          <w:szCs w:val="21"/>
          <w:color w:val="231F20"/>
          <w:spacing w:val="15"/>
        </w:rPr>
        <w:t>抗剂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（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>如西咪替丁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>法莫替丁等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）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>及质子泵抑制剂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。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>对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304"/>
        <w:spacing w:before="64" w:line="297" w:lineRule="exact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color w:val="231F20"/>
          <w:spacing w:val="-2"/>
          <w:position w:val="1"/>
        </w:rPr>
        <w:t>711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firstLine="20"/>
        <w:spacing w:before="68" w:line="27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恶心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腹胀和早饱感的治疗可使用促动力剂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如红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>霉素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>西沙必利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、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>甲氧氯普胺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>多潘立酮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、</w:t>
      </w:r>
      <w:r>
        <w:rPr>
          <w:rFonts w:ascii="SimSun" w:hAnsi="SimSun" w:eastAsia="SimSun" w:cs="SimSun"/>
          <w:sz w:val="21"/>
          <w:szCs w:val="21"/>
          <w:color w:val="231F20"/>
          <w:spacing w:val="-58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>曲美布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>汀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>莫沙必利等</w:t>
      </w:r>
      <w:r>
        <w:rPr>
          <w:rFonts w:ascii="FangSong" w:hAnsi="FangSong" w:eastAsia="FangSong" w:cs="FangSong"/>
          <w:sz w:val="21"/>
          <w:szCs w:val="21"/>
          <w:color w:val="231F20"/>
          <w:spacing w:val="-36"/>
        </w:rPr>
        <w:t xml:space="preserve"> </w:t>
      </w:r>
      <w:r>
        <w:rPr>
          <w:sz w:val="12"/>
          <w:szCs w:val="12"/>
          <w:color w:val="231F20"/>
          <w:spacing w:val="4"/>
          <w:position w:val="8"/>
        </w:rPr>
        <w:t>[13]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。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>助消化药可促进消化功能的改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善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减轻消化不良症状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以消化酶复方制剂最多见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。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赛庚啶属于</w:t>
      </w:r>
      <w:r>
        <w:rPr>
          <w:rFonts w:ascii="FangSong" w:hAnsi="FangSong" w:eastAsia="FangSong" w:cs="FangSong"/>
          <w:sz w:val="21"/>
          <w:szCs w:val="21"/>
          <w:color w:val="231F20"/>
          <w:spacing w:val="-35"/>
        </w:rPr>
        <w:t xml:space="preserve"> </w:t>
      </w:r>
      <w:r>
        <w:rPr>
          <w:sz w:val="21"/>
          <w:szCs w:val="21"/>
          <w:color w:val="231F20"/>
          <w:spacing w:val="3"/>
        </w:rPr>
        <w:t>5-</w:t>
      </w:r>
      <w:r>
        <w:rPr>
          <w:sz w:val="21"/>
          <w:szCs w:val="21"/>
          <w:color w:val="231F20"/>
        </w:rPr>
        <w:t>HT</w:t>
      </w:r>
      <w:r>
        <w:rPr>
          <w:sz w:val="21"/>
          <w:szCs w:val="21"/>
          <w:color w:val="231F20"/>
          <w:spacing w:val="17"/>
          <w:w w:val="10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受体拮抗剂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对儿童</w:t>
      </w:r>
      <w:r>
        <w:rPr>
          <w:rFonts w:ascii="FangSong" w:hAnsi="FangSong" w:eastAsia="FangSong" w:cs="FangSong"/>
          <w:sz w:val="21"/>
          <w:szCs w:val="21"/>
          <w:color w:val="231F20"/>
          <w:spacing w:val="-50"/>
        </w:rPr>
        <w:t xml:space="preserve"> </w:t>
      </w:r>
      <w:r>
        <w:rPr>
          <w:sz w:val="21"/>
          <w:szCs w:val="21"/>
          <w:color w:val="231F20"/>
        </w:rPr>
        <w:t>FD</w:t>
      </w:r>
      <w:r>
        <w:rPr>
          <w:sz w:val="21"/>
          <w:szCs w:val="21"/>
          <w:color w:val="231F20"/>
          <w:spacing w:val="3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有效且安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</w:rPr>
        <w:t>全</w:t>
      </w:r>
      <w:r>
        <w:rPr>
          <w:rFonts w:ascii="SimSun" w:hAnsi="SimSun" w:eastAsia="SimSun" w:cs="SimSun"/>
          <w:sz w:val="21"/>
          <w:szCs w:val="21"/>
          <w:color w:val="231F20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</w:rPr>
        <w:t>建议用于一线治疗效果欠佳的患儿</w:t>
      </w:r>
      <w:r>
        <w:rPr>
          <w:rFonts w:ascii="FangSong" w:hAnsi="FangSong" w:eastAsia="FangSong" w:cs="FangSong"/>
          <w:sz w:val="21"/>
          <w:szCs w:val="21"/>
          <w:color w:val="231F20"/>
          <w:spacing w:val="-42"/>
        </w:rPr>
        <w:t xml:space="preserve"> </w:t>
      </w:r>
      <w:r>
        <w:rPr>
          <w:sz w:val="12"/>
          <w:szCs w:val="12"/>
          <w:color w:val="231F20"/>
          <w:position w:val="8"/>
        </w:rPr>
        <w:t>[14] </w:t>
      </w:r>
      <w:r>
        <w:rPr>
          <w:rFonts w:ascii="SimSun" w:hAnsi="SimSun" w:eastAsia="SimSun" w:cs="SimSun"/>
          <w:sz w:val="21"/>
          <w:szCs w:val="21"/>
          <w:color w:val="231F20"/>
        </w:rPr>
        <w:t>。</w:t>
      </w:r>
      <w:r>
        <w:rPr>
          <w:sz w:val="21"/>
          <w:szCs w:val="21"/>
          <w:color w:val="231F20"/>
        </w:rPr>
        <w:t>FD </w:t>
      </w:r>
      <w:r>
        <w:rPr>
          <w:rFonts w:ascii="FangSong" w:hAnsi="FangSong" w:eastAsia="FangSong" w:cs="FangSong"/>
          <w:sz w:val="21"/>
          <w:szCs w:val="21"/>
          <w:color w:val="231F20"/>
        </w:rPr>
        <w:t>症状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通常与胃食管反流病和</w:t>
      </w:r>
      <w:r>
        <w:rPr>
          <w:rFonts w:ascii="FangSong" w:hAnsi="FangSong" w:eastAsia="FangSong" w:cs="FangSong"/>
          <w:sz w:val="21"/>
          <w:szCs w:val="21"/>
          <w:color w:val="231F20"/>
          <w:spacing w:val="-44"/>
        </w:rPr>
        <w:t xml:space="preserve"> </w:t>
      </w:r>
      <w:r>
        <w:rPr>
          <w:sz w:val="21"/>
          <w:szCs w:val="21"/>
          <w:color w:val="231F20"/>
        </w:rPr>
        <w:t>IBS</w:t>
      </w:r>
      <w:r>
        <w:rPr>
          <w:sz w:val="21"/>
          <w:szCs w:val="21"/>
          <w:color w:val="231F20"/>
          <w:spacing w:val="19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类似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。</w:t>
      </w:r>
      <w:r>
        <w:rPr>
          <w:sz w:val="21"/>
          <w:szCs w:val="21"/>
          <w:color w:val="231F20"/>
        </w:rPr>
        <w:t>Boccia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等</w:t>
      </w:r>
      <w:r>
        <w:rPr>
          <w:rFonts w:ascii="FangSong" w:hAnsi="FangSong" w:eastAsia="FangSong" w:cs="FangSong"/>
          <w:sz w:val="21"/>
          <w:szCs w:val="21"/>
          <w:color w:val="231F20"/>
          <w:spacing w:val="-43"/>
        </w:rPr>
        <w:t xml:space="preserve"> </w:t>
      </w:r>
      <w:r>
        <w:rPr>
          <w:sz w:val="12"/>
          <w:szCs w:val="12"/>
          <w:color w:val="231F20"/>
          <w:spacing w:val="1"/>
          <w:position w:val="8"/>
        </w:rPr>
        <w:t>[15]</w:t>
      </w:r>
      <w:r>
        <w:rPr>
          <w:sz w:val="12"/>
          <w:szCs w:val="12"/>
          <w:color w:val="231F20"/>
          <w:spacing w:val="29"/>
          <w:w w:val="102"/>
          <w:position w:val="8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提出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FAPD</w:t>
      </w:r>
      <w:r>
        <w:rPr>
          <w:sz w:val="21"/>
          <w:szCs w:val="21"/>
          <w:color w:val="231F20"/>
          <w:spacing w:val="20"/>
          <w:w w:val="10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>患儿常有功能性便秘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>这与胃排空减缓相关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使用渗透性泻剂治疗</w:t>
      </w:r>
      <w:r>
        <w:rPr>
          <w:rFonts w:ascii="FangSong" w:hAnsi="FangSong" w:eastAsia="FangSong" w:cs="FangSong"/>
          <w:sz w:val="21"/>
          <w:szCs w:val="21"/>
          <w:color w:val="231F20"/>
          <w:spacing w:val="-42"/>
        </w:rPr>
        <w:t xml:space="preserve"> </w:t>
      </w:r>
      <w:r>
        <w:rPr>
          <w:sz w:val="21"/>
          <w:szCs w:val="21"/>
          <w:color w:val="231F20"/>
          <w:spacing w:val="8"/>
        </w:rPr>
        <w:t>3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个月改善了排便习惯后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消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</w:rPr>
        <w:t>化不良症状也相应好转</w:t>
      </w:r>
      <w:r>
        <w:rPr>
          <w:rFonts w:ascii="SimSun" w:hAnsi="SimSun" w:eastAsia="SimSun" w:cs="SimSun"/>
          <w:sz w:val="21"/>
          <w:szCs w:val="21"/>
          <w:color w:val="231F20"/>
        </w:rPr>
        <w:t>。</w:t>
      </w:r>
      <w:r>
        <w:rPr>
          <w:rFonts w:ascii="FangSong" w:hAnsi="FangSong" w:eastAsia="FangSong" w:cs="FangSong"/>
          <w:sz w:val="21"/>
          <w:szCs w:val="21"/>
          <w:color w:val="231F20"/>
        </w:rPr>
        <w:t>对于</w:t>
      </w:r>
      <w:r>
        <w:rPr>
          <w:rFonts w:ascii="FangSong" w:hAnsi="FangSong" w:eastAsia="FangSong" w:cs="FangSong"/>
          <w:sz w:val="21"/>
          <w:szCs w:val="21"/>
          <w:color w:val="231F20"/>
          <w:spacing w:val="-48"/>
        </w:rPr>
        <w:t xml:space="preserve"> </w:t>
      </w:r>
      <w:r>
        <w:rPr>
          <w:sz w:val="21"/>
          <w:szCs w:val="21"/>
          <w:color w:val="231F20"/>
        </w:rPr>
        <w:t>FD</w:t>
      </w:r>
      <w:r>
        <w:rPr>
          <w:sz w:val="21"/>
          <w:szCs w:val="21"/>
          <w:color w:val="231F20"/>
          <w:spacing w:val="26"/>
          <w:w w:val="10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</w:rPr>
        <w:t>的治疗</w:t>
      </w:r>
      <w:r>
        <w:rPr>
          <w:rFonts w:ascii="SimSun" w:hAnsi="SimSun" w:eastAsia="SimSun" w:cs="SimSun"/>
          <w:sz w:val="21"/>
          <w:szCs w:val="21"/>
          <w:color w:val="231F20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</w:rPr>
        <w:t>我国中医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>学有其独特的理念和经验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>吉明明等</w:t>
      </w:r>
      <w:r>
        <w:rPr>
          <w:rFonts w:ascii="FangSong" w:hAnsi="FangSong" w:eastAsia="FangSong" w:cs="FangSong"/>
          <w:sz w:val="21"/>
          <w:szCs w:val="21"/>
          <w:color w:val="231F20"/>
          <w:spacing w:val="-30"/>
        </w:rPr>
        <w:t xml:space="preserve"> </w:t>
      </w:r>
      <w:r>
        <w:rPr>
          <w:sz w:val="12"/>
          <w:szCs w:val="12"/>
          <w:color w:val="231F20"/>
          <w:spacing w:val="6"/>
          <w:position w:val="8"/>
        </w:rPr>
        <w:t>[16]</w:t>
      </w:r>
      <w:r>
        <w:rPr>
          <w:sz w:val="12"/>
          <w:szCs w:val="12"/>
          <w:color w:val="231F20"/>
          <w:spacing w:val="25"/>
          <w:position w:val="8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>研究显示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神曲消食口服液治疗儿童</w:t>
      </w:r>
      <w:r>
        <w:rPr>
          <w:rFonts w:ascii="FangSong" w:hAnsi="FangSong" w:eastAsia="FangSong" w:cs="FangSong"/>
          <w:sz w:val="21"/>
          <w:szCs w:val="21"/>
          <w:color w:val="231F20"/>
          <w:spacing w:val="-44"/>
        </w:rPr>
        <w:t xml:space="preserve"> </w:t>
      </w:r>
      <w:r>
        <w:rPr>
          <w:sz w:val="21"/>
          <w:szCs w:val="21"/>
          <w:color w:val="231F20"/>
        </w:rPr>
        <w:t>FD</w:t>
      </w:r>
      <w:r>
        <w:rPr>
          <w:sz w:val="21"/>
          <w:szCs w:val="21"/>
          <w:color w:val="231F20"/>
          <w:spacing w:val="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疗效显著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能改善患儿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的临床症状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促进食欲恢复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且安全性高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。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一项临</w:t>
      </w:r>
      <w:r>
        <w:rPr>
          <w:rFonts w:ascii="FangSong" w:hAnsi="FangSong" w:eastAsia="FangSong" w:cs="FangSong"/>
          <w:sz w:val="21"/>
          <w:szCs w:val="21"/>
          <w:color w:val="231F20"/>
          <w:spacing w:val="18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</w:rPr>
        <w:t>床对照研究显示王氏保赤丸可改善</w:t>
      </w:r>
      <w:r>
        <w:rPr>
          <w:rFonts w:ascii="FangSong" w:hAnsi="FangSong" w:eastAsia="FangSong" w:cs="FangSong"/>
          <w:sz w:val="21"/>
          <w:szCs w:val="21"/>
          <w:color w:val="231F20"/>
          <w:spacing w:val="-43"/>
        </w:rPr>
        <w:t xml:space="preserve"> </w:t>
      </w:r>
      <w:r>
        <w:rPr>
          <w:sz w:val="21"/>
          <w:szCs w:val="21"/>
          <w:color w:val="231F20"/>
        </w:rPr>
        <w:t>FD</w:t>
      </w:r>
      <w:r>
        <w:rPr>
          <w:sz w:val="21"/>
          <w:szCs w:val="21"/>
          <w:color w:val="231F20"/>
          <w:spacing w:val="2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</w:rPr>
        <w:t>患儿的餐后饱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胀不适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早饱感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上腹烧灼感等症状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临床疗效显</w:t>
      </w:r>
      <w:r>
        <w:rPr>
          <w:rFonts w:ascii="FangSong" w:hAnsi="FangSong" w:eastAsia="FangSong" w:cs="FangSong"/>
          <w:sz w:val="21"/>
          <w:szCs w:val="21"/>
          <w:color w:val="231F20"/>
          <w:spacing w:val="18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著</w:t>
      </w:r>
      <w:r>
        <w:rPr>
          <w:rFonts w:ascii="FangSong" w:hAnsi="FangSong" w:eastAsia="FangSong" w:cs="FangSong"/>
          <w:sz w:val="21"/>
          <w:szCs w:val="21"/>
          <w:color w:val="231F20"/>
          <w:spacing w:val="-32"/>
        </w:rPr>
        <w:t xml:space="preserve"> </w:t>
      </w:r>
      <w:r>
        <w:rPr>
          <w:sz w:val="12"/>
          <w:szCs w:val="12"/>
          <w:color w:val="231F20"/>
          <w:spacing w:val="3"/>
          <w:position w:val="8"/>
        </w:rPr>
        <w:t>[17]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。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对于药物治疗效果不佳的</w:t>
      </w:r>
      <w:r>
        <w:rPr>
          <w:rFonts w:ascii="FangSong" w:hAnsi="FangSong" w:eastAsia="FangSong" w:cs="FangSong"/>
          <w:sz w:val="21"/>
          <w:szCs w:val="21"/>
          <w:color w:val="231F20"/>
          <w:spacing w:val="-49"/>
        </w:rPr>
        <w:t xml:space="preserve"> </w:t>
      </w:r>
      <w:r>
        <w:rPr>
          <w:sz w:val="21"/>
          <w:szCs w:val="21"/>
          <w:color w:val="231F20"/>
        </w:rPr>
        <w:t>FD</w:t>
      </w:r>
      <w:r>
        <w:rPr>
          <w:sz w:val="21"/>
          <w:szCs w:val="21"/>
          <w:color w:val="231F20"/>
          <w:spacing w:val="2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患儿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，</w:t>
      </w:r>
      <w:r>
        <w:rPr>
          <w:rFonts w:ascii="SimSun" w:hAnsi="SimSun" w:eastAsia="SimSun" w:cs="SimSun"/>
          <w:sz w:val="21"/>
          <w:szCs w:val="21"/>
          <w:color w:val="231F20"/>
          <w:spacing w:val="-5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胃电刺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激可能是不错的选择</w:t>
      </w:r>
      <w:r>
        <w:rPr>
          <w:rFonts w:ascii="FangSong" w:hAnsi="FangSong" w:eastAsia="FangSong" w:cs="FangSong"/>
          <w:sz w:val="21"/>
          <w:szCs w:val="21"/>
          <w:color w:val="231F20"/>
          <w:spacing w:val="-39"/>
        </w:rPr>
        <w:t xml:space="preserve"> </w:t>
      </w:r>
      <w:r>
        <w:rPr>
          <w:sz w:val="12"/>
          <w:szCs w:val="12"/>
          <w:color w:val="231F20"/>
          <w:spacing w:val="-1"/>
          <w:position w:val="8"/>
        </w:rPr>
        <w:t>[15]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</w:t>
      </w:r>
    </w:p>
    <w:p>
      <w:pPr>
        <w:pStyle w:val="BodyText"/>
        <w:ind w:left="6" w:right="75" w:firstLine="456"/>
        <w:spacing w:before="3" w:line="27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目前关于</w:t>
      </w:r>
      <w:r>
        <w:rPr>
          <w:rFonts w:ascii="FangSong" w:hAnsi="FangSong" w:eastAsia="FangSong" w:cs="FangSong"/>
          <w:sz w:val="21"/>
          <w:szCs w:val="21"/>
          <w:color w:val="231F20"/>
          <w:spacing w:val="-42"/>
        </w:rPr>
        <w:t xml:space="preserve"> </w:t>
      </w:r>
      <w:r>
        <w:rPr>
          <w:sz w:val="21"/>
          <w:szCs w:val="21"/>
          <w:color w:val="231F20"/>
          <w:spacing w:val="-1"/>
        </w:rPr>
        <w:t>FD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病史的长期研究数据非常有限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一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</w:rPr>
        <w:t>项在</w:t>
      </w:r>
      <w:r>
        <w:rPr>
          <w:rFonts w:ascii="FangSong" w:hAnsi="FangSong" w:eastAsia="FangSong" w:cs="FangSong"/>
          <w:sz w:val="21"/>
          <w:szCs w:val="21"/>
          <w:color w:val="231F20"/>
          <w:spacing w:val="-32"/>
        </w:rPr>
        <w:t xml:space="preserve"> </w:t>
      </w:r>
      <w:r>
        <w:rPr>
          <w:sz w:val="21"/>
          <w:szCs w:val="21"/>
          <w:color w:val="231F20"/>
        </w:rPr>
        <w:t>5</w:t>
      </w:r>
      <w:r>
        <w:rPr>
          <w:sz w:val="21"/>
          <w:szCs w:val="21"/>
          <w:color w:val="231F20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sz w:val="21"/>
          <w:szCs w:val="21"/>
          <w:color w:val="231F20"/>
        </w:rPr>
        <w:t>15</w:t>
      </w:r>
      <w:r>
        <w:rPr>
          <w:sz w:val="21"/>
          <w:szCs w:val="21"/>
          <w:color w:val="231F20"/>
          <w:spacing w:val="20"/>
          <w:w w:val="10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</w:rPr>
        <w:t>岁儿童中进行的评估研究显示</w:t>
      </w:r>
      <w:r>
        <w:rPr>
          <w:rFonts w:ascii="SimSun" w:hAnsi="SimSun" w:eastAsia="SimSun" w:cs="SimSun"/>
          <w:sz w:val="21"/>
          <w:szCs w:val="21"/>
          <w:color w:val="231F20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</w:rPr>
        <w:t>据自我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报告做出</w:t>
      </w:r>
      <w:r>
        <w:rPr>
          <w:rFonts w:ascii="FangSong" w:hAnsi="FangSong" w:eastAsia="FangSong" w:cs="FangSong"/>
          <w:sz w:val="21"/>
          <w:szCs w:val="21"/>
          <w:color w:val="231F20"/>
          <w:spacing w:val="-49"/>
        </w:rPr>
        <w:t xml:space="preserve"> </w:t>
      </w:r>
      <w:r>
        <w:rPr>
          <w:sz w:val="21"/>
          <w:szCs w:val="21"/>
          <w:color w:val="231F20"/>
        </w:rPr>
        <w:t>FD</w:t>
      </w:r>
      <w:r>
        <w:rPr>
          <w:sz w:val="21"/>
          <w:szCs w:val="21"/>
          <w:color w:val="231F20"/>
          <w:spacing w:val="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诊断的患儿与正常对照相比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其生</w:t>
      </w:r>
      <w:r>
        <w:rPr>
          <w:rFonts w:ascii="FangSong" w:hAnsi="FangSong" w:eastAsia="FangSong" w:cs="FangSong"/>
          <w:sz w:val="21"/>
          <w:szCs w:val="21"/>
          <w:color w:val="231F20"/>
        </w:rPr>
        <w:t>活质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量得分更低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功能下降更明显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符合焦虑障碍诊断</w:t>
      </w:r>
      <w:r>
        <w:rPr>
          <w:rFonts w:ascii="FangSong" w:hAnsi="FangSong" w:eastAsia="FangSong" w:cs="FangSong"/>
          <w:sz w:val="21"/>
          <w:szCs w:val="21"/>
          <w:color w:val="231F20"/>
          <w:spacing w:val="12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  <w:position w:val="-1"/>
        </w:rPr>
        <w:t>者也更多</w:t>
      </w:r>
      <w:r>
        <w:rPr>
          <w:rFonts w:ascii="FangSong" w:hAnsi="FangSong" w:eastAsia="FangSong" w:cs="FangSong"/>
          <w:sz w:val="21"/>
          <w:szCs w:val="21"/>
          <w:color w:val="231F20"/>
          <w:spacing w:val="-42"/>
          <w:position w:val="-1"/>
        </w:rPr>
        <w:t xml:space="preserve"> </w:t>
      </w:r>
      <w:r>
        <w:rPr>
          <w:sz w:val="12"/>
          <w:szCs w:val="12"/>
          <w:color w:val="231F20"/>
          <w:spacing w:val="-2"/>
          <w:position w:val="7"/>
        </w:rPr>
        <w:t>[18]</w:t>
      </w:r>
      <w:r>
        <w:rPr>
          <w:rFonts w:ascii="SimSun" w:hAnsi="SimSun" w:eastAsia="SimSun" w:cs="SimSun"/>
          <w:sz w:val="21"/>
          <w:szCs w:val="21"/>
          <w:color w:val="231F20"/>
          <w:spacing w:val="-2"/>
          <w:position w:val="-1"/>
        </w:rPr>
        <w:t>。</w:t>
      </w:r>
    </w:p>
    <w:p>
      <w:pPr>
        <w:pStyle w:val="BodyText"/>
        <w:spacing w:before="35" w:line="186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1"/>
        </w:rPr>
        <w:t>3.2    IBS</w:t>
      </w:r>
    </w:p>
    <w:p>
      <w:pPr>
        <w:pStyle w:val="BodyText"/>
        <w:ind w:left="6" w:firstLine="415"/>
        <w:spacing w:before="90" w:line="27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1"/>
        </w:rPr>
        <w:t>IBS</w:t>
      </w:r>
      <w:r>
        <w:rPr>
          <w:sz w:val="21"/>
          <w:szCs w:val="21"/>
          <w:color w:val="231F20"/>
          <w:spacing w:val="44"/>
          <w:w w:val="10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的临床表现缺乏特异性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应除外其他器质性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>病变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，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>因此在询问病史时需明确有无报警症状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>如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夜间疼痛或腹泻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反复原因不明的发热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反复或加</w:t>
      </w:r>
      <w:r>
        <w:rPr>
          <w:rFonts w:ascii="FangSong" w:hAnsi="FangSong" w:eastAsia="FangSong" w:cs="FangSong"/>
          <w:sz w:val="21"/>
          <w:szCs w:val="21"/>
          <w:color w:val="231F20"/>
          <w:spacing w:val="12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重的便血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关节疼痛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生长发育迟缓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炎症性肠病</w:t>
      </w:r>
      <w:r>
        <w:rPr>
          <w:rFonts w:ascii="FangSong" w:hAnsi="FangSong" w:eastAsia="FangSong" w:cs="FangSong"/>
          <w:sz w:val="21"/>
          <w:szCs w:val="21"/>
          <w:color w:val="231F20"/>
          <w:spacing w:val="12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家族史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持续严重呕吐及腹泻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不明原因面色苍白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、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青春期延迟等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必要时完善相关检查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</w:t>
      </w:r>
    </w:p>
    <w:p>
      <w:pPr>
        <w:pStyle w:val="BodyText"/>
        <w:ind w:left="2" w:right="1" w:firstLine="419"/>
        <w:spacing w:before="2" w:line="27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</w:rPr>
        <w:t>IBS</w:t>
      </w:r>
      <w:r>
        <w:rPr>
          <w:sz w:val="21"/>
          <w:szCs w:val="21"/>
          <w:color w:val="231F20"/>
          <w:spacing w:val="34"/>
          <w:w w:val="10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1"/>
        </w:rPr>
        <w:t>治疗的最终目的是提高患儿生活质量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11"/>
        </w:rPr>
        <w:t>包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括减轻疼痛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使排便频率及粪便性状恢复正常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治</w:t>
      </w:r>
      <w:r>
        <w:rPr>
          <w:rFonts w:ascii="FangSong" w:hAnsi="FangSong" w:eastAsia="FangSong" w:cs="FangSong"/>
          <w:sz w:val="21"/>
          <w:szCs w:val="21"/>
          <w:color w:val="231F20"/>
          <w:spacing w:val="1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疗第一步是让患儿及家属充分知晓</w:t>
      </w:r>
      <w:r>
        <w:rPr>
          <w:rFonts w:ascii="FangSong" w:hAnsi="FangSong" w:eastAsia="FangSong" w:cs="FangSong"/>
          <w:sz w:val="21"/>
          <w:szCs w:val="21"/>
          <w:color w:val="231F20"/>
          <w:spacing w:val="-41"/>
        </w:rPr>
        <w:t xml:space="preserve"> </w:t>
      </w:r>
      <w:r>
        <w:rPr>
          <w:sz w:val="21"/>
          <w:szCs w:val="21"/>
          <w:color w:val="231F20"/>
        </w:rPr>
        <w:t>IBS</w:t>
      </w:r>
      <w:r>
        <w:rPr>
          <w:sz w:val="21"/>
          <w:szCs w:val="21"/>
          <w:color w:val="231F20"/>
          <w:spacing w:val="8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是一种功能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>性胃肠病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，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>以减轻其心理压力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>同时建立良好的医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患关系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。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在</w:t>
      </w:r>
      <w:r>
        <w:rPr>
          <w:rFonts w:ascii="FangSong" w:hAnsi="FangSong" w:eastAsia="FangSong" w:cs="FangSong"/>
          <w:sz w:val="21"/>
          <w:szCs w:val="21"/>
          <w:color w:val="231F20"/>
          <w:spacing w:val="-30"/>
        </w:rPr>
        <w:t xml:space="preserve"> </w:t>
      </w:r>
      <w:r>
        <w:rPr>
          <w:sz w:val="21"/>
          <w:szCs w:val="21"/>
          <w:color w:val="231F20"/>
        </w:rPr>
        <w:t>IBS</w:t>
      </w:r>
      <w:r>
        <w:rPr>
          <w:sz w:val="21"/>
          <w:szCs w:val="21"/>
          <w:color w:val="231F20"/>
          <w:spacing w:val="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诊疗中应注意以下几点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：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①以信任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专业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同情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平易近人的态度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尽可能采用易于患</w:t>
      </w:r>
      <w:r>
        <w:rPr>
          <w:rFonts w:ascii="FangSong" w:hAnsi="FangSong" w:eastAsia="FangSong" w:cs="FangSong"/>
          <w:sz w:val="21"/>
          <w:szCs w:val="21"/>
          <w:color w:val="231F20"/>
          <w:spacing w:val="1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儿及家属接受的语言和逻辑思维进行沟通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；</w:t>
      </w:r>
      <w:r>
        <w:rPr>
          <w:rFonts w:ascii="SimSun" w:hAnsi="SimSun" w:eastAsia="SimSun" w:cs="SimSun"/>
          <w:sz w:val="21"/>
          <w:szCs w:val="21"/>
          <w:color w:val="231F20"/>
          <w:spacing w:val="-68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②真正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了解和掌握患儿及家属关切的问题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消除恐病疑虑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，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尽量用客观的证据使其确信</w:t>
      </w:r>
      <w:r>
        <w:rPr>
          <w:rFonts w:ascii="FangSong" w:hAnsi="FangSong" w:eastAsia="FangSong" w:cs="FangSong"/>
          <w:sz w:val="21"/>
          <w:szCs w:val="21"/>
          <w:color w:val="231F20"/>
          <w:spacing w:val="-41"/>
        </w:rPr>
        <w:t xml:space="preserve"> </w:t>
      </w:r>
      <w:r>
        <w:rPr>
          <w:sz w:val="21"/>
          <w:szCs w:val="21"/>
          <w:color w:val="231F20"/>
        </w:rPr>
        <w:t>IBS</w:t>
      </w:r>
      <w:r>
        <w:rPr>
          <w:sz w:val="21"/>
          <w:szCs w:val="21"/>
          <w:color w:val="231F20"/>
          <w:spacing w:val="8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是不会危及生命的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疾病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；</w:t>
      </w:r>
      <w:r>
        <w:rPr>
          <w:rFonts w:ascii="SimSun" w:hAnsi="SimSun" w:eastAsia="SimSun" w:cs="SimSun"/>
          <w:sz w:val="21"/>
          <w:szCs w:val="21"/>
          <w:color w:val="231F20"/>
          <w:spacing w:val="-67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③准确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全面把握和区分各种致病因素对症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状的不同影响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细致解释产生症状的原因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；</w:t>
      </w:r>
      <w:r>
        <w:rPr>
          <w:rFonts w:ascii="SimSun" w:hAnsi="SimSun" w:eastAsia="SimSun" w:cs="SimSun"/>
          <w:sz w:val="21"/>
          <w:szCs w:val="21"/>
          <w:color w:val="231F20"/>
          <w:spacing w:val="-67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④努力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使患儿及家属充分理解并自愿接受处置策略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；</w:t>
      </w:r>
      <w:r>
        <w:rPr>
          <w:rFonts w:ascii="SimSun" w:hAnsi="SimSun" w:eastAsia="SimSun" w:cs="SimSun"/>
          <w:sz w:val="21"/>
          <w:szCs w:val="21"/>
          <w:color w:val="231F20"/>
          <w:spacing w:val="-68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⑤帮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助患儿及家属建立合理的生活方式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明确行为改善</w:t>
      </w:r>
      <w:r>
        <w:rPr>
          <w:rFonts w:ascii="FangSong" w:hAnsi="FangSong" w:eastAsia="FangSong" w:cs="FangSong"/>
          <w:sz w:val="21"/>
          <w:szCs w:val="21"/>
          <w:color w:val="231F20"/>
          <w:spacing w:val="1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的目标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提高对治疗措施的依从性</w:t>
      </w:r>
      <w:r>
        <w:rPr>
          <w:rFonts w:ascii="FangSong" w:hAnsi="FangSong" w:eastAsia="FangSong" w:cs="FangSong"/>
          <w:sz w:val="21"/>
          <w:szCs w:val="21"/>
          <w:color w:val="231F20"/>
          <w:spacing w:val="-30"/>
        </w:rPr>
        <w:t xml:space="preserve"> </w:t>
      </w:r>
      <w:r>
        <w:rPr>
          <w:sz w:val="12"/>
          <w:szCs w:val="12"/>
          <w:color w:val="231F20"/>
          <w:spacing w:val="-1"/>
          <w:position w:val="8"/>
        </w:rPr>
        <w:t>[19-20]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</w:t>
      </w:r>
    </w:p>
    <w:p>
      <w:pPr>
        <w:pStyle w:val="BodyText"/>
        <w:ind w:left="462"/>
        <w:spacing w:before="1" w:line="185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>目前有</w:t>
      </w:r>
      <w:r>
        <w:rPr>
          <w:rFonts w:ascii="FangSong" w:hAnsi="FangSong" w:eastAsia="FangSong" w:cs="FangSong"/>
          <w:sz w:val="21"/>
          <w:szCs w:val="21"/>
          <w:color w:val="231F20"/>
          <w:spacing w:val="-52"/>
        </w:rPr>
        <w:t xml:space="preserve"> </w:t>
      </w:r>
      <w:r>
        <w:rPr>
          <w:sz w:val="21"/>
          <w:szCs w:val="21"/>
          <w:color w:val="231F20"/>
          <w:spacing w:val="-4"/>
        </w:rPr>
        <w:t>4 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>项关于鼠李糖乳杆菌治疗</w:t>
      </w:r>
      <w:r>
        <w:rPr>
          <w:rFonts w:ascii="FangSong" w:hAnsi="FangSong" w:eastAsia="FangSong" w:cs="FangSong"/>
          <w:sz w:val="21"/>
          <w:szCs w:val="21"/>
          <w:color w:val="231F20"/>
          <w:spacing w:val="-54"/>
        </w:rPr>
        <w:t xml:space="preserve"> </w:t>
      </w:r>
      <w:r>
        <w:rPr>
          <w:sz w:val="21"/>
          <w:szCs w:val="21"/>
          <w:color w:val="231F20"/>
          <w:spacing w:val="-4"/>
        </w:rPr>
        <w:t>FAPD</w:t>
      </w:r>
      <w:r>
        <w:rPr>
          <w:sz w:val="21"/>
          <w:szCs w:val="21"/>
          <w:color w:val="231F20"/>
          <w:spacing w:val="22"/>
          <w:w w:val="10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>的随机</w:t>
      </w:r>
    </w:p>
    <w:p>
      <w:pPr>
        <w:spacing w:line="185" w:lineRule="auto"/>
        <w:sectPr>
          <w:footerReference w:type="default" r:id="rId3"/>
          <w:pgSz w:w="11906" w:h="16158"/>
          <w:pgMar w:top="631" w:right="831" w:bottom="547" w:left="407" w:header="0" w:footer="354" w:gutter="0"/>
          <w:cols w:equalWidth="0" w:num="2">
            <w:col w:w="5675" w:space="100"/>
            <w:col w:w="4892" w:space="0"/>
          </w:cols>
        </w:sectPr>
        <w:rPr>
          <w:rFonts w:ascii="FangSong" w:hAnsi="FangSong" w:eastAsia="FangSong" w:cs="FangSong"/>
          <w:sz w:val="21"/>
          <w:szCs w:val="21"/>
        </w:rPr>
      </w:pPr>
    </w:p>
    <w:p>
      <w:pPr>
        <w:ind w:left="643"/>
        <w:spacing w:before="66" w:line="296" w:lineRule="exact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color w:val="231F20"/>
          <w:spacing w:val="-2"/>
          <w:position w:val="1"/>
        </w:rPr>
        <w:t>712</w:t>
      </w:r>
    </w:p>
    <w:p>
      <w:pPr>
        <w:pStyle w:val="BodyText"/>
        <w:ind w:left="407" w:right="209" w:firstLine="103"/>
        <w:spacing w:before="299" w:line="27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对照试验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，</w:t>
      </w:r>
      <w:r>
        <w:rPr>
          <w:rFonts w:ascii="SimSun" w:hAnsi="SimSun" w:eastAsia="SimSun" w:cs="SimSun"/>
          <w:sz w:val="21"/>
          <w:szCs w:val="21"/>
          <w:color w:val="231F20"/>
          <w:spacing w:val="-5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鼠李糖乳杆菌的每日剂量从</w:t>
      </w:r>
      <w:r>
        <w:rPr>
          <w:rFonts w:ascii="FangSong" w:hAnsi="FangSong" w:eastAsia="FangSong" w:cs="FangSong"/>
          <w:sz w:val="21"/>
          <w:szCs w:val="21"/>
          <w:color w:val="231F20"/>
          <w:spacing w:val="-32"/>
        </w:rPr>
        <w:t xml:space="preserve"> </w:t>
      </w:r>
      <w:r>
        <w:rPr>
          <w:sz w:val="21"/>
          <w:szCs w:val="21"/>
          <w:color w:val="231F20"/>
          <w:spacing w:val="3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×</w:t>
      </w:r>
      <w:r>
        <w:rPr>
          <w:sz w:val="21"/>
          <w:szCs w:val="21"/>
          <w:color w:val="231F20"/>
          <w:spacing w:val="3"/>
        </w:rPr>
        <w:t>1</w:t>
      </w:r>
      <w:r>
        <w:rPr>
          <w:sz w:val="21"/>
          <w:szCs w:val="21"/>
          <w:color w:val="231F20"/>
          <w:spacing w:val="2"/>
        </w:rPr>
        <w:t>0</w:t>
      </w:r>
      <w:r>
        <w:rPr>
          <w:sz w:val="12"/>
          <w:szCs w:val="12"/>
          <w:color w:val="231F20"/>
          <w:spacing w:val="2"/>
          <w:position w:val="9"/>
        </w:rPr>
        <w:t>9</w:t>
      </w:r>
      <w:r>
        <w:rPr>
          <w:sz w:val="12"/>
          <w:szCs w:val="12"/>
          <w:color w:val="231F20"/>
          <w:spacing w:val="23"/>
          <w:w w:val="103"/>
          <w:position w:val="9"/>
        </w:rPr>
        <w:t xml:space="preserve"> </w:t>
      </w:r>
      <w:r>
        <w:rPr>
          <w:sz w:val="21"/>
          <w:szCs w:val="21"/>
          <w:color w:val="231F20"/>
        </w:rPr>
        <w:t>CFU 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（</w:t>
      </w:r>
      <w:r>
        <w:rPr>
          <w:sz w:val="21"/>
          <w:szCs w:val="21"/>
          <w:color w:val="231F20"/>
          <w:spacing w:val="-7"/>
        </w:rPr>
        <w:t>2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7"/>
        </w:rPr>
        <w:t>次</w:t>
      </w:r>
      <w:r>
        <w:rPr>
          <w:rFonts w:ascii="FangSong" w:hAnsi="FangSong" w:eastAsia="FangSong" w:cs="FangSong"/>
          <w:sz w:val="21"/>
          <w:szCs w:val="21"/>
          <w:color w:val="231F20"/>
          <w:spacing w:val="-55"/>
        </w:rPr>
        <w:t xml:space="preserve"> </w:t>
      </w:r>
      <w:r>
        <w:rPr>
          <w:sz w:val="21"/>
          <w:szCs w:val="21"/>
          <w:color w:val="231F20"/>
          <w:spacing w:val="-7"/>
        </w:rPr>
        <w:t>/d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）</w:t>
      </w:r>
      <w:r>
        <w:rPr>
          <w:rFonts w:ascii="FangSong" w:hAnsi="FangSong" w:eastAsia="FangSong" w:cs="FangSong"/>
          <w:sz w:val="21"/>
          <w:szCs w:val="21"/>
          <w:color w:val="231F20"/>
          <w:spacing w:val="-7"/>
        </w:rPr>
        <w:t>到</w:t>
      </w:r>
      <w:r>
        <w:rPr>
          <w:rFonts w:ascii="FangSong" w:hAnsi="FangSong" w:eastAsia="FangSong" w:cs="FangSong"/>
          <w:sz w:val="21"/>
          <w:szCs w:val="21"/>
          <w:color w:val="231F20"/>
          <w:spacing w:val="-30"/>
        </w:rPr>
        <w:t xml:space="preserve"> </w:t>
      </w:r>
      <w:r>
        <w:rPr>
          <w:sz w:val="21"/>
          <w:szCs w:val="21"/>
          <w:color w:val="231F20"/>
          <w:spacing w:val="-7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×</w:t>
      </w:r>
      <w:r>
        <w:rPr>
          <w:sz w:val="21"/>
          <w:szCs w:val="21"/>
          <w:color w:val="231F20"/>
          <w:spacing w:val="-7"/>
        </w:rPr>
        <w:t>10</w:t>
      </w:r>
      <w:r>
        <w:rPr>
          <w:sz w:val="12"/>
          <w:szCs w:val="12"/>
          <w:color w:val="231F20"/>
          <w:spacing w:val="-7"/>
          <w:position w:val="9"/>
        </w:rPr>
        <w:t>10</w:t>
      </w:r>
      <w:r>
        <w:rPr>
          <w:sz w:val="12"/>
          <w:szCs w:val="12"/>
          <w:color w:val="231F20"/>
          <w:spacing w:val="27"/>
          <w:w w:val="101"/>
          <w:position w:val="9"/>
        </w:rPr>
        <w:t xml:space="preserve"> </w:t>
      </w:r>
      <w:r>
        <w:rPr>
          <w:sz w:val="21"/>
          <w:szCs w:val="21"/>
          <w:color w:val="231F20"/>
          <w:spacing w:val="-7"/>
        </w:rPr>
        <w:t>CFU</w:t>
      </w:r>
      <w:r>
        <w:rPr>
          <w:rFonts w:ascii="SimSun" w:hAnsi="SimSun" w:eastAsia="SimSun" w:cs="SimSun"/>
          <w:sz w:val="21"/>
          <w:szCs w:val="21"/>
          <w:color w:val="231F20"/>
        </w:rPr>
        <w:t>（</w:t>
      </w:r>
      <w:r>
        <w:rPr>
          <w:sz w:val="21"/>
          <w:szCs w:val="21"/>
          <w:color w:val="231F20"/>
        </w:rPr>
        <w:t>1 </w:t>
      </w:r>
      <w:r>
        <w:rPr>
          <w:rFonts w:ascii="FangSong" w:hAnsi="FangSong" w:eastAsia="FangSong" w:cs="FangSong"/>
          <w:sz w:val="21"/>
          <w:szCs w:val="21"/>
          <w:color w:val="231F20"/>
        </w:rPr>
        <w:t>次</w:t>
      </w:r>
      <w:r>
        <w:rPr>
          <w:rFonts w:ascii="FangSong" w:hAnsi="FangSong" w:eastAsia="FangSong" w:cs="FangSong"/>
          <w:sz w:val="21"/>
          <w:szCs w:val="21"/>
          <w:color w:val="231F20"/>
          <w:spacing w:val="-55"/>
        </w:rPr>
        <w:t xml:space="preserve"> </w:t>
      </w:r>
      <w:r>
        <w:rPr>
          <w:sz w:val="21"/>
          <w:szCs w:val="21"/>
          <w:color w:val="231F20"/>
        </w:rPr>
        <w:t>/d</w:t>
      </w:r>
      <w:r>
        <w:rPr>
          <w:rFonts w:ascii="SimSun" w:hAnsi="SimSun" w:eastAsia="SimSun" w:cs="SimSun"/>
          <w:sz w:val="21"/>
          <w:szCs w:val="21"/>
          <w:color w:val="231F20"/>
        </w:rPr>
        <w:t>）</w:t>
      </w:r>
      <w:r>
        <w:rPr>
          <w:rFonts w:ascii="FangSong" w:hAnsi="FangSong" w:eastAsia="FangSong" w:cs="FangSong"/>
          <w:sz w:val="21"/>
          <w:szCs w:val="21"/>
          <w:color w:val="231F20"/>
        </w:rPr>
        <w:t>不等</w:t>
      </w:r>
      <w:r>
        <w:rPr>
          <w:rFonts w:ascii="SimSun" w:hAnsi="SimSun" w:eastAsia="SimSun" w:cs="SimSun"/>
          <w:sz w:val="21"/>
          <w:szCs w:val="21"/>
          <w:color w:val="231F20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</w:rPr>
        <w:t>结果显示</w:t>
      </w:r>
      <w:r>
        <w:rPr>
          <w:rFonts w:ascii="SimSun" w:hAnsi="SimSun" w:eastAsia="SimSun" w:cs="SimSun"/>
          <w:sz w:val="21"/>
          <w:szCs w:val="21"/>
          <w:color w:val="231F20"/>
        </w:rPr>
        <w:t>， 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与安慰剂组相比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鼠李糖乳杆菌可显著降低</w:t>
      </w:r>
      <w:r>
        <w:rPr>
          <w:rFonts w:ascii="FangSong" w:hAnsi="FangSong" w:eastAsia="FangSong" w:cs="FangSong"/>
          <w:sz w:val="21"/>
          <w:szCs w:val="21"/>
          <w:color w:val="231F20"/>
          <w:spacing w:val="-43"/>
        </w:rPr>
        <w:t xml:space="preserve"> </w:t>
      </w:r>
      <w:r>
        <w:rPr>
          <w:sz w:val="21"/>
          <w:szCs w:val="21"/>
          <w:color w:val="231F20"/>
        </w:rPr>
        <w:t>IBS</w:t>
      </w:r>
      <w:r>
        <w:rPr>
          <w:sz w:val="21"/>
          <w:szCs w:val="21"/>
          <w:color w:val="231F20"/>
          <w:spacing w:val="1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患儿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腹痛的频率和强度</w:t>
      </w:r>
      <w:r>
        <w:rPr>
          <w:rFonts w:ascii="FangSong" w:hAnsi="FangSong" w:eastAsia="FangSong" w:cs="FangSong"/>
          <w:sz w:val="21"/>
          <w:szCs w:val="21"/>
          <w:color w:val="231F20"/>
          <w:spacing w:val="-45"/>
        </w:rPr>
        <w:t xml:space="preserve"> </w:t>
      </w:r>
      <w:r>
        <w:rPr>
          <w:sz w:val="12"/>
          <w:szCs w:val="12"/>
          <w:color w:val="231F20"/>
          <w:spacing w:val="7"/>
          <w:position w:val="8"/>
        </w:rPr>
        <w:t>[21-24]</w:t>
      </w:r>
      <w:r>
        <w:rPr>
          <w:sz w:val="12"/>
          <w:szCs w:val="12"/>
          <w:color w:val="231F20"/>
          <w:spacing w:val="-4"/>
          <w:position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。</w:t>
      </w:r>
      <w:r>
        <w:rPr>
          <w:sz w:val="21"/>
          <w:szCs w:val="21"/>
          <w:color w:val="231F20"/>
          <w:spacing w:val="7"/>
        </w:rPr>
        <w:t>2022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年的一项系统综述和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2"/>
        </w:rPr>
        <w:t>荟萃分析对益生元在治疗儿童</w:t>
      </w:r>
      <w:r>
        <w:rPr>
          <w:rFonts w:ascii="FangSong" w:hAnsi="FangSong" w:eastAsia="FangSong" w:cs="FangSong"/>
          <w:sz w:val="21"/>
          <w:szCs w:val="21"/>
          <w:color w:val="231F20"/>
          <w:spacing w:val="-48"/>
        </w:rPr>
        <w:t xml:space="preserve"> </w:t>
      </w:r>
      <w:r>
        <w:rPr>
          <w:sz w:val="21"/>
          <w:szCs w:val="21"/>
          <w:color w:val="231F20"/>
        </w:rPr>
        <w:t>IBS</w:t>
      </w:r>
      <w:r>
        <w:rPr>
          <w:sz w:val="21"/>
          <w:szCs w:val="21"/>
          <w:color w:val="231F20"/>
          <w:spacing w:val="32"/>
          <w:w w:val="10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2"/>
        </w:rPr>
        <w:t>中的作用进行了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>评估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>与益生元相比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>服用合生元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（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>益生菌与益生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>元的组合制剂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）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>可明显改善腹部饱胀嗳气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>餐后腹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胀和便秘等症状</w:t>
      </w:r>
      <w:r>
        <w:rPr>
          <w:rFonts w:ascii="FangSong" w:hAnsi="FangSong" w:eastAsia="FangSong" w:cs="FangSong"/>
          <w:sz w:val="21"/>
          <w:szCs w:val="21"/>
          <w:color w:val="231F20"/>
          <w:spacing w:val="-27"/>
        </w:rPr>
        <w:t xml:space="preserve"> </w:t>
      </w:r>
      <w:r>
        <w:rPr>
          <w:sz w:val="12"/>
          <w:szCs w:val="12"/>
          <w:color w:val="231F20"/>
          <w:spacing w:val="1"/>
          <w:position w:val="8"/>
        </w:rPr>
        <w:t>[25]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。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江米足</w:t>
      </w:r>
      <w:r>
        <w:rPr>
          <w:rFonts w:ascii="FangSong" w:hAnsi="FangSong" w:eastAsia="FangSong" w:cs="FangSong"/>
          <w:sz w:val="21"/>
          <w:szCs w:val="21"/>
          <w:color w:val="231F20"/>
          <w:spacing w:val="-43"/>
        </w:rPr>
        <w:t xml:space="preserve"> </w:t>
      </w:r>
      <w:r>
        <w:rPr>
          <w:sz w:val="12"/>
          <w:szCs w:val="12"/>
          <w:color w:val="231F20"/>
          <w:spacing w:val="1"/>
          <w:position w:val="8"/>
        </w:rPr>
        <w:t>[26]  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认为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，</w:t>
      </w:r>
      <w:r>
        <w:rPr>
          <w:rFonts w:ascii="SimSun" w:hAnsi="SimSun" w:eastAsia="SimSun" w:cs="SimSun"/>
          <w:sz w:val="21"/>
          <w:szCs w:val="21"/>
          <w:color w:val="231F20"/>
          <w:spacing w:val="-57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口服抗生素利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2"/>
        </w:rPr>
        <w:t>福昔明可有效改善</w:t>
      </w:r>
      <w:r>
        <w:rPr>
          <w:rFonts w:ascii="FangSong" w:hAnsi="FangSong" w:eastAsia="FangSong" w:cs="FangSong"/>
          <w:sz w:val="21"/>
          <w:szCs w:val="21"/>
          <w:color w:val="231F20"/>
          <w:spacing w:val="-28"/>
        </w:rPr>
        <w:t xml:space="preserve"> </w:t>
      </w:r>
      <w:r>
        <w:rPr>
          <w:sz w:val="21"/>
          <w:szCs w:val="21"/>
          <w:color w:val="231F20"/>
        </w:rPr>
        <w:t>IBS</w:t>
      </w:r>
      <w:r>
        <w:rPr>
          <w:sz w:val="21"/>
          <w:szCs w:val="21"/>
          <w:color w:val="231F20"/>
          <w:spacing w:val="12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2"/>
        </w:rPr>
        <w:t>成人患者的症状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12"/>
        </w:rPr>
        <w:t>另外可能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5"/>
        </w:rPr>
        <w:t>对</w:t>
      </w:r>
      <w:r>
        <w:rPr>
          <w:rFonts w:ascii="FangSong" w:hAnsi="FangSong" w:eastAsia="FangSong" w:cs="FangSong"/>
          <w:sz w:val="21"/>
          <w:szCs w:val="21"/>
          <w:color w:val="231F20"/>
          <w:spacing w:val="-37"/>
        </w:rPr>
        <w:t xml:space="preserve"> </w:t>
      </w:r>
      <w:r>
        <w:rPr>
          <w:sz w:val="21"/>
          <w:szCs w:val="21"/>
          <w:color w:val="231F20"/>
        </w:rPr>
        <w:t>IBS</w:t>
      </w:r>
      <w:r>
        <w:rPr>
          <w:sz w:val="21"/>
          <w:szCs w:val="21"/>
          <w:color w:val="231F20"/>
          <w:spacing w:val="21"/>
          <w:w w:val="10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5"/>
        </w:rPr>
        <w:t>患儿有效的药物还有</w:t>
      </w:r>
      <w:r>
        <w:rPr>
          <w:rFonts w:ascii="FangSong" w:hAnsi="FangSong" w:eastAsia="FangSong" w:cs="FangSong"/>
          <w:sz w:val="21"/>
          <w:szCs w:val="21"/>
          <w:color w:val="231F20"/>
          <w:spacing w:val="-43"/>
        </w:rPr>
        <w:t xml:space="preserve"> </w:t>
      </w:r>
      <w:r>
        <w:rPr>
          <w:sz w:val="21"/>
          <w:szCs w:val="21"/>
          <w:color w:val="231F20"/>
          <w:spacing w:val="15"/>
        </w:rPr>
        <w:t>5-</w:t>
      </w:r>
      <w:r>
        <w:rPr>
          <w:sz w:val="21"/>
          <w:szCs w:val="21"/>
          <w:color w:val="231F20"/>
        </w:rPr>
        <w:t>HT</w:t>
      </w:r>
      <w:r>
        <w:rPr>
          <w:sz w:val="21"/>
          <w:szCs w:val="21"/>
          <w:color w:val="231F20"/>
          <w:spacing w:val="1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5"/>
        </w:rPr>
        <w:t>受体激动剂和拮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>抗剂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>胆碱能受体激动剂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>拮抗剂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>以及抗焦虑药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。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>替加色罗和普芦卡必利是一种</w:t>
      </w:r>
      <w:r>
        <w:rPr>
          <w:rFonts w:ascii="FangSong" w:hAnsi="FangSong" w:eastAsia="FangSong" w:cs="FangSong"/>
          <w:sz w:val="21"/>
          <w:szCs w:val="21"/>
          <w:color w:val="231F20"/>
          <w:spacing w:val="-31"/>
        </w:rPr>
        <w:t xml:space="preserve"> </w:t>
      </w:r>
      <w:r>
        <w:rPr>
          <w:sz w:val="21"/>
          <w:szCs w:val="21"/>
          <w:color w:val="231F20"/>
          <w:spacing w:val="5"/>
        </w:rPr>
        <w:t>5-</w:t>
      </w:r>
      <w:r>
        <w:rPr>
          <w:sz w:val="21"/>
          <w:szCs w:val="21"/>
          <w:color w:val="231F20"/>
        </w:rPr>
        <w:t>HT</w:t>
      </w:r>
      <w:r>
        <w:rPr>
          <w:sz w:val="21"/>
          <w:szCs w:val="21"/>
          <w:color w:val="231F20"/>
          <w:spacing w:val="17"/>
          <w:w w:val="10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>受体激动剂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>分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0"/>
        </w:rPr>
        <w:t>别用于治疗便秘型</w:t>
      </w:r>
      <w:r>
        <w:rPr>
          <w:rFonts w:ascii="FangSong" w:hAnsi="FangSong" w:eastAsia="FangSong" w:cs="FangSong"/>
          <w:sz w:val="21"/>
          <w:szCs w:val="21"/>
          <w:color w:val="231F20"/>
          <w:spacing w:val="-32"/>
        </w:rPr>
        <w:t xml:space="preserve"> </w:t>
      </w:r>
      <w:r>
        <w:rPr>
          <w:sz w:val="21"/>
          <w:szCs w:val="21"/>
          <w:color w:val="231F20"/>
        </w:rPr>
        <w:t>IBS</w:t>
      </w:r>
      <w:r>
        <w:rPr>
          <w:sz w:val="21"/>
          <w:szCs w:val="21"/>
          <w:color w:val="231F20"/>
          <w:spacing w:val="1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0"/>
        </w:rPr>
        <w:t>和慢性特发性便秘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，</w:t>
      </w:r>
      <w:r>
        <w:rPr>
          <w:rFonts w:ascii="SimSun" w:hAnsi="SimSun" w:eastAsia="SimSun" w:cs="SimSun"/>
          <w:sz w:val="21"/>
          <w:szCs w:val="21"/>
          <w:color w:val="231F20"/>
          <w:spacing w:val="-59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0"/>
        </w:rPr>
        <w:t>由于替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>加色罗对心血管有潜在的不良反应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>因此替加色罗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5"/>
        </w:rPr>
        <w:t>未被批准用于儿童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。</w:t>
      </w:r>
      <w:r>
        <w:rPr>
          <w:rFonts w:ascii="FangSong" w:hAnsi="FangSong" w:eastAsia="FangSong" w:cs="FangSong"/>
          <w:sz w:val="21"/>
          <w:szCs w:val="21"/>
          <w:color w:val="231F20"/>
          <w:spacing w:val="15"/>
        </w:rPr>
        <w:t>阿洛司琼是一种</w:t>
      </w:r>
      <w:r>
        <w:rPr>
          <w:rFonts w:ascii="FangSong" w:hAnsi="FangSong" w:eastAsia="FangSong" w:cs="FangSong"/>
          <w:sz w:val="21"/>
          <w:szCs w:val="21"/>
          <w:color w:val="231F20"/>
          <w:spacing w:val="-24"/>
        </w:rPr>
        <w:t xml:space="preserve"> </w:t>
      </w:r>
      <w:r>
        <w:rPr>
          <w:sz w:val="21"/>
          <w:szCs w:val="21"/>
          <w:color w:val="231F20"/>
          <w:spacing w:val="15"/>
        </w:rPr>
        <w:t>5-</w:t>
      </w:r>
      <w:r>
        <w:rPr>
          <w:sz w:val="21"/>
          <w:szCs w:val="21"/>
          <w:color w:val="231F20"/>
        </w:rPr>
        <w:t>HT</w:t>
      </w:r>
      <w:r>
        <w:rPr>
          <w:sz w:val="21"/>
          <w:szCs w:val="21"/>
          <w:color w:val="231F20"/>
          <w:spacing w:val="1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5"/>
        </w:rPr>
        <w:t>受体拮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2"/>
        </w:rPr>
        <w:t>抗剂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12"/>
        </w:rPr>
        <w:t>对以腹泻为主要症状的</w:t>
      </w:r>
      <w:r>
        <w:rPr>
          <w:rFonts w:ascii="FangSong" w:hAnsi="FangSong" w:eastAsia="FangSong" w:cs="FangSong"/>
          <w:sz w:val="21"/>
          <w:szCs w:val="21"/>
          <w:color w:val="231F20"/>
          <w:spacing w:val="-36"/>
        </w:rPr>
        <w:t xml:space="preserve"> </w:t>
      </w:r>
      <w:r>
        <w:rPr>
          <w:sz w:val="21"/>
          <w:szCs w:val="21"/>
          <w:color w:val="231F20"/>
        </w:rPr>
        <w:t>IBS</w:t>
      </w:r>
      <w:r>
        <w:rPr>
          <w:sz w:val="21"/>
          <w:szCs w:val="21"/>
          <w:color w:val="231F20"/>
          <w:spacing w:val="20"/>
          <w:w w:val="10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2"/>
        </w:rPr>
        <w:t>患者有效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12"/>
        </w:rPr>
        <w:t>可以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>降低内脏敏感性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>减轻餐后动力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>减缓左半结肠的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转运</w:t>
      </w:r>
      <w:r>
        <w:rPr>
          <w:rFonts w:ascii="FangSong" w:hAnsi="FangSong" w:eastAsia="FangSong" w:cs="FangSong"/>
          <w:sz w:val="21"/>
          <w:szCs w:val="21"/>
          <w:color w:val="231F20"/>
          <w:spacing w:val="-43"/>
        </w:rPr>
        <w:t xml:space="preserve"> </w:t>
      </w:r>
      <w:r>
        <w:rPr>
          <w:sz w:val="12"/>
          <w:szCs w:val="12"/>
          <w:color w:val="231F20"/>
          <w:spacing w:val="8"/>
          <w:position w:val="8"/>
        </w:rPr>
        <w:t>[26]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。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平滑肌松弛剂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（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如木瓜碱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美贝维林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薄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荷油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）、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抗胆碱能药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（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如丁苯酚胺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东莨菪碱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西托</w:t>
      </w:r>
      <w:r>
        <w:rPr>
          <w:rFonts w:ascii="FangSong" w:hAnsi="FangSong" w:eastAsia="FangSong" w:cs="FangSong"/>
          <w:sz w:val="21"/>
          <w:szCs w:val="21"/>
          <w:color w:val="231F20"/>
          <w:spacing w:val="9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>溴铵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>哌仑西平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）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>和钙通道阻滞剂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（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>如枸橼酸阿尔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维林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奥替溴铵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、</w:t>
      </w:r>
      <w:r>
        <w:rPr>
          <w:rFonts w:ascii="SimSun" w:hAnsi="SimSun" w:eastAsia="SimSun" w:cs="SimSun"/>
          <w:sz w:val="21"/>
          <w:szCs w:val="21"/>
          <w:color w:val="231F20"/>
          <w:spacing w:val="-58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匹维溴铵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）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已被用于治疗</w:t>
      </w:r>
      <w:r>
        <w:rPr>
          <w:rFonts w:ascii="FangSong" w:hAnsi="FangSong" w:eastAsia="FangSong" w:cs="FangSong"/>
          <w:sz w:val="21"/>
          <w:szCs w:val="21"/>
          <w:color w:val="231F20"/>
          <w:spacing w:val="-47"/>
        </w:rPr>
        <w:t xml:space="preserve"> </w:t>
      </w:r>
      <w:r>
        <w:rPr>
          <w:sz w:val="21"/>
          <w:szCs w:val="21"/>
          <w:color w:val="231F20"/>
        </w:rPr>
        <w:t>IBS</w:t>
      </w:r>
      <w:r>
        <w:rPr>
          <w:sz w:val="21"/>
          <w:szCs w:val="21"/>
          <w:color w:val="231F20"/>
          <w:spacing w:val="8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数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>十年之久</w:t>
      </w:r>
      <w:r>
        <w:rPr>
          <w:rFonts w:ascii="FangSong" w:hAnsi="FangSong" w:eastAsia="FangSong" w:cs="FangSong"/>
          <w:sz w:val="21"/>
          <w:szCs w:val="21"/>
          <w:color w:val="231F20"/>
          <w:spacing w:val="-24"/>
        </w:rPr>
        <w:t xml:space="preserve"> </w:t>
      </w:r>
      <w:r>
        <w:rPr>
          <w:sz w:val="12"/>
          <w:szCs w:val="12"/>
          <w:color w:val="231F20"/>
          <w:spacing w:val="4"/>
          <w:position w:val="8"/>
        </w:rPr>
        <w:t>[27]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。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>目前仅有一项关于利那洛肽在</w:t>
      </w:r>
      <w:r>
        <w:rPr>
          <w:rFonts w:ascii="FangSong" w:hAnsi="FangSong" w:eastAsia="FangSong" w:cs="FangSong"/>
          <w:sz w:val="21"/>
          <w:szCs w:val="21"/>
          <w:color w:val="231F20"/>
          <w:spacing w:val="-47"/>
        </w:rPr>
        <w:t xml:space="preserve"> </w:t>
      </w:r>
      <w:r>
        <w:rPr>
          <w:sz w:val="21"/>
          <w:szCs w:val="21"/>
          <w:color w:val="231F20"/>
        </w:rPr>
        <w:t>IBS</w:t>
      </w:r>
      <w:r>
        <w:rPr>
          <w:sz w:val="21"/>
          <w:szCs w:val="21"/>
          <w:color w:val="231F20"/>
          <w:spacing w:val="20"/>
          <w:w w:val="10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>患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2"/>
        </w:rPr>
        <w:t>儿中应用的回顾性研究</w:t>
      </w:r>
      <w:r>
        <w:rPr>
          <w:rFonts w:ascii="FangSong" w:hAnsi="FangSong" w:eastAsia="FangSong" w:cs="FangSong"/>
          <w:sz w:val="21"/>
          <w:szCs w:val="21"/>
          <w:color w:val="231F20"/>
          <w:spacing w:val="-44"/>
        </w:rPr>
        <w:t xml:space="preserve"> </w:t>
      </w:r>
      <w:r>
        <w:rPr>
          <w:sz w:val="12"/>
          <w:szCs w:val="12"/>
          <w:color w:val="231F20"/>
          <w:spacing w:val="12"/>
          <w:position w:val="8"/>
        </w:rPr>
        <w:t>[28]</w:t>
      </w:r>
      <w:r>
        <w:rPr>
          <w:sz w:val="12"/>
          <w:szCs w:val="12"/>
          <w:color w:val="231F20"/>
          <w:spacing w:val="-7"/>
          <w:position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12"/>
        </w:rPr>
        <w:t>该研究纳入了</w:t>
      </w:r>
      <w:r>
        <w:rPr>
          <w:rFonts w:ascii="FangSong" w:hAnsi="FangSong" w:eastAsia="FangSong" w:cs="FangSong"/>
          <w:sz w:val="21"/>
          <w:szCs w:val="21"/>
          <w:color w:val="231F20"/>
          <w:spacing w:val="-45"/>
        </w:rPr>
        <w:t xml:space="preserve"> </w:t>
      </w:r>
      <w:r>
        <w:rPr>
          <w:sz w:val="21"/>
          <w:szCs w:val="21"/>
          <w:color w:val="231F20"/>
          <w:spacing w:val="12"/>
        </w:rPr>
        <w:t>33 </w:t>
      </w:r>
      <w:r>
        <w:rPr>
          <w:rFonts w:ascii="FangSong" w:hAnsi="FangSong" w:eastAsia="FangSong" w:cs="FangSong"/>
          <w:sz w:val="21"/>
          <w:szCs w:val="21"/>
          <w:color w:val="231F20"/>
          <w:spacing w:val="12"/>
        </w:rPr>
        <w:t>例便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>秘型</w:t>
      </w:r>
      <w:r>
        <w:rPr>
          <w:rFonts w:ascii="FangSong" w:hAnsi="FangSong" w:eastAsia="FangSong" w:cs="FangSong"/>
          <w:sz w:val="21"/>
          <w:szCs w:val="21"/>
          <w:color w:val="231F20"/>
          <w:spacing w:val="-47"/>
        </w:rPr>
        <w:t xml:space="preserve"> </w:t>
      </w:r>
      <w:r>
        <w:rPr>
          <w:sz w:val="21"/>
          <w:szCs w:val="21"/>
          <w:color w:val="231F20"/>
        </w:rPr>
        <w:t>IBS</w:t>
      </w:r>
      <w:r>
        <w:rPr>
          <w:sz w:val="21"/>
          <w:szCs w:val="21"/>
          <w:color w:val="231F20"/>
          <w:spacing w:val="20"/>
          <w:w w:val="10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>患儿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，</w:t>
      </w:r>
      <w:r>
        <w:rPr>
          <w:rFonts w:ascii="SimSun" w:hAnsi="SimSun" w:eastAsia="SimSun" w:cs="SimSun"/>
          <w:sz w:val="21"/>
          <w:szCs w:val="21"/>
          <w:color w:val="231F20"/>
          <w:spacing w:val="-5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>年龄</w:t>
      </w:r>
      <w:r>
        <w:rPr>
          <w:rFonts w:ascii="FangSong" w:hAnsi="FangSong" w:eastAsia="FangSong" w:cs="FangSong"/>
          <w:sz w:val="21"/>
          <w:szCs w:val="21"/>
          <w:color w:val="231F20"/>
          <w:spacing w:val="-28"/>
        </w:rPr>
        <w:t xml:space="preserve"> </w:t>
      </w:r>
      <w:r>
        <w:rPr>
          <w:sz w:val="21"/>
          <w:szCs w:val="21"/>
          <w:color w:val="231F20"/>
          <w:spacing w:val="6"/>
        </w:rPr>
        <w:t>15.8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（</w:t>
      </w:r>
      <w:r>
        <w:rPr>
          <w:sz w:val="21"/>
          <w:szCs w:val="21"/>
          <w:color w:val="231F20"/>
          <w:spacing w:val="6"/>
        </w:rPr>
        <w:t>14.7</w:t>
      </w:r>
      <w:r>
        <w:rPr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，</w:t>
      </w:r>
      <w:r>
        <w:rPr>
          <w:sz w:val="21"/>
          <w:szCs w:val="21"/>
          <w:color w:val="231F20"/>
          <w:spacing w:val="6"/>
        </w:rPr>
        <w:t>16.7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）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>岁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，</w:t>
      </w:r>
      <w:r>
        <w:rPr>
          <w:rFonts w:ascii="SimSun" w:hAnsi="SimSun" w:eastAsia="SimSun" w:cs="SimSun"/>
          <w:sz w:val="21"/>
          <w:szCs w:val="21"/>
          <w:color w:val="231F20"/>
          <w:spacing w:val="-6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>超过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11"/>
        </w:rPr>
        <w:t>40%</w:t>
      </w:r>
      <w:r>
        <w:rPr>
          <w:sz w:val="21"/>
          <w:szCs w:val="21"/>
          <w:color w:val="231F20"/>
          <w:spacing w:val="28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1"/>
        </w:rPr>
        <w:t>的便秘型</w:t>
      </w:r>
      <w:r>
        <w:rPr>
          <w:rFonts w:ascii="FangSong" w:hAnsi="FangSong" w:eastAsia="FangSong" w:cs="FangSong"/>
          <w:sz w:val="21"/>
          <w:szCs w:val="21"/>
          <w:color w:val="231F20"/>
          <w:spacing w:val="-47"/>
        </w:rPr>
        <w:t xml:space="preserve"> </w:t>
      </w:r>
      <w:r>
        <w:rPr>
          <w:sz w:val="21"/>
          <w:szCs w:val="21"/>
          <w:color w:val="231F20"/>
        </w:rPr>
        <w:t>IBS</w:t>
      </w:r>
      <w:r>
        <w:rPr>
          <w:sz w:val="21"/>
          <w:szCs w:val="21"/>
          <w:color w:val="231F20"/>
          <w:spacing w:val="20"/>
          <w:w w:val="10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1"/>
        </w:rPr>
        <w:t>患儿服用利那洛肽平均</w:t>
      </w:r>
      <w:r>
        <w:rPr>
          <w:rFonts w:ascii="FangSong" w:hAnsi="FangSong" w:eastAsia="FangSong" w:cs="FangSong"/>
          <w:sz w:val="21"/>
          <w:szCs w:val="21"/>
          <w:color w:val="231F20"/>
          <w:spacing w:val="-48"/>
        </w:rPr>
        <w:t xml:space="preserve"> </w:t>
      </w:r>
      <w:r>
        <w:rPr>
          <w:sz w:val="21"/>
          <w:szCs w:val="21"/>
          <w:color w:val="231F20"/>
          <w:spacing w:val="11"/>
        </w:rPr>
        <w:t>2.4 </w:t>
      </w:r>
      <w:r>
        <w:rPr>
          <w:rFonts w:ascii="FangSong" w:hAnsi="FangSong" w:eastAsia="FangSong" w:cs="FangSong"/>
          <w:sz w:val="21"/>
          <w:szCs w:val="21"/>
          <w:color w:val="231F20"/>
          <w:spacing w:val="11"/>
        </w:rPr>
        <w:t>个月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后出现了积极的临床反应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约</w:t>
      </w:r>
      <w:r>
        <w:rPr>
          <w:rFonts w:ascii="FangSong" w:hAnsi="FangSong" w:eastAsia="FangSong" w:cs="FangSong"/>
          <w:sz w:val="21"/>
          <w:szCs w:val="21"/>
          <w:color w:val="231F20"/>
          <w:spacing w:val="-44"/>
        </w:rPr>
        <w:t xml:space="preserve"> </w:t>
      </w:r>
      <w:r>
        <w:rPr>
          <w:sz w:val="21"/>
          <w:szCs w:val="21"/>
          <w:color w:val="231F20"/>
          <w:spacing w:val="8"/>
        </w:rPr>
        <w:t>30%</w:t>
      </w:r>
      <w:r>
        <w:rPr>
          <w:sz w:val="21"/>
          <w:szCs w:val="21"/>
          <w:color w:val="231F20"/>
          <w:spacing w:val="26"/>
          <w:w w:val="10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的患儿出现了不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>良反应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，</w:t>
      </w:r>
      <w:r>
        <w:rPr>
          <w:sz w:val="21"/>
          <w:szCs w:val="21"/>
          <w:color w:val="231F20"/>
          <w:spacing w:val="4"/>
        </w:rPr>
        <w:t>27%</w:t>
      </w:r>
      <w:r>
        <w:rPr>
          <w:sz w:val="21"/>
          <w:szCs w:val="21"/>
          <w:color w:val="231F20"/>
          <w:spacing w:val="40"/>
          <w:w w:val="10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>的患儿因不良反应停止使用利那洛肽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>最常见的不良反应是腹泻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>腹痛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>恶心和腹胀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。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>最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>近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，</w:t>
      </w:r>
      <w:r>
        <w:rPr>
          <w:sz w:val="21"/>
          <w:szCs w:val="21"/>
          <w:color w:val="231F20"/>
        </w:rPr>
        <w:t>Menon</w:t>
      </w:r>
      <w:r>
        <w:rPr>
          <w:sz w:val="21"/>
          <w:szCs w:val="21"/>
          <w:color w:val="231F20"/>
          <w:spacing w:val="20"/>
          <w:w w:val="10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>等</w:t>
      </w:r>
      <w:r>
        <w:rPr>
          <w:rFonts w:ascii="FangSong" w:hAnsi="FangSong" w:eastAsia="FangSong" w:cs="FangSong"/>
          <w:sz w:val="21"/>
          <w:szCs w:val="21"/>
          <w:color w:val="231F20"/>
          <w:spacing w:val="-43"/>
        </w:rPr>
        <w:t xml:space="preserve"> </w:t>
      </w:r>
      <w:r>
        <w:rPr>
          <w:sz w:val="12"/>
          <w:szCs w:val="12"/>
          <w:color w:val="231F20"/>
          <w:spacing w:val="6"/>
          <w:position w:val="8"/>
        </w:rPr>
        <w:t>[29]</w:t>
      </w:r>
      <w:r>
        <w:rPr>
          <w:sz w:val="12"/>
          <w:szCs w:val="12"/>
          <w:color w:val="231F20"/>
          <w:position w:val="8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>进行了一项双盲随机对照试验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，</w:t>
      </w:r>
      <w:r>
        <w:rPr>
          <w:sz w:val="21"/>
          <w:szCs w:val="21"/>
          <w:color w:val="231F20"/>
          <w:spacing w:val="6"/>
        </w:rPr>
        <w:t>43</w:t>
      </w:r>
      <w:r>
        <w:rPr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例</w:t>
      </w:r>
      <w:r>
        <w:rPr>
          <w:rFonts w:ascii="FangSong" w:hAnsi="FangSong" w:eastAsia="FangSong" w:cs="FangSong"/>
          <w:sz w:val="21"/>
          <w:szCs w:val="21"/>
          <w:color w:val="231F20"/>
          <w:spacing w:val="-46"/>
        </w:rPr>
        <w:t xml:space="preserve"> </w:t>
      </w:r>
      <w:r>
        <w:rPr>
          <w:sz w:val="21"/>
          <w:szCs w:val="21"/>
          <w:color w:val="231F20"/>
        </w:rPr>
        <w:t>IBS</w:t>
      </w:r>
      <w:r>
        <w:rPr>
          <w:sz w:val="21"/>
          <w:szCs w:val="21"/>
          <w:color w:val="231F20"/>
          <w:spacing w:val="20"/>
          <w:w w:val="10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患儿接受洋车前子治疗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，</w:t>
      </w:r>
      <w:r>
        <w:rPr>
          <w:sz w:val="21"/>
          <w:szCs w:val="21"/>
          <w:color w:val="231F20"/>
          <w:spacing w:val="8"/>
        </w:rPr>
        <w:t>38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例</w:t>
      </w:r>
      <w:r>
        <w:rPr>
          <w:rFonts w:ascii="FangSong" w:hAnsi="FangSong" w:eastAsia="FangSong" w:cs="FangSong"/>
          <w:sz w:val="21"/>
          <w:szCs w:val="21"/>
          <w:color w:val="231F20"/>
          <w:spacing w:val="-47"/>
        </w:rPr>
        <w:t xml:space="preserve"> </w:t>
      </w:r>
      <w:r>
        <w:rPr>
          <w:sz w:val="21"/>
          <w:szCs w:val="21"/>
          <w:color w:val="231F20"/>
        </w:rPr>
        <w:t>IBS</w:t>
      </w:r>
      <w:r>
        <w:rPr>
          <w:sz w:val="21"/>
          <w:szCs w:val="21"/>
          <w:color w:val="231F20"/>
          <w:spacing w:val="20"/>
          <w:w w:val="10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患儿接受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>安慰剂治疗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>与安慰剂相比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>服用洋车前子缓解率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30"/>
        </w:rPr>
        <w:t>更高</w:t>
      </w:r>
      <w:r>
        <w:rPr>
          <w:rFonts w:ascii="SimSun" w:hAnsi="SimSun" w:eastAsia="SimSun" w:cs="SimSun"/>
          <w:sz w:val="21"/>
          <w:szCs w:val="21"/>
          <w:color w:val="231F20"/>
          <w:spacing w:val="30"/>
        </w:rPr>
        <w:t>。</w:t>
      </w:r>
    </w:p>
    <w:p>
      <w:pPr>
        <w:pStyle w:val="BodyText"/>
        <w:ind w:left="506" w:right="193" w:firstLine="422"/>
        <w:spacing w:before="10" w:line="270" w:lineRule="auto"/>
        <w:jc w:val="both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11"/>
        </w:rPr>
        <w:t>饮食成分可诱发</w:t>
      </w:r>
      <w:r>
        <w:rPr>
          <w:rFonts w:ascii="FangSong" w:hAnsi="FangSong" w:eastAsia="FangSong" w:cs="FangSong"/>
          <w:sz w:val="21"/>
          <w:szCs w:val="21"/>
          <w:color w:val="231F20"/>
          <w:spacing w:val="-45"/>
        </w:rPr>
        <w:t xml:space="preserve"> </w:t>
      </w:r>
      <w:r>
        <w:rPr>
          <w:sz w:val="21"/>
          <w:szCs w:val="21"/>
          <w:color w:val="231F20"/>
        </w:rPr>
        <w:t>IBS</w:t>
      </w:r>
      <w:r>
        <w:rPr>
          <w:sz w:val="21"/>
          <w:szCs w:val="21"/>
          <w:color w:val="231F20"/>
          <w:spacing w:val="1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1"/>
        </w:rPr>
        <w:t>症状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，</w:t>
      </w:r>
      <w:r>
        <w:rPr>
          <w:rFonts w:ascii="SimSun" w:hAnsi="SimSun" w:eastAsia="SimSun" w:cs="SimSun"/>
          <w:sz w:val="21"/>
          <w:szCs w:val="21"/>
          <w:color w:val="231F20"/>
          <w:spacing w:val="-5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1"/>
        </w:rPr>
        <w:t>富含发酵性寡糖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0"/>
        </w:rPr>
        <w:t>双糖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10"/>
        </w:rPr>
        <w:t>单糖和多元醇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（</w:t>
      </w:r>
      <w:r>
        <w:rPr>
          <w:sz w:val="21"/>
          <w:szCs w:val="21"/>
          <w:color w:val="231F20"/>
        </w:rPr>
        <w:t>fermentable</w:t>
      </w:r>
      <w:r>
        <w:rPr>
          <w:sz w:val="21"/>
          <w:szCs w:val="21"/>
          <w:color w:val="231F20"/>
          <w:spacing w:val="10"/>
        </w:rPr>
        <w:t>,</w:t>
      </w:r>
      <w:r>
        <w:rPr>
          <w:sz w:val="21"/>
          <w:szCs w:val="21"/>
          <w:color w:val="231F20"/>
          <w:spacing w:val="31"/>
          <w:w w:val="101"/>
        </w:rPr>
        <w:t xml:space="preserve"> </w:t>
      </w:r>
      <w:r>
        <w:rPr>
          <w:sz w:val="21"/>
          <w:szCs w:val="21"/>
          <w:color w:val="231F20"/>
        </w:rPr>
        <w:t>oligosaccharides</w:t>
      </w:r>
      <w:r>
        <w:rPr>
          <w:sz w:val="21"/>
          <w:szCs w:val="21"/>
          <w:color w:val="231F20"/>
          <w:spacing w:val="10"/>
        </w:rPr>
        <w:t>,</w:t>
      </w:r>
      <w:r>
        <w:rPr>
          <w:sz w:val="21"/>
          <w:szCs w:val="21"/>
          <w:color w:val="231F20"/>
        </w:rPr>
        <w:t xml:space="preserve">   </w:t>
      </w:r>
      <w:r>
        <w:rPr>
          <w:sz w:val="21"/>
          <w:szCs w:val="21"/>
          <w:color w:val="231F20"/>
          <w:spacing w:val="-3"/>
        </w:rPr>
        <w:t>disaccharides,</w:t>
      </w:r>
      <w:r>
        <w:rPr>
          <w:sz w:val="21"/>
          <w:szCs w:val="21"/>
          <w:color w:val="231F20"/>
          <w:spacing w:val="22"/>
        </w:rPr>
        <w:t xml:space="preserve"> </w:t>
      </w:r>
      <w:r>
        <w:rPr>
          <w:sz w:val="21"/>
          <w:szCs w:val="21"/>
          <w:color w:val="231F20"/>
          <w:spacing w:val="-3"/>
        </w:rPr>
        <w:t>monosaccharides</w:t>
      </w:r>
      <w:r>
        <w:rPr>
          <w:sz w:val="21"/>
          <w:szCs w:val="21"/>
          <w:color w:val="231F20"/>
          <w:spacing w:val="19"/>
          <w:w w:val="101"/>
        </w:rPr>
        <w:t xml:space="preserve"> </w:t>
      </w:r>
      <w:r>
        <w:rPr>
          <w:sz w:val="21"/>
          <w:szCs w:val="21"/>
          <w:color w:val="231F20"/>
          <w:spacing w:val="-3"/>
        </w:rPr>
        <w:t>and polyols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，</w:t>
      </w:r>
      <w:r>
        <w:rPr>
          <w:sz w:val="21"/>
          <w:szCs w:val="21"/>
          <w:color w:val="231F20"/>
          <w:spacing w:val="-3"/>
        </w:rPr>
        <w:t>FODMAP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）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的食物难以被小肠吸收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会升高肠腔渗透压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在结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肠中易被发酵产生气体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从而引起腹痛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腹胀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腹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11"/>
        </w:rPr>
        <w:t>部不适等</w:t>
      </w:r>
      <w:r>
        <w:rPr>
          <w:rFonts w:ascii="FangSong" w:hAnsi="FangSong" w:eastAsia="FangSong" w:cs="FangSong"/>
          <w:sz w:val="21"/>
          <w:szCs w:val="21"/>
          <w:color w:val="231F20"/>
          <w:spacing w:val="-37"/>
        </w:rPr>
        <w:t xml:space="preserve"> </w:t>
      </w:r>
      <w:r>
        <w:rPr>
          <w:sz w:val="21"/>
          <w:szCs w:val="21"/>
          <w:color w:val="231F20"/>
        </w:rPr>
        <w:t>IBS</w:t>
      </w:r>
      <w:r>
        <w:rPr>
          <w:sz w:val="21"/>
          <w:szCs w:val="21"/>
          <w:color w:val="231F20"/>
          <w:spacing w:val="1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1"/>
        </w:rPr>
        <w:t>症状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，</w:t>
      </w:r>
      <w:r>
        <w:rPr>
          <w:rFonts w:ascii="SimSun" w:hAnsi="SimSun" w:eastAsia="SimSun" w:cs="SimSun"/>
          <w:sz w:val="21"/>
          <w:szCs w:val="21"/>
          <w:color w:val="231F20"/>
          <w:spacing w:val="-62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1"/>
        </w:rPr>
        <w:t>而低</w:t>
      </w:r>
      <w:r>
        <w:rPr>
          <w:rFonts w:ascii="FangSong" w:hAnsi="FangSong" w:eastAsia="FangSong" w:cs="FangSong"/>
          <w:sz w:val="21"/>
          <w:szCs w:val="21"/>
          <w:color w:val="231F20"/>
          <w:spacing w:val="-49"/>
        </w:rPr>
        <w:t xml:space="preserve"> </w:t>
      </w:r>
      <w:r>
        <w:rPr>
          <w:sz w:val="21"/>
          <w:szCs w:val="21"/>
          <w:color w:val="231F20"/>
        </w:rPr>
        <w:t>FODMAP</w:t>
      </w:r>
      <w:r>
        <w:rPr>
          <w:sz w:val="21"/>
          <w:szCs w:val="21"/>
          <w:color w:val="231F20"/>
          <w:spacing w:val="1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1"/>
        </w:rPr>
        <w:t>饮食能够缓解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这类症状</w:t>
      </w:r>
      <w:r>
        <w:rPr>
          <w:rFonts w:ascii="FangSong" w:hAnsi="FangSong" w:eastAsia="FangSong" w:cs="FangSong"/>
          <w:sz w:val="21"/>
          <w:szCs w:val="21"/>
          <w:color w:val="231F20"/>
          <w:spacing w:val="-34"/>
        </w:rPr>
        <w:t xml:space="preserve"> </w:t>
      </w:r>
      <w:r>
        <w:rPr>
          <w:sz w:val="12"/>
          <w:szCs w:val="12"/>
          <w:color w:val="231F20"/>
          <w:spacing w:val="-1"/>
          <w:position w:val="8"/>
        </w:rPr>
        <w:t>[30]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</w:t>
      </w:r>
      <w:r>
        <w:rPr>
          <w:sz w:val="21"/>
          <w:szCs w:val="21"/>
          <w:color w:val="231F20"/>
          <w:spacing w:val="-1"/>
        </w:rPr>
        <w:t>IBS</w:t>
      </w:r>
      <w:r>
        <w:rPr>
          <w:sz w:val="21"/>
          <w:szCs w:val="21"/>
          <w:color w:val="231F20"/>
          <w:spacing w:val="26"/>
          <w:w w:val="10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的诊断确定后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限制</w:t>
      </w:r>
      <w:r>
        <w:rPr>
          <w:rFonts w:ascii="FangSong" w:hAnsi="FangSong" w:eastAsia="FangSong" w:cs="FangSong"/>
          <w:sz w:val="21"/>
          <w:szCs w:val="21"/>
          <w:color w:val="231F20"/>
          <w:spacing w:val="-49"/>
        </w:rPr>
        <w:t xml:space="preserve"> </w:t>
      </w:r>
      <w:r>
        <w:rPr>
          <w:sz w:val="21"/>
          <w:szCs w:val="21"/>
          <w:color w:val="231F20"/>
          <w:spacing w:val="-1"/>
        </w:rPr>
        <w:t>FODMAP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饮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食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如尽量减少发酵低聚糖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双糖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单糖和多元醇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的摄入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可以使</w:t>
      </w:r>
      <w:r>
        <w:rPr>
          <w:rFonts w:ascii="FangSong" w:hAnsi="FangSong" w:eastAsia="FangSong" w:cs="FangSong"/>
          <w:sz w:val="21"/>
          <w:szCs w:val="21"/>
          <w:color w:val="231F20"/>
          <w:spacing w:val="-35"/>
        </w:rPr>
        <w:t xml:space="preserve"> </w:t>
      </w:r>
      <w:r>
        <w:rPr>
          <w:sz w:val="21"/>
          <w:szCs w:val="21"/>
          <w:color w:val="231F20"/>
        </w:rPr>
        <w:t>IBS</w:t>
      </w:r>
      <w:r>
        <w:rPr>
          <w:sz w:val="21"/>
          <w:szCs w:val="21"/>
          <w:color w:val="231F20"/>
          <w:spacing w:val="2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患儿受益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。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最近一项研究显示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</w:rPr>
        <w:t>无论对便秘型还是腹泻型患儿</w:t>
      </w:r>
      <w:r>
        <w:rPr>
          <w:rFonts w:ascii="SimSun" w:hAnsi="SimSun" w:eastAsia="SimSun" w:cs="SimSun"/>
          <w:sz w:val="21"/>
          <w:szCs w:val="21"/>
          <w:color w:val="231F20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</w:rPr>
        <w:t>果阿胶均可改善</w:t>
      </w:r>
      <w:r>
        <w:rPr>
          <w:rFonts w:ascii="FangSong" w:hAnsi="FangSong" w:eastAsia="FangSong" w:cs="FangSong"/>
          <w:sz w:val="21"/>
          <w:szCs w:val="21"/>
          <w:color w:val="231F20"/>
          <w:spacing w:val="-31"/>
        </w:rPr>
        <w:t xml:space="preserve"> </w:t>
      </w:r>
      <w:r>
        <w:rPr>
          <w:sz w:val="21"/>
          <w:szCs w:val="21"/>
          <w:color w:val="231F20"/>
        </w:rPr>
        <w:t>IBS   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>整体症状和粪便性状</w:t>
      </w:r>
      <w:r>
        <w:rPr>
          <w:rFonts w:ascii="FangSong" w:hAnsi="FangSong" w:eastAsia="FangSong" w:cs="FangSong"/>
          <w:sz w:val="21"/>
          <w:szCs w:val="21"/>
          <w:color w:val="231F20"/>
          <w:spacing w:val="-28"/>
        </w:rPr>
        <w:t xml:space="preserve"> </w:t>
      </w:r>
      <w:r>
        <w:rPr>
          <w:sz w:val="12"/>
          <w:szCs w:val="12"/>
          <w:color w:val="231F20"/>
          <w:spacing w:val="4"/>
          <w:position w:val="8"/>
        </w:rPr>
        <w:t>[31]</w:t>
      </w:r>
      <w:r>
        <w:rPr>
          <w:sz w:val="12"/>
          <w:szCs w:val="12"/>
          <w:color w:val="231F20"/>
          <w:spacing w:val="-7"/>
          <w:position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>行为疗法或心理干预也被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推荐用于治疗</w:t>
      </w:r>
      <w:r>
        <w:rPr>
          <w:rFonts w:ascii="FangSong" w:hAnsi="FangSong" w:eastAsia="FangSong" w:cs="FangSong"/>
          <w:sz w:val="21"/>
          <w:szCs w:val="21"/>
          <w:color w:val="231F20"/>
          <w:spacing w:val="-36"/>
        </w:rPr>
        <w:t xml:space="preserve"> </w:t>
      </w:r>
      <w:r>
        <w:rPr>
          <w:sz w:val="21"/>
          <w:szCs w:val="21"/>
          <w:color w:val="231F20"/>
        </w:rPr>
        <w:t>IBS</w:t>
      </w:r>
      <w:r>
        <w:rPr>
          <w:sz w:val="21"/>
          <w:szCs w:val="21"/>
          <w:color w:val="231F20"/>
          <w:spacing w:val="2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患儿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应注意确保患儿家属能理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8" w:line="212" w:lineRule="auto"/>
        <w:rPr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u w:val="single" w:color="auto"/>
          <w:color w:val="231F20"/>
          <w:spacing w:val="-4"/>
        </w:rPr>
        <w:t>中国医刊 </w:t>
      </w:r>
      <w:r>
        <w:rPr>
          <w:sz w:val="18"/>
          <w:szCs w:val="18"/>
          <w:u w:val="single" w:color="auto"/>
          <w:color w:val="231F20"/>
          <w:spacing w:val="-4"/>
        </w:rPr>
        <w:t>2024 </w:t>
      </w:r>
      <w:r>
        <w:rPr>
          <w:rFonts w:ascii="SimSun" w:hAnsi="SimSun" w:eastAsia="SimSun" w:cs="SimSun"/>
          <w:sz w:val="18"/>
          <w:szCs w:val="18"/>
          <w:u w:val="single" w:color="auto"/>
          <w:color w:val="231F20"/>
          <w:spacing w:val="-4"/>
        </w:rPr>
        <w:t>年</w:t>
      </w:r>
      <w:r>
        <w:rPr>
          <w:rFonts w:ascii="SimSun" w:hAnsi="SimSun" w:eastAsia="SimSun" w:cs="SimSun"/>
          <w:sz w:val="18"/>
          <w:szCs w:val="18"/>
          <w:u w:val="single" w:color="auto"/>
          <w:color w:val="231F20"/>
          <w:spacing w:val="38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u w:val="single" w:color="auto"/>
          <w:color w:val="231F20"/>
          <w:spacing w:val="-4"/>
        </w:rPr>
        <w:t>第</w:t>
      </w:r>
      <w:r>
        <w:rPr>
          <w:sz w:val="18"/>
          <w:szCs w:val="18"/>
          <w:u w:val="single" w:color="auto"/>
          <w:color w:val="231F20"/>
          <w:spacing w:val="-4"/>
        </w:rPr>
        <w:t>59</w:t>
      </w:r>
      <w:r>
        <w:rPr>
          <w:sz w:val="18"/>
          <w:szCs w:val="18"/>
          <w:u w:val="single" w:color="auto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8"/>
          <w:szCs w:val="18"/>
          <w:u w:val="single" w:color="auto"/>
          <w:color w:val="231F20"/>
          <w:spacing w:val="-4"/>
        </w:rPr>
        <w:t>卷</w:t>
      </w:r>
      <w:r>
        <w:rPr>
          <w:rFonts w:ascii="SimSun" w:hAnsi="SimSun" w:eastAsia="SimSun" w:cs="SimSun"/>
          <w:sz w:val="18"/>
          <w:szCs w:val="18"/>
          <w:u w:val="single" w:color="auto"/>
          <w:color w:val="231F20"/>
          <w:spacing w:val="22"/>
        </w:rPr>
        <w:t xml:space="preserve"> </w:t>
      </w:r>
      <w:r>
        <w:rPr>
          <w:rFonts w:ascii="SimSun" w:hAnsi="SimSun" w:eastAsia="SimSun" w:cs="SimSun"/>
          <w:sz w:val="18"/>
          <w:szCs w:val="18"/>
          <w:u w:val="single" w:color="auto"/>
          <w:color w:val="231F20"/>
          <w:spacing w:val="-4"/>
        </w:rPr>
        <w:t>第</w:t>
      </w:r>
      <w:r>
        <w:rPr>
          <w:sz w:val="18"/>
          <w:szCs w:val="18"/>
          <w:u w:val="single" w:color="auto"/>
          <w:color w:val="231F20"/>
          <w:spacing w:val="-4"/>
        </w:rPr>
        <w:t>7</w:t>
      </w:r>
      <w:r>
        <w:rPr>
          <w:sz w:val="18"/>
          <w:szCs w:val="18"/>
          <w:u w:val="single" w:color="auto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8"/>
          <w:szCs w:val="18"/>
          <w:u w:val="single" w:color="auto"/>
          <w:color w:val="231F20"/>
          <w:spacing w:val="-4"/>
        </w:rPr>
        <w:t>期 </w:t>
      </w:r>
      <w:r>
        <w:rPr>
          <w:sz w:val="18"/>
          <w:szCs w:val="18"/>
          <w:u w:val="single" w:color="auto"/>
          <w:color w:val="231F20"/>
          <w:spacing w:val="-4"/>
        </w:rPr>
        <w:t>Chin J Med, 2024, Vol 59,</w:t>
      </w:r>
      <w:r>
        <w:rPr>
          <w:sz w:val="18"/>
          <w:szCs w:val="18"/>
          <w:u w:val="single" w:color="auto"/>
          <w:color w:val="231F20"/>
          <w:spacing w:val="-9"/>
        </w:rPr>
        <w:t xml:space="preserve"> </w:t>
      </w:r>
      <w:r>
        <w:rPr>
          <w:sz w:val="18"/>
          <w:szCs w:val="18"/>
          <w:u w:val="single" w:color="auto"/>
          <w:color w:val="231F20"/>
          <w:spacing w:val="-4"/>
        </w:rPr>
        <w:t>No.7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ind w:left="77"/>
        <w:spacing w:before="68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解行为学治疗是医学治疗中的一部分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</w:t>
      </w:r>
    </w:p>
    <w:p>
      <w:pPr>
        <w:pStyle w:val="BodyText"/>
        <w:ind w:left="78" w:right="73" w:firstLine="422"/>
        <w:spacing w:before="65" w:line="27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9"/>
        </w:rPr>
        <w:t>对于以上治疗失败的患儿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9"/>
        </w:rPr>
        <w:t>可推荐使用无麸质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9"/>
        </w:rPr>
        <w:t>饮食</w:t>
      </w:r>
      <w:r>
        <w:rPr>
          <w:rFonts w:ascii="SimSun" w:hAnsi="SimSun" w:eastAsia="SimSun" w:cs="SimSun"/>
          <w:sz w:val="21"/>
          <w:szCs w:val="21"/>
          <w:color w:val="231F20"/>
          <w:spacing w:val="19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19"/>
        </w:rPr>
        <w:t>便秘型</w:t>
      </w:r>
      <w:r>
        <w:rPr>
          <w:rFonts w:ascii="FangSong" w:hAnsi="FangSong" w:eastAsia="FangSong" w:cs="FangSong"/>
          <w:sz w:val="21"/>
          <w:szCs w:val="21"/>
          <w:color w:val="231F20"/>
          <w:spacing w:val="-48"/>
        </w:rPr>
        <w:t xml:space="preserve"> </w:t>
      </w:r>
      <w:r>
        <w:rPr>
          <w:sz w:val="21"/>
          <w:szCs w:val="21"/>
          <w:color w:val="231F20"/>
        </w:rPr>
        <w:t>IBS</w:t>
      </w:r>
      <w:r>
        <w:rPr>
          <w:sz w:val="21"/>
          <w:szCs w:val="21"/>
          <w:color w:val="231F20"/>
          <w:spacing w:val="20"/>
          <w:w w:val="10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9"/>
        </w:rPr>
        <w:t>患儿可用渗透性泻剂</w:t>
      </w:r>
      <w:r>
        <w:rPr>
          <w:rFonts w:ascii="SimSun" w:hAnsi="SimSun" w:eastAsia="SimSun" w:cs="SimSun"/>
          <w:sz w:val="21"/>
          <w:szCs w:val="21"/>
          <w:color w:val="231F20"/>
          <w:spacing w:val="19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19"/>
        </w:rPr>
        <w:t>如聚乙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>二醇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。</w:t>
      </w:r>
    </w:p>
    <w:p>
      <w:pPr>
        <w:pStyle w:val="BodyText"/>
        <w:ind w:left="72"/>
        <w:spacing w:line="220" w:lineRule="auto"/>
        <w:rPr>
          <w:rFonts w:ascii="SimHei" w:hAnsi="SimHei" w:eastAsia="SimHei" w:cs="SimHei"/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1"/>
        </w:rPr>
        <w:t>3.3    </w:t>
      </w:r>
      <w:r>
        <w:rPr>
          <w:rFonts w:ascii="SimHei" w:hAnsi="SimHei" w:eastAsia="SimHei" w:cs="SimHei"/>
          <w:sz w:val="21"/>
          <w:szCs w:val="21"/>
          <w:color w:val="231F20"/>
          <w:spacing w:val="-1"/>
        </w:rPr>
        <w:t>腹型偏头痛</w:t>
      </w:r>
    </w:p>
    <w:p>
      <w:pPr>
        <w:ind w:left="81" w:right="74" w:firstLine="415"/>
        <w:spacing w:before="59" w:line="27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9"/>
        </w:rPr>
        <w:t>腹型偏头痛和偏头痛均有类似的触发因素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（</w:t>
      </w:r>
      <w:r>
        <w:rPr>
          <w:rFonts w:ascii="FangSong" w:hAnsi="FangSong" w:eastAsia="FangSong" w:cs="FangSong"/>
          <w:sz w:val="21"/>
          <w:szCs w:val="21"/>
          <w:color w:val="231F20"/>
          <w:spacing w:val="9"/>
        </w:rPr>
        <w:t>压</w:t>
      </w:r>
      <w:r>
        <w:rPr>
          <w:rFonts w:ascii="FangSong" w:hAnsi="FangSong" w:eastAsia="FangSong" w:cs="FangSong"/>
          <w:sz w:val="21"/>
          <w:szCs w:val="21"/>
          <w:color w:val="231F20"/>
          <w:spacing w:val="9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力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疲劳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）、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相关症状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（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厌食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恶心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呕吐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）、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缓解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因素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（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休息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睡眠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>），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需排除与严重发作性腹痛相关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的疾病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如间歇性小肠或泌尿系梗阻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复发性胰腺</w:t>
      </w:r>
      <w:r>
        <w:rPr>
          <w:rFonts w:ascii="FangSong" w:hAnsi="FangSong" w:eastAsia="FangSong" w:cs="FangSong"/>
          <w:sz w:val="21"/>
          <w:szCs w:val="21"/>
          <w:color w:val="231F20"/>
          <w:spacing w:val="9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炎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胆道疾病及精神疾病等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</w:t>
      </w:r>
    </w:p>
    <w:p>
      <w:pPr>
        <w:pStyle w:val="BodyText"/>
        <w:ind w:left="72" w:firstLine="435"/>
        <w:spacing w:before="2" w:line="27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治疗计划的制订取决于腹型偏头痛发作的频率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严重程度及对患儿和家庭日常生活的影响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治疗建</w:t>
      </w:r>
      <w:r>
        <w:rPr>
          <w:rFonts w:ascii="FangSong" w:hAnsi="FangSong" w:eastAsia="FangSong" w:cs="FangSong"/>
          <w:sz w:val="21"/>
          <w:szCs w:val="21"/>
          <w:color w:val="231F20"/>
          <w:spacing w:val="17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议包括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：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确保症状发作并非由威胁生命的疾病所致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、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避免可能的诱发因素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为避免经常发作和致残性发</w:t>
      </w:r>
      <w:r>
        <w:rPr>
          <w:rFonts w:ascii="FangSong" w:hAnsi="FangSong" w:eastAsia="FangSong" w:cs="FangSong"/>
          <w:sz w:val="21"/>
          <w:szCs w:val="21"/>
          <w:color w:val="231F20"/>
          <w:spacing w:val="1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作而给予预防性药物治疗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抗偏头痛药物通常有效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，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>常用的种类包括抗组胺药赛庚啶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、</w:t>
      </w:r>
      <w:r>
        <w:rPr>
          <w:sz w:val="21"/>
          <w:szCs w:val="21"/>
          <w:color w:val="231F20"/>
          <w:spacing w:val="4"/>
        </w:rPr>
        <w:t>5-</w:t>
      </w:r>
      <w:r>
        <w:rPr>
          <w:sz w:val="21"/>
          <w:szCs w:val="21"/>
          <w:color w:val="231F20"/>
        </w:rPr>
        <w:t>HT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>受体拮抗剂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</w:rPr>
        <w:t>苯噻啶</w:t>
      </w:r>
      <w:r>
        <w:rPr>
          <w:rFonts w:ascii="SimSun" w:hAnsi="SimSun" w:eastAsia="SimSun" w:cs="SimSun"/>
          <w:sz w:val="21"/>
          <w:szCs w:val="21"/>
          <w:color w:val="231F20"/>
        </w:rPr>
        <w:t>、</w:t>
      </w:r>
      <w:r>
        <w:rPr>
          <w:sz w:val="21"/>
          <w:szCs w:val="21"/>
          <w:color w:val="231F20"/>
        </w:rPr>
        <w:t>β</w:t>
      </w:r>
      <w:r>
        <w:rPr>
          <w:sz w:val="21"/>
          <w:szCs w:val="21"/>
          <w:color w:val="231F20"/>
          <w:spacing w:val="3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</w:rPr>
        <w:t>受体阻滞剂普萘洛尔</w:t>
      </w:r>
      <w:r>
        <w:rPr>
          <w:rFonts w:ascii="SimSun" w:hAnsi="SimSun" w:eastAsia="SimSun" w:cs="SimSun"/>
          <w:sz w:val="21"/>
          <w:szCs w:val="21"/>
          <w:color w:val="231F20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</w:rPr>
        <w:t>三环类抗抑郁药阿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米替林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抗癫痫药丙戊酸钠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钙离子通道阻滞剂氟</w:t>
      </w:r>
      <w:r>
        <w:rPr>
          <w:rFonts w:ascii="FangSong" w:hAnsi="FangSong" w:eastAsia="FangSong" w:cs="FangSong"/>
          <w:sz w:val="21"/>
          <w:szCs w:val="21"/>
          <w:color w:val="231F20"/>
          <w:spacing w:val="18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桂利嗪和曲坦类药物舒马普坦</w:t>
      </w:r>
      <w:r>
        <w:rPr>
          <w:rFonts w:ascii="FangSong" w:hAnsi="FangSong" w:eastAsia="FangSong" w:cs="FangSong"/>
          <w:sz w:val="21"/>
          <w:szCs w:val="21"/>
          <w:color w:val="231F20"/>
          <w:spacing w:val="-36"/>
        </w:rPr>
        <w:t xml:space="preserve"> </w:t>
      </w:r>
      <w:r>
        <w:rPr>
          <w:sz w:val="12"/>
          <w:szCs w:val="12"/>
          <w:color w:val="231F20"/>
          <w:spacing w:val="-1"/>
          <w:position w:val="8"/>
        </w:rPr>
        <w:t>[32]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</w:t>
      </w:r>
    </w:p>
    <w:p>
      <w:pPr>
        <w:pStyle w:val="BodyText"/>
        <w:ind w:left="72"/>
        <w:spacing w:before="13" w:line="222" w:lineRule="auto"/>
        <w:rPr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2"/>
        </w:rPr>
        <w:t>3.4    </w:t>
      </w:r>
      <w:r>
        <w:rPr>
          <w:rFonts w:ascii="SimHei" w:hAnsi="SimHei" w:eastAsia="SimHei" w:cs="SimHei"/>
          <w:sz w:val="21"/>
          <w:szCs w:val="21"/>
          <w:color w:val="231F20"/>
          <w:spacing w:val="-2"/>
        </w:rPr>
        <w:t>未另行指定的</w:t>
      </w:r>
      <w:r>
        <w:rPr>
          <w:sz w:val="21"/>
          <w:szCs w:val="21"/>
          <w:b/>
          <w:bCs/>
          <w:color w:val="231F20"/>
          <w:spacing w:val="-2"/>
        </w:rPr>
        <w:t>FAPD</w:t>
      </w:r>
    </w:p>
    <w:p>
      <w:pPr>
        <w:pStyle w:val="BodyText"/>
        <w:ind w:left="71" w:right="74" w:firstLine="430"/>
        <w:spacing w:before="57" w:line="27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有大型研究发现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，</w:t>
      </w:r>
      <w:r>
        <w:rPr>
          <w:sz w:val="21"/>
          <w:szCs w:val="21"/>
          <w:color w:val="231F20"/>
          <w:spacing w:val="-1"/>
        </w:rPr>
        <w:t>FAPD</w:t>
      </w:r>
      <w:r>
        <w:rPr>
          <w:sz w:val="21"/>
          <w:szCs w:val="21"/>
          <w:color w:val="231F20"/>
          <w:spacing w:val="36"/>
          <w:w w:val="10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患儿应用西酞普兰可明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>显减轻疼痛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>效果优于安慰剂</w:t>
      </w:r>
      <w:r>
        <w:rPr>
          <w:rFonts w:ascii="FangSong" w:hAnsi="FangSong" w:eastAsia="FangSong" w:cs="FangSong"/>
          <w:sz w:val="21"/>
          <w:szCs w:val="21"/>
          <w:color w:val="231F20"/>
          <w:spacing w:val="-42"/>
        </w:rPr>
        <w:t xml:space="preserve"> </w:t>
      </w:r>
      <w:r>
        <w:rPr>
          <w:sz w:val="12"/>
          <w:szCs w:val="12"/>
          <w:color w:val="231F20"/>
          <w:spacing w:val="5"/>
          <w:position w:val="8"/>
        </w:rPr>
        <w:t>[33]</w:t>
      </w:r>
      <w:r>
        <w:rPr>
          <w:sz w:val="12"/>
          <w:szCs w:val="12"/>
          <w:color w:val="231F20"/>
          <w:spacing w:val="-8"/>
          <w:position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>提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>示抗抑郁药可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能对某种特定亚型的</w:t>
      </w:r>
      <w:r>
        <w:rPr>
          <w:rFonts w:ascii="FangSong" w:hAnsi="FangSong" w:eastAsia="FangSong" w:cs="FangSong"/>
          <w:sz w:val="21"/>
          <w:szCs w:val="21"/>
          <w:color w:val="231F20"/>
          <w:spacing w:val="-43"/>
        </w:rPr>
        <w:t xml:space="preserve"> </w:t>
      </w:r>
      <w:r>
        <w:rPr>
          <w:sz w:val="21"/>
          <w:szCs w:val="21"/>
          <w:color w:val="231F20"/>
        </w:rPr>
        <w:t>FAPD</w:t>
      </w:r>
      <w:r>
        <w:rPr>
          <w:sz w:val="21"/>
          <w:szCs w:val="21"/>
          <w:color w:val="231F20"/>
          <w:spacing w:val="2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患儿有效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。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长期以来推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</w:rPr>
        <w:t>荐将行为学疗法用于治疗</w:t>
      </w:r>
      <w:r>
        <w:rPr>
          <w:rFonts w:ascii="FangSong" w:hAnsi="FangSong" w:eastAsia="FangSong" w:cs="FangSong"/>
          <w:sz w:val="21"/>
          <w:szCs w:val="21"/>
          <w:color w:val="231F20"/>
          <w:spacing w:val="-50"/>
        </w:rPr>
        <w:t xml:space="preserve"> </w:t>
      </w:r>
      <w:r>
        <w:rPr>
          <w:sz w:val="21"/>
          <w:szCs w:val="21"/>
          <w:color w:val="231F20"/>
        </w:rPr>
        <w:t>FAPD</w:t>
      </w:r>
      <w:r>
        <w:rPr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</w:rPr>
        <w:t>一些研究显示认知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行为治疗在</w:t>
      </w:r>
      <w:r>
        <w:rPr>
          <w:rFonts w:ascii="FangSong" w:hAnsi="FangSong" w:eastAsia="FangSong" w:cs="FangSong"/>
          <w:sz w:val="21"/>
          <w:szCs w:val="21"/>
          <w:color w:val="231F20"/>
          <w:spacing w:val="-49"/>
        </w:rPr>
        <w:t xml:space="preserve"> </w:t>
      </w:r>
      <w:r>
        <w:rPr>
          <w:sz w:val="21"/>
          <w:szCs w:val="21"/>
          <w:color w:val="231F20"/>
        </w:rPr>
        <w:t>FAPD</w:t>
      </w:r>
      <w:r>
        <w:rPr>
          <w:sz w:val="21"/>
          <w:szCs w:val="21"/>
          <w:color w:val="231F20"/>
          <w:spacing w:val="27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的治疗中有效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不过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也有一些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研究发现这类治疗并无益处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。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尚无研究报道在未另</w:t>
      </w:r>
      <w:r>
        <w:rPr>
          <w:rFonts w:ascii="FangSong" w:hAnsi="FangSong" w:eastAsia="FangSong" w:cs="FangSong"/>
          <w:sz w:val="21"/>
          <w:szCs w:val="21"/>
          <w:color w:val="231F20"/>
          <w:spacing w:val="18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行指定的</w:t>
      </w:r>
      <w:r>
        <w:rPr>
          <w:rFonts w:ascii="FangSong" w:hAnsi="FangSong" w:eastAsia="FangSong" w:cs="FangSong"/>
          <w:sz w:val="21"/>
          <w:szCs w:val="21"/>
          <w:color w:val="231F20"/>
          <w:spacing w:val="-35"/>
        </w:rPr>
        <w:t xml:space="preserve"> </w:t>
      </w:r>
      <w:r>
        <w:rPr>
          <w:sz w:val="21"/>
          <w:szCs w:val="21"/>
          <w:color w:val="231F20"/>
          <w:spacing w:val="-1"/>
        </w:rPr>
        <w:t>FAPD</w:t>
      </w:r>
      <w:r>
        <w:rPr>
          <w:sz w:val="21"/>
          <w:szCs w:val="21"/>
          <w:color w:val="231F20"/>
          <w:spacing w:val="2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患儿中剔除谷类食物或</w:t>
      </w:r>
      <w:r>
        <w:rPr>
          <w:rFonts w:ascii="FangSong" w:hAnsi="FangSong" w:eastAsia="FangSong" w:cs="FangSong"/>
          <w:sz w:val="21"/>
          <w:szCs w:val="21"/>
          <w:color w:val="231F20"/>
          <w:spacing w:val="-50"/>
        </w:rPr>
        <w:t xml:space="preserve"> </w:t>
      </w:r>
      <w:r>
        <w:rPr>
          <w:sz w:val="21"/>
          <w:szCs w:val="21"/>
          <w:color w:val="231F20"/>
          <w:spacing w:val="-1"/>
        </w:rPr>
        <w:t>FODMAP</w:t>
      </w:r>
      <w:r>
        <w:rPr>
          <w:sz w:val="21"/>
          <w:szCs w:val="21"/>
          <w:color w:val="231F20"/>
          <w:spacing w:val="27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的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  <w:position w:val="-3"/>
        </w:rPr>
        <w:t>效果</w:t>
      </w:r>
      <w:r>
        <w:rPr>
          <w:rFonts w:ascii="FangSong" w:hAnsi="FangSong" w:eastAsia="FangSong" w:cs="FangSong"/>
          <w:sz w:val="21"/>
          <w:szCs w:val="21"/>
          <w:color w:val="231F20"/>
          <w:spacing w:val="-38"/>
          <w:position w:val="-3"/>
        </w:rPr>
        <w:t xml:space="preserve"> </w:t>
      </w:r>
      <w:r>
        <w:rPr>
          <w:sz w:val="12"/>
          <w:szCs w:val="12"/>
          <w:color w:val="231F20"/>
          <w:spacing w:val="-2"/>
          <w:position w:val="6"/>
        </w:rPr>
        <w:t>[34]</w:t>
      </w:r>
      <w:r>
        <w:rPr>
          <w:rFonts w:ascii="SimSun" w:hAnsi="SimSun" w:eastAsia="SimSun" w:cs="SimSun"/>
          <w:sz w:val="21"/>
          <w:szCs w:val="21"/>
          <w:color w:val="231F20"/>
          <w:spacing w:val="-2"/>
          <w:position w:val="-3"/>
        </w:rPr>
        <w:t>。</w:t>
      </w:r>
    </w:p>
    <w:p>
      <w:pPr>
        <w:pStyle w:val="BodyText"/>
        <w:ind w:left="76" w:right="74" w:firstLine="429"/>
        <w:spacing w:before="5" w:line="27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9"/>
        </w:rPr>
        <w:t>综上所述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9"/>
        </w:rPr>
        <w:t>在诊疗儿童</w:t>
      </w:r>
      <w:r>
        <w:rPr>
          <w:rFonts w:ascii="FangSong" w:hAnsi="FangSong" w:eastAsia="FangSong" w:cs="FangSong"/>
          <w:sz w:val="21"/>
          <w:szCs w:val="21"/>
          <w:color w:val="231F20"/>
          <w:spacing w:val="-46"/>
        </w:rPr>
        <w:t xml:space="preserve"> </w:t>
      </w:r>
      <w:r>
        <w:rPr>
          <w:sz w:val="21"/>
          <w:szCs w:val="21"/>
          <w:color w:val="231F20"/>
        </w:rPr>
        <w:t>FAPD</w:t>
      </w:r>
      <w:r>
        <w:rPr>
          <w:sz w:val="21"/>
          <w:szCs w:val="21"/>
          <w:color w:val="231F20"/>
          <w:spacing w:val="9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9"/>
        </w:rPr>
        <w:t>过程中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9"/>
        </w:rPr>
        <w:t>应注意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与患儿及家属的沟通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详细了解患儿的病史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建立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良好的信任关系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解除患儿及家属的心理负担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对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于</w:t>
      </w:r>
      <w:r>
        <w:rPr>
          <w:rFonts w:ascii="FangSong" w:hAnsi="FangSong" w:eastAsia="FangSong" w:cs="FangSong"/>
          <w:sz w:val="21"/>
          <w:szCs w:val="21"/>
          <w:color w:val="231F20"/>
          <w:spacing w:val="-35"/>
        </w:rPr>
        <w:t xml:space="preserve"> </w:t>
      </w:r>
      <w:r>
        <w:rPr>
          <w:sz w:val="21"/>
          <w:szCs w:val="21"/>
          <w:color w:val="231F20"/>
        </w:rPr>
        <w:t>FAPD</w:t>
      </w:r>
      <w:r>
        <w:rPr>
          <w:sz w:val="21"/>
          <w:szCs w:val="21"/>
          <w:color w:val="231F20"/>
          <w:spacing w:val="26"/>
          <w:w w:val="10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的病因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诊断及管理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将会随着临床上对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疾病认识的深入而更具有针对性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进而取得更好的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疗效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。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ind w:left="75"/>
        <w:spacing w:before="60" w:line="222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-7"/>
        </w:rPr>
        <w:t>参考文献：</w:t>
      </w:r>
    </w:p>
    <w:p>
      <w:pPr>
        <w:pStyle w:val="BodyText"/>
        <w:ind w:left="495" w:right="72" w:hanging="414"/>
        <w:spacing w:before="72" w:line="293" w:lineRule="auto"/>
        <w:rPr/>
      </w:pPr>
      <w:r>
        <w:rPr>
          <w:color w:val="231F20"/>
          <w:spacing w:val="12"/>
        </w:rPr>
        <w:t>[1]     </w:t>
      </w:r>
      <w:r>
        <w:rPr>
          <w:color w:val="231F20"/>
        </w:rPr>
        <w:t>LEWIS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M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L</w:t>
      </w:r>
      <w:r>
        <w:rPr>
          <w:color w:val="231F20"/>
          <w:spacing w:val="12"/>
        </w:rPr>
        <w:t>,  </w:t>
      </w:r>
      <w:r>
        <w:rPr>
          <w:color w:val="231F20"/>
        </w:rPr>
        <w:t>PALSSON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O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S</w:t>
      </w:r>
      <w:r>
        <w:rPr>
          <w:color w:val="231F20"/>
          <w:spacing w:val="12"/>
        </w:rPr>
        <w:t>, 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WHITEHEAD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W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E</w:t>
      </w:r>
      <w:r>
        <w:rPr>
          <w:color w:val="231F20"/>
          <w:spacing w:val="11"/>
        </w:rPr>
        <w:t>,  </w:t>
      </w:r>
      <w:r>
        <w:rPr>
          <w:color w:val="231F20"/>
        </w:rPr>
        <w:t>et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al</w:t>
      </w:r>
      <w:r>
        <w:rPr>
          <w:color w:val="231F20"/>
          <w:spacing w:val="11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Prevalence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1"/>
        </w:rPr>
        <w:t>of functional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1"/>
        </w:rPr>
        <w:t>gastrointestinal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"/>
        </w:rPr>
        <w:t>disorders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"/>
        </w:rPr>
        <w:t>in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1"/>
        </w:rPr>
        <w:t>childr</w:t>
      </w:r>
      <w:r>
        <w:rPr>
          <w:color w:val="231F20"/>
        </w:rPr>
        <w:t>en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and </w:t>
      </w:r>
      <w:r>
        <w:rPr>
          <w:color w:val="231F20"/>
          <w:spacing w:val="-1"/>
        </w:rPr>
        <w:t>adolescents[J]. J Pediatr, 2016,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-1"/>
        </w:rPr>
        <w:t>177: 39-43.</w:t>
      </w:r>
    </w:p>
    <w:p>
      <w:pPr>
        <w:pStyle w:val="BodyText"/>
        <w:ind w:left="492" w:right="72" w:hanging="411"/>
        <w:spacing w:before="16" w:line="292" w:lineRule="auto"/>
        <w:rPr/>
      </w:pPr>
      <w:r>
        <w:rPr>
          <w:color w:val="231F20"/>
        </w:rPr>
        <w:t>[2]      LEVY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R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L.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</w:rPr>
        <w:t>Exploring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intergenerational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transmission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of illness </w:t>
      </w:r>
      <w:r>
        <w:rPr>
          <w:color w:val="231F20"/>
        </w:rPr>
        <w:t>behavior</w:t>
      </w:r>
      <w:r>
        <w:rPr>
          <w:color w:val="231F20"/>
          <w:spacing w:val="12"/>
        </w:rPr>
        <w:t>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observations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</w:rPr>
        <w:t>experimental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intervention</w:t>
      </w:r>
      <w:r>
        <w:rPr>
          <w:color w:val="231F20"/>
          <w:spacing w:val="12"/>
        </w:rPr>
        <w:t>[J]. </w:t>
      </w:r>
      <w:r>
        <w:rPr>
          <w:color w:val="231F20"/>
        </w:rPr>
        <w:t>Ann </w:t>
      </w:r>
      <w:r>
        <w:rPr>
          <w:color w:val="231F20"/>
          <w:spacing w:val="-1"/>
        </w:rPr>
        <w:t>Behav Med, 2011, 41(2):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174-182.</w:t>
      </w:r>
    </w:p>
    <w:p>
      <w:pPr>
        <w:pStyle w:val="BodyText"/>
        <w:ind w:left="498" w:right="74" w:hanging="417"/>
        <w:spacing w:before="20" w:line="291" w:lineRule="auto"/>
        <w:rPr/>
      </w:pPr>
      <w:r>
        <w:rPr>
          <w:color w:val="231F20"/>
        </w:rPr>
        <w:t>[3]      LEVY R L,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JONES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</w:rPr>
        <w:t>K R, WHITEHEAD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W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E,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1"/>
        </w:rPr>
        <w:t>et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al.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Irritable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bowel</w:t>
      </w:r>
      <w:r>
        <w:rPr>
          <w:color w:val="231F20"/>
        </w:rPr>
        <w:t xml:space="preserve"> </w:t>
      </w:r>
      <w:r>
        <w:rPr>
          <w:color w:val="231F20"/>
        </w:rPr>
        <w:t>syndrome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twins: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Heredity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soci</w:t>
      </w:r>
      <w:r>
        <w:rPr>
          <w:color w:val="231F20"/>
          <w:spacing w:val="-1"/>
        </w:rPr>
        <w:t>al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1"/>
        </w:rPr>
        <w:t>learning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1"/>
        </w:rPr>
        <w:t>both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contribute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etiology[J]. Gastroenterology, 2001,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121(4): 799-804.</w:t>
      </w:r>
    </w:p>
    <w:p>
      <w:pPr>
        <w:pStyle w:val="BodyText"/>
        <w:ind w:left="492" w:right="71" w:hanging="411"/>
        <w:spacing w:before="20" w:line="287" w:lineRule="auto"/>
        <w:rPr/>
      </w:pPr>
      <w:r>
        <w:rPr>
          <w:color w:val="231F20"/>
          <w:spacing w:val="-1"/>
        </w:rPr>
        <w:t>[4]      VAN TILBURG M A, ZAKI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E A, VENKA</w:t>
      </w:r>
      <w:r>
        <w:rPr>
          <w:color w:val="231F20"/>
          <w:spacing w:val="-2"/>
        </w:rPr>
        <w:t>TESAN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2"/>
        </w:rPr>
        <w:t>T,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2"/>
        </w:rPr>
        <w:t>et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2"/>
        </w:rPr>
        <w:t>al.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Irritable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bowel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1"/>
        </w:rPr>
        <w:t>syndrome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may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1"/>
        </w:rPr>
        <w:t>be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1"/>
        </w:rPr>
        <w:t>associated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"/>
        </w:rPr>
        <w:t>wi</w:t>
      </w:r>
      <w:r>
        <w:rPr>
          <w:color w:val="231F20"/>
        </w:rPr>
        <w:t>th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maternal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inheritance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and</w:t>
      </w:r>
    </w:p>
    <w:p>
      <w:pPr>
        <w:spacing w:line="287" w:lineRule="auto"/>
        <w:sectPr>
          <w:footerReference w:type="default" r:id="rId4"/>
          <w:pgSz w:w="11906" w:h="16158"/>
          <w:pgMar w:top="631" w:right="832" w:bottom="547" w:left="407" w:header="0" w:footer="354" w:gutter="0"/>
          <w:cols w:equalWidth="0" w:num="2">
            <w:col w:w="5603" w:space="100"/>
            <w:col w:w="4963" w:space="0"/>
          </w:cols>
        </w:sectPr>
        <w:rPr/>
      </w:pPr>
    </w:p>
    <w:p>
      <w:pPr>
        <w:pStyle w:val="BodyText"/>
        <w:ind w:left="523"/>
        <w:spacing w:before="52" w:line="267" w:lineRule="auto"/>
        <w:rPr>
          <w:rFonts w:ascii="Arial" w:hAnsi="Arial" w:eastAsia="Arial" w:cs="Arial"/>
          <w:sz w:val="23"/>
          <w:szCs w:val="23"/>
        </w:rPr>
      </w:pPr>
      <w:r>
        <w:rPr>
          <w:rFonts w:ascii="SimSun" w:hAnsi="SimSun" w:eastAsia="SimSun" w:cs="SimSun"/>
          <w:sz w:val="18"/>
          <w:szCs w:val="18"/>
          <w:u w:val="single" w:color="auto"/>
          <w:color w:val="231F20"/>
          <w:spacing w:val="-3"/>
          <w:position w:val="1"/>
        </w:rPr>
        <w:t>中国医刊 </w:t>
      </w:r>
      <w:r>
        <w:rPr>
          <w:sz w:val="18"/>
          <w:szCs w:val="18"/>
          <w:u w:val="single" w:color="auto"/>
          <w:color w:val="231F20"/>
          <w:spacing w:val="-3"/>
          <w:position w:val="1"/>
        </w:rPr>
        <w:t>2024 </w:t>
      </w:r>
      <w:r>
        <w:rPr>
          <w:rFonts w:ascii="SimSun" w:hAnsi="SimSun" w:eastAsia="SimSun" w:cs="SimSun"/>
          <w:sz w:val="18"/>
          <w:szCs w:val="18"/>
          <w:u w:val="single" w:color="auto"/>
          <w:color w:val="231F20"/>
          <w:spacing w:val="-3"/>
          <w:position w:val="1"/>
        </w:rPr>
        <w:t>年</w:t>
      </w:r>
      <w:r>
        <w:rPr>
          <w:rFonts w:ascii="SimSun" w:hAnsi="SimSun" w:eastAsia="SimSun" w:cs="SimSun"/>
          <w:sz w:val="18"/>
          <w:szCs w:val="18"/>
          <w:u w:val="single" w:color="auto"/>
          <w:color w:val="231F20"/>
          <w:spacing w:val="22"/>
          <w:position w:val="1"/>
        </w:rPr>
        <w:t xml:space="preserve"> </w:t>
      </w:r>
      <w:r>
        <w:rPr>
          <w:rFonts w:ascii="SimSun" w:hAnsi="SimSun" w:eastAsia="SimSun" w:cs="SimSun"/>
          <w:sz w:val="18"/>
          <w:szCs w:val="18"/>
          <w:u w:val="single" w:color="auto"/>
          <w:color w:val="231F20"/>
          <w:spacing w:val="-3"/>
          <w:position w:val="1"/>
        </w:rPr>
        <w:t>第</w:t>
      </w:r>
      <w:r>
        <w:rPr>
          <w:sz w:val="18"/>
          <w:szCs w:val="18"/>
          <w:u w:val="single" w:color="auto"/>
          <w:color w:val="231F20"/>
          <w:spacing w:val="-3"/>
          <w:position w:val="1"/>
        </w:rPr>
        <w:t>59</w:t>
      </w:r>
      <w:r>
        <w:rPr>
          <w:sz w:val="18"/>
          <w:szCs w:val="18"/>
          <w:u w:val="single" w:color="auto"/>
          <w:color w:val="231F20"/>
          <w:spacing w:val="-18"/>
          <w:position w:val="1"/>
        </w:rPr>
        <w:t xml:space="preserve"> </w:t>
      </w:r>
      <w:r>
        <w:rPr>
          <w:rFonts w:ascii="SimSun" w:hAnsi="SimSun" w:eastAsia="SimSun" w:cs="SimSun"/>
          <w:sz w:val="18"/>
          <w:szCs w:val="18"/>
          <w:u w:val="single" w:color="auto"/>
          <w:color w:val="231F20"/>
          <w:spacing w:val="-3"/>
          <w:position w:val="1"/>
        </w:rPr>
        <w:t>卷</w:t>
      </w:r>
      <w:r>
        <w:rPr>
          <w:rFonts w:ascii="SimSun" w:hAnsi="SimSun" w:eastAsia="SimSun" w:cs="SimSun"/>
          <w:sz w:val="18"/>
          <w:szCs w:val="18"/>
          <w:u w:val="single" w:color="auto"/>
          <w:color w:val="231F20"/>
          <w:spacing w:val="23"/>
          <w:position w:val="1"/>
        </w:rPr>
        <w:t xml:space="preserve"> </w:t>
      </w:r>
      <w:r>
        <w:rPr>
          <w:rFonts w:ascii="SimSun" w:hAnsi="SimSun" w:eastAsia="SimSun" w:cs="SimSun"/>
          <w:sz w:val="18"/>
          <w:szCs w:val="18"/>
          <w:u w:val="single" w:color="auto"/>
          <w:color w:val="231F20"/>
          <w:spacing w:val="-3"/>
          <w:position w:val="1"/>
        </w:rPr>
        <w:t>第</w:t>
      </w:r>
      <w:r>
        <w:rPr>
          <w:sz w:val="18"/>
          <w:szCs w:val="18"/>
          <w:u w:val="single" w:color="auto"/>
          <w:color w:val="231F20"/>
          <w:spacing w:val="-3"/>
          <w:position w:val="1"/>
        </w:rPr>
        <w:t>7</w:t>
      </w:r>
      <w:r>
        <w:rPr>
          <w:sz w:val="18"/>
          <w:szCs w:val="18"/>
          <w:u w:val="single" w:color="auto"/>
          <w:color w:val="231F20"/>
          <w:spacing w:val="-17"/>
          <w:position w:val="1"/>
        </w:rPr>
        <w:t xml:space="preserve"> </w:t>
      </w:r>
      <w:r>
        <w:rPr>
          <w:rFonts w:ascii="SimSun" w:hAnsi="SimSun" w:eastAsia="SimSun" w:cs="SimSun"/>
          <w:sz w:val="18"/>
          <w:szCs w:val="18"/>
          <w:u w:val="single" w:color="auto"/>
          <w:color w:val="231F20"/>
          <w:spacing w:val="-3"/>
          <w:position w:val="1"/>
        </w:rPr>
        <w:t>期 </w:t>
      </w:r>
      <w:r>
        <w:rPr>
          <w:sz w:val="18"/>
          <w:szCs w:val="18"/>
          <w:u w:val="single" w:color="auto"/>
          <w:color w:val="231F20"/>
          <w:spacing w:val="-4"/>
          <w:position w:val="1"/>
        </w:rPr>
        <w:t>Chin J Med, 2024, Vol 59,</w:t>
      </w:r>
      <w:r>
        <w:rPr>
          <w:sz w:val="18"/>
          <w:szCs w:val="18"/>
          <w:u w:val="single" w:color="auto"/>
          <w:color w:val="231F20"/>
          <w:spacing w:val="-10"/>
          <w:position w:val="1"/>
        </w:rPr>
        <w:t xml:space="preserve"> </w:t>
      </w:r>
      <w:r>
        <w:rPr>
          <w:sz w:val="18"/>
          <w:szCs w:val="18"/>
          <w:u w:val="single" w:color="auto"/>
          <w:color w:val="231F20"/>
          <w:spacing w:val="-4"/>
          <w:position w:val="1"/>
        </w:rPr>
        <w:t>No.7</w:t>
      </w:r>
      <w:r>
        <w:rPr>
          <w:sz w:val="18"/>
          <w:szCs w:val="18"/>
          <w:u w:val="single" w:color="auto"/>
          <w:color w:val="231F20"/>
          <w:spacing w:val="-42"/>
          <w:position w:val="1"/>
        </w:rPr>
        <w:t xml:space="preserve"> </w:t>
      </w:r>
      <w:r>
        <w:rPr>
          <w:sz w:val="18"/>
          <w:szCs w:val="18"/>
          <w:color w:val="231F20"/>
          <w:spacing w:val="1"/>
          <w:position w:val="1"/>
        </w:rPr>
        <w:t xml:space="preserve">                             </w:t>
      </w:r>
      <w:r>
        <w:rPr>
          <w:sz w:val="18"/>
          <w:szCs w:val="18"/>
          <w:color w:val="231F20"/>
          <w:position w:val="1"/>
        </w:rPr>
        <w:t xml:space="preserve">                                                                          </w:t>
      </w:r>
      <w:r>
        <w:rPr>
          <w:rFonts w:ascii="Arial" w:hAnsi="Arial" w:eastAsia="Arial" w:cs="Arial"/>
          <w:sz w:val="23"/>
          <w:szCs w:val="23"/>
          <w:color w:val="231F20"/>
          <w:spacing w:val="-4"/>
          <w:position w:val="-4"/>
        </w:rPr>
        <w:t>713</w:t>
      </w:r>
    </w:p>
    <w:p>
      <w:pPr>
        <w:spacing w:before="2"/>
        <w:rPr/>
      </w:pPr>
      <w:r/>
    </w:p>
    <w:p>
      <w:pPr>
        <w:sectPr>
          <w:footerReference w:type="default" r:id="rId5"/>
          <w:pgSz w:w="11906" w:h="16158"/>
          <w:pgMar w:top="627" w:right="889" w:bottom="547" w:left="407" w:header="0" w:footer="354" w:gutter="0"/>
          <w:cols w:equalWidth="0" w:num="1">
            <w:col w:w="10609" w:space="0"/>
          </w:cols>
        </w:sectPr>
        <w:rPr/>
      </w:pPr>
    </w:p>
    <w:p>
      <w:pPr>
        <w:pStyle w:val="BodyText"/>
        <w:ind w:left="933" w:right="369" w:hanging="8"/>
        <w:spacing w:before="46" w:line="287" w:lineRule="auto"/>
        <w:rPr/>
      </w:pPr>
      <w:r>
        <w:rPr>
          <w:color w:val="231F20"/>
          <w:spacing w:val="2"/>
        </w:rPr>
        <w:t>mitochondrial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2"/>
        </w:rPr>
        <w:t>DNA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2"/>
        </w:rPr>
        <w:t>control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2"/>
        </w:rPr>
        <w:t>region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2"/>
        </w:rPr>
        <w:t>sequence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2"/>
        </w:rPr>
        <w:t>var</w:t>
      </w:r>
      <w:r>
        <w:rPr>
          <w:color w:val="231F20"/>
          <w:spacing w:val="1"/>
        </w:rPr>
        <w:t>iants[J].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"/>
        </w:rPr>
        <w:t>Dig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1"/>
        </w:rPr>
        <w:t>Dis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Sci, 2014, 59(7):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1"/>
        </w:rPr>
        <w:t>1392-13</w:t>
      </w:r>
      <w:r>
        <w:rPr>
          <w:color w:val="231F20"/>
          <w:spacing w:val="-2"/>
        </w:rPr>
        <w:t>97.</w:t>
      </w:r>
    </w:p>
    <w:p>
      <w:pPr>
        <w:pStyle w:val="BodyText"/>
        <w:ind w:left="923" w:right="349" w:hanging="411"/>
        <w:spacing w:before="20" w:line="291" w:lineRule="auto"/>
        <w:rPr/>
      </w:pPr>
      <w:r>
        <w:rPr>
          <w:color w:val="231F20"/>
          <w:spacing w:val="11"/>
        </w:rPr>
        <w:t>[5]     </w:t>
      </w:r>
      <w:r>
        <w:rPr>
          <w:color w:val="231F20"/>
        </w:rPr>
        <w:t>NEWTON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E</w:t>
      </w:r>
      <w:r>
        <w:rPr>
          <w:color w:val="231F20"/>
          <w:spacing w:val="11"/>
        </w:rPr>
        <w:t>,  </w:t>
      </w:r>
      <w:r>
        <w:rPr>
          <w:color w:val="231F20"/>
        </w:rPr>
        <w:t>SCHOSHEIM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1"/>
        </w:rPr>
        <w:t>,  </w:t>
      </w:r>
      <w:r>
        <w:rPr>
          <w:color w:val="231F20"/>
        </w:rPr>
        <w:t>PATEL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</w:rPr>
        <w:t>S</w:t>
      </w:r>
      <w:r>
        <w:rPr>
          <w:color w:val="231F20"/>
          <w:spacing w:val="11"/>
        </w:rPr>
        <w:t>,  </w:t>
      </w:r>
      <w:r>
        <w:rPr>
          <w:color w:val="231F20"/>
        </w:rPr>
        <w:t>et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1"/>
        </w:rPr>
        <w:t>.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</w:rPr>
        <w:t>role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of </w:t>
      </w:r>
      <w:r>
        <w:rPr>
          <w:color w:val="231F20"/>
          <w:spacing w:val="7"/>
        </w:rPr>
        <w:t>psychological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7"/>
        </w:rPr>
        <w:t>factors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7"/>
        </w:rPr>
        <w:t>in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6"/>
        </w:rPr>
        <w:t>pediatric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6"/>
        </w:rPr>
        <w:t>functional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6"/>
        </w:rPr>
        <w:t>abdominal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6"/>
        </w:rPr>
        <w:t>pain</w:t>
      </w:r>
      <w:r>
        <w:rPr>
          <w:color w:val="231F20"/>
        </w:rPr>
        <w:t xml:space="preserve">  </w:t>
      </w:r>
      <w:r>
        <w:rPr>
          <w:color w:val="231F20"/>
        </w:rPr>
        <w:t>disorders[J]. Neurogastroenterol Motil, 2019, 31(6): e13538.</w:t>
      </w:r>
    </w:p>
    <w:p>
      <w:pPr>
        <w:pStyle w:val="BodyText"/>
        <w:ind w:left="924" w:right="348" w:hanging="412"/>
        <w:spacing w:before="20" w:line="291" w:lineRule="auto"/>
        <w:rPr/>
      </w:pPr>
      <w:r>
        <w:rPr>
          <w:color w:val="231F20"/>
          <w:spacing w:val="-1"/>
        </w:rPr>
        <w:t>[6]      ZERNIKOW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B,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WAGER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J,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HECHLER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1"/>
        </w:rPr>
        <w:t>T,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et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al.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Characteristics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highly impaired children with severe chronic pain: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5-year retrospec</w:t>
      </w:r>
      <w:r>
        <w:rPr>
          <w:color w:val="231F20"/>
          <w:spacing w:val="-5"/>
        </w:rPr>
        <w:t>tive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study on 2249 pediatric pain patients[J]. BMC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Pediat</w:t>
      </w:r>
      <w:r>
        <w:rPr>
          <w:color w:val="231F20"/>
          <w:spacing w:val="-5"/>
        </w:rPr>
        <w:t>r, 2012,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12: 54.</w:t>
      </w:r>
    </w:p>
    <w:p>
      <w:pPr>
        <w:pStyle w:val="BodyText"/>
        <w:ind w:left="929" w:right="366" w:hanging="417"/>
        <w:spacing w:before="18" w:line="294" w:lineRule="auto"/>
        <w:rPr/>
      </w:pPr>
      <w:r>
        <w:rPr>
          <w:color w:val="231F20"/>
        </w:rPr>
        <w:t>[7]      LEVY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</w:rPr>
        <w:t>R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L,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</w:rPr>
        <w:t>WHITEHEAD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W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E,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WALKER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L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</w:rPr>
        <w:t>S,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al.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Increased </w:t>
      </w:r>
      <w:r>
        <w:rPr>
          <w:color w:val="231F20"/>
          <w:spacing w:val="1"/>
        </w:rPr>
        <w:t>somatic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1"/>
        </w:rPr>
        <w:t>complaints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"/>
        </w:rPr>
        <w:t>and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"/>
        </w:rPr>
        <w:t>health-care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</w:rPr>
        <w:t>u</w:t>
      </w:r>
      <w:r>
        <w:rPr>
          <w:color w:val="231F20"/>
        </w:rPr>
        <w:t>tilization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children: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Effects </w:t>
      </w:r>
      <w:r>
        <w:rPr>
          <w:color w:val="231F20"/>
          <w:spacing w:val="7"/>
        </w:rPr>
        <w:t>of parent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7"/>
        </w:rPr>
        <w:t>IBS  status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7"/>
        </w:rPr>
        <w:t>parent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7"/>
        </w:rPr>
        <w:t>response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7"/>
        </w:rPr>
        <w:t>gastrointestinal</w:t>
      </w:r>
      <w:r>
        <w:rPr>
          <w:color w:val="231F20"/>
        </w:rPr>
        <w:t xml:space="preserve"> </w:t>
      </w:r>
      <w:r>
        <w:rPr>
          <w:color w:val="231F20"/>
        </w:rPr>
        <w:t>symptoms[J].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Am J Gastroenterol, 2004, 99(12): 24</w:t>
      </w:r>
      <w:r>
        <w:rPr>
          <w:color w:val="231F20"/>
          <w:spacing w:val="-1"/>
        </w:rPr>
        <w:t>42-2451.</w:t>
      </w:r>
    </w:p>
    <w:p>
      <w:pPr>
        <w:pStyle w:val="BodyText"/>
        <w:ind w:left="928" w:right="368" w:hanging="416"/>
        <w:spacing w:before="18" w:line="292" w:lineRule="auto"/>
        <w:rPr/>
      </w:pPr>
      <w:r>
        <w:rPr>
          <w:color w:val="231F20"/>
        </w:rPr>
        <w:t>[8]      HALAC U, NOBLE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A, FAUR</w:t>
      </w:r>
      <w:r>
        <w:rPr>
          <w:color w:val="231F20"/>
          <w:spacing w:val="-1"/>
        </w:rPr>
        <w:t>E C. Rectal sensory threshold for pain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is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1"/>
        </w:rPr>
        <w:t>a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1"/>
        </w:rPr>
        <w:t>diagnostic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marker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"/>
        </w:rPr>
        <w:t>of irritable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1"/>
        </w:rPr>
        <w:t>bo</w:t>
      </w:r>
      <w:r>
        <w:rPr>
          <w:color w:val="231F20"/>
        </w:rPr>
        <w:t>wel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</w:rPr>
        <w:t>syndrome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functional </w:t>
      </w:r>
      <w:r>
        <w:rPr>
          <w:color w:val="231F20"/>
        </w:rPr>
        <w:t>abdominal pain in children[J].</w:t>
      </w:r>
      <w:r>
        <w:rPr>
          <w:color w:val="231F20"/>
          <w:spacing w:val="-1"/>
        </w:rPr>
        <w:t xml:space="preserve"> J Pediatr, 2010,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1"/>
        </w:rPr>
        <w:t>156(1): 60-65.</w:t>
      </w:r>
    </w:p>
    <w:p>
      <w:pPr>
        <w:pStyle w:val="BodyText"/>
        <w:ind w:left="927" w:right="364" w:hanging="415"/>
        <w:spacing w:before="18" w:line="294" w:lineRule="auto"/>
        <w:rPr/>
      </w:pPr>
      <w:r>
        <w:rPr>
          <w:color w:val="231F20"/>
        </w:rPr>
        <w:t>[9]      DINARDO G, BARBARA G, CU</w:t>
      </w:r>
      <w:r>
        <w:rPr>
          <w:color w:val="231F20"/>
          <w:spacing w:val="-1"/>
        </w:rPr>
        <w:t>CCHIARA S, et al. Neuroimmune</w:t>
      </w:r>
      <w:r>
        <w:rPr>
          <w:color w:val="231F20"/>
        </w:rPr>
        <w:t xml:space="preserve"> </w:t>
      </w:r>
      <w:r>
        <w:rPr>
          <w:color w:val="231F20"/>
        </w:rPr>
        <w:t>interactions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</w:rPr>
        <w:t>different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intestinal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sites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ar</w:t>
      </w:r>
      <w:r>
        <w:rPr>
          <w:color w:val="231F20"/>
          <w:spacing w:val="-1"/>
        </w:rPr>
        <w:t>e related to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abdominal pain</w:t>
      </w:r>
      <w:r>
        <w:rPr>
          <w:color w:val="231F20"/>
        </w:rPr>
        <w:t xml:space="preserve"> </w:t>
      </w:r>
      <w:r>
        <w:rPr>
          <w:color w:val="231F20"/>
        </w:rPr>
        <w:t>symptoms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children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</w:rPr>
        <w:t>IBS[J]. Neurogastroent</w:t>
      </w:r>
      <w:r>
        <w:rPr>
          <w:color w:val="231F20"/>
          <w:spacing w:val="-1"/>
        </w:rPr>
        <w:t>erol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Motil,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2014,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26(2):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196-204.</w:t>
      </w:r>
    </w:p>
    <w:p>
      <w:pPr>
        <w:pStyle w:val="BodyText"/>
        <w:ind w:left="928" w:right="365" w:hanging="416"/>
        <w:spacing w:before="21" w:line="291" w:lineRule="auto"/>
        <w:rPr/>
      </w:pPr>
      <w:r>
        <w:rPr>
          <w:color w:val="231F20"/>
          <w:spacing w:val="-1"/>
        </w:rPr>
        <w:t>[10]    FRIESEN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C A,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LIN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Z,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SINGH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1"/>
        </w:rPr>
        <w:t>M,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1"/>
        </w:rPr>
        <w:t>et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al. Antral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1"/>
        </w:rPr>
        <w:t>inﬂammatory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cells,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gastric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2"/>
        </w:rPr>
        <w:t>emptying,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2"/>
        </w:rPr>
        <w:t>electrogastrography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2"/>
        </w:rPr>
        <w:t>in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2"/>
        </w:rPr>
        <w:t>pedia</w:t>
      </w:r>
      <w:r>
        <w:rPr>
          <w:color w:val="231F20"/>
          <w:spacing w:val="1"/>
        </w:rPr>
        <w:t>tric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1"/>
        </w:rPr>
        <w:t>functional</w:t>
      </w:r>
      <w:r>
        <w:rPr>
          <w:color w:val="231F20"/>
        </w:rPr>
        <w:t xml:space="preserve"> </w:t>
      </w:r>
      <w:r>
        <w:rPr>
          <w:color w:val="231F20"/>
        </w:rPr>
        <w:t>dyspepsia[J]. Dig Dis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Sci, 2008, 53</w:t>
      </w:r>
      <w:r>
        <w:rPr>
          <w:color w:val="231F20"/>
          <w:spacing w:val="-1"/>
        </w:rPr>
        <w:t>(10): 2634-2640.</w:t>
      </w:r>
    </w:p>
    <w:p>
      <w:pPr>
        <w:pStyle w:val="BodyText"/>
        <w:ind w:left="924" w:right="365" w:hanging="412"/>
        <w:spacing w:before="18" w:line="292" w:lineRule="auto"/>
        <w:rPr/>
      </w:pPr>
      <w:r>
        <w:rPr>
          <w:color w:val="231F20"/>
          <w:spacing w:val="5"/>
        </w:rPr>
        <w:t>[11]    </w:t>
      </w:r>
      <w:r>
        <w:rPr>
          <w:color w:val="231F20"/>
        </w:rPr>
        <w:t>SCH</w:t>
      </w:r>
      <w:r>
        <w:rPr>
          <w:color w:val="231F20"/>
          <w:spacing w:val="5"/>
        </w:rPr>
        <w:t>Ä</w:t>
      </w:r>
      <w:r>
        <w:rPr>
          <w:color w:val="231F20"/>
        </w:rPr>
        <w:t>PPI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</w:rPr>
        <w:t>M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</w:rPr>
        <w:t>G</w:t>
      </w:r>
      <w:r>
        <w:rPr>
          <w:color w:val="231F20"/>
          <w:spacing w:val="5"/>
        </w:rPr>
        <w:t>,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</w:rPr>
        <w:t>BORRELLI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5"/>
        </w:rPr>
        <w:t>,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KNAFELZ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D</w:t>
      </w:r>
      <w:r>
        <w:rPr>
          <w:color w:val="231F20"/>
          <w:spacing w:val="5"/>
        </w:rPr>
        <w:t>,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5"/>
        </w:rPr>
        <w:t>.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Mast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cell</w:t>
      </w:r>
      <w:r>
        <w:rPr>
          <w:color w:val="231F20"/>
          <w:spacing w:val="5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nerve interactions in children with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</w:rPr>
        <w:t>functional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dyspepsia[J].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J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Pediatr </w:t>
      </w:r>
      <w:r>
        <w:rPr>
          <w:color w:val="231F20"/>
        </w:rPr>
        <w:t>Gastroenterol Nutr, 2008, 47(4):</w:t>
      </w:r>
      <w:r>
        <w:rPr>
          <w:color w:val="231F20"/>
          <w:spacing w:val="-1"/>
        </w:rPr>
        <w:t xml:space="preserve"> 472-480.</w:t>
      </w:r>
    </w:p>
    <w:p>
      <w:pPr>
        <w:pStyle w:val="BodyText"/>
        <w:ind w:left="931" w:right="366" w:hanging="419"/>
        <w:spacing w:before="44" w:line="253" w:lineRule="auto"/>
        <w:rPr/>
      </w:pPr>
      <w:r>
        <w:rPr>
          <w:color w:val="231F20"/>
          <w:spacing w:val="3"/>
        </w:rPr>
        <w:t>[12]    </w:t>
      </w:r>
      <w:r>
        <w:rPr>
          <w:rFonts w:ascii="SimSun" w:hAnsi="SimSun" w:eastAsia="SimSun" w:cs="SimSun"/>
          <w:color w:val="231F20"/>
          <w:spacing w:val="3"/>
        </w:rPr>
        <w:t>中华医学会消化病学分会胃肠动力学</w:t>
      </w:r>
      <w:r>
        <w:rPr>
          <w:rFonts w:ascii="SimSun" w:hAnsi="SimSun" w:eastAsia="SimSun" w:cs="SimSun"/>
          <w:color w:val="231F20"/>
          <w:spacing w:val="2"/>
        </w:rPr>
        <w:t>组</w:t>
      </w:r>
      <w:r>
        <w:rPr>
          <w:color w:val="231F20"/>
          <w:spacing w:val="2"/>
        </w:rPr>
        <w:t>,  </w:t>
      </w:r>
      <w:r>
        <w:rPr>
          <w:rFonts w:ascii="SimSun" w:hAnsi="SimSun" w:eastAsia="SimSun" w:cs="SimSun"/>
          <w:color w:val="231F20"/>
          <w:spacing w:val="2"/>
        </w:rPr>
        <w:t>中华医学会消化病学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分会胃肠功能性疾病协作组</w:t>
      </w:r>
      <w:r>
        <w:rPr>
          <w:color w:val="231F20"/>
          <w:spacing w:val="4"/>
        </w:rPr>
        <w:t>.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4"/>
        </w:rPr>
        <w:t>2022</w:t>
      </w:r>
      <w:r>
        <w:rPr>
          <w:rFonts w:ascii="SimSun" w:hAnsi="SimSun" w:eastAsia="SimSun" w:cs="SimSun"/>
          <w:color w:val="231F20"/>
          <w:spacing w:val="4"/>
        </w:rPr>
        <w:t>中国功能性消化不良诊治专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家共识</w:t>
      </w:r>
      <w:r>
        <w:rPr>
          <w:color w:val="231F20"/>
          <w:spacing w:val="-1"/>
        </w:rPr>
        <w:t>[J].</w:t>
      </w:r>
      <w:r>
        <w:rPr>
          <w:color w:val="231F20"/>
          <w:spacing w:val="27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中华消化杂志</w:t>
      </w:r>
      <w:r>
        <w:rPr>
          <w:color w:val="231F20"/>
          <w:spacing w:val="-1"/>
        </w:rPr>
        <w:t>, 2023, 43(7): 433-446.</w:t>
      </w:r>
    </w:p>
    <w:p>
      <w:pPr>
        <w:pStyle w:val="BodyText"/>
        <w:ind w:left="926" w:right="366" w:hanging="414"/>
        <w:spacing w:before="32" w:line="255" w:lineRule="auto"/>
        <w:rPr/>
      </w:pPr>
      <w:r>
        <w:rPr>
          <w:color w:val="231F20"/>
          <w:spacing w:val="-1"/>
        </w:rPr>
        <w:t>[13]    </w:t>
      </w:r>
      <w:r>
        <w:rPr>
          <w:rFonts w:ascii="SimSun" w:hAnsi="SimSun" w:eastAsia="SimSun" w:cs="SimSun"/>
          <w:color w:val="231F20"/>
          <w:spacing w:val="-1"/>
        </w:rPr>
        <w:t>葛婷</w:t>
      </w:r>
      <w:r>
        <w:rPr>
          <w:color w:val="231F20"/>
          <w:spacing w:val="-1"/>
        </w:rPr>
        <w:t>,</w:t>
      </w:r>
      <w:r>
        <w:rPr>
          <w:color w:val="231F20"/>
          <w:spacing w:val="22"/>
          <w:w w:val="102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张婷</w:t>
      </w:r>
      <w:r>
        <w:rPr>
          <w:color w:val="231F20"/>
          <w:spacing w:val="-1"/>
        </w:rPr>
        <w:t>.</w:t>
      </w:r>
      <w:r>
        <w:rPr>
          <w:color w:val="231F20"/>
          <w:spacing w:val="15"/>
          <w:w w:val="102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儿童功能性消化不良的诊治进展</w:t>
      </w:r>
      <w:r>
        <w:rPr>
          <w:color w:val="231F20"/>
          <w:spacing w:val="-1"/>
        </w:rPr>
        <w:t>[J].</w:t>
      </w:r>
      <w:r>
        <w:rPr>
          <w:color w:val="231F20"/>
          <w:spacing w:val="13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上海医药</w:t>
      </w:r>
      <w:r>
        <w:rPr>
          <w:color w:val="231F20"/>
          <w:spacing w:val="-1"/>
        </w:rPr>
        <w:t>, 2022,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43(14): 3-6,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2"/>
        </w:rPr>
        <w:t>10.</w:t>
      </w:r>
    </w:p>
    <w:p>
      <w:pPr>
        <w:pStyle w:val="BodyText"/>
        <w:ind w:left="927" w:right="366" w:hanging="415"/>
        <w:spacing w:before="44" w:line="260" w:lineRule="auto"/>
        <w:rPr/>
      </w:pPr>
      <w:r>
        <w:rPr>
          <w:color w:val="231F20"/>
          <w:spacing w:val="3"/>
        </w:rPr>
        <w:t>[14]    </w:t>
      </w:r>
      <w:r>
        <w:rPr>
          <w:rFonts w:ascii="SimSun" w:hAnsi="SimSun" w:eastAsia="SimSun" w:cs="SimSun"/>
          <w:color w:val="231F20"/>
          <w:spacing w:val="3"/>
        </w:rPr>
        <w:t>中华医学会儿科学分会消化学组</w:t>
      </w:r>
      <w:r>
        <w:rPr>
          <w:color w:val="231F20"/>
          <w:spacing w:val="3"/>
        </w:rPr>
        <w:t>, </w:t>
      </w:r>
      <w:r>
        <w:rPr>
          <w:color w:val="231F20"/>
          <w:spacing w:val="2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中国中药协会儿童健康与药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>物研究专业委员会消化学组</w:t>
      </w:r>
      <w:r>
        <w:rPr>
          <w:color w:val="231F20"/>
        </w:rPr>
        <w:t>,</w:t>
      </w:r>
      <w:r>
        <w:rPr>
          <w:color w:val="231F20"/>
          <w:spacing w:val="38"/>
        </w:rPr>
        <w:t xml:space="preserve"> </w:t>
      </w:r>
      <w:r>
        <w:rPr>
          <w:rFonts w:ascii="SimSun" w:hAnsi="SimSun" w:eastAsia="SimSun" w:cs="SimSun"/>
          <w:color w:val="231F20"/>
        </w:rPr>
        <w:t>中华儿科杂志编辑</w:t>
      </w:r>
      <w:r>
        <w:rPr>
          <w:rFonts w:ascii="SimSun" w:hAnsi="SimSun" w:eastAsia="SimSun" w:cs="SimSun"/>
          <w:color w:val="231F20"/>
          <w:spacing w:val="-1"/>
        </w:rPr>
        <w:t>委员会</w:t>
      </w:r>
      <w:r>
        <w:rPr>
          <w:color w:val="231F20"/>
          <w:spacing w:val="-1"/>
        </w:rPr>
        <w:t>.</w:t>
      </w:r>
      <w:r>
        <w:rPr>
          <w:color w:val="231F20"/>
          <w:spacing w:val="38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中国儿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童功能性消化不良诊断和治疗共识</w:t>
      </w:r>
      <w:r>
        <w:rPr>
          <w:color w:val="231F20"/>
          <w:spacing w:val="3"/>
        </w:rPr>
        <w:t>(2022</w:t>
      </w:r>
      <w:r>
        <w:rPr>
          <w:rFonts w:ascii="SimSun" w:hAnsi="SimSun" w:eastAsia="SimSun" w:cs="SimSun"/>
          <w:color w:val="231F20"/>
          <w:spacing w:val="3"/>
        </w:rPr>
        <w:t>版</w:t>
      </w:r>
      <w:r>
        <w:rPr>
          <w:color w:val="231F20"/>
          <w:spacing w:val="3"/>
        </w:rPr>
        <w:t>)[J].  </w:t>
      </w:r>
      <w:r>
        <w:rPr>
          <w:rFonts w:ascii="SimSun" w:hAnsi="SimSun" w:eastAsia="SimSun" w:cs="SimSun"/>
          <w:color w:val="231F20"/>
          <w:spacing w:val="3"/>
        </w:rPr>
        <w:t>中华儿科杂志</w:t>
      </w:r>
      <w:r>
        <w:rPr>
          <w:color w:val="231F20"/>
          <w:spacing w:val="3"/>
        </w:rPr>
        <w:t>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2022, 60(8):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751-755.</w:t>
      </w:r>
    </w:p>
    <w:p>
      <w:pPr>
        <w:pStyle w:val="BodyText"/>
        <w:ind w:left="926" w:right="365" w:hanging="414"/>
        <w:spacing w:before="20" w:line="291" w:lineRule="auto"/>
        <w:rPr/>
      </w:pPr>
      <w:r>
        <w:rPr>
          <w:color w:val="231F20"/>
          <w:spacing w:val="10"/>
        </w:rPr>
        <w:t>[15]    </w:t>
      </w:r>
      <w:r>
        <w:rPr>
          <w:color w:val="231F20"/>
        </w:rPr>
        <w:t>BOCCIA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G</w:t>
      </w:r>
      <w:r>
        <w:rPr>
          <w:color w:val="231F20"/>
          <w:spacing w:val="10"/>
        </w:rPr>
        <w:t>,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BUONAVOLONT</w:t>
      </w:r>
      <w:r>
        <w:rPr>
          <w:color w:val="231F20"/>
          <w:spacing w:val="10"/>
        </w:rPr>
        <w:t>À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10"/>
        </w:rPr>
        <w:t>R,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COCCORULLO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</w:rPr>
        <w:t>P</w:t>
      </w:r>
      <w:r>
        <w:rPr>
          <w:color w:val="231F20"/>
          <w:spacing w:val="10"/>
        </w:rPr>
        <w:t>,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0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Dyspeptic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3"/>
        </w:rPr>
        <w:t>symptoms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3"/>
        </w:rPr>
        <w:t>in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3"/>
        </w:rPr>
        <w:t>children: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result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3"/>
        </w:rPr>
        <w:t>of a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3"/>
        </w:rPr>
        <w:t>constipation-induced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cologastric brake?[J]. Clin Gastroenterol Hepatol, 2008, 6(</w:t>
      </w:r>
      <w:r>
        <w:rPr>
          <w:color w:val="231F20"/>
          <w:spacing w:val="-4"/>
        </w:rPr>
        <w:t>5): 556-560.</w:t>
      </w:r>
    </w:p>
    <w:p>
      <w:pPr>
        <w:pStyle w:val="BodyText"/>
        <w:ind w:left="943" w:right="366" w:hanging="431"/>
        <w:spacing w:before="44" w:line="247" w:lineRule="auto"/>
        <w:rPr/>
      </w:pPr>
      <w:r>
        <w:rPr>
          <w:color w:val="231F20"/>
          <w:spacing w:val="1"/>
        </w:rPr>
        <w:t>[16]    </w:t>
      </w:r>
      <w:r>
        <w:rPr>
          <w:rFonts w:ascii="SimSun" w:hAnsi="SimSun" w:eastAsia="SimSun" w:cs="SimSun"/>
          <w:color w:val="231F20"/>
          <w:spacing w:val="1"/>
        </w:rPr>
        <w:t>吉明明</w:t>
      </w:r>
      <w:r>
        <w:rPr>
          <w:color w:val="231F20"/>
          <w:spacing w:val="1"/>
        </w:rPr>
        <w:t>,</w:t>
      </w:r>
      <w:r>
        <w:rPr>
          <w:color w:val="231F20"/>
          <w:spacing w:val="44"/>
          <w:w w:val="102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张剑</w:t>
      </w:r>
      <w:r>
        <w:rPr>
          <w:color w:val="231F20"/>
          <w:spacing w:val="1"/>
        </w:rPr>
        <w:t>,</w:t>
      </w:r>
      <w:r>
        <w:rPr>
          <w:color w:val="231F20"/>
          <w:spacing w:val="30"/>
          <w:w w:val="102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张杨</w:t>
      </w:r>
      <w:r>
        <w:rPr>
          <w:color w:val="231F20"/>
          <w:spacing w:val="1"/>
        </w:rPr>
        <w:t>.</w:t>
      </w:r>
      <w:r>
        <w:rPr>
          <w:color w:val="231F20"/>
          <w:spacing w:val="27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神曲消食口服液治疗儿童功能性消化不良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的疗效观察</w:t>
      </w:r>
      <w:r>
        <w:rPr>
          <w:color w:val="231F20"/>
          <w:spacing w:val="-2"/>
        </w:rPr>
        <w:t>[J].</w:t>
      </w:r>
      <w:r>
        <w:rPr>
          <w:color w:val="231F20"/>
          <w:spacing w:val="32"/>
          <w:w w:val="102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当代医学</w:t>
      </w:r>
      <w:r>
        <w:rPr>
          <w:color w:val="231F20"/>
          <w:spacing w:val="-2"/>
        </w:rPr>
        <w:t>, 2020, 26(23):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2"/>
        </w:rPr>
        <w:t>175-176.</w:t>
      </w:r>
    </w:p>
    <w:p>
      <w:pPr>
        <w:pStyle w:val="BodyText"/>
        <w:ind w:left="931" w:right="367" w:hanging="419"/>
        <w:spacing w:before="32" w:line="247" w:lineRule="auto"/>
        <w:rPr/>
      </w:pPr>
      <w:r>
        <w:rPr>
          <w:color w:val="231F20"/>
        </w:rPr>
        <w:t>[17]    </w:t>
      </w:r>
      <w:r>
        <w:rPr>
          <w:rFonts w:ascii="SimSun" w:hAnsi="SimSun" w:eastAsia="SimSun" w:cs="SimSun"/>
          <w:color w:val="231F20"/>
        </w:rPr>
        <w:t>伍思琪</w:t>
      </w:r>
      <w:r>
        <w:rPr>
          <w:color w:val="231F20"/>
        </w:rPr>
        <w:t>.</w:t>
      </w:r>
      <w:r>
        <w:rPr>
          <w:color w:val="231F20"/>
          <w:spacing w:val="22"/>
          <w:w w:val="102"/>
        </w:rPr>
        <w:t xml:space="preserve"> </w:t>
      </w:r>
      <w:r>
        <w:rPr>
          <w:rFonts w:ascii="SimSun" w:hAnsi="SimSun" w:eastAsia="SimSun" w:cs="SimSun"/>
          <w:color w:val="231F20"/>
        </w:rPr>
        <w:t>王氏保赤丸治疗儿童功能性消化</w:t>
      </w:r>
      <w:r>
        <w:rPr>
          <w:rFonts w:ascii="SimSun" w:hAnsi="SimSun" w:eastAsia="SimSun" w:cs="SimSun"/>
          <w:color w:val="231F20"/>
          <w:spacing w:val="-1"/>
        </w:rPr>
        <w:t>不良</w:t>
      </w:r>
      <w:r>
        <w:rPr>
          <w:color w:val="231F20"/>
          <w:spacing w:val="-1"/>
        </w:rPr>
        <w:t>110</w:t>
      </w:r>
      <w:r>
        <w:rPr>
          <w:rFonts w:ascii="SimSun" w:hAnsi="SimSun" w:eastAsia="SimSun" w:cs="SimSun"/>
          <w:color w:val="231F20"/>
          <w:spacing w:val="-1"/>
        </w:rPr>
        <w:t>例疗效观察</w:t>
      </w:r>
      <w:r>
        <w:rPr>
          <w:color w:val="231F20"/>
          <w:spacing w:val="-1"/>
        </w:rPr>
        <w:t>[J].</w:t>
      </w:r>
      <w:r>
        <w:rPr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上海医药</w:t>
      </w:r>
      <w:r>
        <w:rPr>
          <w:color w:val="231F20"/>
          <w:spacing w:val="-1"/>
        </w:rPr>
        <w:t>, 2018, 39(13):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15-</w:t>
      </w:r>
      <w:r>
        <w:rPr>
          <w:color w:val="231F20"/>
          <w:spacing w:val="-2"/>
        </w:rPr>
        <w:t>17.</w:t>
      </w:r>
    </w:p>
    <w:p>
      <w:pPr>
        <w:pStyle w:val="BodyText"/>
        <w:ind w:left="929" w:right="365" w:hanging="417"/>
        <w:spacing w:before="8" w:line="291" w:lineRule="auto"/>
        <w:rPr/>
      </w:pPr>
      <w:r>
        <w:rPr>
          <w:color w:val="231F20"/>
        </w:rPr>
        <w:t>[18]    RIPPEL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S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W, ACRA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S,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COR</w:t>
      </w:r>
      <w:r>
        <w:rPr>
          <w:color w:val="231F20"/>
          <w:spacing w:val="-1"/>
        </w:rPr>
        <w:t>REA H,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1"/>
        </w:rPr>
        <w:t>et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al.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Pediatric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patients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dyspepsia have chronic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3"/>
        </w:rPr>
        <w:t>symptoms, anxiety, and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3"/>
        </w:rPr>
        <w:t>lower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3"/>
        </w:rPr>
        <w:t>quality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3"/>
        </w:rPr>
        <w:t>life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as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adolescents and adults[J]. </w:t>
      </w:r>
      <w:r>
        <w:rPr>
          <w:color w:val="231F20"/>
          <w:spacing w:val="-4"/>
        </w:rPr>
        <w:t>Gastroenterology, 2012,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4"/>
        </w:rPr>
        <w:t>142(4): 754-761.</w:t>
      </w:r>
    </w:p>
    <w:p>
      <w:pPr>
        <w:pStyle w:val="BodyText"/>
        <w:ind w:left="927" w:right="366" w:hanging="415"/>
        <w:spacing w:before="21" w:line="279" w:lineRule="auto"/>
        <w:rPr/>
      </w:pPr>
      <w:r>
        <w:rPr>
          <w:color w:val="231F20"/>
          <w:spacing w:val="6"/>
        </w:rPr>
        <w:t>[19]</w:t>
      </w:r>
      <w:r>
        <w:rPr>
          <w:color w:val="231F20"/>
        </w:rPr>
        <w:t xml:space="preserve">    </w:t>
      </w:r>
      <w:r>
        <w:rPr>
          <w:color w:val="231F20"/>
          <w:spacing w:val="6"/>
        </w:rPr>
        <w:t>DROSSMAN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6"/>
        </w:rPr>
        <w:t>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6"/>
        </w:rPr>
        <w:t>A,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6"/>
        </w:rPr>
        <w:t>HASLER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6"/>
        </w:rPr>
        <w:t>W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6"/>
        </w:rPr>
        <w:t>L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6"/>
        </w:rPr>
        <w:t>.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6"/>
        </w:rPr>
        <w:t>Rome  </w:t>
      </w:r>
      <w:r>
        <w:rPr>
          <w:rFonts w:ascii="SimSun" w:hAnsi="SimSun" w:eastAsia="SimSun" w:cs="SimSun"/>
          <w:color w:val="231F20"/>
          <w:spacing w:val="6"/>
        </w:rPr>
        <w:t>Ⅳ</w:t>
      </w:r>
      <w:r>
        <w:rPr>
          <w:color w:val="231F20"/>
          <w:spacing w:val="6"/>
        </w:rPr>
        <w:t>-functi</w:t>
      </w:r>
      <w:r>
        <w:rPr>
          <w:color w:val="231F20"/>
          <w:spacing w:val="5"/>
        </w:rPr>
        <w:t>onal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GI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disorders</w:t>
      </w:r>
      <w:r>
        <w:rPr>
          <w:color w:val="231F20"/>
          <w:spacing w:val="11"/>
        </w:rPr>
        <w:t>: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Disorders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gut</w:t>
      </w:r>
      <w:r>
        <w:rPr>
          <w:color w:val="231F20"/>
          <w:spacing w:val="11"/>
        </w:rPr>
        <w:t>-</w:t>
      </w:r>
      <w:r>
        <w:rPr>
          <w:color w:val="231F20"/>
        </w:rPr>
        <w:t>brain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interaction</w:t>
      </w:r>
      <w:r>
        <w:rPr>
          <w:color w:val="231F20"/>
          <w:spacing w:val="11"/>
        </w:rPr>
        <w:t>[J].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Gastroenterology</w:t>
      </w:r>
      <w:r>
        <w:rPr>
          <w:color w:val="231F20"/>
          <w:spacing w:val="11"/>
        </w:rPr>
        <w:t>,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2016,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2"/>
        </w:rPr>
        <w:t>150(6):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2"/>
        </w:rPr>
        <w:t>1257-1261.</w:t>
      </w:r>
    </w:p>
    <w:p>
      <w:pPr>
        <w:pStyle w:val="BodyText"/>
        <w:ind w:left="512"/>
        <w:spacing w:before="19" w:line="210" w:lineRule="exact"/>
        <w:rPr/>
      </w:pPr>
      <w:r>
        <w:rPr>
          <w:color w:val="231F20"/>
          <w:spacing w:val="6"/>
          <w:position w:val="2"/>
        </w:rPr>
        <w:t>[20]</w:t>
      </w:r>
      <w:r>
        <w:rPr>
          <w:color w:val="231F20"/>
          <w:spacing w:val="1"/>
          <w:position w:val="2"/>
        </w:rPr>
        <w:t xml:space="preserve">    </w:t>
      </w:r>
      <w:r>
        <w:rPr>
          <w:color w:val="231F20"/>
          <w:spacing w:val="6"/>
          <w:position w:val="2"/>
        </w:rPr>
        <w:t>GWEE</w:t>
      </w:r>
      <w:r>
        <w:rPr>
          <w:color w:val="231F20"/>
          <w:spacing w:val="38"/>
          <w:w w:val="101"/>
          <w:position w:val="2"/>
        </w:rPr>
        <w:t xml:space="preserve"> </w:t>
      </w:r>
      <w:r>
        <w:rPr>
          <w:color w:val="231F20"/>
          <w:spacing w:val="6"/>
          <w:position w:val="2"/>
        </w:rPr>
        <w:t>K</w:t>
      </w:r>
      <w:r>
        <w:rPr>
          <w:color w:val="231F20"/>
          <w:spacing w:val="27"/>
          <w:position w:val="2"/>
        </w:rPr>
        <w:t xml:space="preserve"> </w:t>
      </w:r>
      <w:r>
        <w:rPr>
          <w:color w:val="231F20"/>
          <w:spacing w:val="6"/>
          <w:position w:val="2"/>
        </w:rPr>
        <w:t>A,</w:t>
      </w:r>
      <w:r>
        <w:rPr>
          <w:color w:val="231F20"/>
          <w:position w:val="2"/>
        </w:rPr>
        <w:t xml:space="preserve">  </w:t>
      </w:r>
      <w:r>
        <w:rPr>
          <w:color w:val="231F20"/>
          <w:spacing w:val="6"/>
          <w:position w:val="2"/>
        </w:rPr>
        <w:t>GONLACHANVIT</w:t>
      </w:r>
      <w:r>
        <w:rPr>
          <w:color w:val="231F20"/>
          <w:spacing w:val="2"/>
          <w:position w:val="2"/>
        </w:rPr>
        <w:t xml:space="preserve">  </w:t>
      </w:r>
      <w:r>
        <w:rPr>
          <w:color w:val="231F20"/>
          <w:spacing w:val="6"/>
          <w:position w:val="2"/>
        </w:rPr>
        <w:t>S,</w:t>
      </w:r>
      <w:r>
        <w:rPr>
          <w:color w:val="231F20"/>
          <w:position w:val="2"/>
        </w:rPr>
        <w:t xml:space="preserve">  </w:t>
      </w:r>
      <w:r>
        <w:rPr>
          <w:color w:val="231F20"/>
          <w:spacing w:val="6"/>
          <w:position w:val="2"/>
        </w:rPr>
        <w:t>GHOS</w:t>
      </w:r>
      <w:r>
        <w:rPr>
          <w:color w:val="231F20"/>
          <w:spacing w:val="5"/>
          <w:position w:val="2"/>
        </w:rPr>
        <w:t>HAL</w:t>
      </w:r>
      <w:r>
        <w:rPr>
          <w:color w:val="231F20"/>
          <w:spacing w:val="31"/>
          <w:w w:val="101"/>
          <w:position w:val="2"/>
        </w:rPr>
        <w:t xml:space="preserve"> </w:t>
      </w:r>
      <w:r>
        <w:rPr>
          <w:color w:val="231F20"/>
          <w:spacing w:val="5"/>
          <w:position w:val="2"/>
        </w:rPr>
        <w:t>U</w:t>
      </w:r>
      <w:r>
        <w:rPr>
          <w:color w:val="231F20"/>
          <w:position w:val="2"/>
        </w:rPr>
        <w:t xml:space="preserve">  </w:t>
      </w:r>
      <w:r>
        <w:rPr>
          <w:color w:val="231F20"/>
          <w:spacing w:val="5"/>
          <w:position w:val="2"/>
        </w:rPr>
        <w:t>C,</w:t>
      </w:r>
      <w:r>
        <w:rPr>
          <w:color w:val="231F20"/>
          <w:spacing w:val="1"/>
          <w:position w:val="2"/>
        </w:rPr>
        <w:t xml:space="preserve">  </w:t>
      </w:r>
      <w:r>
        <w:rPr>
          <w:color w:val="231F20"/>
          <w:spacing w:val="5"/>
          <w:position w:val="2"/>
        </w:rPr>
        <w:t>et</w:t>
      </w:r>
      <w:r>
        <w:rPr>
          <w:color w:val="231F20"/>
          <w:spacing w:val="1"/>
          <w:position w:val="2"/>
        </w:rPr>
        <w:t xml:space="preserve">  </w:t>
      </w:r>
      <w:r>
        <w:rPr>
          <w:color w:val="231F20"/>
          <w:spacing w:val="5"/>
          <w:position w:val="2"/>
        </w:rPr>
        <w:t>al.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10" w:right="16" w:firstLine="12"/>
        <w:spacing w:before="41" w:line="287" w:lineRule="auto"/>
        <w:rPr/>
      </w:pPr>
      <w:r>
        <w:rPr>
          <w:color w:val="231F20"/>
          <w:spacing w:val="8"/>
        </w:rPr>
        <w:t>Second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8"/>
        </w:rPr>
        <w:t>Asian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8"/>
        </w:rPr>
        <w:t>consensus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  <w:spacing w:val="8"/>
        </w:rPr>
        <w:t>on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8"/>
        </w:rPr>
        <w:t>irrita</w:t>
      </w:r>
      <w:r>
        <w:rPr>
          <w:color w:val="231F20"/>
          <w:spacing w:val="7"/>
        </w:rPr>
        <w:t>ble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7"/>
        </w:rPr>
        <w:t>bowel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syndrome[J]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7"/>
        </w:rPr>
        <w:t>.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7"/>
        </w:rPr>
        <w:t>J</w:t>
      </w:r>
      <w:r>
        <w:rPr>
          <w:color w:val="231F20"/>
        </w:rPr>
        <w:t xml:space="preserve"> </w:t>
      </w:r>
      <w:r>
        <w:rPr>
          <w:color w:val="231F20"/>
        </w:rPr>
        <w:t>Neurogastroenterol Motil, 2019, 25(3): 343-362.</w:t>
      </w:r>
    </w:p>
    <w:p>
      <w:pPr>
        <w:pStyle w:val="BodyText"/>
        <w:ind w:left="415" w:right="16" w:hanging="416"/>
        <w:spacing w:before="19" w:line="292" w:lineRule="auto"/>
        <w:rPr/>
      </w:pPr>
      <w:r>
        <w:rPr>
          <w:color w:val="231F20"/>
          <w:spacing w:val="3"/>
        </w:rPr>
        <w:t>[21]    </w:t>
      </w:r>
      <w:r>
        <w:rPr>
          <w:color w:val="231F20"/>
        </w:rPr>
        <w:t>BAUSERMAN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M</w:t>
      </w:r>
      <w:r>
        <w:rPr>
          <w:color w:val="231F20"/>
          <w:spacing w:val="3"/>
        </w:rPr>
        <w:t>,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MICHAIL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S</w:t>
      </w:r>
      <w:r>
        <w:rPr>
          <w:color w:val="231F20"/>
          <w:spacing w:val="3"/>
        </w:rPr>
        <w:t>.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Lactobacillus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GG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in </w:t>
      </w:r>
      <w:r>
        <w:rPr>
          <w:color w:val="231F20"/>
          <w:spacing w:val="2"/>
        </w:rPr>
        <w:t>irritable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2"/>
        </w:rPr>
        <w:t>bowel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2"/>
        </w:rPr>
        <w:t>syndrome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1"/>
        </w:rPr>
        <w:t>in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1"/>
        </w:rPr>
        <w:t>children: A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1"/>
        </w:rPr>
        <w:t>double-blind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"/>
        </w:rPr>
        <w:t>randomized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control trial[J]. J Pediatr, 2005,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147(2):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197-201.</w:t>
      </w:r>
    </w:p>
    <w:p>
      <w:pPr>
        <w:pStyle w:val="BodyText"/>
        <w:ind w:left="412" w:right="9" w:hanging="413"/>
        <w:spacing w:before="18" w:line="294" w:lineRule="auto"/>
        <w:rPr/>
      </w:pPr>
      <w:r>
        <w:rPr>
          <w:color w:val="231F20"/>
          <w:spacing w:val="13"/>
        </w:rPr>
        <w:t>[22]</w:t>
      </w:r>
      <w:r>
        <w:rPr>
          <w:color w:val="231F20"/>
          <w:spacing w:val="2"/>
        </w:rPr>
        <w:t xml:space="preserve">    </w:t>
      </w:r>
      <w:r>
        <w:rPr>
          <w:color w:val="231F20"/>
        </w:rPr>
        <w:t>GAWRONSKA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3"/>
        </w:rPr>
        <w:t>,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DZIECHCIARZ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P</w:t>
      </w:r>
      <w:r>
        <w:rPr>
          <w:color w:val="231F20"/>
          <w:spacing w:val="13"/>
        </w:rPr>
        <w:t>,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HORVATH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3"/>
        </w:rPr>
        <w:t>,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3"/>
        </w:rPr>
        <w:t>.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13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randomized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2"/>
        </w:rPr>
        <w:t>double-blind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2"/>
        </w:rPr>
        <w:t>placebo</w:t>
      </w:r>
      <w:r>
        <w:rPr>
          <w:color w:val="231F20"/>
          <w:spacing w:val="1"/>
        </w:rPr>
        <w:t>-controlled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1"/>
        </w:rPr>
        <w:t>trial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1"/>
        </w:rPr>
        <w:t>of Lactobacillus</w:t>
      </w:r>
      <w:r>
        <w:rPr>
          <w:color w:val="231F20"/>
        </w:rPr>
        <w:t xml:space="preserve"> </w:t>
      </w:r>
      <w:r>
        <w:rPr>
          <w:color w:val="231F20"/>
        </w:rPr>
        <w:t>GG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abdominal pain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disorders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chil</w:t>
      </w:r>
      <w:r>
        <w:rPr>
          <w:color w:val="231F20"/>
          <w:spacing w:val="-1"/>
        </w:rPr>
        <w:t>dren[J]. Aliment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Pharmacol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Ther, 2007, 25(2):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177-18</w:t>
      </w:r>
      <w:r>
        <w:rPr>
          <w:color w:val="231F20"/>
          <w:spacing w:val="-2"/>
        </w:rPr>
        <w:t>4.</w:t>
      </w:r>
    </w:p>
    <w:p>
      <w:pPr>
        <w:pStyle w:val="BodyText"/>
        <w:ind w:left="412" w:right="10" w:hanging="412"/>
        <w:spacing w:before="18" w:line="292" w:lineRule="auto"/>
        <w:rPr/>
      </w:pPr>
      <w:r>
        <w:rPr>
          <w:color w:val="231F20"/>
          <w:spacing w:val="15"/>
        </w:rPr>
        <w:t>[23]</w:t>
      </w:r>
      <w:r>
        <w:rPr>
          <w:color w:val="231F20"/>
        </w:rPr>
        <w:t xml:space="preserve">    FRANCAVILLA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</w:rPr>
        <w:t>R</w:t>
      </w:r>
      <w:r>
        <w:rPr>
          <w:color w:val="231F20"/>
          <w:spacing w:val="15"/>
        </w:rPr>
        <w:t>,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MINIELLO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V</w:t>
      </w:r>
      <w:r>
        <w:rPr>
          <w:color w:val="231F20"/>
          <w:spacing w:val="15"/>
        </w:rPr>
        <w:t>,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MAGIST</w:t>
      </w:r>
      <w:r>
        <w:rPr>
          <w:color w:val="231F20"/>
          <w:spacing w:val="15"/>
        </w:rPr>
        <w:t>À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M</w:t>
      </w:r>
      <w:r>
        <w:rPr>
          <w:color w:val="231F20"/>
          <w:spacing w:val="15"/>
        </w:rPr>
        <w:t>,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5"/>
        </w:rPr>
        <w:t>.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15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randomized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2"/>
        </w:rPr>
        <w:t>controlled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2"/>
        </w:rPr>
        <w:t>trial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2"/>
        </w:rPr>
        <w:t>of Lactobacillus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1"/>
        </w:rPr>
        <w:t>GG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1"/>
        </w:rPr>
        <w:t>in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1"/>
        </w:rPr>
        <w:t>children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1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functional abdominal pain[J]. Pediatrics, 2010,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126(6): e1445-e1452.</w:t>
      </w:r>
    </w:p>
    <w:p>
      <w:pPr>
        <w:pStyle w:val="BodyText"/>
        <w:ind w:left="411" w:right="17" w:hanging="411"/>
        <w:spacing w:before="18" w:line="292" w:lineRule="auto"/>
        <w:rPr/>
      </w:pPr>
      <w:r>
        <w:rPr>
          <w:color w:val="231F20"/>
          <w:spacing w:val="-1"/>
        </w:rPr>
        <w:t>[24]    KIANIFAR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H,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1"/>
        </w:rPr>
        <w:t>JAFARI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S A,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KIANI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M,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1"/>
        </w:rPr>
        <w:t>et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-2"/>
        </w:rPr>
        <w:t>l.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"/>
        </w:rPr>
        <w:t>Probiotic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irritable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bowel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4"/>
        </w:rPr>
        <w:t>syndrome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4"/>
        </w:rPr>
        <w:t>pediatric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3"/>
        </w:rPr>
        <w:t>patients: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randomized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controlled</w:t>
      </w:r>
      <w:r>
        <w:rPr>
          <w:color w:val="231F20"/>
        </w:rPr>
        <w:t xml:space="preserve"> </w:t>
      </w:r>
      <w:r>
        <w:rPr>
          <w:color w:val="231F20"/>
        </w:rPr>
        <w:t>clinical trial[J]. Electron Physician, 2</w:t>
      </w:r>
      <w:r>
        <w:rPr>
          <w:color w:val="231F20"/>
          <w:spacing w:val="-1"/>
        </w:rPr>
        <w:t>015, 7(5):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1255-1260.</w:t>
      </w:r>
    </w:p>
    <w:p>
      <w:pPr>
        <w:pStyle w:val="BodyText"/>
        <w:ind w:left="411" w:right="19" w:hanging="411"/>
        <w:spacing w:before="20" w:line="294" w:lineRule="auto"/>
        <w:rPr/>
      </w:pPr>
      <w:r>
        <w:rPr>
          <w:color w:val="231F20"/>
          <w:spacing w:val="17"/>
        </w:rPr>
        <w:t>[25]</w:t>
      </w:r>
      <w:r>
        <w:rPr>
          <w:color w:val="231F20"/>
        </w:rPr>
        <w:t xml:space="preserve">    BA</w:t>
      </w:r>
      <w:r>
        <w:rPr>
          <w:color w:val="231F20"/>
          <w:spacing w:val="17"/>
        </w:rPr>
        <w:t>ŞTÜ</w:t>
      </w:r>
      <w:r>
        <w:rPr>
          <w:color w:val="231F20"/>
        </w:rPr>
        <w:t>RK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7"/>
        </w:rPr>
        <w:t>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ARTAN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R</w:t>
      </w:r>
      <w:r>
        <w:rPr>
          <w:color w:val="231F20"/>
          <w:spacing w:val="17"/>
        </w:rPr>
        <w:t>,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YILMAZ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7"/>
        </w:rPr>
        <w:t>.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Efficacy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synbiotic</w:t>
      </w:r>
      <w:r>
        <w:rPr>
          <w:color w:val="231F20"/>
          <w:spacing w:val="17"/>
        </w:rPr>
        <w:t>,</w:t>
      </w:r>
      <w:r>
        <w:rPr>
          <w:color w:val="231F20"/>
        </w:rPr>
        <w:t xml:space="preserve"> </w:t>
      </w:r>
      <w:r>
        <w:rPr>
          <w:color w:val="231F20"/>
        </w:rPr>
        <w:t>probiotic</w:t>
      </w:r>
      <w:r>
        <w:rPr>
          <w:color w:val="231F20"/>
          <w:spacing w:val="3"/>
        </w:rPr>
        <w:t>,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prebiotic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treatments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irritable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bowel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syndrome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in </w:t>
      </w:r>
      <w:r>
        <w:rPr>
          <w:color w:val="231F20"/>
          <w:spacing w:val="2"/>
        </w:rPr>
        <w:t>children: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2"/>
        </w:rPr>
        <w:t>A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2"/>
        </w:rPr>
        <w:t>randomized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2"/>
        </w:rPr>
        <w:t>controlled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2"/>
        </w:rPr>
        <w:t>trial[J].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2"/>
        </w:rPr>
        <w:t>Turk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2"/>
        </w:rPr>
        <w:t>J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2"/>
        </w:rPr>
        <w:t>Gastroenterol,</w:t>
      </w:r>
      <w:r>
        <w:rPr>
          <w:color w:val="231F20"/>
        </w:rPr>
        <w:t xml:space="preserve"> </w:t>
      </w:r>
      <w:r>
        <w:rPr>
          <w:color w:val="231F20"/>
        </w:rPr>
        <w:t>2016, 27(5): 439-443.</w:t>
      </w:r>
    </w:p>
    <w:p>
      <w:pPr>
        <w:pStyle w:val="BodyText"/>
        <w:ind w:left="416" w:right="17" w:hanging="416"/>
        <w:spacing w:before="43" w:line="247" w:lineRule="auto"/>
        <w:rPr/>
      </w:pPr>
      <w:r>
        <w:rPr>
          <w:color w:val="231F20"/>
        </w:rPr>
        <w:t>[26]    </w:t>
      </w:r>
      <w:r>
        <w:rPr>
          <w:rFonts w:ascii="SimSun" w:hAnsi="SimSun" w:eastAsia="SimSun" w:cs="SimSun"/>
          <w:color w:val="231F20"/>
        </w:rPr>
        <w:t>江米足</w:t>
      </w:r>
      <w:r>
        <w:rPr>
          <w:color w:val="231F20"/>
        </w:rPr>
        <w:t>.</w:t>
      </w:r>
      <w:r>
        <w:rPr>
          <w:color w:val="231F20"/>
          <w:spacing w:val="25"/>
          <w:w w:val="101"/>
        </w:rPr>
        <w:t xml:space="preserve"> </w:t>
      </w:r>
      <w:r>
        <w:rPr>
          <w:rFonts w:ascii="SimSun" w:hAnsi="SimSun" w:eastAsia="SimSun" w:cs="SimSun"/>
          <w:color w:val="231F20"/>
        </w:rPr>
        <w:t>儿童功能性慢性腹痛的诊断</w:t>
      </w:r>
      <w:r>
        <w:rPr>
          <w:rFonts w:ascii="SimSun" w:hAnsi="SimSun" w:eastAsia="SimSun" w:cs="SimSun"/>
          <w:color w:val="231F20"/>
          <w:spacing w:val="-1"/>
        </w:rPr>
        <w:t>与治疗</w:t>
      </w:r>
      <w:r>
        <w:rPr>
          <w:color w:val="231F20"/>
          <w:spacing w:val="-1"/>
        </w:rPr>
        <w:t>[J].  </w:t>
      </w:r>
      <w:r>
        <w:rPr>
          <w:rFonts w:ascii="SimSun" w:hAnsi="SimSun" w:eastAsia="SimSun" w:cs="SimSun"/>
          <w:color w:val="231F20"/>
          <w:spacing w:val="-1"/>
        </w:rPr>
        <w:t>中华实用儿科临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床杂志</w:t>
      </w:r>
      <w:r>
        <w:rPr>
          <w:color w:val="231F20"/>
          <w:spacing w:val="-1"/>
        </w:rPr>
        <w:t>, 2014, 29(22):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1689-1691.</w:t>
      </w:r>
    </w:p>
    <w:p>
      <w:pPr>
        <w:pStyle w:val="BodyText"/>
        <w:ind w:left="414" w:hanging="414"/>
        <w:spacing w:before="7" w:line="292" w:lineRule="auto"/>
        <w:rPr/>
      </w:pPr>
      <w:r>
        <w:rPr>
          <w:color w:val="231F20"/>
          <w:spacing w:val="14"/>
        </w:rPr>
        <w:t>[27]   </w:t>
      </w:r>
      <w:r>
        <w:rPr>
          <w:color w:val="231F20"/>
        </w:rPr>
        <w:t>ANNAH</w:t>
      </w:r>
      <w:r>
        <w:rPr>
          <w:color w:val="231F20"/>
          <w:spacing w:val="14"/>
        </w:rPr>
        <w:t>Á</w:t>
      </w:r>
      <w:r>
        <w:rPr>
          <w:color w:val="231F20"/>
        </w:rPr>
        <w:t>ZI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4"/>
        </w:rPr>
        <w:t>,  RÓ</w:t>
      </w:r>
      <w:r>
        <w:rPr>
          <w:color w:val="231F20"/>
        </w:rPr>
        <w:t>KA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R</w:t>
      </w:r>
      <w:r>
        <w:rPr>
          <w:color w:val="231F20"/>
          <w:spacing w:val="14"/>
        </w:rPr>
        <w:t>,  </w:t>
      </w:r>
      <w:r>
        <w:rPr>
          <w:color w:val="231F20"/>
        </w:rPr>
        <w:t>ROSZT</w:t>
      </w:r>
      <w:r>
        <w:rPr>
          <w:color w:val="231F20"/>
          <w:spacing w:val="14"/>
        </w:rPr>
        <w:t>Ó</w:t>
      </w:r>
      <w:r>
        <w:rPr>
          <w:color w:val="231F20"/>
        </w:rPr>
        <w:t>CZY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4"/>
        </w:rPr>
        <w:t>,  </w:t>
      </w:r>
      <w:r>
        <w:rPr>
          <w:color w:val="231F20"/>
        </w:rPr>
        <w:t>et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al</w:t>
      </w:r>
      <w:r>
        <w:rPr>
          <w:color w:val="231F20"/>
          <w:spacing w:val="13"/>
        </w:rPr>
        <w:t>.  </w:t>
      </w:r>
      <w:r>
        <w:rPr>
          <w:color w:val="231F20"/>
        </w:rPr>
        <w:t>Role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of </w:t>
      </w:r>
      <w:r>
        <w:rPr>
          <w:color w:val="231F20"/>
          <w:spacing w:val="3"/>
        </w:rPr>
        <w:t>antispasmodics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3"/>
        </w:rPr>
        <w:t>treatment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of irritable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bowel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syndrome[J].</w:t>
      </w:r>
      <w:r>
        <w:rPr>
          <w:color w:val="231F20"/>
        </w:rPr>
        <w:t xml:space="preserve"> </w:t>
      </w:r>
      <w:r>
        <w:rPr>
          <w:color w:val="231F20"/>
        </w:rPr>
        <w:t>World J Gastroenterol, 2014, 20</w:t>
      </w:r>
      <w:r>
        <w:rPr>
          <w:color w:val="231F20"/>
          <w:spacing w:val="-1"/>
        </w:rPr>
        <w:t>(20): 6031-6043.</w:t>
      </w:r>
    </w:p>
    <w:p>
      <w:pPr>
        <w:pStyle w:val="BodyText"/>
        <w:ind w:left="415" w:right="1" w:hanging="415"/>
        <w:spacing w:before="19" w:line="294" w:lineRule="auto"/>
        <w:rPr/>
      </w:pPr>
      <w:r>
        <w:rPr>
          <w:color w:val="231F20"/>
          <w:spacing w:val="-2"/>
        </w:rPr>
        <w:t>[28]    BAALEMAN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F,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1"/>
        </w:rPr>
        <w:t>GUPTA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S,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BENNINGA M A,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et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al.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use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o</w:t>
      </w:r>
      <w:r>
        <w:rPr>
          <w:color w:val="231F20"/>
          <w:spacing w:val="15"/>
        </w:rPr>
        <w:t>f</w:t>
      </w:r>
      <w:r>
        <w:rPr>
          <w:color w:val="231F20"/>
        </w:rPr>
        <w:t xml:space="preserve"> </w:t>
      </w:r>
      <w:r>
        <w:rPr>
          <w:color w:val="231F20"/>
        </w:rPr>
        <w:t>linaclotide in children with functional constipation or irritable bowel </w:t>
      </w:r>
      <w:r>
        <w:rPr>
          <w:color w:val="231F20"/>
        </w:rPr>
        <w:t>syndrome</w:t>
      </w:r>
      <w:r>
        <w:rPr>
          <w:color w:val="231F20"/>
          <w:spacing w:val="8"/>
        </w:rPr>
        <w:t>: </w:t>
      </w:r>
      <w:r>
        <w:rPr>
          <w:color w:val="231F20"/>
        </w:rPr>
        <w:t>A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retrospective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chart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review</w:t>
      </w:r>
      <w:r>
        <w:rPr>
          <w:color w:val="231F20"/>
          <w:spacing w:val="8"/>
        </w:rPr>
        <w:t>[J].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Paediatr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Drugs</w:t>
      </w:r>
      <w:r>
        <w:rPr>
          <w:color w:val="231F20"/>
          <w:spacing w:val="8"/>
        </w:rPr>
        <w:t>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8"/>
        </w:rPr>
        <w:t>2021,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23(3): 307-314.</w:t>
      </w:r>
    </w:p>
    <w:p>
      <w:pPr>
        <w:pStyle w:val="BodyText"/>
        <w:ind w:left="411" w:right="15" w:hanging="411"/>
        <w:spacing w:before="19" w:line="294" w:lineRule="auto"/>
        <w:rPr/>
      </w:pPr>
      <w:r>
        <w:rPr>
          <w:color w:val="231F20"/>
          <w:spacing w:val="3"/>
        </w:rPr>
        <w:t>[29]    MENON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3"/>
        </w:rPr>
        <w:t>J,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THAPA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B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3"/>
        </w:rPr>
        <w:t>R,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KUMARI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3"/>
        </w:rPr>
        <w:t>R,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3"/>
        </w:rPr>
        <w:t>et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3"/>
        </w:rPr>
        <w:t>al.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Efficacy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3"/>
        </w:rPr>
        <w:t>oral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psyllium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4"/>
        </w:rPr>
        <w:t>pediatric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irritable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4"/>
        </w:rPr>
        <w:t>bowel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sy</w:t>
      </w:r>
      <w:r>
        <w:rPr>
          <w:color w:val="231F20"/>
          <w:spacing w:val="3"/>
        </w:rPr>
        <w:t>ndrome: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3"/>
        </w:rPr>
        <w:t>double-blind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randomized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3"/>
        </w:rPr>
        <w:t>control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trial[J].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J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Pediatr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Gastroenterol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Nutr,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2023,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76(1):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14-19.</w:t>
      </w:r>
    </w:p>
    <w:p>
      <w:pPr>
        <w:pStyle w:val="BodyText"/>
        <w:ind w:left="419" w:right="17" w:hanging="419"/>
        <w:spacing w:before="44" w:line="253" w:lineRule="auto"/>
        <w:rPr/>
      </w:pPr>
      <w:r>
        <w:rPr>
          <w:color w:val="231F20"/>
          <w:spacing w:val="3"/>
        </w:rPr>
        <w:t>[30]    </w:t>
      </w:r>
      <w:r>
        <w:rPr>
          <w:rFonts w:ascii="SimSun" w:hAnsi="SimSun" w:eastAsia="SimSun" w:cs="SimSun"/>
          <w:color w:val="231F20"/>
          <w:spacing w:val="3"/>
        </w:rPr>
        <w:t>中华医学会消化病学分会胃肠功能性</w:t>
      </w:r>
      <w:r>
        <w:rPr>
          <w:rFonts w:ascii="SimSun" w:hAnsi="SimSun" w:eastAsia="SimSun" w:cs="SimSun"/>
          <w:color w:val="231F20"/>
          <w:spacing w:val="2"/>
        </w:rPr>
        <w:t>疾病协作组</w:t>
      </w:r>
      <w:r>
        <w:rPr>
          <w:color w:val="231F20"/>
          <w:spacing w:val="2"/>
        </w:rPr>
        <w:t>,  </w:t>
      </w:r>
      <w:r>
        <w:rPr>
          <w:rFonts w:ascii="SimSun" w:hAnsi="SimSun" w:eastAsia="SimSun" w:cs="SimSun"/>
          <w:color w:val="231F20"/>
          <w:spacing w:val="2"/>
        </w:rPr>
        <w:t>中华医学会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消化病学分会胃肠动力学组</w:t>
      </w:r>
      <w:r>
        <w:rPr>
          <w:color w:val="231F20"/>
          <w:spacing w:val="4"/>
        </w:rPr>
        <w:t>.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4"/>
        </w:rPr>
        <w:t>2020</w:t>
      </w:r>
      <w:r>
        <w:rPr>
          <w:rFonts w:ascii="SimSun" w:hAnsi="SimSun" w:eastAsia="SimSun" w:cs="SimSun"/>
          <w:color w:val="231F20"/>
          <w:spacing w:val="4"/>
        </w:rPr>
        <w:t>年中国肠易激综合征专家共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识意见</w:t>
      </w:r>
      <w:r>
        <w:rPr>
          <w:color w:val="231F20"/>
          <w:spacing w:val="-1"/>
        </w:rPr>
        <w:t>[J].</w:t>
      </w:r>
      <w:r>
        <w:rPr>
          <w:color w:val="231F20"/>
          <w:spacing w:val="21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中华消化杂志</w:t>
      </w:r>
      <w:r>
        <w:rPr>
          <w:color w:val="231F20"/>
          <w:spacing w:val="-1"/>
        </w:rPr>
        <w:t>, 2020, 40(12):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803-</w:t>
      </w:r>
      <w:r>
        <w:rPr>
          <w:color w:val="231F20"/>
          <w:spacing w:val="-2"/>
        </w:rPr>
        <w:t>818.</w:t>
      </w:r>
    </w:p>
    <w:p>
      <w:pPr>
        <w:pStyle w:val="BodyText"/>
        <w:ind w:left="416" w:right="15" w:hanging="416"/>
        <w:spacing w:before="7" w:line="292" w:lineRule="auto"/>
        <w:rPr/>
      </w:pPr>
      <w:r>
        <w:rPr>
          <w:color w:val="231F20"/>
        </w:rPr>
        <w:t>[31]    ROMANO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</w:rPr>
        <w:t>C,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</w:rPr>
        <w:t>COMITO</w:t>
      </w:r>
      <w:r>
        <w:rPr>
          <w:color w:val="231F20"/>
          <w:spacing w:val="-1"/>
        </w:rPr>
        <w:t xml:space="preserve"> D, FAMIANI A,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1"/>
        </w:rPr>
        <w:t>et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al. Partially hydrolyzed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guar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5"/>
        </w:rPr>
        <w:t>gum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5"/>
        </w:rPr>
        <w:t>in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5"/>
        </w:rPr>
        <w:t>pediatric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5"/>
        </w:rPr>
        <w:t>functional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5"/>
        </w:rPr>
        <w:t>abdominal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5"/>
        </w:rPr>
        <w:t>pain[J]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.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5"/>
        </w:rPr>
        <w:t>World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5"/>
        </w:rPr>
        <w:t>J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Gastroenterol, 2013,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19(2): 235-240.</w:t>
      </w:r>
    </w:p>
    <w:p>
      <w:pPr>
        <w:pStyle w:val="BodyText"/>
        <w:ind w:left="414" w:right="17" w:hanging="414"/>
        <w:spacing w:before="19" w:line="261" w:lineRule="auto"/>
        <w:rPr/>
      </w:pPr>
      <w:r>
        <w:rPr>
          <w:color w:val="231F20"/>
          <w:spacing w:val="3"/>
        </w:rPr>
        <w:t>[32]    </w:t>
      </w:r>
      <w:r>
        <w:rPr>
          <w:rFonts w:ascii="SimSun" w:hAnsi="SimSun" w:eastAsia="SimSun" w:cs="SimSun"/>
          <w:color w:val="231F20"/>
          <w:spacing w:val="3"/>
        </w:rPr>
        <w:t>江米足</w:t>
      </w:r>
      <w:r>
        <w:rPr>
          <w:color w:val="231F20"/>
          <w:spacing w:val="3"/>
        </w:rPr>
        <w:t>.</w:t>
      </w:r>
      <w:r>
        <w:rPr>
          <w:color w:val="231F20"/>
          <w:spacing w:val="53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小儿腹型偏头痛</w:t>
      </w:r>
      <w:r>
        <w:rPr>
          <w:color w:val="231F20"/>
          <w:spacing w:val="3"/>
        </w:rPr>
        <w:t>[J]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3"/>
        </w:rPr>
        <w:t>.</w:t>
      </w:r>
      <w:r>
        <w:rPr>
          <w:color w:val="231F20"/>
          <w:spacing w:val="37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实用儿科临床杂志</w:t>
      </w:r>
      <w:r>
        <w:rPr>
          <w:color w:val="231F20"/>
          <w:spacing w:val="3"/>
        </w:rPr>
        <w:t>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2008,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3"/>
        </w:rPr>
        <w:t>23(7):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481-483.</w:t>
      </w:r>
    </w:p>
    <w:p>
      <w:pPr>
        <w:pStyle w:val="BodyText"/>
        <w:ind w:left="411" w:right="14" w:hanging="411"/>
        <w:spacing w:before="34" w:line="289" w:lineRule="auto"/>
        <w:rPr/>
      </w:pPr>
      <w:r>
        <w:rPr>
          <w:color w:val="231F20"/>
          <w:spacing w:val="3"/>
        </w:rPr>
        <w:t>[33]</w:t>
      </w:r>
      <w:r>
        <w:rPr>
          <w:color w:val="231F20"/>
          <w:spacing w:val="2"/>
        </w:rPr>
        <w:t xml:space="preserve">    </w:t>
      </w:r>
      <w:r>
        <w:rPr>
          <w:color w:val="231F20"/>
          <w:spacing w:val="3"/>
        </w:rPr>
        <w:t>ROOHAFZA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H,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3"/>
        </w:rPr>
        <w:t>POURMOGHADDAS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Z,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3"/>
        </w:rPr>
        <w:t>SANEIAN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H,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et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3"/>
        </w:rPr>
        <w:t>al.</w:t>
      </w:r>
      <w:r>
        <w:rPr>
          <w:color w:val="231F20"/>
        </w:rPr>
        <w:t xml:space="preserve"> </w:t>
      </w:r>
      <w:r>
        <w:rPr>
          <w:color w:val="231F20"/>
        </w:rPr>
        <w:t>Citalopram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pediatric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functional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abdominal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pain</w:t>
      </w:r>
      <w:r>
        <w:rPr>
          <w:color w:val="231F20"/>
          <w:spacing w:val="2"/>
        </w:rPr>
        <w:t>: </w:t>
      </w:r>
      <w:r>
        <w:rPr>
          <w:color w:val="231F20"/>
        </w:rPr>
        <w:t>A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randomized</w:t>
      </w:r>
      <w:r>
        <w:rPr>
          <w:color w:val="231F20"/>
          <w:spacing w:val="2"/>
        </w:rPr>
        <w:t>,</w:t>
      </w:r>
      <w:r>
        <w:rPr>
          <w:color w:val="231F20"/>
        </w:rPr>
        <w:t xml:space="preserve"> </w:t>
      </w:r>
      <w:r>
        <w:rPr>
          <w:color w:val="231F20"/>
        </w:rPr>
        <w:t>placebo-controlled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trial[J].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Neurogastroenterol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Motil,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201</w:t>
      </w:r>
      <w:r>
        <w:rPr>
          <w:color w:val="231F20"/>
          <w:spacing w:val="-1"/>
        </w:rPr>
        <w:t>4,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1"/>
        </w:rPr>
        <w:t>26(11):</w:t>
      </w:r>
      <w:r>
        <w:rPr>
          <w:color w:val="231F20"/>
        </w:rPr>
        <w:t xml:space="preserve"> </w:t>
      </w:r>
      <w:r>
        <w:rPr>
          <w:color w:val="231F20"/>
        </w:rPr>
        <w:t>1642-1650.</w:t>
      </w:r>
    </w:p>
    <w:p>
      <w:pPr>
        <w:pStyle w:val="BodyText"/>
        <w:ind w:left="411" w:right="14" w:hanging="411"/>
        <w:spacing w:before="34" w:line="292" w:lineRule="auto"/>
        <w:rPr/>
      </w:pPr>
      <w:r>
        <w:rPr>
          <w:color w:val="231F20"/>
          <w:spacing w:val="-1"/>
        </w:rPr>
        <w:t>[34]    VAN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1"/>
        </w:rPr>
        <w:t>TILBURG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M A,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FELIX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C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1"/>
        </w:rPr>
        <w:t>T.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Diet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1"/>
        </w:rPr>
        <w:t>functional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abdominal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pain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2"/>
        </w:rPr>
        <w:t>in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2"/>
        </w:rPr>
        <w:t>children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2"/>
        </w:rPr>
        <w:t>adole</w:t>
      </w:r>
      <w:r>
        <w:rPr>
          <w:color w:val="231F20"/>
          <w:spacing w:val="1"/>
        </w:rPr>
        <w:t>scents[J].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"/>
        </w:rPr>
        <w:t>J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"/>
        </w:rPr>
        <w:t>Pediatr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1"/>
        </w:rPr>
        <w:t>Gastroenterol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</w:rPr>
        <w:t>Nutr,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2013, 57(2):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141-148.</w:t>
      </w:r>
    </w:p>
    <w:p>
      <w:pPr>
        <w:pStyle w:val="BodyText"/>
        <w:ind w:right="17"/>
        <w:spacing w:before="41" w:line="213" w:lineRule="auto"/>
        <w:jc w:val="right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（收稿日期：</w:t>
      </w:r>
      <w:r>
        <w:rPr>
          <w:color w:val="231F20"/>
          <w:spacing w:val="-1"/>
        </w:rPr>
        <w:t>2024-05-10</w:t>
      </w:r>
      <w:r>
        <w:rPr>
          <w:rFonts w:ascii="SimSun" w:hAnsi="SimSun" w:eastAsia="SimSun" w:cs="SimSun"/>
          <w:color w:val="231F20"/>
          <w:spacing w:val="-1"/>
        </w:rPr>
        <w:t>）</w:t>
      </w:r>
    </w:p>
    <w:sectPr>
      <w:type w:val="continuous"/>
      <w:pgSz w:w="11906" w:h="16158"/>
      <w:pgMar w:top="627" w:right="889" w:bottom="547" w:left="407" w:header="0" w:footer="354" w:gutter="0"/>
      <w:cols w:equalWidth="0" w:num="2">
        <w:col w:w="5685" w:space="100"/>
        <w:col w:w="482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B2B2B2"/>
        <w:spacing w:val="6"/>
      </w:rPr>
      <w:t>(c)1994-2024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china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Academic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Journal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Electronic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pubolishing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House</w:t>
    </w:r>
    <w:r>
      <w:rPr>
        <w:rFonts w:ascii="Arial" w:hAnsi="Arial" w:eastAsia="Arial" w:cs="Arial"/>
        <w:sz w:val="19"/>
        <w:szCs w:val="19"/>
        <w:color w:val="B2B2B2"/>
        <w:spacing w:val="-30"/>
      </w:rPr>
      <w:t xml:space="preserve"> </w:t>
    </w:r>
    <w:r>
      <w:rPr>
        <w:rFonts w:ascii="Arial" w:hAnsi="Arial" w:eastAsia="Arial" w:cs="Arial"/>
        <w:sz w:val="19"/>
        <w:szCs w:val="19"/>
        <w:color w:val="B2B2B2"/>
        <w:spacing w:val="6"/>
      </w:rPr>
      <w:t>·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  <w:spacing w:val="6"/>
      </w:rPr>
      <w:t>A1</w:t>
    </w:r>
    <w:r>
      <w:rPr>
        <w:rFonts w:ascii="Arial" w:hAnsi="Arial" w:eastAsia="Arial" w:cs="Arial"/>
        <w:sz w:val="19"/>
        <w:szCs w:val="19"/>
        <w:color w:val="B2B2B2"/>
      </w:rPr>
      <w:t>l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rights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reserved</w:t>
    </w:r>
    <w:r>
      <w:rPr>
        <w:rFonts w:ascii="Arial" w:hAnsi="Arial" w:eastAsia="Arial" w:cs="Arial"/>
        <w:sz w:val="19"/>
        <w:szCs w:val="19"/>
        <w:color w:val="B2B2B2"/>
        <w:spacing w:val="6"/>
      </w:rPr>
      <w:t>.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   </w:t>
    </w:r>
    <w:r>
      <w:rPr>
        <w:rFonts w:ascii="Arial" w:hAnsi="Arial" w:eastAsia="Arial" w:cs="Arial"/>
        <w:sz w:val="19"/>
        <w:szCs w:val="19"/>
        <w:color w:val="B2B2B2"/>
      </w:rPr>
      <w:t>http</w:t>
    </w:r>
    <w:r>
      <w:rPr>
        <w:rFonts w:ascii="Arial" w:hAnsi="Arial" w:eastAsia="Arial" w:cs="Arial"/>
        <w:sz w:val="19"/>
        <w:szCs w:val="19"/>
        <w:color w:val="B2B2B2"/>
        <w:spacing w:val="6"/>
      </w:rPr>
      <w:t>://</w:t>
    </w:r>
    <w:r>
      <w:rPr>
        <w:rFonts w:ascii="Arial" w:hAnsi="Arial" w:eastAsia="Arial" w:cs="Arial"/>
        <w:sz w:val="19"/>
        <w:szCs w:val="19"/>
        <w:color w:val="B2B2B2"/>
      </w:rPr>
      <w:t>www</w:t>
    </w:r>
    <w:r>
      <w:rPr>
        <w:rFonts w:ascii="Arial" w:hAnsi="Arial" w:eastAsia="Arial" w:cs="Arial"/>
        <w:sz w:val="19"/>
        <w:szCs w:val="19"/>
        <w:color w:val="B2B2B2"/>
        <w:spacing w:val="6"/>
      </w:rPr>
      <w:t>.</w:t>
    </w:r>
    <w:r>
      <w:rPr>
        <w:rFonts w:ascii="Arial" w:hAnsi="Arial" w:eastAsia="Arial" w:cs="Arial"/>
        <w:sz w:val="19"/>
        <w:szCs w:val="19"/>
        <w:color w:val="B2B2B2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cnki</w:t>
    </w:r>
    <w:r>
      <w:rPr>
        <w:rFonts w:ascii="Arial" w:hAnsi="Arial" w:eastAsia="Arial" w:cs="Arial"/>
        <w:sz w:val="19"/>
        <w:szCs w:val="19"/>
        <w:color w:val="B2B2B2"/>
        <w:spacing w:val="6"/>
      </w:rPr>
      <w:t>.</w:t>
    </w:r>
    <w:r>
      <w:rPr>
        <w:rFonts w:ascii="Arial" w:hAnsi="Arial" w:eastAsia="Arial" w:cs="Arial"/>
        <w:sz w:val="19"/>
        <w:szCs w:val="19"/>
        <w:color w:val="B2B2B2"/>
      </w:rPr>
      <w:t>net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B2B2B2"/>
        <w:spacing w:val="6"/>
      </w:rPr>
      <w:t>(c)1994-2024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china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Academic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Journal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Electronic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pubolishing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House</w:t>
    </w:r>
    <w:r>
      <w:rPr>
        <w:rFonts w:ascii="Arial" w:hAnsi="Arial" w:eastAsia="Arial" w:cs="Arial"/>
        <w:sz w:val="19"/>
        <w:szCs w:val="19"/>
        <w:color w:val="B2B2B2"/>
        <w:spacing w:val="-30"/>
      </w:rPr>
      <w:t xml:space="preserve"> </w:t>
    </w:r>
    <w:r>
      <w:rPr>
        <w:rFonts w:ascii="Arial" w:hAnsi="Arial" w:eastAsia="Arial" w:cs="Arial"/>
        <w:sz w:val="19"/>
        <w:szCs w:val="19"/>
        <w:color w:val="B2B2B2"/>
        <w:spacing w:val="6"/>
      </w:rPr>
      <w:t>·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  <w:spacing w:val="6"/>
      </w:rPr>
      <w:t>A1</w:t>
    </w:r>
    <w:r>
      <w:rPr>
        <w:rFonts w:ascii="Arial" w:hAnsi="Arial" w:eastAsia="Arial" w:cs="Arial"/>
        <w:sz w:val="19"/>
        <w:szCs w:val="19"/>
        <w:color w:val="B2B2B2"/>
      </w:rPr>
      <w:t>l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rights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reserved</w:t>
    </w:r>
    <w:r>
      <w:rPr>
        <w:rFonts w:ascii="Arial" w:hAnsi="Arial" w:eastAsia="Arial" w:cs="Arial"/>
        <w:sz w:val="19"/>
        <w:szCs w:val="19"/>
        <w:color w:val="B2B2B2"/>
        <w:spacing w:val="6"/>
      </w:rPr>
      <w:t>.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   </w:t>
    </w:r>
    <w:r>
      <w:rPr>
        <w:rFonts w:ascii="Arial" w:hAnsi="Arial" w:eastAsia="Arial" w:cs="Arial"/>
        <w:sz w:val="19"/>
        <w:szCs w:val="19"/>
        <w:color w:val="B2B2B2"/>
      </w:rPr>
      <w:t>http</w:t>
    </w:r>
    <w:r>
      <w:rPr>
        <w:rFonts w:ascii="Arial" w:hAnsi="Arial" w:eastAsia="Arial" w:cs="Arial"/>
        <w:sz w:val="19"/>
        <w:szCs w:val="19"/>
        <w:color w:val="B2B2B2"/>
        <w:spacing w:val="6"/>
      </w:rPr>
      <w:t>://</w:t>
    </w:r>
    <w:r>
      <w:rPr>
        <w:rFonts w:ascii="Arial" w:hAnsi="Arial" w:eastAsia="Arial" w:cs="Arial"/>
        <w:sz w:val="19"/>
        <w:szCs w:val="19"/>
        <w:color w:val="B2B2B2"/>
      </w:rPr>
      <w:t>www</w:t>
    </w:r>
    <w:r>
      <w:rPr>
        <w:rFonts w:ascii="Arial" w:hAnsi="Arial" w:eastAsia="Arial" w:cs="Arial"/>
        <w:sz w:val="19"/>
        <w:szCs w:val="19"/>
        <w:color w:val="B2B2B2"/>
        <w:spacing w:val="6"/>
      </w:rPr>
      <w:t>.</w:t>
    </w:r>
    <w:r>
      <w:rPr>
        <w:rFonts w:ascii="Arial" w:hAnsi="Arial" w:eastAsia="Arial" w:cs="Arial"/>
        <w:sz w:val="19"/>
        <w:szCs w:val="19"/>
        <w:color w:val="B2B2B2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cnki</w:t>
    </w:r>
    <w:r>
      <w:rPr>
        <w:rFonts w:ascii="Arial" w:hAnsi="Arial" w:eastAsia="Arial" w:cs="Arial"/>
        <w:sz w:val="19"/>
        <w:szCs w:val="19"/>
        <w:color w:val="B2B2B2"/>
        <w:spacing w:val="6"/>
      </w:rPr>
      <w:t>.</w:t>
    </w:r>
    <w:r>
      <w:rPr>
        <w:rFonts w:ascii="Arial" w:hAnsi="Arial" w:eastAsia="Arial" w:cs="Arial"/>
        <w:sz w:val="19"/>
        <w:szCs w:val="19"/>
        <w:color w:val="B2B2B2"/>
      </w:rPr>
      <w:t>net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B2B2B2"/>
        <w:spacing w:val="6"/>
      </w:rPr>
      <w:t>(c)1994-2024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china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Academic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Journal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Electronic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pubolishing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House</w:t>
    </w:r>
    <w:r>
      <w:rPr>
        <w:rFonts w:ascii="Arial" w:hAnsi="Arial" w:eastAsia="Arial" w:cs="Arial"/>
        <w:sz w:val="19"/>
        <w:szCs w:val="19"/>
        <w:color w:val="B2B2B2"/>
        <w:spacing w:val="-30"/>
      </w:rPr>
      <w:t xml:space="preserve"> </w:t>
    </w:r>
    <w:r>
      <w:rPr>
        <w:rFonts w:ascii="Arial" w:hAnsi="Arial" w:eastAsia="Arial" w:cs="Arial"/>
        <w:sz w:val="19"/>
        <w:szCs w:val="19"/>
        <w:color w:val="B2B2B2"/>
        <w:spacing w:val="6"/>
      </w:rPr>
      <w:t>·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  <w:spacing w:val="6"/>
      </w:rPr>
      <w:t>A1</w:t>
    </w:r>
    <w:r>
      <w:rPr>
        <w:rFonts w:ascii="Arial" w:hAnsi="Arial" w:eastAsia="Arial" w:cs="Arial"/>
        <w:sz w:val="19"/>
        <w:szCs w:val="19"/>
        <w:color w:val="B2B2B2"/>
      </w:rPr>
      <w:t>l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rights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reserved</w:t>
    </w:r>
    <w:r>
      <w:rPr>
        <w:rFonts w:ascii="Arial" w:hAnsi="Arial" w:eastAsia="Arial" w:cs="Arial"/>
        <w:sz w:val="19"/>
        <w:szCs w:val="19"/>
        <w:color w:val="B2B2B2"/>
        <w:spacing w:val="6"/>
      </w:rPr>
      <w:t>.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   </w:t>
    </w:r>
    <w:r>
      <w:rPr>
        <w:rFonts w:ascii="Arial" w:hAnsi="Arial" w:eastAsia="Arial" w:cs="Arial"/>
        <w:sz w:val="19"/>
        <w:szCs w:val="19"/>
        <w:color w:val="B2B2B2"/>
      </w:rPr>
      <w:t>http</w:t>
    </w:r>
    <w:r>
      <w:rPr>
        <w:rFonts w:ascii="Arial" w:hAnsi="Arial" w:eastAsia="Arial" w:cs="Arial"/>
        <w:sz w:val="19"/>
        <w:szCs w:val="19"/>
        <w:color w:val="B2B2B2"/>
        <w:spacing w:val="6"/>
      </w:rPr>
      <w:t>://</w:t>
    </w:r>
    <w:r>
      <w:rPr>
        <w:rFonts w:ascii="Arial" w:hAnsi="Arial" w:eastAsia="Arial" w:cs="Arial"/>
        <w:sz w:val="19"/>
        <w:szCs w:val="19"/>
        <w:color w:val="B2B2B2"/>
      </w:rPr>
      <w:t>www</w:t>
    </w:r>
    <w:r>
      <w:rPr>
        <w:rFonts w:ascii="Arial" w:hAnsi="Arial" w:eastAsia="Arial" w:cs="Arial"/>
        <w:sz w:val="19"/>
        <w:szCs w:val="19"/>
        <w:color w:val="B2B2B2"/>
        <w:spacing w:val="6"/>
      </w:rPr>
      <w:t>.</w:t>
    </w:r>
    <w:r>
      <w:rPr>
        <w:rFonts w:ascii="Arial" w:hAnsi="Arial" w:eastAsia="Arial" w:cs="Arial"/>
        <w:sz w:val="19"/>
        <w:szCs w:val="19"/>
        <w:color w:val="B2B2B2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cnki</w:t>
    </w:r>
    <w:r>
      <w:rPr>
        <w:rFonts w:ascii="Arial" w:hAnsi="Arial" w:eastAsia="Arial" w:cs="Arial"/>
        <w:sz w:val="19"/>
        <w:szCs w:val="19"/>
        <w:color w:val="B2B2B2"/>
        <w:spacing w:val="6"/>
      </w:rPr>
      <w:t>.</w:t>
    </w:r>
    <w:r>
      <w:rPr>
        <w:rFonts w:ascii="Arial" w:hAnsi="Arial" w:eastAsia="Arial" w:cs="Arial"/>
        <w:sz w:val="19"/>
        <w:szCs w:val="19"/>
        <w:color w:val="B2B2B2"/>
      </w:rPr>
      <w:t>net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B2B2B2"/>
        <w:spacing w:val="6"/>
      </w:rPr>
      <w:t>(c)1994-2024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china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Academic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Journal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Electronic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pubolishing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House</w:t>
    </w:r>
    <w:r>
      <w:rPr>
        <w:rFonts w:ascii="Arial" w:hAnsi="Arial" w:eastAsia="Arial" w:cs="Arial"/>
        <w:sz w:val="19"/>
        <w:szCs w:val="19"/>
        <w:color w:val="B2B2B2"/>
        <w:spacing w:val="-30"/>
      </w:rPr>
      <w:t xml:space="preserve"> </w:t>
    </w:r>
    <w:r>
      <w:rPr>
        <w:rFonts w:ascii="Arial" w:hAnsi="Arial" w:eastAsia="Arial" w:cs="Arial"/>
        <w:sz w:val="19"/>
        <w:szCs w:val="19"/>
        <w:color w:val="B2B2B2"/>
        <w:spacing w:val="6"/>
      </w:rPr>
      <w:t>·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  <w:spacing w:val="6"/>
      </w:rPr>
      <w:t>A1</w:t>
    </w:r>
    <w:r>
      <w:rPr>
        <w:rFonts w:ascii="Arial" w:hAnsi="Arial" w:eastAsia="Arial" w:cs="Arial"/>
        <w:sz w:val="19"/>
        <w:szCs w:val="19"/>
        <w:color w:val="B2B2B2"/>
      </w:rPr>
      <w:t>l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rights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reserved</w:t>
    </w:r>
    <w:r>
      <w:rPr>
        <w:rFonts w:ascii="Arial" w:hAnsi="Arial" w:eastAsia="Arial" w:cs="Arial"/>
        <w:sz w:val="19"/>
        <w:szCs w:val="19"/>
        <w:color w:val="B2B2B2"/>
        <w:spacing w:val="6"/>
      </w:rPr>
      <w:t>.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   </w:t>
    </w:r>
    <w:r>
      <w:rPr>
        <w:rFonts w:ascii="Arial" w:hAnsi="Arial" w:eastAsia="Arial" w:cs="Arial"/>
        <w:sz w:val="19"/>
        <w:szCs w:val="19"/>
        <w:color w:val="B2B2B2"/>
      </w:rPr>
      <w:t>http</w:t>
    </w:r>
    <w:r>
      <w:rPr>
        <w:rFonts w:ascii="Arial" w:hAnsi="Arial" w:eastAsia="Arial" w:cs="Arial"/>
        <w:sz w:val="19"/>
        <w:szCs w:val="19"/>
        <w:color w:val="B2B2B2"/>
        <w:spacing w:val="6"/>
      </w:rPr>
      <w:t>://</w:t>
    </w:r>
    <w:r>
      <w:rPr>
        <w:rFonts w:ascii="Arial" w:hAnsi="Arial" w:eastAsia="Arial" w:cs="Arial"/>
        <w:sz w:val="19"/>
        <w:szCs w:val="19"/>
        <w:color w:val="B2B2B2"/>
      </w:rPr>
      <w:t>www</w:t>
    </w:r>
    <w:r>
      <w:rPr>
        <w:rFonts w:ascii="Arial" w:hAnsi="Arial" w:eastAsia="Arial" w:cs="Arial"/>
        <w:sz w:val="19"/>
        <w:szCs w:val="19"/>
        <w:color w:val="B2B2B2"/>
        <w:spacing w:val="6"/>
      </w:rPr>
      <w:t>.</w:t>
    </w:r>
    <w:r>
      <w:rPr>
        <w:rFonts w:ascii="Arial" w:hAnsi="Arial" w:eastAsia="Arial" w:cs="Arial"/>
        <w:sz w:val="19"/>
        <w:szCs w:val="19"/>
        <w:color w:val="B2B2B2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cnki</w:t>
    </w:r>
    <w:r>
      <w:rPr>
        <w:rFonts w:ascii="Arial" w:hAnsi="Arial" w:eastAsia="Arial" w:cs="Arial"/>
        <w:sz w:val="19"/>
        <w:szCs w:val="19"/>
        <w:color w:val="B2B2B2"/>
        <w:spacing w:val="6"/>
      </w:rPr>
      <w:t>.</w:t>
    </w:r>
    <w:r>
      <w:rPr>
        <w:rFonts w:ascii="Arial" w:hAnsi="Arial" w:eastAsia="Arial" w:cs="Arial"/>
        <w:sz w:val="19"/>
        <w:szCs w:val="19"/>
        <w:color w:val="B2B2B2"/>
      </w:rPr>
      <w:t>net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B2B2B2"/>
        <w:spacing w:val="6"/>
      </w:rPr>
      <w:t>(c)1994-2024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china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Academic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Journal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Electronic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pubolishing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House</w:t>
    </w:r>
    <w:r>
      <w:rPr>
        <w:rFonts w:ascii="Arial" w:hAnsi="Arial" w:eastAsia="Arial" w:cs="Arial"/>
        <w:sz w:val="19"/>
        <w:szCs w:val="19"/>
        <w:color w:val="B2B2B2"/>
        <w:spacing w:val="-30"/>
      </w:rPr>
      <w:t xml:space="preserve"> </w:t>
    </w:r>
    <w:r>
      <w:rPr>
        <w:rFonts w:ascii="Arial" w:hAnsi="Arial" w:eastAsia="Arial" w:cs="Arial"/>
        <w:sz w:val="19"/>
        <w:szCs w:val="19"/>
        <w:color w:val="B2B2B2"/>
        <w:spacing w:val="6"/>
      </w:rPr>
      <w:t>·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  <w:spacing w:val="6"/>
      </w:rPr>
      <w:t>A1</w:t>
    </w:r>
    <w:r>
      <w:rPr>
        <w:rFonts w:ascii="Arial" w:hAnsi="Arial" w:eastAsia="Arial" w:cs="Arial"/>
        <w:sz w:val="19"/>
        <w:szCs w:val="19"/>
        <w:color w:val="B2B2B2"/>
      </w:rPr>
      <w:t>l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rights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reserved</w:t>
    </w:r>
    <w:r>
      <w:rPr>
        <w:rFonts w:ascii="Arial" w:hAnsi="Arial" w:eastAsia="Arial" w:cs="Arial"/>
        <w:sz w:val="19"/>
        <w:szCs w:val="19"/>
        <w:color w:val="B2B2B2"/>
        <w:spacing w:val="6"/>
      </w:rPr>
      <w:t>.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   </w:t>
    </w:r>
    <w:r>
      <w:rPr>
        <w:rFonts w:ascii="Arial" w:hAnsi="Arial" w:eastAsia="Arial" w:cs="Arial"/>
        <w:sz w:val="19"/>
        <w:szCs w:val="19"/>
        <w:color w:val="B2B2B2"/>
      </w:rPr>
      <w:t>http</w:t>
    </w:r>
    <w:r>
      <w:rPr>
        <w:rFonts w:ascii="Arial" w:hAnsi="Arial" w:eastAsia="Arial" w:cs="Arial"/>
        <w:sz w:val="19"/>
        <w:szCs w:val="19"/>
        <w:color w:val="B2B2B2"/>
        <w:spacing w:val="6"/>
      </w:rPr>
      <w:t>://</w:t>
    </w:r>
    <w:r>
      <w:rPr>
        <w:rFonts w:ascii="Arial" w:hAnsi="Arial" w:eastAsia="Arial" w:cs="Arial"/>
        <w:sz w:val="19"/>
        <w:szCs w:val="19"/>
        <w:color w:val="B2B2B2"/>
      </w:rPr>
      <w:t>www</w:t>
    </w:r>
    <w:r>
      <w:rPr>
        <w:rFonts w:ascii="Arial" w:hAnsi="Arial" w:eastAsia="Arial" w:cs="Arial"/>
        <w:sz w:val="19"/>
        <w:szCs w:val="19"/>
        <w:color w:val="B2B2B2"/>
        <w:spacing w:val="6"/>
      </w:rPr>
      <w:t>.</w:t>
    </w:r>
    <w:r>
      <w:rPr>
        <w:rFonts w:ascii="Arial" w:hAnsi="Arial" w:eastAsia="Arial" w:cs="Arial"/>
        <w:sz w:val="19"/>
        <w:szCs w:val="19"/>
        <w:color w:val="B2B2B2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cnki</w:t>
    </w:r>
    <w:r>
      <w:rPr>
        <w:rFonts w:ascii="Arial" w:hAnsi="Arial" w:eastAsia="Arial" w:cs="Arial"/>
        <w:sz w:val="19"/>
        <w:szCs w:val="19"/>
        <w:color w:val="B2B2B2"/>
        <w:spacing w:val="6"/>
      </w:rPr>
      <w:t>.</w:t>
    </w:r>
    <w:r>
      <w:rPr>
        <w:rFonts w:ascii="Arial" w:hAnsi="Arial" w:eastAsia="Arial" w:cs="Arial"/>
        <w:sz w:val="19"/>
        <w:szCs w:val="19"/>
        <w:color w:val="B2B2B2"/>
      </w:rPr>
      <w:t>net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6"/>
      <w:szCs w:val="16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footer" Target="footer5.xml"/><Relationship Id="rId4" Type="http://schemas.openxmlformats.org/officeDocument/2006/relationships/footer" Target="footer4.xml"/><Relationship Id="rId3" Type="http://schemas.openxmlformats.org/officeDocument/2006/relationships/footer" Target="footer3.xml"/><Relationship Id="rId2" Type="http://schemas.openxmlformats.org/officeDocument/2006/relationships/footer" Target="footer2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2024-07-17T14:45:48Z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2025-10-28T21:27:42</vt:filetime>
  </property>
</Properties>
</file>