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402"/>
        <w:spacing w:before="72" w:line="220" w:lineRule="auto"/>
        <w:rPr/>
      </w:pPr>
      <w:r>
        <w:drawing>
          <wp:anchor distT="0" distB="0" distL="0" distR="0" simplePos="0" relativeHeight="251659264" behindDoc="0" locked="0" layoutInCell="0" allowOverlap="1">
            <wp:simplePos x="0" y="0"/>
            <wp:positionH relativeFrom="page">
              <wp:posOffset>1145095</wp:posOffset>
            </wp:positionH>
            <wp:positionV relativeFrom="page">
              <wp:posOffset>916474</wp:posOffset>
            </wp:positionV>
            <wp:extent cx="761898" cy="107822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61898" cy="1078226"/>
                    </a:xfrm>
                    <a:prstGeom prst="rect">
                      <a:avLst/>
                    </a:prstGeom>
                  </pic:spPr>
                </pic:pic>
              </a:graphicData>
            </a:graphic>
          </wp:anchor>
        </w:drawing>
      </w:r>
      <w:r>
        <w:rPr>
          <w:spacing w:val="-2"/>
        </w:rPr>
        <w:t>现代医药卫生</w:t>
      </w:r>
    </w:p>
    <w:p>
      <w:pPr>
        <w:ind w:left="1398" w:right="4194" w:hanging="10"/>
        <w:spacing w:before="127" w:line="3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Journal</w:t>
      </w:r>
      <w:r>
        <w:rPr>
          <w:rFonts w:ascii="Times New Roman" w:hAnsi="Times New Roman" w:eastAsia="Times New Roman" w:cs="Times New Roman"/>
          <w:sz w:val="18"/>
          <w:szCs w:val="18"/>
          <w:i/>
          <w:iCs/>
          <w:spacing w:val="3"/>
        </w:rPr>
        <w:t xml:space="preserve"> </w:t>
      </w:r>
      <w:r>
        <w:rPr>
          <w:rFonts w:ascii="Times New Roman" w:hAnsi="Times New Roman" w:eastAsia="Times New Roman" w:cs="Times New Roman"/>
          <w:sz w:val="18"/>
          <w:szCs w:val="18"/>
          <w:i/>
          <w:iCs/>
        </w:rPr>
        <w:t>of</w:t>
      </w:r>
      <w:r>
        <w:rPr>
          <w:rFonts w:ascii="Times New Roman" w:hAnsi="Times New Roman" w:eastAsia="Times New Roman" w:cs="Times New Roman"/>
          <w:sz w:val="18"/>
          <w:szCs w:val="18"/>
          <w:i/>
          <w:iCs/>
          <w:spacing w:val="3"/>
        </w:rPr>
        <w:t xml:space="preserve"> </w:t>
      </w:r>
      <w:r>
        <w:rPr>
          <w:rFonts w:ascii="Times New Roman" w:hAnsi="Times New Roman" w:eastAsia="Times New Roman" w:cs="Times New Roman"/>
          <w:sz w:val="18"/>
          <w:szCs w:val="18"/>
          <w:i/>
          <w:iCs/>
        </w:rPr>
        <w:t>Modern</w:t>
      </w:r>
      <w:r>
        <w:rPr>
          <w:rFonts w:ascii="Times New Roman" w:hAnsi="Times New Roman" w:eastAsia="Times New Roman" w:cs="Times New Roman"/>
          <w:sz w:val="18"/>
          <w:szCs w:val="18"/>
          <w:i/>
          <w:iCs/>
          <w:spacing w:val="3"/>
        </w:rPr>
        <w:t xml:space="preserve"> </w:t>
      </w:r>
      <w:r>
        <w:rPr>
          <w:rFonts w:ascii="Times New Roman" w:hAnsi="Times New Roman" w:eastAsia="Times New Roman" w:cs="Times New Roman"/>
          <w:sz w:val="18"/>
          <w:szCs w:val="18"/>
          <w:i/>
          <w:iCs/>
        </w:rPr>
        <w:t>Medicine</w:t>
      </w:r>
      <w:r>
        <w:rPr>
          <w:rFonts w:ascii="Times New Roman" w:hAnsi="Times New Roman" w:eastAsia="Times New Roman" w:cs="Times New Roman"/>
          <w:sz w:val="18"/>
          <w:szCs w:val="18"/>
          <w:i/>
          <w:iCs/>
          <w:spacing w:val="3"/>
        </w:rPr>
        <w:t xml:space="preserve"> &amp;</w:t>
      </w:r>
      <w:r>
        <w:rPr>
          <w:rFonts w:ascii="Times New Roman" w:hAnsi="Times New Roman" w:eastAsia="Times New Roman" w:cs="Times New Roman"/>
          <w:sz w:val="18"/>
          <w:szCs w:val="18"/>
          <w:i/>
          <w:iCs/>
          <w:spacing w:val="-10"/>
        </w:rPr>
        <w:t xml:space="preserve"> </w:t>
      </w:r>
      <w:r>
        <w:rPr>
          <w:rFonts w:ascii="Times New Roman" w:hAnsi="Times New Roman" w:eastAsia="Times New Roman" w:cs="Times New Roman"/>
          <w:sz w:val="18"/>
          <w:szCs w:val="18"/>
          <w:i/>
          <w:iCs/>
        </w:rPr>
        <w:t>Health </w:t>
      </w:r>
      <w:r>
        <w:rPr>
          <w:rFonts w:ascii="Times New Roman" w:hAnsi="Times New Roman" w:eastAsia="Times New Roman" w:cs="Times New Roman"/>
          <w:sz w:val="18"/>
          <w:szCs w:val="18"/>
          <w:spacing w:val="-1"/>
        </w:rPr>
        <w:t>ISSN</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1009-5519,CN 50-11</w:t>
      </w:r>
      <w:r>
        <w:rPr>
          <w:rFonts w:ascii="Times New Roman" w:hAnsi="Times New Roman" w:eastAsia="Times New Roman" w:cs="Times New Roman"/>
          <w:sz w:val="18"/>
          <w:szCs w:val="18"/>
          <w:spacing w:val="-2"/>
        </w:rPr>
        <w:t>29/R</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6"/>
        <w:spacing w:before="91" w:line="220" w:lineRule="auto"/>
        <w:outlineLvl w:val="0"/>
        <w:rPr>
          <w:sz w:val="28"/>
          <w:szCs w:val="28"/>
        </w:rPr>
      </w:pPr>
      <w:r>
        <w:rPr>
          <w:sz w:val="28"/>
          <w:szCs w:val="28"/>
          <w:b/>
          <w:bCs/>
          <w:spacing w:val="-4"/>
        </w:rPr>
        <w:t>《现代医药卫生》网络首发论文</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21"/>
        <w:spacing w:before="62" w:line="222" w:lineRule="auto"/>
        <w:rPr>
          <w:sz w:val="19"/>
          <w:szCs w:val="19"/>
        </w:rPr>
      </w:pPr>
      <w:r>
        <w:pict>
          <v:shape id="_x0000_s2" style="position:absolute;margin-left:43.202pt;margin-top:7.21252pt;mso-position-vertical-relative:text;mso-position-horizontal-relative:text;width:326.65pt;height:330pt;z-index:251658240;"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19"/>
          <w:szCs w:val="19"/>
          <w:spacing w:val="9"/>
        </w:rPr>
        <w:t>题目：          腹型过敏性紫癜患儿发生胃肠道出血的影响因素及</w:t>
      </w:r>
      <w:r>
        <w:rPr>
          <w:sz w:val="19"/>
          <w:szCs w:val="19"/>
          <w:spacing w:val="-27"/>
        </w:rPr>
        <w:t xml:space="preserve"> </w:t>
      </w:r>
      <w:r>
        <w:rPr>
          <w:rFonts w:ascii="Times New Roman" w:hAnsi="Times New Roman" w:eastAsia="Times New Roman" w:cs="Times New Roman"/>
          <w:sz w:val="19"/>
          <w:szCs w:val="19"/>
        </w:rPr>
        <w:t>logistic</w:t>
      </w:r>
      <w:r>
        <w:rPr>
          <w:rFonts w:ascii="Times New Roman" w:hAnsi="Times New Roman" w:eastAsia="Times New Roman" w:cs="Times New Roman"/>
          <w:sz w:val="19"/>
          <w:szCs w:val="19"/>
          <w:spacing w:val="12"/>
          <w:w w:val="101"/>
        </w:rPr>
        <w:t xml:space="preserve"> </w:t>
      </w:r>
      <w:r>
        <w:rPr>
          <w:sz w:val="19"/>
          <w:szCs w:val="19"/>
          <w:spacing w:val="9"/>
        </w:rPr>
        <w:t>预测模型构建</w:t>
      </w:r>
    </w:p>
    <w:p>
      <w:pPr>
        <w:pStyle w:val="BodyText"/>
        <w:ind w:left="22"/>
        <w:spacing w:before="83" w:line="228" w:lineRule="auto"/>
        <w:rPr>
          <w:sz w:val="19"/>
          <w:szCs w:val="19"/>
        </w:rPr>
      </w:pPr>
      <w:r>
        <w:rPr>
          <w:sz w:val="19"/>
          <w:szCs w:val="19"/>
          <w:spacing w:val="7"/>
        </w:rPr>
        <w:t>作者：</w:t>
      </w:r>
      <w:r>
        <w:rPr>
          <w:sz w:val="19"/>
          <w:szCs w:val="19"/>
          <w:spacing w:val="1"/>
        </w:rPr>
        <w:t xml:space="preserve">           </w:t>
      </w:r>
      <w:r>
        <w:rPr>
          <w:sz w:val="19"/>
          <w:szCs w:val="19"/>
          <w:spacing w:val="7"/>
        </w:rPr>
        <w:t>李春玲，刘永立，曹丽，季米，陈曦</w:t>
      </w:r>
    </w:p>
    <w:p>
      <w:pPr>
        <w:pStyle w:val="BodyText"/>
        <w:ind w:left="36"/>
        <w:spacing w:before="77" w:line="229" w:lineRule="auto"/>
        <w:rPr>
          <w:rFonts w:ascii="Times New Roman" w:hAnsi="Times New Roman" w:eastAsia="Times New Roman" w:cs="Times New Roman"/>
          <w:sz w:val="19"/>
          <w:szCs w:val="19"/>
        </w:rPr>
      </w:pPr>
      <w:r>
        <w:rPr>
          <w:sz w:val="19"/>
          <w:szCs w:val="19"/>
          <w:spacing w:val="3"/>
        </w:rPr>
        <w:t>网络首发日期：</w:t>
      </w:r>
      <w:r>
        <w:rPr>
          <w:sz w:val="19"/>
          <w:szCs w:val="19"/>
          <w:spacing w:val="36"/>
        </w:rPr>
        <w:t xml:space="preserve">  </w:t>
      </w:r>
      <w:r>
        <w:rPr>
          <w:rFonts w:ascii="Times New Roman" w:hAnsi="Times New Roman" w:eastAsia="Times New Roman" w:cs="Times New Roman"/>
          <w:sz w:val="19"/>
          <w:szCs w:val="19"/>
          <w:spacing w:val="3"/>
        </w:rPr>
        <w:t>2025-02-24</w:t>
      </w:r>
    </w:p>
    <w:p>
      <w:pPr>
        <w:pStyle w:val="BodyText"/>
        <w:ind w:left="35"/>
        <w:spacing w:before="76" w:line="228" w:lineRule="auto"/>
        <w:rPr>
          <w:sz w:val="19"/>
          <w:szCs w:val="19"/>
        </w:rPr>
      </w:pPr>
      <w:r>
        <w:rPr>
          <w:sz w:val="19"/>
          <w:szCs w:val="19"/>
          <w:spacing w:val="9"/>
        </w:rPr>
        <w:t>引用格式：      李春玲，刘永立，曹丽，季米，陈曦．腹型过敏性紫癜患儿发生胃肠道出血</w:t>
      </w:r>
    </w:p>
    <w:p>
      <w:pPr>
        <w:pStyle w:val="BodyText"/>
        <w:ind w:left="1634" w:right="1679" w:firstLine="22"/>
        <w:spacing w:before="77" w:line="308" w:lineRule="auto"/>
        <w:rPr>
          <w:rFonts w:ascii="Times New Roman" w:hAnsi="Times New Roman" w:eastAsia="Times New Roman" w:cs="Times New Roman"/>
          <w:sz w:val="19"/>
          <w:szCs w:val="19"/>
        </w:rPr>
      </w:pPr>
      <w:r>
        <w:rPr>
          <w:sz w:val="19"/>
          <w:szCs w:val="19"/>
          <w:spacing w:val="7"/>
        </w:rPr>
        <w:t>的影响因素及</w:t>
      </w:r>
      <w:r>
        <w:rPr>
          <w:sz w:val="19"/>
          <w:szCs w:val="19"/>
          <w:spacing w:val="-23"/>
        </w:rPr>
        <w:t xml:space="preserve"> </w:t>
      </w:r>
      <w:r>
        <w:rPr>
          <w:rFonts w:ascii="Times New Roman" w:hAnsi="Times New Roman" w:eastAsia="Times New Roman" w:cs="Times New Roman"/>
          <w:sz w:val="19"/>
          <w:szCs w:val="19"/>
        </w:rPr>
        <w:t>logistic</w:t>
      </w:r>
      <w:r>
        <w:rPr>
          <w:rFonts w:ascii="Times New Roman" w:hAnsi="Times New Roman" w:eastAsia="Times New Roman" w:cs="Times New Roman"/>
          <w:sz w:val="19"/>
          <w:szCs w:val="19"/>
          <w:spacing w:val="7"/>
        </w:rPr>
        <w:t xml:space="preserve"> </w:t>
      </w:r>
      <w:r>
        <w:rPr>
          <w:sz w:val="19"/>
          <w:szCs w:val="19"/>
          <w:spacing w:val="7"/>
        </w:rPr>
        <w:t>预测模型构建</w:t>
      </w:r>
      <w:r>
        <w:rPr>
          <w:rFonts w:ascii="Times New Roman" w:hAnsi="Times New Roman" w:eastAsia="Times New Roman" w:cs="Times New Roman"/>
          <w:sz w:val="19"/>
          <w:szCs w:val="19"/>
          <w:spacing w:val="7"/>
        </w:rPr>
        <w:t>[J/</w:t>
      </w:r>
      <w:r>
        <w:rPr>
          <w:rFonts w:ascii="Times New Roman" w:hAnsi="Times New Roman" w:eastAsia="Times New Roman" w:cs="Times New Roman"/>
          <w:sz w:val="19"/>
          <w:szCs w:val="19"/>
        </w:rPr>
        <w:t>OL</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20"/>
        </w:rPr>
        <w:t xml:space="preserve"> </w:t>
      </w:r>
      <w:r>
        <w:rPr>
          <w:sz w:val="19"/>
          <w:szCs w:val="19"/>
          <w:spacing w:val="7"/>
        </w:rPr>
        <w:t>．现代医药卫生</w:t>
      </w:r>
      <w:r>
        <w:rPr>
          <w:rFonts w:ascii="Times New Roman" w:hAnsi="Times New Roman" w:eastAsia="Times New Roman" w:cs="Times New Roman"/>
          <w:sz w:val="19"/>
          <w:szCs w:val="19"/>
          <w:b/>
          <w:bCs/>
          <w:spacing w:val="7"/>
        </w:rPr>
        <w:t>.</w:t>
      </w:r>
      <w:r>
        <w:rPr>
          <w:rFonts w:ascii="Times New Roman" w:hAnsi="Times New Roman" w:eastAsia="Times New Roman" w:cs="Times New Roman"/>
          <w:sz w:val="19"/>
          <w:szCs w:val="19"/>
          <w:b/>
          <w:bCs/>
        </w:rPr>
        <w:t xml:space="preserve"> </w:t>
      </w:r>
      <w:hyperlink w:history="true" r:id="rId2">
        <w:r>
          <w:rPr>
            <w:rFonts w:ascii="Times New Roman" w:hAnsi="Times New Roman" w:eastAsia="Times New Roman" w:cs="Times New Roman"/>
            <w:sz w:val="19"/>
            <w:szCs w:val="19"/>
          </w:rPr>
          <w:t>https</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link</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cnki</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net</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urlid</w:t>
        </w:r>
        <w:r>
          <w:rPr>
            <w:rFonts w:ascii="Times New Roman" w:hAnsi="Times New Roman" w:eastAsia="Times New Roman" w:cs="Times New Roman"/>
            <w:sz w:val="19"/>
            <w:szCs w:val="19"/>
            <w:spacing w:val="6"/>
          </w:rPr>
          <w:t>/50.1129.r.20250221.1724.054</w:t>
        </w:r>
      </w:hyperlink>
    </w:p>
    <w:p>
      <w:pPr>
        <w:ind w:firstLine="17"/>
        <w:spacing w:line="1200" w:lineRule="exact"/>
        <w:rPr/>
      </w:pPr>
      <w:r>
        <w:rPr>
          <w:position w:val="-23"/>
        </w:rPr>
        <w:drawing>
          <wp:inline distT="0" distB="0" distL="0" distR="0">
            <wp:extent cx="761999" cy="761987"/>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61999" cy="761987"/>
                    </a:xfrm>
                    <a:prstGeom prst="rect">
                      <a:avLst/>
                    </a:prstGeom>
                  </pic:spPr>
                </pic:pic>
              </a:graphicData>
            </a:graphic>
          </wp:inline>
        </w:drawing>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firstLine="51"/>
        <w:spacing w:before="1" w:line="408" w:lineRule="exact"/>
        <w:rPr/>
      </w:pPr>
      <w:r>
        <w:rPr>
          <w:position w:val="-8"/>
        </w:rPr>
        <w:drawing>
          <wp:inline distT="0" distB="0" distL="0" distR="0">
            <wp:extent cx="1007363" cy="259079"/>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007363" cy="259079"/>
                    </a:xfrm>
                    <a:prstGeom prst="rect">
                      <a:avLst/>
                    </a:prstGeom>
                  </pic:spPr>
                </pic:pic>
              </a:graphicData>
            </a:graphic>
          </wp:inline>
        </w:drawing>
      </w:r>
    </w:p>
    <w:p>
      <w:pPr>
        <w:ind w:firstLine="4"/>
        <w:spacing w:before="106" w:line="40" w:lineRule="exact"/>
        <w:rPr/>
      </w:pPr>
      <w:r>
        <w:rPr/>
        <w:drawing>
          <wp:inline distT="0" distB="0" distL="0" distR="0">
            <wp:extent cx="5315640" cy="25292"/>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315640" cy="25292"/>
                    </a:xfrm>
                    <a:prstGeom prst="rect">
                      <a:avLst/>
                    </a:prstGeom>
                  </pic:spPr>
                </pic:pic>
              </a:graphicData>
            </a:graphic>
          </wp:inline>
        </w:drawing>
      </w:r>
    </w:p>
    <w:p>
      <w:pPr>
        <w:pStyle w:val="BodyText"/>
        <w:ind w:left="54" w:firstLine="374"/>
        <w:spacing w:before="44" w:line="320" w:lineRule="auto"/>
        <w:rPr/>
      </w:pPr>
      <w:r>
        <w:rPr>
          <w:b/>
          <w:bCs/>
          <w:spacing w:val="-1"/>
        </w:rPr>
        <w:t>网络首发</w:t>
      </w:r>
      <w:r>
        <w:rPr>
          <w:spacing w:val="-1"/>
        </w:rPr>
        <w:t>：在编辑部工作流程中，稿件从录用到出版要经历录用定稿、排版定稿、整期汇编定稿等阶</w:t>
      </w:r>
      <w:r>
        <w:rPr>
          <w:spacing w:val="16"/>
        </w:rPr>
        <w:t xml:space="preserve"> </w:t>
      </w:r>
      <w:r>
        <w:rPr/>
        <w:t>段。录用定稿指内容已经确定，且通过同行评议、主编终审同意刊用的稿件。排版定</w:t>
      </w:r>
      <w:r>
        <w:rPr>
          <w:spacing w:val="-1"/>
        </w:rPr>
        <w:t>稿指录用定稿按照期</w:t>
      </w:r>
      <w:r>
        <w:rPr/>
        <w:t xml:space="preserve"> </w:t>
      </w:r>
      <w:r>
        <w:rPr/>
        <w:t>刊特定版式（包括网络呈现版式）排版后的稿件，可暂不确定出版年、卷、期和页码</w:t>
      </w:r>
      <w:r>
        <w:rPr>
          <w:spacing w:val="-1"/>
        </w:rPr>
        <w:t>。整期汇编定稿指出</w:t>
      </w:r>
      <w:r>
        <w:rPr/>
        <w:t xml:space="preserve"> </w:t>
      </w:r>
      <w:r>
        <w:rPr>
          <w:spacing w:val="-4"/>
        </w:rPr>
        <w:t>版年、卷、期、页码均已确定的印刷或数字出版的整期汇编稿</w:t>
      </w:r>
      <w:r>
        <w:rPr>
          <w:spacing w:val="-5"/>
        </w:rPr>
        <w:t>件。录用定稿网络首发稿件内容必须符合《出</w:t>
      </w:r>
      <w:r>
        <w:rPr/>
        <w:t xml:space="preserve">  </w:t>
      </w:r>
      <w:r>
        <w:rPr/>
        <w:t>版管理条例》和《期刊出版管理规定》的有关规定；学术研究成果具有创新性、科学</w:t>
      </w:r>
      <w:r>
        <w:rPr>
          <w:spacing w:val="-1"/>
        </w:rPr>
        <w:t>性和先进性，符合编</w:t>
      </w:r>
      <w:r>
        <w:rPr/>
        <w:t xml:space="preserve"> </w:t>
      </w:r>
      <w:r>
        <w:rPr/>
        <w:t>辑部对刊文的录用要求，不存在学术不端行为及其他侵权行为；稿件内容应基本符合国家有关书刊编辑、 </w:t>
      </w:r>
      <w:r>
        <w:rPr>
          <w:spacing w:val="-1"/>
        </w:rPr>
        <w:t>出版的技术标准，正确使用和统一规范语言文字、符号、数字、外文字母、法定计量单位及地图标注等。</w:t>
      </w:r>
      <w:r>
        <w:rPr>
          <w:spacing w:val="5"/>
        </w:rPr>
        <w:t xml:space="preserve">  </w:t>
      </w:r>
      <w:r>
        <w:rPr>
          <w:spacing w:val="-3"/>
        </w:rPr>
        <w:t>为确保录用定稿网络首发的严肃性，录用定稿一经发布，不得修改论文题目、作者、机构名称和学术内容，</w:t>
      </w:r>
      <w:r>
        <w:rPr>
          <w:spacing w:val="8"/>
        </w:rPr>
        <w:t xml:space="preserve"> </w:t>
      </w:r>
      <w:r>
        <w:rPr>
          <w:spacing w:val="-2"/>
        </w:rPr>
        <w:t>只可基于编辑规范进行少量文字的修改。</w:t>
      </w:r>
    </w:p>
    <w:p>
      <w:pPr>
        <w:pStyle w:val="BodyText"/>
        <w:ind w:left="55" w:right="53" w:firstLine="379"/>
        <w:spacing w:before="4" w:line="320" w:lineRule="auto"/>
        <w:jc w:val="both"/>
        <w:rPr/>
      </w:pPr>
      <w:r>
        <w:rPr>
          <w:b/>
          <w:bCs/>
          <w:spacing w:val="-1"/>
        </w:rPr>
        <w:t>出版确认</w:t>
      </w:r>
      <w:r>
        <w:rPr>
          <w:spacing w:val="-1"/>
        </w:rPr>
        <w:t>：纸质期刊编辑部通过与《中国学术期刊（光盘版）》电子杂志社有限公司签</w:t>
      </w:r>
      <w:r>
        <w:rPr>
          <w:spacing w:val="-2"/>
        </w:rPr>
        <w:t>约，在《中国</w:t>
      </w:r>
      <w:r>
        <w:rPr/>
        <w:t xml:space="preserve"> </w:t>
      </w:r>
      <w:r>
        <w:rPr>
          <w:spacing w:val="-4"/>
        </w:rPr>
        <w:t>学术期刊（网络版）》出版传播平台上创办与纸质期刊内容一致的网络版，以单篇或整期出版形式，在印刷</w:t>
      </w:r>
      <w:r>
        <w:rPr>
          <w:spacing w:val="1"/>
        </w:rPr>
        <w:t xml:space="preserve"> </w:t>
      </w:r>
      <w:r>
        <w:rPr>
          <w:spacing w:val="-4"/>
        </w:rPr>
        <w:t>出版之前刊发论文的录用定稿、排版定稿、整期汇编定稿。因为《中国学术期刊（网络版）》是国家新闻出</w:t>
      </w:r>
      <w:r>
        <w:rPr>
          <w:spacing w:val="1"/>
        </w:rPr>
        <w:t xml:space="preserve"> </w:t>
      </w:r>
      <w:r>
        <w:rPr>
          <w:spacing w:val="-1"/>
        </w:rPr>
        <w:t>版广电总局批准的网络连续型出版物（</w:t>
      </w:r>
      <w:r>
        <w:rPr>
          <w:rFonts w:ascii="Times New Roman" w:hAnsi="Times New Roman" w:eastAsia="Times New Roman" w:cs="Times New Roman"/>
          <w:spacing w:val="-1"/>
        </w:rPr>
        <w:t>ISSN 2096-4188</w:t>
      </w:r>
      <w:r>
        <w:rPr>
          <w:rFonts w:ascii="Times New Roman" w:hAnsi="Times New Roman" w:eastAsia="Times New Roman" w:cs="Times New Roman"/>
          <w:spacing w:val="-23"/>
        </w:rPr>
        <w:t xml:space="preserve"> </w:t>
      </w:r>
      <w:r>
        <w:rPr>
          <w:spacing w:val="-1"/>
        </w:rPr>
        <w:t>，</w:t>
      </w:r>
      <w:r>
        <w:rPr>
          <w:rFonts w:ascii="Times New Roman" w:hAnsi="Times New Roman" w:eastAsia="Times New Roman" w:cs="Times New Roman"/>
          <w:spacing w:val="-1"/>
        </w:rPr>
        <w:t>CN</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11-6037/Z</w:t>
      </w:r>
      <w:r>
        <w:rPr>
          <w:spacing w:val="-47"/>
          <w:w w:val="98"/>
        </w:rPr>
        <w:t>），</w:t>
      </w:r>
      <w:r>
        <w:rPr>
          <w:spacing w:val="-1"/>
        </w:rPr>
        <w:t>所以签约期刊的网络版上网络首</w:t>
      </w:r>
      <w:r>
        <w:rPr/>
        <w:t xml:space="preserve"> </w:t>
      </w:r>
      <w:r>
        <w:rPr>
          <w:spacing w:val="-4"/>
        </w:rPr>
        <w:t>发论文视为正式出版。</w:t>
      </w:r>
    </w:p>
    <w:p>
      <w:pPr>
        <w:spacing w:line="320" w:lineRule="auto"/>
        <w:sectPr>
          <w:pgSz w:w="11907" w:h="16839"/>
          <w:pgMar w:top="1431" w:right="1737" w:bottom="0" w:left="1785" w:header="0" w:footer="0" w:gutter="0"/>
        </w:sectPr>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1394" w:right="197" w:firstLine="1"/>
        <w:spacing w:before="78" w:line="265" w:lineRule="auto"/>
        <w:rPr>
          <w:rFonts w:ascii="Times New Roman" w:hAnsi="Times New Roman" w:eastAsia="Times New Roman" w:cs="Times New Roman"/>
          <w:sz w:val="24"/>
          <w:szCs w:val="24"/>
        </w:rPr>
      </w:pPr>
      <w:r>
        <w:rPr>
          <w:sz w:val="24"/>
          <w:szCs w:val="24"/>
          <w:b/>
          <w:bCs/>
          <w:spacing w:val="-2"/>
        </w:rPr>
        <w:t>作者简介：李春玲（</w:t>
      </w:r>
      <w:r>
        <w:rPr>
          <w:rFonts w:ascii="Times New Roman" w:hAnsi="Times New Roman" w:eastAsia="Times New Roman" w:cs="Times New Roman"/>
          <w:sz w:val="24"/>
          <w:szCs w:val="24"/>
          <w:b/>
          <w:bCs/>
          <w:spacing w:val="-2"/>
        </w:rPr>
        <w:t>1988—</w:t>
      </w:r>
      <w:r>
        <w:rPr>
          <w:sz w:val="24"/>
          <w:szCs w:val="24"/>
          <w:b/>
          <w:bCs/>
          <w:spacing w:val="1"/>
        </w:rPr>
        <w:t>），</w:t>
      </w:r>
      <w:r>
        <w:rPr>
          <w:sz w:val="24"/>
          <w:szCs w:val="24"/>
          <w:b/>
          <w:bCs/>
          <w:spacing w:val="-2"/>
        </w:rPr>
        <w:t>主治医师，本科，主要从事紫癜、肾病等免疫</w:t>
      </w:r>
      <w:r>
        <w:rPr>
          <w:sz w:val="24"/>
          <w:szCs w:val="24"/>
        </w:rPr>
        <w:t xml:space="preserve"> </w:t>
      </w:r>
      <w:r>
        <w:rPr>
          <w:sz w:val="24"/>
          <w:szCs w:val="24"/>
          <w:b/>
          <w:bCs/>
          <w:spacing w:val="-1"/>
        </w:rPr>
        <w:t>疾病的研究。</w:t>
      </w:r>
      <w:r>
        <w:rPr>
          <w:rFonts w:ascii="Times New Roman" w:hAnsi="Times New Roman" w:eastAsia="Times New Roman" w:cs="Times New Roman"/>
          <w:sz w:val="24"/>
          <w:szCs w:val="24"/>
          <w:b/>
          <w:bCs/>
          <w:spacing w:val="-1"/>
        </w:rPr>
        <w:t>E-mail</w:t>
      </w:r>
      <w:r>
        <w:rPr>
          <w:sz w:val="24"/>
          <w:szCs w:val="24"/>
          <w:b/>
          <w:bCs/>
          <w:spacing w:val="-1"/>
        </w:rPr>
        <w:t>：</w:t>
      </w:r>
      <w:r>
        <w:rPr>
          <w:rFonts w:ascii="Times New Roman" w:hAnsi="Times New Roman" w:eastAsia="Times New Roman" w:cs="Times New Roman"/>
          <w:sz w:val="24"/>
          <w:szCs w:val="24"/>
          <w:b/>
          <w:bCs/>
          <w:spacing w:val="-1"/>
        </w:rPr>
        <w:t>ydfwq1@163.com</w:t>
      </w:r>
    </w:p>
    <w:p>
      <w:pPr>
        <w:spacing w:line="264" w:lineRule="auto"/>
        <w:rPr>
          <w:rFonts w:ascii="Arial"/>
          <w:sz w:val="21"/>
        </w:rPr>
      </w:pPr>
      <w:r/>
    </w:p>
    <w:p>
      <w:pPr>
        <w:pStyle w:val="BodyText"/>
        <w:ind w:left="1754"/>
        <w:spacing w:before="78" w:line="212" w:lineRule="auto"/>
        <w:rPr>
          <w:sz w:val="24"/>
          <w:szCs w:val="24"/>
        </w:rPr>
      </w:pPr>
      <w:r>
        <w:rPr>
          <w:sz w:val="24"/>
          <w:szCs w:val="24"/>
          <w:b/>
          <w:bCs/>
          <w:spacing w:val="-2"/>
        </w:rPr>
        <w:t>腹型过敏性紫癜患儿发生胃肠道出血的影响因素及</w:t>
      </w:r>
      <w:r>
        <w:rPr>
          <w:sz w:val="24"/>
          <w:szCs w:val="24"/>
          <w:spacing w:val="-41"/>
        </w:rPr>
        <w:t xml:space="preserve"> </w:t>
      </w:r>
      <w:r>
        <w:rPr>
          <w:rFonts w:ascii="Times New Roman" w:hAnsi="Times New Roman" w:eastAsia="Times New Roman" w:cs="Times New Roman"/>
          <w:sz w:val="24"/>
          <w:szCs w:val="24"/>
          <w:b/>
          <w:bCs/>
          <w:spacing w:val="-2"/>
        </w:rPr>
        <w:t>logistic </w:t>
      </w:r>
      <w:r>
        <w:rPr>
          <w:sz w:val="24"/>
          <w:szCs w:val="24"/>
          <w:b/>
          <w:bCs/>
          <w:spacing w:val="-2"/>
        </w:rPr>
        <w:t>预测模型构建</w:t>
      </w:r>
    </w:p>
    <w:p>
      <w:pPr>
        <w:pStyle w:val="BodyText"/>
        <w:ind w:left="3482"/>
        <w:spacing w:before="103" w:line="208" w:lineRule="auto"/>
        <w:rPr>
          <w:sz w:val="24"/>
          <w:szCs w:val="24"/>
        </w:rPr>
      </w:pPr>
      <w:r>
        <w:rPr>
          <w:sz w:val="24"/>
          <w:szCs w:val="24"/>
          <w:b/>
          <w:bCs/>
          <w:spacing w:val="-7"/>
        </w:rPr>
        <w:t>李春玲</w:t>
      </w:r>
      <w:r>
        <w:rPr>
          <w:sz w:val="27"/>
          <w:szCs w:val="27"/>
          <w:b/>
          <w:bCs/>
          <w:spacing w:val="-7"/>
        </w:rPr>
        <w:t>，</w:t>
      </w:r>
      <w:r>
        <w:rPr>
          <w:sz w:val="24"/>
          <w:szCs w:val="24"/>
          <w:b/>
          <w:bCs/>
          <w:spacing w:val="-7"/>
        </w:rPr>
        <w:t>刘永立</w:t>
      </w:r>
      <w:r>
        <w:rPr>
          <w:sz w:val="12"/>
          <w:szCs w:val="12"/>
          <w:b/>
          <w:bCs/>
          <w:spacing w:val="-7"/>
          <w:position w:val="11"/>
        </w:rPr>
        <w:t>△</w:t>
      </w:r>
      <w:r>
        <w:rPr>
          <w:sz w:val="12"/>
          <w:szCs w:val="12"/>
          <w:spacing w:val="-9"/>
          <w:position w:val="11"/>
        </w:rPr>
        <w:t xml:space="preserve"> </w:t>
      </w:r>
      <w:r>
        <w:rPr>
          <w:sz w:val="27"/>
          <w:szCs w:val="27"/>
          <w:b/>
          <w:bCs/>
          <w:spacing w:val="-7"/>
        </w:rPr>
        <w:t>,</w:t>
      </w:r>
      <w:r>
        <w:rPr>
          <w:sz w:val="27"/>
          <w:szCs w:val="27"/>
          <w:spacing w:val="80"/>
        </w:rPr>
        <w:t xml:space="preserve"> </w:t>
      </w:r>
      <w:r>
        <w:rPr>
          <w:sz w:val="24"/>
          <w:szCs w:val="24"/>
          <w:b/>
          <w:bCs/>
          <w:spacing w:val="-7"/>
        </w:rPr>
        <w:t>曹丽</w:t>
      </w:r>
      <w:r>
        <w:rPr>
          <w:sz w:val="27"/>
          <w:szCs w:val="27"/>
          <w:b/>
          <w:bCs/>
          <w:spacing w:val="-7"/>
        </w:rPr>
        <w:t>，</w:t>
      </w:r>
      <w:r>
        <w:rPr>
          <w:sz w:val="24"/>
          <w:szCs w:val="24"/>
          <w:b/>
          <w:bCs/>
          <w:spacing w:val="-7"/>
        </w:rPr>
        <w:t>季米</w:t>
      </w:r>
      <w:r>
        <w:rPr>
          <w:sz w:val="27"/>
          <w:szCs w:val="27"/>
          <w:b/>
          <w:bCs/>
          <w:spacing w:val="-7"/>
        </w:rPr>
        <w:t>，</w:t>
      </w:r>
      <w:r>
        <w:rPr>
          <w:sz w:val="24"/>
          <w:szCs w:val="24"/>
          <w:b/>
          <w:bCs/>
          <w:spacing w:val="-7"/>
        </w:rPr>
        <w:t>陈曦</w:t>
      </w:r>
    </w:p>
    <w:p>
      <w:pPr>
        <w:pStyle w:val="BodyText"/>
        <w:ind w:left="2424"/>
        <w:spacing w:before="91" w:line="233" w:lineRule="auto"/>
        <w:rPr>
          <w:sz w:val="24"/>
          <w:szCs w:val="24"/>
        </w:rPr>
      </w:pPr>
      <w:r>
        <w:rPr>
          <w:sz w:val="24"/>
          <w:szCs w:val="24"/>
          <w:b/>
          <w:bCs/>
          <w:spacing w:val="-2"/>
        </w:rPr>
        <w:t>（永城市中心医院中西医结合二病区，河南</w:t>
      </w:r>
      <w:r>
        <w:rPr>
          <w:sz w:val="24"/>
          <w:szCs w:val="24"/>
          <w:spacing w:val="-2"/>
        </w:rPr>
        <w:t xml:space="preserve"> </w:t>
      </w:r>
      <w:r>
        <w:rPr>
          <w:sz w:val="24"/>
          <w:szCs w:val="24"/>
          <w:b/>
          <w:bCs/>
          <w:spacing w:val="-2"/>
        </w:rPr>
        <w:t>永城</w:t>
      </w:r>
      <w:r>
        <w:rPr>
          <w:sz w:val="24"/>
          <w:szCs w:val="24"/>
          <w:spacing w:val="-2"/>
        </w:rPr>
        <w:t xml:space="preserve"> </w:t>
      </w:r>
      <w:r>
        <w:rPr>
          <w:rFonts w:ascii="Times New Roman" w:hAnsi="Times New Roman" w:eastAsia="Times New Roman" w:cs="Times New Roman"/>
          <w:sz w:val="24"/>
          <w:szCs w:val="24"/>
          <w:b/>
          <w:bCs/>
          <w:spacing w:val="-2"/>
        </w:rPr>
        <w:t>476600</w:t>
      </w:r>
      <w:r>
        <w:rPr>
          <w:sz w:val="24"/>
          <w:szCs w:val="24"/>
          <w:b/>
          <w:bCs/>
          <w:spacing w:val="-2"/>
        </w:rPr>
        <w:t>）</w:t>
      </w:r>
    </w:p>
    <w:p>
      <w:pPr>
        <w:spacing w:line="299" w:lineRule="auto"/>
        <w:rPr>
          <w:rFonts w:ascii="Arial"/>
          <w:sz w:val="21"/>
        </w:rPr>
      </w:pPr>
      <w:r/>
    </w:p>
    <w:p>
      <w:pPr>
        <w:pStyle w:val="BodyText"/>
        <w:ind w:left="1390" w:firstLine="426"/>
        <w:spacing w:before="68" w:line="274" w:lineRule="auto"/>
        <w:jc w:val="both"/>
        <w:rPr>
          <w:sz w:val="21"/>
          <w:szCs w:val="21"/>
        </w:rPr>
      </w:pPr>
      <w:r>
        <w:rPr>
          <w:sz w:val="21"/>
          <w:szCs w:val="21"/>
          <w:b/>
          <w:bCs/>
          <w:spacing w:val="-11"/>
        </w:rPr>
        <w:t>摘要</w:t>
      </w:r>
      <w:r>
        <w:rPr>
          <w:sz w:val="21"/>
          <w:szCs w:val="21"/>
          <w:spacing w:val="50"/>
        </w:rPr>
        <w:t xml:space="preserve"> </w:t>
      </w:r>
      <w:r>
        <w:rPr>
          <w:sz w:val="21"/>
          <w:szCs w:val="21"/>
          <w:b/>
          <w:bCs/>
          <w:spacing w:val="-11"/>
        </w:rPr>
        <w:t>目的：</w:t>
      </w:r>
      <w:r>
        <w:rPr>
          <w:sz w:val="21"/>
          <w:szCs w:val="21"/>
          <w:spacing w:val="-11"/>
        </w:rPr>
        <w:t>分析腹型过敏性紫癜（</w:t>
      </w:r>
      <w:r>
        <w:rPr>
          <w:rFonts w:ascii="Times New Roman" w:hAnsi="Times New Roman" w:eastAsia="Times New Roman" w:cs="Times New Roman"/>
          <w:sz w:val="21"/>
          <w:szCs w:val="21"/>
          <w:spacing w:val="-11"/>
        </w:rPr>
        <w:t>HSP</w:t>
      </w:r>
      <w:r>
        <w:rPr>
          <w:sz w:val="21"/>
          <w:szCs w:val="21"/>
          <w:spacing w:val="-11"/>
        </w:rPr>
        <w:t>）患儿发生胃肠道出血的影响因素，并构建</w:t>
      </w:r>
      <w:r>
        <w:rPr>
          <w:sz w:val="21"/>
          <w:szCs w:val="21"/>
          <w:spacing w:val="-46"/>
        </w:rPr>
        <w:t xml:space="preserve"> </w:t>
      </w:r>
      <w:r>
        <w:rPr>
          <w:rFonts w:ascii="Times New Roman" w:hAnsi="Times New Roman" w:eastAsia="Times New Roman" w:cs="Times New Roman"/>
          <w:sz w:val="21"/>
          <w:szCs w:val="21"/>
          <w:spacing w:val="-11"/>
        </w:rPr>
        <w:t>logistic</w:t>
      </w:r>
      <w:r>
        <w:rPr>
          <w:rFonts w:ascii="Times New Roman" w:hAnsi="Times New Roman" w:eastAsia="Times New Roman" w:cs="Times New Roman"/>
          <w:sz w:val="21"/>
          <w:szCs w:val="21"/>
        </w:rPr>
        <w:t xml:space="preserve">  </w:t>
      </w:r>
      <w:r>
        <w:rPr>
          <w:sz w:val="21"/>
          <w:szCs w:val="21"/>
          <w:spacing w:val="-3"/>
        </w:rPr>
        <w:t>预测模型。</w:t>
      </w:r>
      <w:r>
        <w:rPr>
          <w:sz w:val="21"/>
          <w:szCs w:val="21"/>
          <w:b/>
          <w:bCs/>
          <w:spacing w:val="-3"/>
        </w:rPr>
        <w:t>方法：</w:t>
      </w:r>
      <w:r>
        <w:rPr>
          <w:sz w:val="21"/>
          <w:szCs w:val="21"/>
          <w:spacing w:val="-3"/>
        </w:rPr>
        <w:t>选择</w:t>
      </w:r>
      <w:r>
        <w:rPr>
          <w:sz w:val="21"/>
          <w:szCs w:val="21"/>
          <w:spacing w:val="-45"/>
        </w:rPr>
        <w:t xml:space="preserve"> </w:t>
      </w:r>
      <w:r>
        <w:rPr>
          <w:rFonts w:ascii="Times New Roman" w:hAnsi="Times New Roman" w:eastAsia="Times New Roman" w:cs="Times New Roman"/>
          <w:sz w:val="21"/>
          <w:szCs w:val="21"/>
          <w:spacing w:val="-3"/>
        </w:rPr>
        <w:t>2021</w:t>
      </w:r>
      <w:r>
        <w:rPr>
          <w:rFonts w:ascii="Times New Roman" w:hAnsi="Times New Roman" w:eastAsia="Times New Roman" w:cs="Times New Roman"/>
          <w:sz w:val="21"/>
          <w:szCs w:val="21"/>
          <w:spacing w:val="14"/>
          <w:w w:val="101"/>
        </w:rPr>
        <w:t xml:space="preserve"> </w:t>
      </w:r>
      <w:r>
        <w:rPr>
          <w:sz w:val="21"/>
          <w:szCs w:val="21"/>
          <w:spacing w:val="-3"/>
        </w:rPr>
        <w:t>年</w:t>
      </w:r>
      <w:r>
        <w:rPr>
          <w:sz w:val="21"/>
          <w:szCs w:val="21"/>
          <w:spacing w:val="-40"/>
        </w:rPr>
        <w:t xml:space="preserve"> </w:t>
      </w:r>
      <w:r>
        <w:rPr>
          <w:rFonts w:ascii="Times New Roman" w:hAnsi="Times New Roman" w:eastAsia="Times New Roman" w:cs="Times New Roman"/>
          <w:sz w:val="21"/>
          <w:szCs w:val="21"/>
          <w:spacing w:val="-3"/>
        </w:rPr>
        <w:t>9</w:t>
      </w:r>
      <w:r>
        <w:rPr>
          <w:rFonts w:ascii="Times New Roman" w:hAnsi="Times New Roman" w:eastAsia="Times New Roman" w:cs="Times New Roman"/>
          <w:sz w:val="21"/>
          <w:szCs w:val="21"/>
          <w:spacing w:val="18"/>
        </w:rPr>
        <w:t xml:space="preserve"> </w:t>
      </w:r>
      <w:r>
        <w:rPr>
          <w:sz w:val="21"/>
          <w:szCs w:val="21"/>
          <w:spacing w:val="-3"/>
        </w:rPr>
        <w:t>月至</w:t>
      </w:r>
      <w:r>
        <w:rPr>
          <w:sz w:val="21"/>
          <w:szCs w:val="21"/>
          <w:spacing w:val="-44"/>
        </w:rPr>
        <w:t xml:space="preserve"> </w:t>
      </w:r>
      <w:r>
        <w:rPr>
          <w:rFonts w:ascii="Times New Roman" w:hAnsi="Times New Roman" w:eastAsia="Times New Roman" w:cs="Times New Roman"/>
          <w:sz w:val="21"/>
          <w:szCs w:val="21"/>
          <w:spacing w:val="-3"/>
        </w:rPr>
        <w:t>2023</w:t>
      </w:r>
      <w:r>
        <w:rPr>
          <w:rFonts w:ascii="Times New Roman" w:hAnsi="Times New Roman" w:eastAsia="Times New Roman" w:cs="Times New Roman"/>
          <w:sz w:val="21"/>
          <w:szCs w:val="21"/>
          <w:spacing w:val="13"/>
          <w:w w:val="101"/>
        </w:rPr>
        <w:t xml:space="preserve"> </w:t>
      </w:r>
      <w:r>
        <w:rPr>
          <w:sz w:val="21"/>
          <w:szCs w:val="21"/>
          <w:spacing w:val="-3"/>
        </w:rPr>
        <w:t>年</w:t>
      </w:r>
      <w:r>
        <w:rPr>
          <w:sz w:val="21"/>
          <w:szCs w:val="21"/>
          <w:spacing w:val="-40"/>
        </w:rPr>
        <w:t xml:space="preserve"> </w:t>
      </w:r>
      <w:r>
        <w:rPr>
          <w:rFonts w:ascii="Times New Roman" w:hAnsi="Times New Roman" w:eastAsia="Times New Roman" w:cs="Times New Roman"/>
          <w:sz w:val="21"/>
          <w:szCs w:val="21"/>
          <w:spacing w:val="-3"/>
        </w:rPr>
        <w:t>9</w:t>
      </w:r>
      <w:r>
        <w:rPr>
          <w:rFonts w:ascii="Times New Roman" w:hAnsi="Times New Roman" w:eastAsia="Times New Roman" w:cs="Times New Roman"/>
          <w:sz w:val="21"/>
          <w:szCs w:val="21"/>
          <w:spacing w:val="16"/>
          <w:w w:val="101"/>
        </w:rPr>
        <w:t xml:space="preserve"> </w:t>
      </w:r>
      <w:r>
        <w:rPr>
          <w:sz w:val="21"/>
          <w:szCs w:val="21"/>
          <w:spacing w:val="-3"/>
        </w:rPr>
        <w:t>月该院收治的腹型</w:t>
      </w:r>
      <w:r>
        <w:rPr>
          <w:sz w:val="21"/>
          <w:szCs w:val="21"/>
          <w:spacing w:val="-46"/>
        </w:rPr>
        <w:t xml:space="preserve"> </w:t>
      </w:r>
      <w:r>
        <w:rPr>
          <w:rFonts w:ascii="Times New Roman" w:hAnsi="Times New Roman" w:eastAsia="Times New Roman" w:cs="Times New Roman"/>
          <w:sz w:val="21"/>
          <w:szCs w:val="21"/>
          <w:spacing w:val="-3"/>
        </w:rPr>
        <w:t>HSP</w:t>
      </w:r>
      <w:r>
        <w:rPr>
          <w:rFonts w:ascii="Times New Roman" w:hAnsi="Times New Roman" w:eastAsia="Times New Roman" w:cs="Times New Roman"/>
          <w:sz w:val="21"/>
          <w:szCs w:val="21"/>
          <w:spacing w:val="24"/>
          <w:w w:val="101"/>
        </w:rPr>
        <w:t xml:space="preserve"> </w:t>
      </w:r>
      <w:r>
        <w:rPr>
          <w:sz w:val="21"/>
          <w:szCs w:val="21"/>
          <w:spacing w:val="-3"/>
        </w:rPr>
        <w:t>患</w:t>
      </w:r>
      <w:r>
        <w:rPr>
          <w:sz w:val="21"/>
          <w:szCs w:val="21"/>
          <w:spacing w:val="-4"/>
        </w:rPr>
        <w:t>儿</w:t>
      </w:r>
      <w:r>
        <w:rPr>
          <w:sz w:val="21"/>
          <w:szCs w:val="21"/>
          <w:spacing w:val="-24"/>
        </w:rPr>
        <w:t xml:space="preserve"> </w:t>
      </w:r>
      <w:r>
        <w:rPr>
          <w:rFonts w:ascii="Times New Roman" w:hAnsi="Times New Roman" w:eastAsia="Times New Roman" w:cs="Times New Roman"/>
          <w:sz w:val="21"/>
          <w:szCs w:val="21"/>
          <w:spacing w:val="-4"/>
        </w:rPr>
        <w:t>118</w:t>
      </w:r>
      <w:r>
        <w:rPr>
          <w:rFonts w:ascii="Times New Roman" w:hAnsi="Times New Roman" w:eastAsia="Times New Roman" w:cs="Times New Roman"/>
          <w:sz w:val="21"/>
          <w:szCs w:val="21"/>
          <w:spacing w:val="13"/>
        </w:rPr>
        <w:t xml:space="preserve"> </w:t>
      </w:r>
      <w:r>
        <w:rPr>
          <w:sz w:val="21"/>
          <w:szCs w:val="21"/>
          <w:spacing w:val="-4"/>
        </w:rPr>
        <w:t>例，根据</w:t>
      </w:r>
      <w:r>
        <w:rPr>
          <w:sz w:val="21"/>
          <w:szCs w:val="21"/>
        </w:rPr>
        <w:t xml:space="preserve"> </w:t>
      </w:r>
      <w:r>
        <w:rPr>
          <w:sz w:val="21"/>
          <w:szCs w:val="21"/>
          <w:spacing w:val="-2"/>
        </w:rPr>
        <w:t>是否出血胃肠道出血分为合并组 </w:t>
      </w:r>
      <w:r>
        <w:rPr>
          <w:rFonts w:ascii="Times New Roman" w:hAnsi="Times New Roman" w:eastAsia="Times New Roman" w:cs="Times New Roman"/>
          <w:sz w:val="21"/>
          <w:szCs w:val="21"/>
          <w:spacing w:val="-2"/>
        </w:rPr>
        <w:t>52</w:t>
      </w:r>
      <w:r>
        <w:rPr>
          <w:rFonts w:ascii="Times New Roman" w:hAnsi="Times New Roman" w:eastAsia="Times New Roman" w:cs="Times New Roman"/>
          <w:sz w:val="21"/>
          <w:szCs w:val="21"/>
          <w:spacing w:val="34"/>
          <w:w w:val="101"/>
        </w:rPr>
        <w:t xml:space="preserve"> </w:t>
      </w:r>
      <w:r>
        <w:rPr>
          <w:sz w:val="21"/>
          <w:szCs w:val="21"/>
          <w:spacing w:val="-2"/>
        </w:rPr>
        <w:t>例和未合并组</w:t>
      </w:r>
      <w:r>
        <w:rPr>
          <w:sz w:val="21"/>
          <w:szCs w:val="21"/>
          <w:spacing w:val="-20"/>
        </w:rPr>
        <w:t xml:space="preserve"> </w:t>
      </w:r>
      <w:r>
        <w:rPr>
          <w:rFonts w:ascii="Times New Roman" w:hAnsi="Times New Roman" w:eastAsia="Times New Roman" w:cs="Times New Roman"/>
          <w:sz w:val="21"/>
          <w:szCs w:val="21"/>
          <w:spacing w:val="-2"/>
        </w:rPr>
        <w:t>66</w:t>
      </w:r>
      <w:r>
        <w:rPr>
          <w:rFonts w:ascii="Times New Roman" w:hAnsi="Times New Roman" w:eastAsia="Times New Roman" w:cs="Times New Roman"/>
          <w:sz w:val="21"/>
          <w:szCs w:val="21"/>
          <w:spacing w:val="34"/>
        </w:rPr>
        <w:t xml:space="preserve"> </w:t>
      </w:r>
      <w:r>
        <w:rPr>
          <w:sz w:val="21"/>
          <w:szCs w:val="21"/>
          <w:spacing w:val="-2"/>
        </w:rPr>
        <w:t>例，收集</w:t>
      </w:r>
      <w:r>
        <w:rPr>
          <w:sz w:val="21"/>
          <w:szCs w:val="21"/>
          <w:spacing w:val="-24"/>
        </w:rPr>
        <w:t xml:space="preserve"> </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35"/>
          <w:w w:val="101"/>
        </w:rPr>
        <w:t xml:space="preserve"> </w:t>
      </w:r>
      <w:r>
        <w:rPr>
          <w:sz w:val="21"/>
          <w:szCs w:val="21"/>
          <w:spacing w:val="-2"/>
        </w:rPr>
        <w:t>组患儿临床资料，比较</w:t>
      </w:r>
      <w:r>
        <w:rPr>
          <w:sz w:val="21"/>
          <w:szCs w:val="21"/>
          <w:spacing w:val="-23"/>
        </w:rPr>
        <w:t xml:space="preserve"> </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rPr>
        <w:t xml:space="preserve">  </w:t>
      </w:r>
      <w:r>
        <w:rPr>
          <w:sz w:val="21"/>
          <w:szCs w:val="21"/>
          <w:spacing w:val="-4"/>
        </w:rPr>
        <w:t>组患儿实验室指标，采用多因素</w:t>
      </w:r>
      <w:r>
        <w:rPr>
          <w:sz w:val="21"/>
          <w:szCs w:val="21"/>
          <w:spacing w:val="-58"/>
        </w:rPr>
        <w:t xml:space="preserve"> </w:t>
      </w:r>
      <w:r>
        <w:rPr>
          <w:rFonts w:ascii="Times New Roman" w:hAnsi="Times New Roman" w:eastAsia="Times New Roman" w:cs="Times New Roman"/>
          <w:sz w:val="21"/>
          <w:szCs w:val="21"/>
          <w:spacing w:val="-4"/>
        </w:rPr>
        <w:t>logistic</w:t>
      </w:r>
      <w:r>
        <w:rPr>
          <w:rFonts w:ascii="Times New Roman" w:hAnsi="Times New Roman" w:eastAsia="Times New Roman" w:cs="Times New Roman"/>
          <w:sz w:val="21"/>
          <w:szCs w:val="21"/>
          <w:spacing w:val="18"/>
          <w:w w:val="101"/>
        </w:rPr>
        <w:t xml:space="preserve"> </w:t>
      </w:r>
      <w:r>
        <w:rPr>
          <w:sz w:val="21"/>
          <w:szCs w:val="21"/>
          <w:spacing w:val="-4"/>
        </w:rPr>
        <w:t>回归分析腹型</w:t>
      </w:r>
      <w:r>
        <w:rPr>
          <w:sz w:val="21"/>
          <w:szCs w:val="21"/>
          <w:spacing w:val="-61"/>
        </w:rPr>
        <w:t xml:space="preserve"> </w:t>
      </w:r>
      <w:r>
        <w:rPr>
          <w:rFonts w:ascii="Times New Roman" w:hAnsi="Times New Roman" w:eastAsia="Times New Roman" w:cs="Times New Roman"/>
          <w:sz w:val="21"/>
          <w:szCs w:val="21"/>
          <w:spacing w:val="-4"/>
        </w:rPr>
        <w:t>HSP </w:t>
      </w:r>
      <w:r>
        <w:rPr>
          <w:sz w:val="21"/>
          <w:szCs w:val="21"/>
          <w:spacing w:val="-4"/>
        </w:rPr>
        <w:t>患儿发生胃肠道出血的</w:t>
      </w:r>
      <w:r>
        <w:rPr>
          <w:sz w:val="21"/>
          <w:szCs w:val="21"/>
          <w:spacing w:val="-5"/>
        </w:rPr>
        <w:t>影响因素。</w:t>
      </w:r>
      <w:r>
        <w:rPr>
          <w:sz w:val="21"/>
          <w:szCs w:val="21"/>
        </w:rPr>
        <w:t xml:space="preserve"> </w:t>
      </w:r>
      <w:r>
        <w:rPr>
          <w:sz w:val="21"/>
          <w:szCs w:val="21"/>
          <w:b/>
          <w:bCs/>
          <w:spacing w:val="-3"/>
        </w:rPr>
        <w:t>结果：</w:t>
      </w:r>
      <w:r>
        <w:rPr>
          <w:sz w:val="21"/>
          <w:szCs w:val="21"/>
          <w:spacing w:val="-3"/>
        </w:rPr>
        <w:t>合并组患儿与未合并组比较在皮疹分布情况及呕吐患儿占比方面比较差异具有统计学</w:t>
      </w:r>
      <w:r>
        <w:rPr>
          <w:sz w:val="21"/>
          <w:szCs w:val="21"/>
          <w:spacing w:val="14"/>
        </w:rPr>
        <w:t xml:space="preserve"> </w:t>
      </w:r>
      <w:r>
        <w:rPr>
          <w:sz w:val="21"/>
          <w:szCs w:val="21"/>
          <w:spacing w:val="-3"/>
        </w:rPr>
        <w:t>意义（</w:t>
      </w:r>
      <w:r>
        <w:rPr>
          <w:rFonts w:ascii="Times New Roman" w:hAnsi="Times New Roman" w:eastAsia="Times New Roman" w:cs="Times New Roman"/>
          <w:sz w:val="21"/>
          <w:szCs w:val="21"/>
          <w:i/>
          <w:iCs/>
          <w:spacing w:val="-3"/>
        </w:rPr>
        <w:t>P</w:t>
      </w:r>
      <w:r>
        <w:rPr>
          <w:sz w:val="21"/>
          <w:szCs w:val="21"/>
          <w:spacing w:val="-3"/>
        </w:rPr>
        <w:t>＜</w:t>
      </w:r>
      <w:r>
        <w:rPr>
          <w:rFonts w:ascii="Times New Roman" w:hAnsi="Times New Roman" w:eastAsia="Times New Roman" w:cs="Times New Roman"/>
          <w:sz w:val="21"/>
          <w:szCs w:val="21"/>
          <w:spacing w:val="-3"/>
        </w:rPr>
        <w:t>0.05</w:t>
      </w:r>
      <w:r>
        <w:rPr>
          <w:sz w:val="21"/>
          <w:szCs w:val="21"/>
          <w:spacing w:val="-3"/>
        </w:rPr>
        <w:t>）。合并组患儿</w:t>
      </w:r>
      <w:r>
        <w:rPr>
          <w:sz w:val="21"/>
          <w:szCs w:val="21"/>
          <w:spacing w:val="-49"/>
        </w:rPr>
        <w:t xml:space="preserve"> </w:t>
      </w:r>
      <w:r>
        <w:rPr>
          <w:rFonts w:ascii="Times New Roman" w:hAnsi="Times New Roman" w:eastAsia="Times New Roman" w:cs="Times New Roman"/>
          <w:sz w:val="21"/>
          <w:szCs w:val="21"/>
          <w:spacing w:val="-3"/>
        </w:rPr>
        <w:t>WBC</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PLT</w:t>
      </w:r>
      <w:r>
        <w:rPr>
          <w:rFonts w:ascii="Times New Roman" w:hAnsi="Times New Roman" w:eastAsia="Times New Roman" w:cs="Times New Roman"/>
          <w:sz w:val="21"/>
          <w:szCs w:val="21"/>
          <w:spacing w:val="-30"/>
        </w:rPr>
        <w:t xml:space="preserve"> </w:t>
      </w:r>
      <w:r>
        <w:rPr>
          <w:sz w:val="21"/>
          <w:szCs w:val="21"/>
          <w:spacing w:val="-3"/>
        </w:rPr>
        <w:t>、</w:t>
      </w:r>
      <w:r>
        <w:rPr>
          <w:rFonts w:ascii="Times New Roman" w:hAnsi="Times New Roman" w:eastAsia="Times New Roman" w:cs="Times New Roman"/>
          <w:sz w:val="21"/>
          <w:szCs w:val="21"/>
          <w:spacing w:val="-3"/>
        </w:rPr>
        <w:t>CRP</w:t>
      </w:r>
      <w:r>
        <w:rPr>
          <w:rFonts w:ascii="Times New Roman" w:hAnsi="Times New Roman" w:eastAsia="Times New Roman" w:cs="Times New Roman"/>
          <w:sz w:val="21"/>
          <w:szCs w:val="21"/>
          <w:spacing w:val="-30"/>
        </w:rPr>
        <w:t xml:space="preserve"> </w:t>
      </w:r>
      <w:r>
        <w:rPr>
          <w:sz w:val="21"/>
          <w:szCs w:val="21"/>
          <w:spacing w:val="-3"/>
        </w:rPr>
        <w:t>、</w:t>
      </w:r>
      <w:r>
        <w:rPr>
          <w:rFonts w:ascii="Times New Roman" w:hAnsi="Times New Roman" w:eastAsia="Times New Roman" w:cs="Times New Roman"/>
          <w:sz w:val="21"/>
          <w:szCs w:val="21"/>
          <w:spacing w:val="-4"/>
        </w:rPr>
        <w:t>NEU</w:t>
      </w:r>
      <w:r>
        <w:rPr>
          <w:rFonts w:ascii="Times New Roman" w:hAnsi="Times New Roman" w:eastAsia="Times New Roman" w:cs="Times New Roman"/>
          <w:sz w:val="21"/>
          <w:szCs w:val="21"/>
          <w:spacing w:val="-30"/>
        </w:rPr>
        <w:t xml:space="preserve"> </w:t>
      </w:r>
      <w:r>
        <w:rPr>
          <w:sz w:val="21"/>
          <w:szCs w:val="21"/>
          <w:spacing w:val="-4"/>
        </w:rPr>
        <w:t>、</w:t>
      </w:r>
      <w:r>
        <w:rPr>
          <w:rFonts w:ascii="Times New Roman" w:hAnsi="Times New Roman" w:eastAsia="Times New Roman" w:cs="Times New Roman"/>
          <w:sz w:val="21"/>
          <w:szCs w:val="21"/>
          <w:spacing w:val="-4"/>
        </w:rPr>
        <w:t>NLR </w:t>
      </w:r>
      <w:r>
        <w:rPr>
          <w:sz w:val="21"/>
          <w:szCs w:val="21"/>
          <w:spacing w:val="-4"/>
        </w:rPr>
        <w:t>水平明显高于未合并组，差</w:t>
      </w:r>
      <w:r>
        <w:rPr>
          <w:sz w:val="21"/>
          <w:szCs w:val="21"/>
        </w:rPr>
        <w:t xml:space="preserve"> </w:t>
      </w:r>
      <w:r>
        <w:rPr>
          <w:sz w:val="21"/>
          <w:szCs w:val="21"/>
          <w:spacing w:val="-6"/>
        </w:rPr>
        <w:t>异有统计学意义（</w:t>
      </w:r>
      <w:r>
        <w:rPr>
          <w:rFonts w:ascii="Times New Roman" w:hAnsi="Times New Roman" w:eastAsia="Times New Roman" w:cs="Times New Roman"/>
          <w:sz w:val="21"/>
          <w:szCs w:val="21"/>
          <w:i/>
          <w:iCs/>
          <w:spacing w:val="-6"/>
        </w:rPr>
        <w:t>P</w:t>
      </w:r>
      <w:r>
        <w:rPr>
          <w:sz w:val="21"/>
          <w:szCs w:val="21"/>
          <w:spacing w:val="-6"/>
        </w:rPr>
        <w:t>＜</w:t>
      </w:r>
      <w:r>
        <w:rPr>
          <w:rFonts w:ascii="Times New Roman" w:hAnsi="Times New Roman" w:eastAsia="Times New Roman" w:cs="Times New Roman"/>
          <w:sz w:val="21"/>
          <w:szCs w:val="21"/>
          <w:spacing w:val="-6"/>
        </w:rPr>
        <w:t>0.05</w:t>
      </w:r>
      <w:r>
        <w:rPr>
          <w:sz w:val="21"/>
          <w:szCs w:val="21"/>
          <w:spacing w:val="-6"/>
        </w:rPr>
        <w:t>）。多因素</w:t>
      </w:r>
      <w:r>
        <w:rPr>
          <w:sz w:val="21"/>
          <w:szCs w:val="21"/>
          <w:spacing w:val="-29"/>
        </w:rPr>
        <w:t xml:space="preserve"> </w:t>
      </w:r>
      <w:r>
        <w:rPr>
          <w:rFonts w:ascii="Times New Roman" w:hAnsi="Times New Roman" w:eastAsia="Times New Roman" w:cs="Times New Roman"/>
          <w:sz w:val="21"/>
          <w:szCs w:val="21"/>
          <w:spacing w:val="-6"/>
        </w:rPr>
        <w:t>logistic</w:t>
      </w:r>
      <w:r>
        <w:rPr>
          <w:rFonts w:ascii="Times New Roman" w:hAnsi="Times New Roman" w:eastAsia="Times New Roman" w:cs="Times New Roman"/>
          <w:sz w:val="21"/>
          <w:szCs w:val="21"/>
          <w:spacing w:val="29"/>
          <w:w w:val="101"/>
        </w:rPr>
        <w:t xml:space="preserve"> </w:t>
      </w:r>
      <w:r>
        <w:rPr>
          <w:sz w:val="21"/>
          <w:szCs w:val="21"/>
          <w:spacing w:val="-6"/>
        </w:rPr>
        <w:t>回归分析显示，皮疹分布、呕吐、 </w:t>
      </w:r>
      <w:r>
        <w:rPr>
          <w:rFonts w:ascii="Times New Roman" w:hAnsi="Times New Roman" w:eastAsia="Times New Roman" w:cs="Times New Roman"/>
          <w:sz w:val="21"/>
          <w:szCs w:val="21"/>
          <w:spacing w:val="-6"/>
        </w:rPr>
        <w:t>NLR </w:t>
      </w:r>
      <w:r>
        <w:rPr>
          <w:sz w:val="21"/>
          <w:szCs w:val="21"/>
          <w:spacing w:val="-6"/>
        </w:rPr>
        <w:t>及</w:t>
      </w:r>
      <w:r>
        <w:rPr>
          <w:sz w:val="21"/>
          <w:szCs w:val="21"/>
          <w:spacing w:val="-45"/>
        </w:rPr>
        <w:t xml:space="preserve"> </w:t>
      </w:r>
      <w:r>
        <w:rPr>
          <w:rFonts w:ascii="Times New Roman" w:hAnsi="Times New Roman" w:eastAsia="Times New Roman" w:cs="Times New Roman"/>
          <w:sz w:val="21"/>
          <w:szCs w:val="21"/>
          <w:spacing w:val="-6"/>
        </w:rPr>
        <w:t>CRP</w:t>
      </w:r>
      <w:r>
        <w:rPr>
          <w:rFonts w:ascii="Times New Roman" w:hAnsi="Times New Roman" w:eastAsia="Times New Roman" w:cs="Times New Roman"/>
          <w:sz w:val="21"/>
          <w:szCs w:val="21"/>
        </w:rPr>
        <w:t xml:space="preserve">  </w:t>
      </w:r>
      <w:r>
        <w:rPr>
          <w:sz w:val="21"/>
          <w:szCs w:val="21"/>
          <w:spacing w:val="2"/>
        </w:rPr>
        <w:t>水平为腹型 </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2"/>
        </w:rPr>
        <w:t xml:space="preserve">  </w:t>
      </w:r>
      <w:r>
        <w:rPr>
          <w:sz w:val="21"/>
          <w:szCs w:val="21"/>
          <w:spacing w:val="2"/>
        </w:rPr>
        <w:t>患儿发生胃肠道出血的独立危险因素</w:t>
      </w:r>
      <w:r>
        <w:rPr>
          <w:sz w:val="21"/>
          <w:szCs w:val="21"/>
          <w:spacing w:val="1"/>
        </w:rPr>
        <w:t>（</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）。得到风险预测模型，</w:t>
      </w:r>
      <w:r>
        <w:rPr>
          <w:sz w:val="21"/>
          <w:szCs w:val="21"/>
        </w:rPr>
        <w:t xml:space="preserve"> </w:t>
      </w:r>
      <w:r>
        <w:rPr>
          <w:rFonts w:ascii="Times New Roman" w:hAnsi="Times New Roman" w:eastAsia="Times New Roman" w:cs="Times New Roman"/>
          <w:sz w:val="21"/>
          <w:szCs w:val="21"/>
        </w:rPr>
        <w:t>Logit(P)=3.152×X1+2.158×X2+2.785×X6+2.855×X7</w:t>
      </w:r>
      <w:r>
        <w:rPr>
          <w:sz w:val="21"/>
          <w:szCs w:val="21"/>
          <w:spacing w:val="-1"/>
        </w:rPr>
        <w:t>，</w:t>
      </w:r>
      <w:r>
        <w:rPr>
          <w:rFonts w:ascii="Times New Roman" w:hAnsi="Times New Roman" w:eastAsia="Times New Roman" w:cs="Times New Roman"/>
          <w:sz w:val="21"/>
          <w:szCs w:val="21"/>
          <w:spacing w:val="-1"/>
        </w:rPr>
        <w:t>Hosmer-Lemeshoe </w:t>
      </w:r>
      <w:r>
        <w:rPr>
          <w:sz w:val="21"/>
          <w:szCs w:val="21"/>
          <w:spacing w:val="-1"/>
        </w:rPr>
        <w:t>检验显示诊断模型的</w:t>
      </w:r>
      <w:r>
        <w:rPr>
          <w:sz w:val="21"/>
          <w:szCs w:val="21"/>
        </w:rPr>
        <w:t xml:space="preserve"> </w:t>
      </w:r>
      <w:r>
        <w:rPr>
          <w:sz w:val="21"/>
          <w:szCs w:val="21"/>
          <w:spacing w:val="1"/>
        </w:rPr>
        <w:t>拟合度良好(</w:t>
      </w:r>
      <w:r>
        <w:rPr>
          <w:rFonts w:ascii="Times New Roman" w:hAnsi="Times New Roman" w:eastAsia="Times New Roman" w:cs="Times New Roman"/>
          <w:sz w:val="21"/>
          <w:szCs w:val="21"/>
          <w:i/>
          <w:iCs/>
          <w:spacing w:val="1"/>
        </w:rPr>
        <w:t>χ</w:t>
      </w:r>
      <w:r>
        <w:rPr>
          <w:rFonts w:ascii="Times New Roman" w:hAnsi="Times New Roman" w:eastAsia="Times New Roman" w:cs="Times New Roman"/>
          <w:sz w:val="14"/>
          <w:szCs w:val="14"/>
          <w:i/>
          <w:iCs/>
          <w:spacing w:val="1"/>
          <w:position w:val="7"/>
        </w:rPr>
        <w:t>2</w:t>
      </w:r>
      <w:r>
        <w:rPr>
          <w:rFonts w:ascii="Times New Roman" w:hAnsi="Times New Roman" w:eastAsia="Times New Roman" w:cs="Times New Roman"/>
          <w:sz w:val="21"/>
          <w:szCs w:val="21"/>
          <w:spacing w:val="1"/>
        </w:rPr>
        <w:t>=6.528</w:t>
      </w:r>
      <w:r>
        <w:rPr>
          <w:sz w:val="21"/>
          <w:szCs w:val="21"/>
          <w:spacing w:val="1"/>
        </w:rPr>
        <w:t>，</w:t>
      </w:r>
      <w:r>
        <w:rPr>
          <w:rFonts w:ascii="Times New Roman" w:hAnsi="Times New Roman" w:eastAsia="Times New Roman" w:cs="Times New Roman"/>
          <w:sz w:val="21"/>
          <w:szCs w:val="21"/>
          <w:i/>
          <w:iCs/>
          <w:spacing w:val="1"/>
        </w:rPr>
        <w:t>P</w:t>
      </w:r>
      <w:r>
        <w:rPr>
          <w:rFonts w:ascii="Times New Roman" w:hAnsi="Times New Roman" w:eastAsia="Times New Roman" w:cs="Times New Roman"/>
          <w:sz w:val="21"/>
          <w:szCs w:val="21"/>
          <w:spacing w:val="1"/>
        </w:rPr>
        <w:t>=0.574</w:t>
      </w:r>
      <w:r>
        <w:rPr>
          <w:sz w:val="21"/>
          <w:szCs w:val="21"/>
          <w:spacing w:val="1"/>
        </w:rPr>
        <w:t>）。</w:t>
      </w:r>
      <w:r>
        <w:rPr>
          <w:rFonts w:ascii="Times New Roman" w:hAnsi="Times New Roman" w:eastAsia="Times New Roman" w:cs="Times New Roman"/>
          <w:sz w:val="21"/>
          <w:szCs w:val="21"/>
        </w:rPr>
        <w:t>ROC</w:t>
      </w:r>
      <w:r>
        <w:rPr>
          <w:rFonts w:ascii="Times New Roman" w:hAnsi="Times New Roman" w:eastAsia="Times New Roman" w:cs="Times New Roman"/>
          <w:sz w:val="21"/>
          <w:szCs w:val="21"/>
          <w:spacing w:val="14"/>
        </w:rPr>
        <w:t xml:space="preserve"> </w:t>
      </w:r>
      <w:r>
        <w:rPr>
          <w:sz w:val="21"/>
          <w:szCs w:val="21"/>
          <w:spacing w:val="1"/>
        </w:rPr>
        <w:t>结果显示，腹型</w:t>
      </w:r>
      <w:r>
        <w:rPr>
          <w:sz w:val="21"/>
          <w:szCs w:val="21"/>
          <w:spacing w:val="-49"/>
        </w:rPr>
        <w:t xml:space="preserve"> </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19"/>
        </w:rPr>
        <w:t xml:space="preserve"> </w:t>
      </w:r>
      <w:r>
        <w:rPr>
          <w:sz w:val="21"/>
          <w:szCs w:val="21"/>
          <w:spacing w:val="1"/>
        </w:rPr>
        <w:t>患儿发生胃肠道出血风险预</w:t>
      </w:r>
      <w:r>
        <w:rPr>
          <w:sz w:val="21"/>
          <w:szCs w:val="21"/>
        </w:rPr>
        <w:t xml:space="preserve"> </w:t>
      </w:r>
      <w:r>
        <w:rPr>
          <w:sz w:val="21"/>
          <w:szCs w:val="21"/>
          <w:spacing w:val="-8"/>
        </w:rPr>
        <w:t>测模型预测胃肠道出血的曲线下面积（</w:t>
      </w:r>
      <w:r>
        <w:rPr>
          <w:rFonts w:ascii="Times New Roman" w:hAnsi="Times New Roman" w:eastAsia="Times New Roman" w:cs="Times New Roman"/>
          <w:sz w:val="21"/>
          <w:szCs w:val="21"/>
          <w:spacing w:val="-8"/>
        </w:rPr>
        <w:t>AUC</w:t>
      </w:r>
      <w:r>
        <w:rPr>
          <w:sz w:val="21"/>
          <w:szCs w:val="21"/>
          <w:spacing w:val="-8"/>
        </w:rPr>
        <w:t>）为</w:t>
      </w:r>
      <w:r>
        <w:rPr>
          <w:sz w:val="21"/>
          <w:szCs w:val="21"/>
          <w:spacing w:val="-33"/>
        </w:rPr>
        <w:t xml:space="preserve"> </w:t>
      </w:r>
      <w:r>
        <w:rPr>
          <w:rFonts w:ascii="Times New Roman" w:hAnsi="Times New Roman" w:eastAsia="Times New Roman" w:cs="Times New Roman"/>
          <w:sz w:val="21"/>
          <w:szCs w:val="21"/>
          <w:spacing w:val="-8"/>
        </w:rPr>
        <w:t>0.89</w:t>
      </w:r>
      <w:r>
        <w:rPr>
          <w:rFonts w:ascii="Times New Roman" w:hAnsi="Times New Roman" w:eastAsia="Times New Roman" w:cs="Times New Roman"/>
          <w:sz w:val="21"/>
          <w:szCs w:val="21"/>
          <w:spacing w:val="-9"/>
        </w:rPr>
        <w:t>9</w:t>
      </w:r>
      <w:r>
        <w:rPr>
          <w:sz w:val="21"/>
          <w:szCs w:val="21"/>
          <w:spacing w:val="-9"/>
        </w:rPr>
        <w:t>（</w:t>
      </w:r>
      <w:r>
        <w:rPr>
          <w:rFonts w:ascii="Times New Roman" w:hAnsi="Times New Roman" w:eastAsia="Times New Roman" w:cs="Times New Roman"/>
          <w:sz w:val="21"/>
          <w:szCs w:val="21"/>
          <w:spacing w:val="-9"/>
        </w:rPr>
        <w:t>95%CI</w:t>
      </w:r>
      <w:r>
        <w:rPr>
          <w:sz w:val="21"/>
          <w:szCs w:val="21"/>
          <w:spacing w:val="-9"/>
        </w:rPr>
        <w:t>：</w:t>
      </w:r>
      <w:r>
        <w:rPr>
          <w:rFonts w:ascii="Times New Roman" w:hAnsi="Times New Roman" w:eastAsia="Times New Roman" w:cs="Times New Roman"/>
          <w:sz w:val="21"/>
          <w:szCs w:val="21"/>
          <w:spacing w:val="-9"/>
        </w:rPr>
        <w:t>0.848~0.951</w:t>
      </w:r>
      <w:r>
        <w:rPr>
          <w:sz w:val="21"/>
          <w:szCs w:val="21"/>
          <w:spacing w:val="-42"/>
          <w:w w:val="77"/>
        </w:rPr>
        <w:t>），</w:t>
      </w:r>
      <w:r>
        <w:rPr>
          <w:sz w:val="21"/>
          <w:szCs w:val="21"/>
          <w:spacing w:val="-9"/>
        </w:rPr>
        <w:t>灵敏度</w:t>
      </w:r>
      <w:r>
        <w:rPr>
          <w:sz w:val="21"/>
          <w:szCs w:val="21"/>
          <w:spacing w:val="-39"/>
        </w:rPr>
        <w:t xml:space="preserve"> </w:t>
      </w:r>
      <w:r>
        <w:rPr>
          <w:rFonts w:ascii="Times New Roman" w:hAnsi="Times New Roman" w:eastAsia="Times New Roman" w:cs="Times New Roman"/>
          <w:sz w:val="21"/>
          <w:szCs w:val="21"/>
          <w:spacing w:val="-9"/>
        </w:rPr>
        <w:t>81.11%</w:t>
      </w:r>
      <w:r>
        <w:rPr>
          <w:sz w:val="21"/>
          <w:szCs w:val="21"/>
          <w:spacing w:val="-9"/>
        </w:rPr>
        <w:t>，</w:t>
      </w:r>
      <w:r>
        <w:rPr>
          <w:sz w:val="21"/>
          <w:szCs w:val="21"/>
        </w:rPr>
        <w:t xml:space="preserve"> </w:t>
      </w:r>
      <w:r>
        <w:rPr>
          <w:sz w:val="21"/>
          <w:szCs w:val="21"/>
          <w:spacing w:val="-3"/>
        </w:rPr>
        <w:t>特异度为</w:t>
      </w:r>
      <w:r>
        <w:rPr>
          <w:sz w:val="21"/>
          <w:szCs w:val="21"/>
          <w:spacing w:val="-22"/>
        </w:rPr>
        <w:t xml:space="preserve"> </w:t>
      </w:r>
      <w:r>
        <w:rPr>
          <w:rFonts w:ascii="Times New Roman" w:hAnsi="Times New Roman" w:eastAsia="Times New Roman" w:cs="Times New Roman"/>
          <w:sz w:val="21"/>
          <w:szCs w:val="21"/>
          <w:spacing w:val="-3"/>
        </w:rPr>
        <w:t>85.00%</w:t>
      </w:r>
      <w:r>
        <w:rPr>
          <w:sz w:val="21"/>
          <w:szCs w:val="21"/>
          <w:spacing w:val="-3"/>
        </w:rPr>
        <w:t>，提示该模型具有较好的预测效能（</w:t>
      </w:r>
      <w:r>
        <w:rPr>
          <w:rFonts w:ascii="Times New Roman" w:hAnsi="Times New Roman" w:eastAsia="Times New Roman" w:cs="Times New Roman"/>
          <w:sz w:val="21"/>
          <w:szCs w:val="21"/>
          <w:i/>
          <w:iCs/>
          <w:spacing w:val="-3"/>
        </w:rPr>
        <w:t>P</w:t>
      </w:r>
      <w:r>
        <w:rPr>
          <w:sz w:val="21"/>
          <w:szCs w:val="21"/>
          <w:spacing w:val="-3"/>
        </w:rPr>
        <w:t>＜</w:t>
      </w:r>
      <w:r>
        <w:rPr>
          <w:rFonts w:ascii="Times New Roman" w:hAnsi="Times New Roman" w:eastAsia="Times New Roman" w:cs="Times New Roman"/>
          <w:sz w:val="21"/>
          <w:szCs w:val="21"/>
          <w:spacing w:val="-3"/>
        </w:rPr>
        <w:t>0.05</w:t>
      </w:r>
      <w:r>
        <w:rPr>
          <w:sz w:val="21"/>
          <w:szCs w:val="21"/>
          <w:spacing w:val="-3"/>
        </w:rPr>
        <w:t>）。结论：腹型</w:t>
      </w:r>
      <w:r>
        <w:rPr>
          <w:sz w:val="21"/>
          <w:szCs w:val="21"/>
          <w:spacing w:val="-48"/>
        </w:rPr>
        <w:t xml:space="preserve"> </w:t>
      </w:r>
      <w:r>
        <w:rPr>
          <w:rFonts w:ascii="Times New Roman" w:hAnsi="Times New Roman" w:eastAsia="Times New Roman" w:cs="Times New Roman"/>
          <w:sz w:val="21"/>
          <w:szCs w:val="21"/>
          <w:spacing w:val="-3"/>
        </w:rPr>
        <w:t>HSP </w:t>
      </w:r>
      <w:r>
        <w:rPr>
          <w:sz w:val="21"/>
          <w:szCs w:val="21"/>
          <w:spacing w:val="-3"/>
        </w:rPr>
        <w:t>发生胃肠</w:t>
      </w:r>
      <w:r>
        <w:rPr>
          <w:sz w:val="21"/>
          <w:szCs w:val="21"/>
        </w:rPr>
        <w:t xml:space="preserve"> </w:t>
      </w:r>
      <w:r>
        <w:rPr>
          <w:sz w:val="21"/>
          <w:szCs w:val="21"/>
          <w:spacing w:val="-3"/>
        </w:rPr>
        <w:t>道出血的危险因素包括皮疹分布、呕吐、 </w:t>
      </w:r>
      <w:r>
        <w:rPr>
          <w:rFonts w:ascii="Times New Roman" w:hAnsi="Times New Roman" w:eastAsia="Times New Roman" w:cs="Times New Roman"/>
          <w:sz w:val="21"/>
          <w:szCs w:val="21"/>
          <w:spacing w:val="-3"/>
        </w:rPr>
        <w:t>NLR </w:t>
      </w:r>
      <w:r>
        <w:rPr>
          <w:sz w:val="21"/>
          <w:szCs w:val="21"/>
          <w:spacing w:val="-3"/>
        </w:rPr>
        <w:t>及</w:t>
      </w:r>
      <w:r>
        <w:rPr>
          <w:sz w:val="21"/>
          <w:szCs w:val="21"/>
          <w:spacing w:val="-45"/>
        </w:rPr>
        <w:t xml:space="preserve"> </w:t>
      </w:r>
      <w:r>
        <w:rPr>
          <w:rFonts w:ascii="Times New Roman" w:hAnsi="Times New Roman" w:eastAsia="Times New Roman" w:cs="Times New Roman"/>
          <w:sz w:val="21"/>
          <w:szCs w:val="21"/>
          <w:spacing w:val="-3"/>
        </w:rPr>
        <w:t>CRP </w:t>
      </w:r>
      <w:r>
        <w:rPr>
          <w:sz w:val="21"/>
          <w:szCs w:val="21"/>
          <w:spacing w:val="-3"/>
        </w:rPr>
        <w:t>水平，构建了一个具有较高</w:t>
      </w:r>
      <w:r>
        <w:rPr>
          <w:sz w:val="21"/>
          <w:szCs w:val="21"/>
          <w:spacing w:val="-4"/>
        </w:rPr>
        <w:t>预测准确</w:t>
      </w:r>
      <w:r>
        <w:rPr>
          <w:sz w:val="21"/>
          <w:szCs w:val="21"/>
        </w:rPr>
        <w:t xml:space="preserve"> </w:t>
      </w:r>
      <w:r>
        <w:rPr>
          <w:sz w:val="21"/>
          <w:szCs w:val="21"/>
          <w:spacing w:val="-3"/>
        </w:rPr>
        <w:t>性的</w:t>
      </w:r>
      <w:r>
        <w:rPr>
          <w:sz w:val="21"/>
          <w:szCs w:val="21"/>
          <w:spacing w:val="-45"/>
        </w:rPr>
        <w:t xml:space="preserve"> </w:t>
      </w:r>
      <w:r>
        <w:rPr>
          <w:rFonts w:ascii="Times New Roman" w:hAnsi="Times New Roman" w:eastAsia="Times New Roman" w:cs="Times New Roman"/>
          <w:sz w:val="21"/>
          <w:szCs w:val="21"/>
          <w:spacing w:val="-3"/>
        </w:rPr>
        <w:t>logistic </w:t>
      </w:r>
      <w:r>
        <w:rPr>
          <w:sz w:val="21"/>
          <w:szCs w:val="21"/>
          <w:spacing w:val="-3"/>
        </w:rPr>
        <w:t>预测模型，</w:t>
      </w:r>
    </w:p>
    <w:p>
      <w:pPr>
        <w:pStyle w:val="BodyText"/>
        <w:ind w:left="1413" w:right="1965" w:hanging="16"/>
        <w:spacing w:before="19" w:line="276" w:lineRule="auto"/>
        <w:rPr>
          <w:rFonts w:ascii="Times New Roman" w:hAnsi="Times New Roman" w:eastAsia="Times New Roman" w:cs="Times New Roman"/>
          <w:sz w:val="21"/>
          <w:szCs w:val="21"/>
        </w:rPr>
      </w:pPr>
      <w:r>
        <w:rPr>
          <w:sz w:val="21"/>
          <w:szCs w:val="21"/>
          <w:b/>
          <w:bCs/>
        </w:rPr>
        <w:t>关键词：</w:t>
      </w:r>
      <w:r>
        <w:rPr>
          <w:sz w:val="21"/>
          <w:szCs w:val="21"/>
        </w:rPr>
        <w:t>腹型过敏性紫癜；胃肠道出血；影</w:t>
      </w:r>
      <w:r>
        <w:rPr>
          <w:sz w:val="21"/>
          <w:szCs w:val="21"/>
          <w:spacing w:val="-1"/>
        </w:rPr>
        <w:t>响因素；</w:t>
      </w:r>
      <w:r>
        <w:rPr>
          <w:rFonts w:ascii="Times New Roman" w:hAnsi="Times New Roman" w:eastAsia="Times New Roman" w:cs="Times New Roman"/>
          <w:sz w:val="21"/>
          <w:szCs w:val="21"/>
          <w:spacing w:val="-1"/>
        </w:rPr>
        <w:t>Logistic </w:t>
      </w:r>
      <w:r>
        <w:rPr>
          <w:sz w:val="21"/>
          <w:szCs w:val="21"/>
          <w:spacing w:val="-1"/>
        </w:rPr>
        <w:t>预测模型</w:t>
      </w:r>
      <w:r>
        <w:rPr>
          <w:sz w:val="21"/>
          <w:szCs w:val="21"/>
        </w:rPr>
        <w:t xml:space="preserve"> </w:t>
      </w:r>
      <w:r>
        <w:rPr>
          <w:sz w:val="21"/>
          <w:szCs w:val="21"/>
          <w:spacing w:val="-3"/>
        </w:rPr>
        <w:t>中图分类号</w:t>
      </w:r>
      <w:r>
        <w:rPr>
          <w:sz w:val="21"/>
          <w:szCs w:val="21"/>
          <w:spacing w:val="-45"/>
        </w:rPr>
        <w:t xml:space="preserve"> </w:t>
      </w:r>
      <w:r>
        <w:rPr>
          <w:rFonts w:ascii="Times New Roman" w:hAnsi="Times New Roman" w:eastAsia="Times New Roman" w:cs="Times New Roman"/>
          <w:sz w:val="21"/>
          <w:szCs w:val="21"/>
          <w:spacing w:val="-3"/>
        </w:rPr>
        <w:t>R554+.6</w:t>
      </w:r>
    </w:p>
    <w:p>
      <w:pPr>
        <w:ind w:left="1420"/>
        <w:spacing w:before="31"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The influencing factors on the occurrence of gastrointestinal</w:t>
      </w:r>
      <w:r>
        <w:rPr>
          <w:rFonts w:ascii="Times New Roman" w:hAnsi="Times New Roman" w:eastAsia="Times New Roman" w:cs="Times New Roman"/>
          <w:sz w:val="24"/>
          <w:szCs w:val="24"/>
          <w:b/>
          <w:bCs/>
          <w:spacing w:val="-1"/>
        </w:rPr>
        <w:t xml:space="preserve"> bleeding in children</w:t>
      </w:r>
    </w:p>
    <w:p>
      <w:pPr>
        <w:ind w:left="1706"/>
        <w:spacing w:before="103"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with abdominal allergic purpura and the construction</w:t>
      </w:r>
      <w:r>
        <w:rPr>
          <w:rFonts w:ascii="Times New Roman" w:hAnsi="Times New Roman" w:eastAsia="Times New Roman" w:cs="Times New Roman"/>
          <w:sz w:val="24"/>
          <w:szCs w:val="24"/>
          <w:b/>
          <w:bCs/>
          <w:spacing w:val="9"/>
        </w:rPr>
        <w:t xml:space="preserve"> </w:t>
      </w:r>
      <w:r>
        <w:rPr>
          <w:rFonts w:ascii="Times New Roman" w:hAnsi="Times New Roman" w:eastAsia="Times New Roman" w:cs="Times New Roman"/>
          <w:sz w:val="24"/>
          <w:szCs w:val="24"/>
          <w:b/>
          <w:bCs/>
        </w:rPr>
        <w:t>of</w:t>
      </w:r>
      <w:r>
        <w:rPr>
          <w:rFonts w:ascii="Times New Roman" w:hAnsi="Times New Roman" w:eastAsia="Times New Roman" w:cs="Times New Roman"/>
          <w:sz w:val="24"/>
          <w:szCs w:val="24"/>
          <w:b/>
          <w:bCs/>
          <w:spacing w:val="-13"/>
        </w:rPr>
        <w:t xml:space="preserve"> </w:t>
      </w:r>
      <w:r>
        <w:rPr>
          <w:rFonts w:ascii="Times New Roman" w:hAnsi="Times New Roman" w:eastAsia="Times New Roman" w:cs="Times New Roman"/>
          <w:sz w:val="24"/>
          <w:szCs w:val="24"/>
          <w:b/>
          <w:bCs/>
        </w:rPr>
        <w:t>logistic predi</w:t>
      </w:r>
      <w:r>
        <w:rPr>
          <w:rFonts w:ascii="Times New Roman" w:hAnsi="Times New Roman" w:eastAsia="Times New Roman" w:cs="Times New Roman"/>
          <w:sz w:val="24"/>
          <w:szCs w:val="24"/>
          <w:b/>
          <w:bCs/>
          <w:spacing w:val="-1"/>
        </w:rPr>
        <w:t>ction</w:t>
      </w:r>
    </w:p>
    <w:p>
      <w:pPr>
        <w:ind w:left="5235"/>
        <w:spacing w:before="103"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model</w:t>
      </w:r>
    </w:p>
    <w:p>
      <w:pPr>
        <w:ind w:left="3409"/>
        <w:spacing w:before="4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rPr>
        <w:t>LI</w:t>
      </w:r>
      <w:r>
        <w:rPr>
          <w:rFonts w:ascii="Times New Roman" w:hAnsi="Times New Roman" w:eastAsia="Times New Roman" w:cs="Times New Roman"/>
          <w:sz w:val="21"/>
          <w:szCs w:val="21"/>
          <w:i/>
          <w:iCs/>
          <w:spacing w:val="7"/>
        </w:rPr>
        <w:t xml:space="preserve"> </w:t>
      </w:r>
      <w:r>
        <w:rPr>
          <w:rFonts w:ascii="Times New Roman" w:hAnsi="Times New Roman" w:eastAsia="Times New Roman" w:cs="Times New Roman"/>
          <w:sz w:val="21"/>
          <w:szCs w:val="21"/>
          <w:i/>
          <w:iCs/>
        </w:rPr>
        <w:t>Chunling</w:t>
      </w:r>
      <w:r>
        <w:rPr>
          <w:rFonts w:ascii="Times New Roman" w:hAnsi="Times New Roman" w:eastAsia="Times New Roman" w:cs="Times New Roman"/>
          <w:sz w:val="21"/>
          <w:szCs w:val="21"/>
          <w:i/>
          <w:iCs/>
          <w:spacing w:val="7"/>
        </w:rPr>
        <w:t>,</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LIU</w:t>
      </w:r>
      <w:r>
        <w:rPr>
          <w:rFonts w:ascii="Times New Roman" w:hAnsi="Times New Roman" w:eastAsia="Times New Roman" w:cs="Times New Roman"/>
          <w:sz w:val="21"/>
          <w:szCs w:val="21"/>
          <w:i/>
          <w:iCs/>
          <w:spacing w:val="7"/>
        </w:rPr>
        <w:t xml:space="preserve"> </w:t>
      </w:r>
      <w:r>
        <w:rPr>
          <w:rFonts w:ascii="Times New Roman" w:hAnsi="Times New Roman" w:eastAsia="Times New Roman" w:cs="Times New Roman"/>
          <w:sz w:val="21"/>
          <w:szCs w:val="21"/>
          <w:i/>
          <w:iCs/>
        </w:rPr>
        <w:t>Yongli</w:t>
      </w:r>
      <w:r>
        <w:rPr>
          <w:rFonts w:ascii="Times New Roman" w:hAnsi="Times New Roman" w:eastAsia="Times New Roman" w:cs="Times New Roman"/>
          <w:sz w:val="21"/>
          <w:szCs w:val="21"/>
          <w:i/>
          <w:iCs/>
          <w:spacing w:val="7"/>
        </w:rPr>
        <w:t>, </w:t>
      </w:r>
      <w:r>
        <w:rPr>
          <w:rFonts w:ascii="Times New Roman" w:hAnsi="Times New Roman" w:eastAsia="Times New Roman" w:cs="Times New Roman"/>
          <w:sz w:val="21"/>
          <w:szCs w:val="21"/>
          <w:i/>
          <w:iCs/>
        </w:rPr>
        <w:t>CAO</w:t>
      </w:r>
      <w:r>
        <w:rPr>
          <w:rFonts w:ascii="Times New Roman" w:hAnsi="Times New Roman" w:eastAsia="Times New Roman" w:cs="Times New Roman"/>
          <w:sz w:val="21"/>
          <w:szCs w:val="21"/>
          <w:i/>
          <w:iCs/>
          <w:spacing w:val="7"/>
        </w:rPr>
        <w:t xml:space="preserve"> </w:t>
      </w:r>
      <w:r>
        <w:rPr>
          <w:rFonts w:ascii="Times New Roman" w:hAnsi="Times New Roman" w:eastAsia="Times New Roman" w:cs="Times New Roman"/>
          <w:sz w:val="21"/>
          <w:szCs w:val="21"/>
          <w:i/>
          <w:iCs/>
        </w:rPr>
        <w:t>Li</w:t>
      </w:r>
      <w:r>
        <w:rPr>
          <w:rFonts w:ascii="Times New Roman" w:hAnsi="Times New Roman" w:eastAsia="Times New Roman" w:cs="Times New Roman"/>
          <w:sz w:val="21"/>
          <w:szCs w:val="21"/>
          <w:i/>
          <w:iCs/>
          <w:spacing w:val="7"/>
        </w:rPr>
        <w:t>, </w:t>
      </w:r>
      <w:r>
        <w:rPr>
          <w:rFonts w:ascii="Times New Roman" w:hAnsi="Times New Roman" w:eastAsia="Times New Roman" w:cs="Times New Roman"/>
          <w:sz w:val="21"/>
          <w:szCs w:val="21"/>
          <w:i/>
          <w:iCs/>
        </w:rPr>
        <w:t>JIMi</w:t>
      </w:r>
      <w:r>
        <w:rPr>
          <w:rFonts w:ascii="Times New Roman" w:hAnsi="Times New Roman" w:eastAsia="Times New Roman" w:cs="Times New Roman"/>
          <w:sz w:val="21"/>
          <w:szCs w:val="21"/>
          <w:i/>
          <w:iCs/>
          <w:spacing w:val="7"/>
        </w:rPr>
        <w:t>, </w:t>
      </w:r>
      <w:r>
        <w:rPr>
          <w:rFonts w:ascii="Times New Roman" w:hAnsi="Times New Roman" w:eastAsia="Times New Roman" w:cs="Times New Roman"/>
          <w:sz w:val="21"/>
          <w:szCs w:val="21"/>
          <w:i/>
          <w:iCs/>
        </w:rPr>
        <w:t>CHEN</w:t>
      </w:r>
      <w:r>
        <w:rPr>
          <w:rFonts w:ascii="Times New Roman" w:hAnsi="Times New Roman" w:eastAsia="Times New Roman" w:cs="Times New Roman"/>
          <w:sz w:val="21"/>
          <w:szCs w:val="21"/>
          <w:i/>
          <w:iCs/>
          <w:spacing w:val="-33"/>
        </w:rPr>
        <w:t xml:space="preserve"> </w:t>
      </w:r>
      <w:r>
        <w:rPr>
          <w:rFonts w:ascii="Times New Roman" w:hAnsi="Times New Roman" w:eastAsia="Times New Roman" w:cs="Times New Roman"/>
          <w:sz w:val="21"/>
          <w:szCs w:val="21"/>
          <w:i/>
          <w:iCs/>
        </w:rPr>
        <w:t>Xi</w:t>
      </w:r>
    </w:p>
    <w:p>
      <w:pPr>
        <w:ind w:left="1697"/>
        <w:spacing w:before="8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1"/>
        </w:rPr>
        <w:t>(The Second Ward of Integrative Medicine, Yongcheng Central Hospital, Yon</w:t>
      </w:r>
      <w:r>
        <w:rPr>
          <w:rFonts w:ascii="Times New Roman" w:hAnsi="Times New Roman" w:eastAsia="Times New Roman" w:cs="Times New Roman"/>
          <w:sz w:val="21"/>
          <w:szCs w:val="21"/>
          <w:i/>
          <w:iCs/>
          <w:spacing w:val="-2"/>
        </w:rPr>
        <w:t>gcheng, Henan</w:t>
      </w:r>
    </w:p>
    <w:p>
      <w:pPr>
        <w:ind w:left="4886"/>
        <w:spacing w:before="8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2"/>
        </w:rPr>
        <w:t>476600,</w:t>
      </w:r>
      <w:r>
        <w:rPr>
          <w:rFonts w:ascii="Times New Roman" w:hAnsi="Times New Roman" w:eastAsia="Times New Roman" w:cs="Times New Roman"/>
          <w:sz w:val="21"/>
          <w:szCs w:val="21"/>
          <w:i/>
          <w:iCs/>
          <w:spacing w:val="20"/>
          <w:w w:val="101"/>
        </w:rPr>
        <w:t xml:space="preserve"> </w:t>
      </w:r>
      <w:r>
        <w:rPr>
          <w:rFonts w:ascii="Times New Roman" w:hAnsi="Times New Roman" w:eastAsia="Times New Roman" w:cs="Times New Roman"/>
          <w:sz w:val="21"/>
          <w:szCs w:val="21"/>
          <w:i/>
          <w:iCs/>
          <w:spacing w:val="-2"/>
        </w:rPr>
        <w:t>China)</w:t>
      </w:r>
    </w:p>
    <w:p>
      <w:pPr>
        <w:ind w:left="1385" w:right="73" w:firstLine="22"/>
        <w:spacing w:before="87" w:line="27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b/>
          <w:bCs/>
        </w:rPr>
        <w:t>[Abstract]  Objective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analyze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facto</w:t>
      </w:r>
      <w:r>
        <w:rPr>
          <w:rFonts w:ascii="Times New Roman" w:hAnsi="Times New Roman" w:eastAsia="Times New Roman" w:cs="Times New Roman"/>
          <w:sz w:val="21"/>
          <w:szCs w:val="21"/>
          <w:spacing w:val="-1"/>
        </w:rPr>
        <w:t>rs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influencing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occurrence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of  gastrointestinal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bleeding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children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abdominal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purpura</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construct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logistic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prediction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b/>
          <w:bCs/>
          <w:spacing w:val="-1"/>
        </w:rPr>
        <w:t>Methods    </w:t>
      </w:r>
      <w:r>
        <w:rPr>
          <w:rFonts w:ascii="Times New Roman" w:hAnsi="Times New Roman" w:eastAsia="Times New Roman" w:cs="Times New Roman"/>
          <w:sz w:val="21"/>
          <w:szCs w:val="21"/>
          <w:spacing w:val="-1"/>
        </w:rPr>
        <w:t>A total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118</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children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abdominal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admitted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September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2021</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September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were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selected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divid</w:t>
      </w:r>
      <w:r>
        <w:rPr>
          <w:rFonts w:ascii="Times New Roman" w:hAnsi="Times New Roman" w:eastAsia="Times New Roman" w:cs="Times New Roman"/>
          <w:sz w:val="21"/>
          <w:szCs w:val="21"/>
          <w:spacing w:val="-2"/>
        </w:rPr>
        <w:t>ed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into</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52</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cases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combined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group</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66</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cases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united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according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whether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1"/>
        </w:rPr>
        <w:t>ey</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had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bleeding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gastrointestinal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hemorrhage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and 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 two</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groups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 children were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collected,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 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laboratory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indexes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groups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children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were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compared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influencing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gastrointestinal </w:t>
      </w:r>
      <w:r>
        <w:rPr>
          <w:rFonts w:ascii="Times New Roman" w:hAnsi="Times New Roman" w:eastAsia="Times New Roman" w:cs="Times New Roman"/>
          <w:sz w:val="21"/>
          <w:szCs w:val="21"/>
        </w:rPr>
        <w:t>hemorrhage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occurring</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
        </w:rPr>
        <w:t>hildren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abdominal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were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analyzed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multifactorial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logistic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regression.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b/>
          <w:bCs/>
        </w:rPr>
        <w:t>Result     </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difference  between   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children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combined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group</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non-combined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was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statistically</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significant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terms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distri</w:t>
      </w:r>
      <w:r>
        <w:rPr>
          <w:rFonts w:ascii="Times New Roman" w:hAnsi="Times New Roman" w:eastAsia="Times New Roman" w:cs="Times New Roman"/>
          <w:sz w:val="21"/>
          <w:szCs w:val="21"/>
          <w:spacing w:val="-1"/>
        </w:rPr>
        <w:t>bution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rash</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percentage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children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who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vomited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i/>
          <w:iCs/>
          <w:spacing w:val="-1"/>
        </w:rPr>
        <w:t>P</w:t>
      </w:r>
      <w:r>
        <w:rPr>
          <w:rFonts w:ascii="Times New Roman" w:hAnsi="Times New Roman" w:eastAsia="Times New Roman" w:cs="Times New Roman"/>
          <w:sz w:val="21"/>
          <w:szCs w:val="21"/>
          <w:spacing w:val="-1"/>
        </w:rPr>
        <w:t>&lt;0.05).</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levels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WBC,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PLT,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CRP,</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NEU</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and NLR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combined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were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significa</w:t>
      </w:r>
      <w:r>
        <w:rPr>
          <w:rFonts w:ascii="Times New Roman" w:hAnsi="Times New Roman" w:eastAsia="Times New Roman" w:cs="Times New Roman"/>
          <w:sz w:val="21"/>
          <w:szCs w:val="21"/>
          <w:spacing w:val="-1"/>
        </w:rPr>
        <w:t>ntly</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higher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than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those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non-combined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group,</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difference was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statistically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significant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i/>
          <w:iCs/>
        </w:rPr>
        <w:t>P</w:t>
      </w:r>
      <w:r>
        <w:rPr>
          <w:rFonts w:ascii="Times New Roman" w:hAnsi="Times New Roman" w:eastAsia="Times New Roman" w:cs="Times New Roman"/>
          <w:sz w:val="21"/>
          <w:szCs w:val="21"/>
        </w:rPr>
        <w:t>&lt;0.05). Multifactorial logistic regr</w:t>
      </w:r>
      <w:r>
        <w:rPr>
          <w:rFonts w:ascii="Times New Roman" w:hAnsi="Times New Roman" w:eastAsia="Times New Roman" w:cs="Times New Roman"/>
          <w:sz w:val="21"/>
          <w:szCs w:val="21"/>
          <w:spacing w:val="-1"/>
        </w:rPr>
        <w:t>ession analysis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showed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that  rash  distribution,  vomiting,  NLR  and  CRP  levels  were  independent  ris</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factors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occurrence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gastrointestinal  bleeding   in   children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abdominal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i/>
          <w:iCs/>
        </w:rPr>
        <w:t>P</w:t>
      </w:r>
      <w:r>
        <w:rPr>
          <w:rFonts w:ascii="Times New Roman" w:hAnsi="Times New Roman" w:eastAsia="Times New Roman" w:cs="Times New Roman"/>
          <w:sz w:val="21"/>
          <w:szCs w:val="21"/>
        </w:rPr>
        <w:t>&lt;0.0</w:t>
      </w: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  risk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was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obtained</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Logit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i/>
          <w:iCs/>
          <w:spacing w:val="2"/>
        </w:rPr>
        <w:t>P</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3.152</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X1</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2.158</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X2</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2.785</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X6</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2.855</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X7,</w:t>
      </w:r>
    </w:p>
    <w:p>
      <w:pPr>
        <w:spacing w:line="274" w:lineRule="auto"/>
        <w:sectPr>
          <w:headerReference w:type="default" r:id="rId6"/>
          <w:pgSz w:w="11907" w:h="16839"/>
          <w:pgMar w:top="255" w:right="1725" w:bottom="0" w:left="414" w:header="70" w:footer="0" w:gutter="0"/>
        </w:sectPr>
        <w:rPr>
          <w:rFonts w:ascii="Times New Roman" w:hAnsi="Times New Roman" w:eastAsia="Times New Roman" w:cs="Times New Roman"/>
          <w:sz w:val="21"/>
          <w:szCs w:val="21"/>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4" w:right="76" w:firstLine="7"/>
        <w:spacing w:before="61" w:line="276"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Hosmer-Lemeshoe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test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sh</w:t>
      </w:r>
      <w:r>
        <w:rPr>
          <w:rFonts w:ascii="Times New Roman" w:hAnsi="Times New Roman" w:eastAsia="Times New Roman" w:cs="Times New Roman"/>
          <w:sz w:val="21"/>
          <w:szCs w:val="21"/>
          <w:spacing w:val="-1"/>
        </w:rPr>
        <w:t>owed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good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fit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diagnostic</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i/>
          <w:iCs/>
          <w:spacing w:val="-1"/>
        </w:rPr>
        <w:t>χ</w:t>
      </w:r>
      <w:r>
        <w:rPr>
          <w:rFonts w:ascii="Times New Roman" w:hAnsi="Times New Roman" w:eastAsia="Times New Roman" w:cs="Times New Roman"/>
          <w:sz w:val="14"/>
          <w:szCs w:val="14"/>
          <w:i/>
          <w:iCs/>
          <w:spacing w:val="-1"/>
          <w:position w:val="7"/>
        </w:rPr>
        <w:t>2</w:t>
      </w:r>
      <w:r>
        <w:rPr>
          <w:rFonts w:ascii="Times New Roman" w:hAnsi="Times New Roman" w:eastAsia="Times New Roman" w:cs="Times New Roman"/>
          <w:sz w:val="21"/>
          <w:szCs w:val="21"/>
          <w:spacing w:val="-1"/>
        </w:rPr>
        <w:t>=6.528,</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i/>
          <w:iCs/>
          <w:spacing w:val="-1"/>
        </w:rPr>
        <w:t>P</w:t>
      </w:r>
      <w:r>
        <w:rPr>
          <w:rFonts w:ascii="Times New Roman" w:hAnsi="Times New Roman" w:eastAsia="Times New Roman" w:cs="Times New Roman"/>
          <w:sz w:val="21"/>
          <w:szCs w:val="21"/>
          <w:spacing w:val="-1"/>
        </w:rPr>
        <w:t>=0.574).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ROC</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showed</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occurrence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gastrointestinal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bleeding  in  children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abdominal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area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unde</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curve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(AUC)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predicting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gastrointestinal</w:t>
      </w:r>
      <w:r>
        <w:rPr>
          <w:rFonts w:ascii="Times New Roman" w:hAnsi="Times New Roman" w:eastAsia="Times New Roman" w:cs="Times New Roman"/>
          <w:sz w:val="21"/>
          <w:szCs w:val="21"/>
          <w:spacing w:val="53"/>
          <w:w w:val="101"/>
        </w:rPr>
        <w:t xml:space="preserve"> </w:t>
      </w:r>
      <w:r>
        <w:rPr>
          <w:rFonts w:ascii="Times New Roman" w:hAnsi="Times New Roman" w:eastAsia="Times New Roman" w:cs="Times New Roman"/>
          <w:sz w:val="21"/>
          <w:szCs w:val="21"/>
          <w:spacing w:val="-1"/>
        </w:rPr>
        <w:t>bleeding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was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0.899</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(95%</w:t>
      </w:r>
      <w:r>
        <w:rPr>
          <w:rFonts w:ascii="Times New Roman" w:hAnsi="Times New Roman" w:eastAsia="Times New Roman" w:cs="Times New Roman"/>
          <w:sz w:val="21"/>
          <w:szCs w:val="21"/>
          <w:i/>
          <w:iCs/>
          <w:spacing w:val="-1"/>
        </w:rPr>
        <w:t>CI</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0.848-0.951),</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sensitivity</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81.11%</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specificity  of  85.00%,   suggesting  that  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predictive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effica</w:t>
      </w:r>
      <w:r>
        <w:rPr>
          <w:rFonts w:ascii="Times New Roman" w:hAnsi="Times New Roman" w:eastAsia="Times New Roman" w:cs="Times New Roman"/>
          <w:sz w:val="21"/>
          <w:szCs w:val="21"/>
          <w:spacing w:val="-1"/>
        </w:rPr>
        <w:t>cy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i/>
          <w:iCs/>
          <w:spacing w:val="-1"/>
        </w:rPr>
        <w:t>P</w:t>
      </w:r>
      <w:r>
        <w:rPr>
          <w:rFonts w:ascii="Times New Roman" w:hAnsi="Times New Roman" w:eastAsia="Times New Roman" w:cs="Times New Roman"/>
          <w:sz w:val="21"/>
          <w:szCs w:val="21"/>
          <w:spacing w:val="-1"/>
        </w:rPr>
        <w:t>&lt;0.05).</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b/>
          <w:bCs/>
        </w:rPr>
        <w:t>Conclusion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for   gastrointestinal   bleeding   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abdominal   HSP   inc</w:t>
      </w:r>
      <w:r>
        <w:rPr>
          <w:rFonts w:ascii="Times New Roman" w:hAnsi="Times New Roman" w:eastAsia="Times New Roman" w:cs="Times New Roman"/>
          <w:sz w:val="21"/>
          <w:szCs w:val="21"/>
          <w:spacing w:val="-1"/>
        </w:rPr>
        <w:t>lude   rash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distribution,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vomiting, NLR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CRP levels,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logistic predictive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high predictive </w:t>
      </w:r>
      <w:r>
        <w:rPr>
          <w:rFonts w:ascii="Times New Roman" w:hAnsi="Times New Roman" w:eastAsia="Times New Roman" w:cs="Times New Roman"/>
          <w:sz w:val="21"/>
          <w:szCs w:val="21"/>
        </w:rPr>
        <w:t>accuracy was constructed.</w:t>
      </w:r>
    </w:p>
    <w:p>
      <w:pPr>
        <w:ind w:left="14" w:right="77" w:firstLine="22"/>
        <w:spacing w:before="27" w:line="26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[Key</w:t>
      </w:r>
      <w:r>
        <w:rPr>
          <w:rFonts w:ascii="Times New Roman" w:hAnsi="Times New Roman" w:eastAsia="Times New Roman" w:cs="Times New Roman"/>
          <w:sz w:val="21"/>
          <w:szCs w:val="21"/>
          <w:b/>
          <w:bCs/>
          <w:spacing w:val="14"/>
          <w:w w:val="101"/>
        </w:rPr>
        <w:t xml:space="preserve"> </w:t>
      </w:r>
      <w:r>
        <w:rPr>
          <w:rFonts w:ascii="Times New Roman" w:hAnsi="Times New Roman" w:eastAsia="Times New Roman" w:cs="Times New Roman"/>
          <w:sz w:val="21"/>
          <w:szCs w:val="21"/>
          <w:b/>
          <w:bCs/>
        </w:rPr>
        <w:t>words] </w:t>
      </w:r>
      <w:r>
        <w:rPr>
          <w:rFonts w:ascii="Times New Roman" w:hAnsi="Times New Roman" w:eastAsia="Times New Roman" w:cs="Times New Roman"/>
          <w:sz w:val="21"/>
          <w:szCs w:val="21"/>
        </w:rPr>
        <w:t>Abdominal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allergic purpura;</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Gastrointestinal bleeding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Influencing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factors;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Logistic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model</w:t>
      </w:r>
    </w:p>
    <w:p>
      <w:pPr>
        <w:pStyle w:val="BodyText"/>
        <w:ind w:left="18" w:firstLine="425"/>
        <w:spacing w:before="290" w:line="275" w:lineRule="auto"/>
        <w:rPr>
          <w:sz w:val="21"/>
          <w:szCs w:val="21"/>
        </w:rPr>
      </w:pPr>
      <w:r>
        <w:rPr>
          <w:sz w:val="21"/>
          <w:szCs w:val="21"/>
          <w:spacing w:val="-2"/>
        </w:rPr>
        <w:t>过敏性紫癜（</w:t>
      </w:r>
      <w:r>
        <w:rPr>
          <w:rFonts w:ascii="Times New Roman" w:hAnsi="Times New Roman" w:eastAsia="Times New Roman" w:cs="Times New Roman"/>
          <w:sz w:val="21"/>
          <w:szCs w:val="21"/>
          <w:spacing w:val="-2"/>
        </w:rPr>
        <w:t>HSP</w:t>
      </w:r>
      <w:r>
        <w:rPr>
          <w:sz w:val="21"/>
          <w:szCs w:val="21"/>
          <w:spacing w:val="-2"/>
        </w:rPr>
        <w:t>）是一种临床常见的儿科变应性小血管炎综合征，可由感染、药物及</w:t>
      </w:r>
      <w:r>
        <w:rPr>
          <w:sz w:val="21"/>
          <w:szCs w:val="21"/>
          <w:spacing w:val="8"/>
        </w:rPr>
        <w:t xml:space="preserve"> </w:t>
      </w:r>
      <w:r>
        <w:rPr>
          <w:sz w:val="21"/>
          <w:szCs w:val="21"/>
          <w:spacing w:val="-6"/>
        </w:rPr>
        <w:t>接触过敏原等因素引起，可出现皮肤紫癜、肾脏损害、腹痛及关节痛等症状，还可伴有神经、</w:t>
      </w:r>
      <w:r>
        <w:rPr>
          <w:sz w:val="21"/>
          <w:szCs w:val="21"/>
          <w:spacing w:val="15"/>
        </w:rPr>
        <w:t xml:space="preserve"> </w:t>
      </w:r>
      <w:r>
        <w:rPr>
          <w:sz w:val="21"/>
          <w:szCs w:val="21"/>
        </w:rPr>
        <w:t>呼吸及循环系统损伤，且</w:t>
      </w:r>
      <w:r>
        <w:rPr>
          <w:sz w:val="21"/>
          <w:szCs w:val="21"/>
          <w:spacing w:val="-26"/>
        </w:rPr>
        <w:t xml:space="preserve"> </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35"/>
          <w:w w:val="101"/>
        </w:rPr>
        <w:t xml:space="preserve"> </w:t>
      </w:r>
      <w:r>
        <w:rPr>
          <w:sz w:val="21"/>
          <w:szCs w:val="21"/>
        </w:rPr>
        <w:t>具有病情反</w:t>
      </w:r>
      <w:r>
        <w:rPr>
          <w:sz w:val="21"/>
          <w:szCs w:val="21"/>
          <w:spacing w:val="-1"/>
        </w:rPr>
        <w:t>复发作、治疗难度大等特点，严重影响患儿的学</w:t>
      </w:r>
      <w:r>
        <w:rPr>
          <w:sz w:val="21"/>
          <w:szCs w:val="21"/>
        </w:rPr>
        <w:t xml:space="preserve"> </w:t>
      </w:r>
      <w:r>
        <w:rPr>
          <w:sz w:val="21"/>
          <w:szCs w:val="21"/>
        </w:rPr>
        <w:t>习、生活及健康生长发育</w:t>
      </w:r>
      <w:r>
        <w:rPr>
          <w:rFonts w:ascii="Times New Roman" w:hAnsi="Times New Roman" w:eastAsia="Times New Roman" w:cs="Times New Roman"/>
          <w:sz w:val="14"/>
          <w:szCs w:val="14"/>
          <w:position w:val="7"/>
        </w:rPr>
        <w:t>[1-2]</w:t>
      </w:r>
      <w:r>
        <w:rPr>
          <w:rFonts w:ascii="Times New Roman" w:hAnsi="Times New Roman" w:eastAsia="Times New Roman" w:cs="Times New Roman"/>
          <w:sz w:val="14"/>
          <w:szCs w:val="14"/>
          <w:spacing w:val="-7"/>
          <w:position w:val="7"/>
        </w:rPr>
        <w:t xml:space="preserve"> </w:t>
      </w:r>
      <w:r>
        <w:rPr>
          <w:sz w:val="21"/>
          <w:szCs w:val="21"/>
        </w:rPr>
        <w:t>。</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39"/>
          <w:w w:val="101"/>
        </w:rPr>
        <w:t xml:space="preserve"> </w:t>
      </w:r>
      <w:r>
        <w:rPr>
          <w:sz w:val="21"/>
          <w:szCs w:val="21"/>
        </w:rPr>
        <w:t>可能发生</w:t>
      </w:r>
      <w:r>
        <w:rPr>
          <w:sz w:val="21"/>
          <w:szCs w:val="21"/>
          <w:spacing w:val="-1"/>
        </w:rPr>
        <w:t>在身体的许多系统中，临床上可分为腹部型、</w:t>
      </w:r>
      <w:r>
        <w:rPr>
          <w:sz w:val="21"/>
          <w:szCs w:val="21"/>
        </w:rPr>
        <w:t xml:space="preserve"> </w:t>
      </w:r>
      <w:r>
        <w:rPr>
          <w:sz w:val="21"/>
          <w:szCs w:val="21"/>
          <w:spacing w:val="-6"/>
        </w:rPr>
        <w:t>关节炎型、肾脏型和混合型，</w:t>
      </w:r>
      <w:r>
        <w:rPr>
          <w:sz w:val="21"/>
          <w:szCs w:val="21"/>
          <w:spacing w:val="43"/>
        </w:rPr>
        <w:t xml:space="preserve"> </w:t>
      </w:r>
      <w:r>
        <w:rPr>
          <w:sz w:val="21"/>
          <w:szCs w:val="21"/>
          <w:spacing w:val="-6"/>
        </w:rPr>
        <w:t>其中腹型</w:t>
      </w:r>
      <w:r>
        <w:rPr>
          <w:sz w:val="21"/>
          <w:szCs w:val="21"/>
          <w:spacing w:val="-49"/>
        </w:rPr>
        <w:t xml:space="preserve"> </w:t>
      </w:r>
      <w:r>
        <w:rPr>
          <w:rFonts w:ascii="Times New Roman" w:hAnsi="Times New Roman" w:eastAsia="Times New Roman" w:cs="Times New Roman"/>
          <w:sz w:val="21"/>
          <w:szCs w:val="21"/>
          <w:spacing w:val="-6"/>
        </w:rPr>
        <w:t>HSP</w:t>
      </w:r>
      <w:r>
        <w:rPr>
          <w:rFonts w:ascii="Times New Roman" w:hAnsi="Times New Roman" w:eastAsia="Times New Roman" w:cs="Times New Roman"/>
          <w:sz w:val="21"/>
          <w:szCs w:val="21"/>
          <w:spacing w:val="43"/>
        </w:rPr>
        <w:t xml:space="preserve"> </w:t>
      </w:r>
      <w:r>
        <w:rPr>
          <w:sz w:val="21"/>
          <w:szCs w:val="21"/>
          <w:spacing w:val="-6"/>
        </w:rPr>
        <w:t>占</w:t>
      </w:r>
      <w:r>
        <w:rPr>
          <w:sz w:val="21"/>
          <w:szCs w:val="21"/>
          <w:spacing w:val="-42"/>
        </w:rPr>
        <w:t xml:space="preserve"> </w:t>
      </w:r>
      <w:r>
        <w:rPr>
          <w:rFonts w:ascii="Times New Roman" w:hAnsi="Times New Roman" w:eastAsia="Times New Roman" w:cs="Times New Roman"/>
          <w:sz w:val="21"/>
          <w:szCs w:val="21"/>
          <w:spacing w:val="-6"/>
        </w:rPr>
        <w:t>58%~77%</w:t>
      </w:r>
      <w:r>
        <w:rPr>
          <w:sz w:val="21"/>
          <w:szCs w:val="21"/>
          <w:spacing w:val="-6"/>
        </w:rPr>
        <w:t>，胃肠道症状通常表现为腹痛、胃</w:t>
      </w:r>
      <w:r>
        <w:rPr>
          <w:sz w:val="21"/>
          <w:szCs w:val="21"/>
        </w:rPr>
        <w:t xml:space="preserve"> </w:t>
      </w:r>
      <w:r>
        <w:rPr>
          <w:sz w:val="21"/>
          <w:szCs w:val="21"/>
          <w:spacing w:val="2"/>
        </w:rPr>
        <w:t>肠道出血、恶心和呕吐，</w:t>
      </w:r>
      <w:r>
        <w:rPr>
          <w:sz w:val="21"/>
          <w:szCs w:val="21"/>
          <w:spacing w:val="-59"/>
        </w:rPr>
        <w:t xml:space="preserve"> </w:t>
      </w:r>
      <w:r>
        <w:rPr>
          <w:sz w:val="21"/>
          <w:szCs w:val="21"/>
          <w:spacing w:val="2"/>
        </w:rPr>
        <w:t>胃肠道症状的出现</w:t>
      </w:r>
      <w:r>
        <w:rPr>
          <w:sz w:val="21"/>
          <w:szCs w:val="21"/>
          <w:spacing w:val="1"/>
        </w:rPr>
        <w:t>与皮肤症状不同步。尽管胃肠道出血约占腹部</w:t>
      </w:r>
      <w:r>
        <w:rPr>
          <w:sz w:val="21"/>
          <w:szCs w:val="21"/>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25"/>
          <w:w w:val="101"/>
        </w:rPr>
        <w:t xml:space="preserve"> </w:t>
      </w:r>
      <w:r>
        <w:rPr>
          <w:sz w:val="21"/>
          <w:szCs w:val="21"/>
          <w:spacing w:val="-1"/>
        </w:rPr>
        <w:t>的</w:t>
      </w:r>
      <w:r>
        <w:rPr>
          <w:sz w:val="21"/>
          <w:szCs w:val="21"/>
          <w:spacing w:val="-28"/>
        </w:rPr>
        <w:t xml:space="preserve"> </w:t>
      </w:r>
      <w:r>
        <w:rPr>
          <w:rFonts w:ascii="Times New Roman" w:hAnsi="Times New Roman" w:eastAsia="Times New Roman" w:cs="Times New Roman"/>
          <w:sz w:val="21"/>
          <w:szCs w:val="21"/>
          <w:spacing w:val="-1"/>
        </w:rPr>
        <w:t>18%~52%</w:t>
      </w:r>
      <w:r>
        <w:rPr>
          <w:sz w:val="21"/>
          <w:szCs w:val="21"/>
          <w:spacing w:val="-1"/>
        </w:rPr>
        <w:t>，但严重的胃肠道损伤，如肠道大出血与死亡率显著增加有关</w:t>
      </w:r>
      <w:r>
        <w:rPr>
          <w:rFonts w:ascii="Times New Roman" w:hAnsi="Times New Roman" w:eastAsia="Times New Roman" w:cs="Times New Roman"/>
          <w:sz w:val="14"/>
          <w:szCs w:val="14"/>
          <w:spacing w:val="-1"/>
          <w:position w:val="7"/>
        </w:rPr>
        <w:t>[3-</w:t>
      </w:r>
      <w:r>
        <w:rPr>
          <w:rFonts w:ascii="Times New Roman" w:hAnsi="Times New Roman" w:eastAsia="Times New Roman" w:cs="Times New Roman"/>
          <w:sz w:val="14"/>
          <w:szCs w:val="14"/>
          <w:spacing w:val="-2"/>
          <w:position w:val="7"/>
        </w:rPr>
        <w:t>4]</w:t>
      </w:r>
      <w:r>
        <w:rPr>
          <w:sz w:val="21"/>
          <w:szCs w:val="21"/>
          <w:spacing w:val="-2"/>
        </w:rPr>
        <w:t>。因此，</w:t>
      </w:r>
      <w:r>
        <w:rPr>
          <w:sz w:val="21"/>
          <w:szCs w:val="21"/>
        </w:rPr>
        <w:t xml:space="preserve"> </w:t>
      </w:r>
      <w:r>
        <w:rPr>
          <w:sz w:val="21"/>
          <w:szCs w:val="21"/>
          <w:spacing w:val="-2"/>
        </w:rPr>
        <w:t>早期识别胃肠道出血对后续治疗和预后至关重要</w:t>
      </w:r>
      <w:r>
        <w:rPr>
          <w:sz w:val="21"/>
          <w:szCs w:val="21"/>
          <w:spacing w:val="-3"/>
        </w:rPr>
        <w:t>。胃肠道出血可能发生在疾病过程中的不同</w:t>
      </w:r>
      <w:r>
        <w:rPr>
          <w:sz w:val="21"/>
          <w:szCs w:val="21"/>
        </w:rPr>
        <w:t xml:space="preserve"> </w:t>
      </w:r>
      <w:r>
        <w:rPr>
          <w:sz w:val="21"/>
          <w:szCs w:val="21"/>
          <w:spacing w:val="-2"/>
        </w:rPr>
        <w:t>时间，由于其发病隐匿，一些儿童早期仅表现为大便潜血（</w:t>
      </w:r>
      <w:r>
        <w:rPr>
          <w:rFonts w:ascii="Times New Roman" w:hAnsi="Times New Roman" w:eastAsia="Times New Roman" w:cs="Times New Roman"/>
          <w:sz w:val="21"/>
          <w:szCs w:val="21"/>
          <w:spacing w:val="-2"/>
        </w:rPr>
        <w:t>SOB</w:t>
      </w:r>
      <w:r>
        <w:rPr>
          <w:sz w:val="21"/>
          <w:szCs w:val="21"/>
          <w:spacing w:val="-2"/>
        </w:rPr>
        <w:t>）阳性，没有临床</w:t>
      </w:r>
      <w:r>
        <w:rPr>
          <w:sz w:val="21"/>
          <w:szCs w:val="21"/>
          <w:spacing w:val="-3"/>
        </w:rPr>
        <w:t>表现，这</w:t>
      </w:r>
      <w:r>
        <w:rPr>
          <w:sz w:val="21"/>
          <w:szCs w:val="21"/>
        </w:rPr>
        <w:t xml:space="preserve"> </w:t>
      </w:r>
      <w:r>
        <w:rPr>
          <w:sz w:val="21"/>
          <w:szCs w:val="21"/>
          <w:spacing w:val="-1"/>
        </w:rPr>
        <w:t>使得部分儿童难以早期识别胃肠道出血</w:t>
      </w:r>
      <w:r>
        <w:rPr>
          <w:rFonts w:ascii="Times New Roman" w:hAnsi="Times New Roman" w:eastAsia="Times New Roman" w:cs="Times New Roman"/>
          <w:sz w:val="14"/>
          <w:szCs w:val="14"/>
          <w:spacing w:val="-1"/>
          <w:position w:val="7"/>
        </w:rPr>
        <w:t>[5]</w:t>
      </w:r>
      <w:r>
        <w:rPr>
          <w:sz w:val="21"/>
          <w:szCs w:val="21"/>
          <w:spacing w:val="-1"/>
        </w:rPr>
        <w:t>。因此，建立一个基于客观指标的 </w:t>
      </w:r>
      <w:r>
        <w:rPr>
          <w:rFonts w:ascii="Times New Roman" w:hAnsi="Times New Roman" w:eastAsia="Times New Roman" w:cs="Times New Roman"/>
          <w:sz w:val="21"/>
          <w:szCs w:val="21"/>
          <w:spacing w:val="-2"/>
        </w:rPr>
        <w:t>HSP</w:t>
      </w:r>
      <w:r>
        <w:rPr>
          <w:rFonts w:ascii="Times New Roman" w:hAnsi="Times New Roman" w:eastAsia="Times New Roman" w:cs="Times New Roman"/>
          <w:sz w:val="21"/>
          <w:szCs w:val="21"/>
          <w:spacing w:val="16"/>
          <w:w w:val="101"/>
        </w:rPr>
        <w:t xml:space="preserve">  </w:t>
      </w:r>
      <w:r>
        <w:rPr>
          <w:sz w:val="21"/>
          <w:szCs w:val="21"/>
          <w:spacing w:val="-2"/>
        </w:rPr>
        <w:t>胃肠道出</w:t>
      </w:r>
      <w:r>
        <w:rPr>
          <w:sz w:val="21"/>
          <w:szCs w:val="21"/>
        </w:rPr>
        <w:t xml:space="preserve"> </w:t>
      </w:r>
      <w:r>
        <w:rPr>
          <w:sz w:val="21"/>
          <w:szCs w:val="21"/>
          <w:spacing w:val="-1"/>
        </w:rPr>
        <w:t>血预测模型是必要和实用。</w:t>
      </w:r>
      <w:r>
        <w:rPr>
          <w:rFonts w:ascii="Times New Roman" w:hAnsi="Times New Roman" w:eastAsia="Times New Roman" w:cs="Times New Roman"/>
          <w:sz w:val="21"/>
          <w:szCs w:val="21"/>
          <w:spacing w:val="-1"/>
        </w:rPr>
        <w:t>Nomogram </w:t>
      </w:r>
      <w:r>
        <w:rPr>
          <w:sz w:val="21"/>
          <w:szCs w:val="21"/>
          <w:spacing w:val="-1"/>
        </w:rPr>
        <w:t>预测模型是一种基于多</w:t>
      </w:r>
      <w:r>
        <w:rPr>
          <w:sz w:val="21"/>
          <w:szCs w:val="21"/>
          <w:spacing w:val="-2"/>
        </w:rPr>
        <w:t>因素分析的图形预测工具，通</w:t>
      </w:r>
      <w:r>
        <w:rPr>
          <w:sz w:val="21"/>
          <w:szCs w:val="21"/>
        </w:rPr>
        <w:t xml:space="preserve"> </w:t>
      </w:r>
      <w:r>
        <w:rPr>
          <w:sz w:val="21"/>
          <w:szCs w:val="21"/>
          <w:spacing w:val="-4"/>
        </w:rPr>
        <w:t>过将多个预测因素进行整合，为个体提供概率预测。近年来， </w:t>
      </w:r>
      <w:r>
        <w:rPr>
          <w:rFonts w:ascii="Times New Roman" w:hAnsi="Times New Roman" w:eastAsia="Times New Roman" w:cs="Times New Roman"/>
          <w:sz w:val="21"/>
          <w:szCs w:val="21"/>
          <w:spacing w:val="-4"/>
        </w:rPr>
        <w:t>Nomogram </w:t>
      </w:r>
      <w:r>
        <w:rPr>
          <w:sz w:val="21"/>
          <w:szCs w:val="21"/>
          <w:spacing w:val="-4"/>
        </w:rPr>
        <w:t>预测模型在临床多</w:t>
      </w:r>
      <w:r>
        <w:rPr>
          <w:sz w:val="21"/>
          <w:szCs w:val="21"/>
          <w:spacing w:val="17"/>
        </w:rPr>
        <w:t xml:space="preserve"> </w:t>
      </w:r>
      <w:r>
        <w:rPr>
          <w:sz w:val="21"/>
          <w:szCs w:val="21"/>
          <w:spacing w:val="-1"/>
        </w:rPr>
        <w:t>个领域取得了良好的应用效果，如肿瘤预后、心血管事件预测等</w:t>
      </w:r>
      <w:r>
        <w:rPr>
          <w:rFonts w:ascii="Times New Roman" w:hAnsi="Times New Roman" w:eastAsia="Times New Roman" w:cs="Times New Roman"/>
          <w:sz w:val="14"/>
          <w:szCs w:val="14"/>
          <w:spacing w:val="-1"/>
          <w:position w:val="7"/>
        </w:rPr>
        <w:t>[6]</w:t>
      </w:r>
      <w:r>
        <w:rPr>
          <w:sz w:val="21"/>
          <w:szCs w:val="21"/>
          <w:spacing w:val="-1"/>
        </w:rPr>
        <w:t>。基于此本</w:t>
      </w:r>
      <w:r>
        <w:rPr>
          <w:sz w:val="21"/>
          <w:szCs w:val="21"/>
          <w:spacing w:val="-2"/>
        </w:rPr>
        <w:t>研究选择</w:t>
      </w:r>
      <w:r>
        <w:rPr>
          <w:rFonts w:ascii="Times New Roman" w:hAnsi="Times New Roman" w:eastAsia="Times New Roman" w:cs="Times New Roman"/>
          <w:sz w:val="21"/>
          <w:szCs w:val="21"/>
          <w:spacing w:val="-2"/>
        </w:rPr>
        <w:t>2021</w:t>
      </w:r>
      <w:r>
        <w:rPr>
          <w:rFonts w:ascii="Times New Roman" w:hAnsi="Times New Roman" w:eastAsia="Times New Roman" w:cs="Times New Roman"/>
          <w:sz w:val="21"/>
          <w:szCs w:val="21"/>
        </w:rPr>
        <w:t xml:space="preserve">  </w:t>
      </w:r>
      <w:r>
        <w:rPr>
          <w:sz w:val="21"/>
          <w:szCs w:val="21"/>
          <w:spacing w:val="-3"/>
        </w:rPr>
        <w:t>年</w:t>
      </w:r>
      <w:r>
        <w:rPr>
          <w:sz w:val="21"/>
          <w:szCs w:val="21"/>
          <w:spacing w:val="-32"/>
        </w:rPr>
        <w:t xml:space="preserve"> </w:t>
      </w:r>
      <w:r>
        <w:rPr>
          <w:rFonts w:ascii="Times New Roman" w:hAnsi="Times New Roman" w:eastAsia="Times New Roman" w:cs="Times New Roman"/>
          <w:sz w:val="21"/>
          <w:szCs w:val="21"/>
          <w:spacing w:val="-3"/>
        </w:rPr>
        <w:t>9</w:t>
      </w:r>
      <w:r>
        <w:rPr>
          <w:rFonts w:ascii="Times New Roman" w:hAnsi="Times New Roman" w:eastAsia="Times New Roman" w:cs="Times New Roman"/>
          <w:sz w:val="21"/>
          <w:szCs w:val="21"/>
          <w:spacing w:val="26"/>
        </w:rPr>
        <w:t xml:space="preserve"> </w:t>
      </w:r>
      <w:r>
        <w:rPr>
          <w:sz w:val="21"/>
          <w:szCs w:val="21"/>
          <w:spacing w:val="-3"/>
        </w:rPr>
        <w:t>月至</w:t>
      </w:r>
      <w:r>
        <w:rPr>
          <w:sz w:val="21"/>
          <w:szCs w:val="21"/>
          <w:spacing w:val="-36"/>
        </w:rPr>
        <w:t xml:space="preserve"> </w:t>
      </w:r>
      <w:r>
        <w:rPr>
          <w:rFonts w:ascii="Times New Roman" w:hAnsi="Times New Roman" w:eastAsia="Times New Roman" w:cs="Times New Roman"/>
          <w:sz w:val="21"/>
          <w:szCs w:val="21"/>
          <w:spacing w:val="-3"/>
        </w:rPr>
        <w:t>2023</w:t>
      </w:r>
      <w:r>
        <w:rPr>
          <w:rFonts w:ascii="Times New Roman" w:hAnsi="Times New Roman" w:eastAsia="Times New Roman" w:cs="Times New Roman"/>
          <w:sz w:val="21"/>
          <w:szCs w:val="21"/>
          <w:spacing w:val="22"/>
          <w:w w:val="101"/>
        </w:rPr>
        <w:t xml:space="preserve"> </w:t>
      </w:r>
      <w:r>
        <w:rPr>
          <w:sz w:val="21"/>
          <w:szCs w:val="21"/>
          <w:spacing w:val="-3"/>
        </w:rPr>
        <w:t>年</w:t>
      </w:r>
      <w:r>
        <w:rPr>
          <w:sz w:val="21"/>
          <w:szCs w:val="21"/>
          <w:spacing w:val="-32"/>
        </w:rPr>
        <w:t xml:space="preserve"> </w:t>
      </w:r>
      <w:r>
        <w:rPr>
          <w:rFonts w:ascii="Times New Roman" w:hAnsi="Times New Roman" w:eastAsia="Times New Roman" w:cs="Times New Roman"/>
          <w:sz w:val="21"/>
          <w:szCs w:val="21"/>
          <w:spacing w:val="-3"/>
        </w:rPr>
        <w:t>9</w:t>
      </w:r>
      <w:r>
        <w:rPr>
          <w:rFonts w:ascii="Times New Roman" w:hAnsi="Times New Roman" w:eastAsia="Times New Roman" w:cs="Times New Roman"/>
          <w:sz w:val="21"/>
          <w:szCs w:val="21"/>
          <w:spacing w:val="26"/>
        </w:rPr>
        <w:t xml:space="preserve"> </w:t>
      </w:r>
      <w:r>
        <w:rPr>
          <w:sz w:val="21"/>
          <w:szCs w:val="21"/>
          <w:spacing w:val="-3"/>
        </w:rPr>
        <w:t>月于本院收治的腹型</w:t>
      </w:r>
      <w:r>
        <w:rPr>
          <w:sz w:val="21"/>
          <w:szCs w:val="21"/>
          <w:spacing w:val="-37"/>
        </w:rPr>
        <w:t xml:space="preserve"> </w:t>
      </w:r>
      <w:r>
        <w:rPr>
          <w:rFonts w:ascii="Times New Roman" w:hAnsi="Times New Roman" w:eastAsia="Times New Roman" w:cs="Times New Roman"/>
          <w:sz w:val="21"/>
          <w:szCs w:val="21"/>
          <w:spacing w:val="-3"/>
        </w:rPr>
        <w:t>HSP</w:t>
      </w:r>
      <w:r>
        <w:rPr>
          <w:rFonts w:ascii="Times New Roman" w:hAnsi="Times New Roman" w:eastAsia="Times New Roman" w:cs="Times New Roman"/>
          <w:sz w:val="21"/>
          <w:szCs w:val="21"/>
          <w:spacing w:val="31"/>
        </w:rPr>
        <w:t xml:space="preserve"> </w:t>
      </w:r>
      <w:r>
        <w:rPr>
          <w:sz w:val="21"/>
          <w:szCs w:val="21"/>
          <w:spacing w:val="-3"/>
        </w:rPr>
        <w:t>患儿 </w:t>
      </w:r>
      <w:r>
        <w:rPr>
          <w:rFonts w:ascii="Times New Roman" w:hAnsi="Times New Roman" w:eastAsia="Times New Roman" w:cs="Times New Roman"/>
          <w:sz w:val="21"/>
          <w:szCs w:val="21"/>
          <w:spacing w:val="-3"/>
        </w:rPr>
        <w:t>118</w:t>
      </w:r>
      <w:r>
        <w:rPr>
          <w:rFonts w:ascii="Times New Roman" w:hAnsi="Times New Roman" w:eastAsia="Times New Roman" w:cs="Times New Roman"/>
          <w:sz w:val="21"/>
          <w:szCs w:val="21"/>
          <w:spacing w:val="21"/>
          <w:w w:val="101"/>
        </w:rPr>
        <w:t xml:space="preserve"> </w:t>
      </w:r>
      <w:r>
        <w:rPr>
          <w:sz w:val="21"/>
          <w:szCs w:val="21"/>
          <w:spacing w:val="-3"/>
        </w:rPr>
        <w:t>例为观察对象，旨</w:t>
      </w:r>
      <w:r>
        <w:rPr>
          <w:sz w:val="21"/>
          <w:szCs w:val="21"/>
          <w:spacing w:val="-4"/>
        </w:rPr>
        <w:t>在分析腹型</w:t>
      </w:r>
      <w:r>
        <w:rPr>
          <w:sz w:val="21"/>
          <w:szCs w:val="21"/>
          <w:spacing w:val="-37"/>
        </w:rPr>
        <w:t xml:space="preserve"> </w:t>
      </w:r>
      <w:r>
        <w:rPr>
          <w:rFonts w:ascii="Times New Roman" w:hAnsi="Times New Roman" w:eastAsia="Times New Roman" w:cs="Times New Roman"/>
          <w:sz w:val="21"/>
          <w:szCs w:val="21"/>
          <w:spacing w:val="-4"/>
        </w:rPr>
        <w:t>HSP</w:t>
      </w:r>
      <w:r>
        <w:rPr>
          <w:rFonts w:ascii="Times New Roman" w:hAnsi="Times New Roman" w:eastAsia="Times New Roman" w:cs="Times New Roman"/>
          <w:sz w:val="21"/>
          <w:szCs w:val="21"/>
        </w:rPr>
        <w:t xml:space="preserve">  </w:t>
      </w:r>
      <w:r>
        <w:rPr>
          <w:sz w:val="21"/>
          <w:szCs w:val="21"/>
          <w:spacing w:val="-2"/>
        </w:rPr>
        <w:t>患儿发生链球菌感染的影响因素及与预后的相关性。</w:t>
      </w:r>
    </w:p>
    <w:p>
      <w:pPr>
        <w:pStyle w:val="BodyText"/>
        <w:ind w:left="28"/>
        <w:spacing w:before="4" w:line="234" w:lineRule="auto"/>
        <w:outlineLvl w:val="0"/>
        <w:rPr>
          <w:sz w:val="21"/>
          <w:szCs w:val="21"/>
        </w:rPr>
      </w:pPr>
      <w:r>
        <w:rPr>
          <w:rFonts w:ascii="Times New Roman" w:hAnsi="Times New Roman" w:eastAsia="Times New Roman" w:cs="Times New Roman"/>
          <w:sz w:val="21"/>
          <w:szCs w:val="21"/>
          <w:b/>
          <w:bCs/>
          <w:spacing w:val="-7"/>
        </w:rPr>
        <w:t>1</w:t>
      </w:r>
      <w:r>
        <w:rPr>
          <w:rFonts w:ascii="Times New Roman" w:hAnsi="Times New Roman" w:eastAsia="Times New Roman" w:cs="Times New Roman"/>
          <w:sz w:val="21"/>
          <w:szCs w:val="21"/>
          <w:b/>
          <w:bCs/>
          <w:spacing w:val="20"/>
        </w:rPr>
        <w:t xml:space="preserve"> </w:t>
      </w:r>
      <w:r>
        <w:rPr>
          <w:sz w:val="21"/>
          <w:szCs w:val="21"/>
          <w:b/>
          <w:bCs/>
          <w:spacing w:val="-7"/>
        </w:rPr>
        <w:t>资料与方法</w:t>
      </w:r>
    </w:p>
    <w:p>
      <w:pPr>
        <w:pStyle w:val="BodyText"/>
        <w:ind w:left="28"/>
        <w:spacing w:before="45" w:line="234" w:lineRule="auto"/>
        <w:outlineLvl w:val="1"/>
        <w:rPr>
          <w:sz w:val="21"/>
          <w:szCs w:val="21"/>
        </w:rPr>
      </w:pPr>
      <w:r>
        <w:rPr>
          <w:rFonts w:ascii="Times New Roman" w:hAnsi="Times New Roman" w:eastAsia="Times New Roman" w:cs="Times New Roman"/>
          <w:sz w:val="21"/>
          <w:szCs w:val="21"/>
          <w:b/>
          <w:bCs/>
          <w:spacing w:val="-5"/>
        </w:rPr>
        <w:t>1.1</w:t>
      </w:r>
      <w:r>
        <w:rPr>
          <w:rFonts w:ascii="Times New Roman" w:hAnsi="Times New Roman" w:eastAsia="Times New Roman" w:cs="Times New Roman"/>
          <w:sz w:val="21"/>
          <w:szCs w:val="21"/>
          <w:b/>
          <w:bCs/>
          <w:spacing w:val="14"/>
        </w:rPr>
        <w:t xml:space="preserve"> </w:t>
      </w:r>
      <w:r>
        <w:rPr>
          <w:sz w:val="21"/>
          <w:szCs w:val="21"/>
          <w:b/>
          <w:bCs/>
          <w:spacing w:val="-5"/>
        </w:rPr>
        <w:t>一般资料</w:t>
      </w:r>
    </w:p>
    <w:p>
      <w:pPr>
        <w:pStyle w:val="BodyText"/>
        <w:ind w:left="23" w:right="77" w:firstLine="418"/>
        <w:spacing w:before="51" w:line="273" w:lineRule="auto"/>
        <w:rPr>
          <w:sz w:val="21"/>
          <w:szCs w:val="21"/>
        </w:rPr>
      </w:pPr>
      <w:r>
        <w:rPr>
          <w:sz w:val="21"/>
          <w:szCs w:val="21"/>
          <w:spacing w:val="-2"/>
        </w:rPr>
        <w:t>选择</w:t>
      </w:r>
      <w:r>
        <w:rPr>
          <w:sz w:val="21"/>
          <w:szCs w:val="21"/>
          <w:spacing w:val="-47"/>
        </w:rPr>
        <w:t xml:space="preserve"> </w:t>
      </w:r>
      <w:r>
        <w:rPr>
          <w:rFonts w:ascii="Times New Roman" w:hAnsi="Times New Roman" w:eastAsia="Times New Roman" w:cs="Times New Roman"/>
          <w:sz w:val="21"/>
          <w:szCs w:val="21"/>
          <w:spacing w:val="-2"/>
        </w:rPr>
        <w:t>2021 </w:t>
      </w:r>
      <w:r>
        <w:rPr>
          <w:sz w:val="21"/>
          <w:szCs w:val="21"/>
          <w:spacing w:val="-2"/>
        </w:rPr>
        <w:t>年</w:t>
      </w:r>
      <w:r>
        <w:rPr>
          <w:sz w:val="21"/>
          <w:szCs w:val="21"/>
          <w:spacing w:val="-45"/>
        </w:rPr>
        <w:t xml:space="preserve"> </w:t>
      </w:r>
      <w:r>
        <w:rPr>
          <w:rFonts w:ascii="Times New Roman" w:hAnsi="Times New Roman" w:eastAsia="Times New Roman" w:cs="Times New Roman"/>
          <w:sz w:val="21"/>
          <w:szCs w:val="21"/>
          <w:spacing w:val="-2"/>
        </w:rPr>
        <w:t>9</w:t>
      </w:r>
      <w:r>
        <w:rPr>
          <w:rFonts w:ascii="Times New Roman" w:hAnsi="Times New Roman" w:eastAsia="Times New Roman" w:cs="Times New Roman"/>
          <w:sz w:val="21"/>
          <w:szCs w:val="21"/>
          <w:spacing w:val="14"/>
          <w:w w:val="101"/>
        </w:rPr>
        <w:t xml:space="preserve"> </w:t>
      </w:r>
      <w:r>
        <w:rPr>
          <w:sz w:val="21"/>
          <w:szCs w:val="21"/>
          <w:spacing w:val="-2"/>
        </w:rPr>
        <w:t>月至</w:t>
      </w:r>
      <w:r>
        <w:rPr>
          <w:sz w:val="21"/>
          <w:szCs w:val="21"/>
          <w:spacing w:val="-49"/>
        </w:rPr>
        <w:t xml:space="preserve"> </w:t>
      </w:r>
      <w:r>
        <w:rPr>
          <w:rFonts w:ascii="Times New Roman" w:hAnsi="Times New Roman" w:eastAsia="Times New Roman" w:cs="Times New Roman"/>
          <w:sz w:val="21"/>
          <w:szCs w:val="21"/>
          <w:spacing w:val="-2"/>
        </w:rPr>
        <w:t>2023 </w:t>
      </w:r>
      <w:r>
        <w:rPr>
          <w:sz w:val="21"/>
          <w:szCs w:val="21"/>
          <w:spacing w:val="-2"/>
        </w:rPr>
        <w:t>年</w:t>
      </w:r>
      <w:r>
        <w:rPr>
          <w:sz w:val="21"/>
          <w:szCs w:val="21"/>
          <w:spacing w:val="-44"/>
        </w:rPr>
        <w:t xml:space="preserve"> </w:t>
      </w:r>
      <w:r>
        <w:rPr>
          <w:rFonts w:ascii="Times New Roman" w:hAnsi="Times New Roman" w:eastAsia="Times New Roman" w:cs="Times New Roman"/>
          <w:sz w:val="21"/>
          <w:szCs w:val="21"/>
          <w:spacing w:val="-2"/>
        </w:rPr>
        <w:t>9</w:t>
      </w:r>
      <w:r>
        <w:rPr>
          <w:rFonts w:ascii="Times New Roman" w:hAnsi="Times New Roman" w:eastAsia="Times New Roman" w:cs="Times New Roman"/>
          <w:sz w:val="21"/>
          <w:szCs w:val="21"/>
          <w:spacing w:val="15"/>
        </w:rPr>
        <w:t xml:space="preserve"> </w:t>
      </w:r>
      <w:r>
        <w:rPr>
          <w:sz w:val="21"/>
          <w:szCs w:val="21"/>
          <w:spacing w:val="-2"/>
        </w:rPr>
        <w:t>月本院</w:t>
      </w:r>
      <w:r>
        <w:rPr>
          <w:sz w:val="21"/>
          <w:szCs w:val="21"/>
          <w:spacing w:val="-3"/>
        </w:rPr>
        <w:t>收治的腹型</w:t>
      </w:r>
      <w:r>
        <w:rPr>
          <w:sz w:val="21"/>
          <w:szCs w:val="21"/>
          <w:spacing w:val="-49"/>
        </w:rPr>
        <w:t xml:space="preserve"> </w:t>
      </w:r>
      <w:r>
        <w:rPr>
          <w:rFonts w:ascii="Times New Roman" w:hAnsi="Times New Roman" w:eastAsia="Times New Roman" w:cs="Times New Roman"/>
          <w:sz w:val="21"/>
          <w:szCs w:val="21"/>
          <w:spacing w:val="-3"/>
        </w:rPr>
        <w:t>HSP</w:t>
      </w:r>
      <w:r>
        <w:rPr>
          <w:rFonts w:ascii="Times New Roman" w:hAnsi="Times New Roman" w:eastAsia="Times New Roman" w:cs="Times New Roman"/>
          <w:sz w:val="21"/>
          <w:szCs w:val="21"/>
          <w:spacing w:val="18"/>
        </w:rPr>
        <w:t xml:space="preserve"> </w:t>
      </w:r>
      <w:r>
        <w:rPr>
          <w:sz w:val="21"/>
          <w:szCs w:val="21"/>
          <w:spacing w:val="-3"/>
        </w:rPr>
        <w:t>患儿</w:t>
      </w:r>
      <w:r>
        <w:rPr>
          <w:sz w:val="21"/>
          <w:szCs w:val="21"/>
          <w:spacing w:val="-28"/>
        </w:rPr>
        <w:t xml:space="preserve"> </w:t>
      </w:r>
      <w:r>
        <w:rPr>
          <w:rFonts w:ascii="Times New Roman" w:hAnsi="Times New Roman" w:eastAsia="Times New Roman" w:cs="Times New Roman"/>
          <w:sz w:val="21"/>
          <w:szCs w:val="21"/>
          <w:spacing w:val="-3"/>
        </w:rPr>
        <w:t>118 </w:t>
      </w:r>
      <w:r>
        <w:rPr>
          <w:sz w:val="21"/>
          <w:szCs w:val="21"/>
          <w:spacing w:val="-3"/>
        </w:rPr>
        <w:t>例，纳入标准</w:t>
      </w:r>
      <w:r>
        <w:rPr>
          <w:sz w:val="21"/>
          <w:szCs w:val="21"/>
          <w:spacing w:val="-29"/>
        </w:rPr>
        <w:t>：（</w:t>
      </w:r>
      <w:r>
        <w:rPr>
          <w:rFonts w:ascii="Times New Roman" w:hAnsi="Times New Roman" w:eastAsia="Times New Roman" w:cs="Times New Roman"/>
          <w:sz w:val="21"/>
          <w:szCs w:val="21"/>
          <w:spacing w:val="-3"/>
        </w:rPr>
        <w:t>1</w:t>
      </w:r>
      <w:r>
        <w:rPr>
          <w:sz w:val="21"/>
          <w:szCs w:val="21"/>
          <w:spacing w:val="-3"/>
        </w:rPr>
        <w:t>）患</w:t>
      </w:r>
      <w:r>
        <w:rPr>
          <w:sz w:val="21"/>
          <w:szCs w:val="21"/>
        </w:rPr>
        <w:t xml:space="preserve"> </w:t>
      </w:r>
      <w:r>
        <w:rPr>
          <w:sz w:val="21"/>
          <w:szCs w:val="21"/>
        </w:rPr>
        <w:t>儿均符合欧洲风湿病联盟</w:t>
      </w:r>
      <w:r>
        <w:rPr>
          <w:rFonts w:ascii="Times New Roman" w:hAnsi="Times New Roman" w:eastAsia="Times New Roman" w:cs="Times New Roman"/>
          <w:sz w:val="21"/>
          <w:szCs w:val="21"/>
        </w:rPr>
        <w:t>/</w:t>
      </w:r>
      <w:r>
        <w:rPr>
          <w:sz w:val="21"/>
          <w:szCs w:val="21"/>
        </w:rPr>
        <w:t>儿科风湿科国际试验组织</w:t>
      </w:r>
      <w:r>
        <w:rPr>
          <w:rFonts w:ascii="Times New Roman" w:hAnsi="Times New Roman" w:eastAsia="Times New Roman" w:cs="Times New Roman"/>
          <w:sz w:val="21"/>
          <w:szCs w:val="21"/>
        </w:rPr>
        <w:t>/</w:t>
      </w:r>
      <w:r>
        <w:rPr>
          <w:sz w:val="21"/>
          <w:szCs w:val="21"/>
        </w:rPr>
        <w:t>儿科欧</w:t>
      </w:r>
      <w:r>
        <w:rPr>
          <w:sz w:val="21"/>
          <w:szCs w:val="21"/>
          <w:spacing w:val="-1"/>
        </w:rPr>
        <w:t>洲风湿病协会发表的腹型</w:t>
      </w:r>
      <w:r>
        <w:rPr>
          <w:sz w:val="21"/>
          <w:szCs w:val="21"/>
          <w:spacing w:val="-48"/>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rPr>
        <w:t xml:space="preserve">     </w:t>
      </w:r>
      <w:r>
        <w:rPr>
          <w:sz w:val="21"/>
          <w:szCs w:val="21"/>
          <w:spacing w:val="2"/>
        </w:rPr>
        <w:t>诊断标准</w:t>
      </w:r>
      <w:r>
        <w:rPr>
          <w:rFonts w:ascii="Times New Roman" w:hAnsi="Times New Roman" w:eastAsia="Times New Roman" w:cs="Times New Roman"/>
          <w:sz w:val="14"/>
          <w:szCs w:val="14"/>
          <w:spacing w:val="2"/>
          <w:position w:val="7"/>
        </w:rPr>
        <w:t>[7]</w:t>
      </w:r>
      <w:r>
        <w:rPr>
          <w:rFonts w:ascii="Times New Roman" w:hAnsi="Times New Roman" w:eastAsia="Times New Roman" w:cs="Times New Roman"/>
          <w:sz w:val="14"/>
          <w:szCs w:val="14"/>
          <w:spacing w:val="-8"/>
          <w:position w:val="7"/>
        </w:rPr>
        <w:t xml:space="preserve"> </w:t>
      </w:r>
      <w:r>
        <w:rPr>
          <w:sz w:val="21"/>
          <w:szCs w:val="21"/>
          <w:spacing w:val="-20"/>
        </w:rPr>
        <w:t>；（</w:t>
      </w:r>
      <w:r>
        <w:rPr>
          <w:rFonts w:ascii="Times New Roman" w:hAnsi="Times New Roman" w:eastAsia="Times New Roman" w:cs="Times New Roman"/>
          <w:sz w:val="21"/>
          <w:szCs w:val="21"/>
          <w:spacing w:val="2"/>
        </w:rPr>
        <w:t>2</w:t>
      </w:r>
      <w:r>
        <w:rPr>
          <w:sz w:val="21"/>
          <w:szCs w:val="21"/>
          <w:spacing w:val="2"/>
        </w:rPr>
        <w:t>）入组前未进行相关治疗</w:t>
      </w:r>
      <w:r>
        <w:rPr>
          <w:sz w:val="21"/>
          <w:szCs w:val="21"/>
          <w:spacing w:val="1"/>
        </w:rPr>
        <w:t>者</w:t>
      </w:r>
      <w:r>
        <w:rPr>
          <w:sz w:val="21"/>
          <w:szCs w:val="21"/>
          <w:spacing w:val="-20"/>
        </w:rPr>
        <w:t>；（</w:t>
      </w:r>
      <w:r>
        <w:rPr>
          <w:rFonts w:ascii="Times New Roman" w:hAnsi="Times New Roman" w:eastAsia="Times New Roman" w:cs="Times New Roman"/>
          <w:sz w:val="21"/>
          <w:szCs w:val="21"/>
          <w:spacing w:val="1"/>
        </w:rPr>
        <w:t>3</w:t>
      </w:r>
      <w:r>
        <w:rPr>
          <w:sz w:val="21"/>
          <w:szCs w:val="21"/>
          <w:spacing w:val="1"/>
        </w:rPr>
        <w:t>）年龄</w:t>
      </w:r>
      <w:r>
        <w:rPr>
          <w:rFonts w:ascii="Times New Roman" w:hAnsi="Times New Roman" w:eastAsia="Times New Roman" w:cs="Times New Roman"/>
          <w:sz w:val="21"/>
          <w:szCs w:val="21"/>
          <w:spacing w:val="1"/>
        </w:rPr>
        <w:t>≤14</w:t>
      </w:r>
      <w:r>
        <w:rPr>
          <w:rFonts w:ascii="Times New Roman" w:hAnsi="Times New Roman" w:eastAsia="Times New Roman" w:cs="Times New Roman"/>
          <w:sz w:val="21"/>
          <w:szCs w:val="21"/>
          <w:spacing w:val="16"/>
          <w:w w:val="101"/>
        </w:rPr>
        <w:t xml:space="preserve"> </w:t>
      </w:r>
      <w:r>
        <w:rPr>
          <w:sz w:val="21"/>
          <w:szCs w:val="21"/>
          <w:spacing w:val="1"/>
        </w:rPr>
        <w:t>岁</w:t>
      </w:r>
      <w:r>
        <w:rPr>
          <w:sz w:val="21"/>
          <w:szCs w:val="21"/>
          <w:spacing w:val="-20"/>
        </w:rPr>
        <w:t>；（</w:t>
      </w:r>
      <w:r>
        <w:rPr>
          <w:rFonts w:ascii="Times New Roman" w:hAnsi="Times New Roman" w:eastAsia="Times New Roman" w:cs="Times New Roman"/>
          <w:sz w:val="21"/>
          <w:szCs w:val="21"/>
          <w:spacing w:val="1"/>
        </w:rPr>
        <w:t>4</w:t>
      </w:r>
      <w:r>
        <w:rPr>
          <w:sz w:val="21"/>
          <w:szCs w:val="21"/>
          <w:spacing w:val="1"/>
        </w:rPr>
        <w:t>）临床资料完整。排</w:t>
      </w:r>
      <w:r>
        <w:rPr>
          <w:sz w:val="21"/>
          <w:szCs w:val="21"/>
        </w:rPr>
        <w:t xml:space="preserve">  </w:t>
      </w:r>
      <w:r>
        <w:rPr>
          <w:sz w:val="21"/>
          <w:szCs w:val="21"/>
          <w:spacing w:val="2"/>
        </w:rPr>
        <w:t>除标准</w:t>
      </w:r>
      <w:r>
        <w:rPr>
          <w:sz w:val="21"/>
          <w:szCs w:val="21"/>
          <w:spacing w:val="-14"/>
        </w:rPr>
        <w:t>：（</w:t>
      </w:r>
      <w:r>
        <w:rPr>
          <w:rFonts w:ascii="Times New Roman" w:hAnsi="Times New Roman" w:eastAsia="Times New Roman" w:cs="Times New Roman"/>
          <w:sz w:val="21"/>
          <w:szCs w:val="21"/>
          <w:spacing w:val="2"/>
        </w:rPr>
        <w:t>1</w:t>
      </w:r>
      <w:r>
        <w:rPr>
          <w:sz w:val="21"/>
          <w:szCs w:val="21"/>
          <w:spacing w:val="2"/>
        </w:rPr>
        <w:t>）合并其他自身免疫性疾病</w:t>
      </w:r>
      <w:r>
        <w:rPr>
          <w:sz w:val="21"/>
          <w:szCs w:val="21"/>
          <w:spacing w:val="-14"/>
        </w:rPr>
        <w:t>；（</w:t>
      </w:r>
      <w:r>
        <w:rPr>
          <w:rFonts w:ascii="Times New Roman" w:hAnsi="Times New Roman" w:eastAsia="Times New Roman" w:cs="Times New Roman"/>
          <w:sz w:val="21"/>
          <w:szCs w:val="21"/>
          <w:spacing w:val="2"/>
        </w:rPr>
        <w:t>2</w:t>
      </w:r>
      <w:r>
        <w:rPr>
          <w:sz w:val="21"/>
          <w:szCs w:val="21"/>
          <w:spacing w:val="2"/>
        </w:rPr>
        <w:t>）合并重要器官严重功能障碍</w:t>
      </w:r>
      <w:r>
        <w:rPr>
          <w:sz w:val="21"/>
          <w:szCs w:val="21"/>
          <w:spacing w:val="-14"/>
        </w:rPr>
        <w:t>；（</w:t>
      </w:r>
      <w:r>
        <w:rPr>
          <w:rFonts w:ascii="Times New Roman" w:hAnsi="Times New Roman" w:eastAsia="Times New Roman" w:cs="Times New Roman"/>
          <w:sz w:val="21"/>
          <w:szCs w:val="21"/>
          <w:spacing w:val="2"/>
        </w:rPr>
        <w:t>3</w:t>
      </w:r>
      <w:r>
        <w:rPr>
          <w:sz w:val="21"/>
          <w:szCs w:val="21"/>
          <w:spacing w:val="2"/>
        </w:rPr>
        <w:t>）</w:t>
      </w:r>
      <w:r>
        <w:rPr>
          <w:rFonts w:ascii="Times New Roman" w:hAnsi="Times New Roman" w:eastAsia="Times New Roman" w:cs="Times New Roman"/>
          <w:sz w:val="21"/>
          <w:szCs w:val="21"/>
          <w:spacing w:val="2"/>
        </w:rPr>
        <w:t>1 </w:t>
      </w:r>
      <w:r>
        <w:rPr>
          <w:sz w:val="21"/>
          <w:szCs w:val="21"/>
          <w:spacing w:val="2"/>
        </w:rPr>
        <w:t>个月</w:t>
      </w:r>
      <w:r>
        <w:rPr>
          <w:sz w:val="21"/>
          <w:szCs w:val="21"/>
          <w:spacing w:val="1"/>
        </w:rPr>
        <w:t xml:space="preserve"> </w:t>
      </w:r>
      <w:r>
        <w:rPr>
          <w:sz w:val="21"/>
          <w:szCs w:val="21"/>
          <w:spacing w:val="1"/>
        </w:rPr>
        <w:t>内应用抗菌药物及糖皮质激素类药物</w:t>
      </w:r>
      <w:r>
        <w:rPr>
          <w:sz w:val="21"/>
          <w:szCs w:val="21"/>
          <w:spacing w:val="-31"/>
        </w:rPr>
        <w:t>；（</w:t>
      </w:r>
      <w:r>
        <w:rPr>
          <w:rFonts w:ascii="Times New Roman" w:hAnsi="Times New Roman" w:eastAsia="Times New Roman" w:cs="Times New Roman"/>
          <w:sz w:val="21"/>
          <w:szCs w:val="21"/>
          <w:spacing w:val="1"/>
        </w:rPr>
        <w:t>4</w:t>
      </w:r>
      <w:r>
        <w:rPr>
          <w:sz w:val="21"/>
          <w:szCs w:val="21"/>
          <w:spacing w:val="1"/>
        </w:rPr>
        <w:t>）既</w:t>
      </w:r>
      <w:r>
        <w:rPr>
          <w:sz w:val="21"/>
          <w:szCs w:val="21"/>
        </w:rPr>
        <w:t>往有消化道出血及溃疡病史者</w:t>
      </w:r>
      <w:r>
        <w:rPr>
          <w:sz w:val="21"/>
          <w:szCs w:val="21"/>
          <w:spacing w:val="-31"/>
        </w:rPr>
        <w:t>；（</w:t>
      </w:r>
      <w:r>
        <w:rPr>
          <w:rFonts w:ascii="Times New Roman" w:hAnsi="Times New Roman" w:eastAsia="Times New Roman" w:cs="Times New Roman"/>
          <w:sz w:val="21"/>
          <w:szCs w:val="21"/>
        </w:rPr>
        <w:t>5</w:t>
      </w:r>
      <w:r>
        <w:rPr>
          <w:sz w:val="21"/>
          <w:szCs w:val="21"/>
        </w:rPr>
        <w:t>）其他原 </w:t>
      </w:r>
      <w:r>
        <w:rPr>
          <w:sz w:val="21"/>
          <w:szCs w:val="21"/>
          <w:spacing w:val="-3"/>
        </w:rPr>
        <w:t>因引起的胃肠道出血。根据是否出血胃肠道出血分为合并组</w:t>
      </w:r>
      <w:r>
        <w:rPr>
          <w:sz w:val="21"/>
          <w:szCs w:val="21"/>
          <w:spacing w:val="-38"/>
        </w:rPr>
        <w:t xml:space="preserve"> </w:t>
      </w:r>
      <w:r>
        <w:rPr>
          <w:rFonts w:ascii="Times New Roman" w:hAnsi="Times New Roman" w:eastAsia="Times New Roman" w:cs="Times New Roman"/>
          <w:sz w:val="21"/>
          <w:szCs w:val="21"/>
          <w:spacing w:val="-3"/>
        </w:rPr>
        <w:t>52 </w:t>
      </w:r>
      <w:r>
        <w:rPr>
          <w:sz w:val="21"/>
          <w:szCs w:val="21"/>
          <w:spacing w:val="-3"/>
        </w:rPr>
        <w:t>例和未合并组</w:t>
      </w:r>
      <w:r>
        <w:rPr>
          <w:sz w:val="21"/>
          <w:szCs w:val="21"/>
          <w:spacing w:val="-43"/>
        </w:rPr>
        <w:t xml:space="preserve"> </w:t>
      </w:r>
      <w:r>
        <w:rPr>
          <w:rFonts w:ascii="Times New Roman" w:hAnsi="Times New Roman" w:eastAsia="Times New Roman" w:cs="Times New Roman"/>
          <w:sz w:val="21"/>
          <w:szCs w:val="21"/>
          <w:spacing w:val="-3"/>
        </w:rPr>
        <w:t>66 </w:t>
      </w:r>
      <w:r>
        <w:rPr>
          <w:sz w:val="21"/>
          <w:szCs w:val="21"/>
          <w:spacing w:val="-3"/>
        </w:rPr>
        <w:t>例。胃肠道</w:t>
      </w:r>
      <w:r>
        <w:rPr>
          <w:sz w:val="21"/>
          <w:szCs w:val="21"/>
        </w:rPr>
        <w:t xml:space="preserve"> </w:t>
      </w:r>
      <w:r>
        <w:rPr>
          <w:sz w:val="21"/>
          <w:szCs w:val="21"/>
          <w:spacing w:val="-5"/>
        </w:rPr>
        <w:t>出血表现：吐血、黑便、便血或大便潜血阳性， 且经内镜检查发现出血。本研究</w:t>
      </w:r>
      <w:r>
        <w:rPr>
          <w:sz w:val="21"/>
          <w:szCs w:val="21"/>
          <w:spacing w:val="-6"/>
        </w:rPr>
        <w:t>均经医院伦</w:t>
      </w:r>
    </w:p>
    <w:p>
      <w:pPr>
        <w:pStyle w:val="BodyText"/>
        <w:ind w:left="25"/>
        <w:spacing w:before="28" w:line="228" w:lineRule="auto"/>
        <w:rPr>
          <w:sz w:val="21"/>
          <w:szCs w:val="21"/>
        </w:rPr>
      </w:pPr>
      <w:r>
        <w:rPr>
          <w:sz w:val="21"/>
          <w:szCs w:val="21"/>
          <w:spacing w:val="-1"/>
        </w:rPr>
        <w:t>理会批准同意（批号：</w:t>
      </w:r>
      <w:r>
        <w:rPr>
          <w:rFonts w:ascii="Times New Roman" w:hAnsi="Times New Roman" w:eastAsia="Times New Roman" w:cs="Times New Roman"/>
          <w:sz w:val="24"/>
          <w:szCs w:val="24"/>
          <w:spacing w:val="-1"/>
        </w:rPr>
        <w:t>20240816-040-3243</w:t>
      </w:r>
      <w:r>
        <w:rPr>
          <w:sz w:val="21"/>
          <w:szCs w:val="21"/>
          <w:spacing w:val="-1"/>
        </w:rPr>
        <w:t>）。</w:t>
      </w:r>
    </w:p>
    <w:p>
      <w:pPr>
        <w:pStyle w:val="BodyText"/>
        <w:ind w:left="28"/>
        <w:spacing w:before="42" w:line="233" w:lineRule="auto"/>
        <w:outlineLvl w:val="1"/>
        <w:rPr>
          <w:sz w:val="21"/>
          <w:szCs w:val="21"/>
        </w:rPr>
      </w:pPr>
      <w:r>
        <w:rPr>
          <w:rFonts w:ascii="Times New Roman" w:hAnsi="Times New Roman" w:eastAsia="Times New Roman" w:cs="Times New Roman"/>
          <w:sz w:val="21"/>
          <w:szCs w:val="21"/>
          <w:b/>
          <w:bCs/>
          <w:spacing w:val="-3"/>
        </w:rPr>
        <w:t>1.2 </w:t>
      </w:r>
      <w:r>
        <w:rPr>
          <w:sz w:val="21"/>
          <w:szCs w:val="21"/>
          <w:b/>
          <w:bCs/>
          <w:spacing w:val="-3"/>
        </w:rPr>
        <w:t>观察指标</w:t>
      </w:r>
    </w:p>
    <w:p>
      <w:pPr>
        <w:pStyle w:val="BodyText"/>
        <w:ind w:left="43" w:right="108" w:hanging="4"/>
        <w:spacing w:before="49" w:line="247" w:lineRule="auto"/>
        <w:rPr>
          <w:sz w:val="21"/>
          <w:szCs w:val="21"/>
        </w:rPr>
      </w:pPr>
      <w:r>
        <w:rPr>
          <w:rFonts w:ascii="Times New Roman" w:hAnsi="Times New Roman" w:eastAsia="Times New Roman" w:cs="Times New Roman"/>
          <w:sz w:val="21"/>
          <w:szCs w:val="21"/>
          <w:spacing w:val="-2"/>
        </w:rPr>
        <w:t>1.2.1</w:t>
      </w:r>
      <w:r>
        <w:rPr>
          <w:rFonts w:ascii="Times New Roman" w:hAnsi="Times New Roman" w:eastAsia="Times New Roman" w:cs="Times New Roman"/>
          <w:sz w:val="21"/>
          <w:szCs w:val="21"/>
          <w:spacing w:val="41"/>
        </w:rPr>
        <w:t xml:space="preserve"> </w:t>
      </w:r>
      <w:r>
        <w:rPr>
          <w:sz w:val="21"/>
          <w:szCs w:val="21"/>
          <w:spacing w:val="-2"/>
        </w:rPr>
        <w:t>临床资料  收集</w:t>
      </w:r>
      <w:r>
        <w:rPr>
          <w:sz w:val="21"/>
          <w:szCs w:val="21"/>
          <w:spacing w:val="-28"/>
        </w:rPr>
        <w:t xml:space="preserve"> </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31"/>
          <w:w w:val="101"/>
        </w:rPr>
        <w:t xml:space="preserve"> </w:t>
      </w:r>
      <w:r>
        <w:rPr>
          <w:sz w:val="21"/>
          <w:szCs w:val="21"/>
          <w:spacing w:val="-2"/>
        </w:rPr>
        <w:t>组患儿性别、年龄、既往史、皮疹分布情况、呕吐、水肿</w:t>
      </w:r>
      <w:r>
        <w:rPr>
          <w:sz w:val="21"/>
          <w:szCs w:val="21"/>
          <w:spacing w:val="-3"/>
        </w:rPr>
        <w:t>、腹痛、</w:t>
      </w:r>
      <w:r>
        <w:rPr>
          <w:sz w:val="21"/>
          <w:szCs w:val="21"/>
        </w:rPr>
        <w:t xml:space="preserve"> </w:t>
      </w:r>
      <w:r>
        <w:rPr>
          <w:sz w:val="21"/>
          <w:szCs w:val="21"/>
          <w:spacing w:val="-3"/>
        </w:rPr>
        <w:t>肉眼血尿、紫癜伴关节肿痛腹痛等临床资料。</w:t>
      </w:r>
    </w:p>
    <w:p>
      <w:pPr>
        <w:pStyle w:val="BodyText"/>
        <w:ind w:left="22" w:right="77" w:firstLine="16"/>
        <w:spacing w:before="62" w:line="263" w:lineRule="auto"/>
        <w:rPr>
          <w:sz w:val="21"/>
          <w:szCs w:val="21"/>
        </w:rPr>
      </w:pPr>
      <w:r>
        <w:rPr>
          <w:rFonts w:ascii="Times New Roman" w:hAnsi="Times New Roman" w:eastAsia="Times New Roman" w:cs="Times New Roman"/>
          <w:sz w:val="21"/>
          <w:szCs w:val="21"/>
          <w:spacing w:val="-2"/>
        </w:rPr>
        <w:t>1.2.2</w:t>
      </w:r>
      <w:r>
        <w:rPr>
          <w:rFonts w:ascii="Times New Roman" w:hAnsi="Times New Roman" w:eastAsia="Times New Roman" w:cs="Times New Roman"/>
          <w:sz w:val="21"/>
          <w:szCs w:val="21"/>
          <w:spacing w:val="14"/>
          <w:w w:val="101"/>
        </w:rPr>
        <w:t xml:space="preserve"> </w:t>
      </w:r>
      <w:r>
        <w:rPr>
          <w:sz w:val="21"/>
          <w:szCs w:val="21"/>
          <w:spacing w:val="-2"/>
        </w:rPr>
        <w:t>实验室指标  采集</w:t>
      </w:r>
      <w:r>
        <w:rPr>
          <w:sz w:val="21"/>
          <w:szCs w:val="21"/>
          <w:spacing w:val="-49"/>
        </w:rPr>
        <w:t xml:space="preserve"> </w:t>
      </w:r>
      <w:r>
        <w:rPr>
          <w:rFonts w:ascii="Times New Roman" w:hAnsi="Times New Roman" w:eastAsia="Times New Roman" w:cs="Times New Roman"/>
          <w:sz w:val="21"/>
          <w:szCs w:val="21"/>
          <w:spacing w:val="-2"/>
        </w:rPr>
        <w:t>2 </w:t>
      </w:r>
      <w:r>
        <w:rPr>
          <w:sz w:val="21"/>
          <w:szCs w:val="21"/>
          <w:spacing w:val="-2"/>
        </w:rPr>
        <w:t>组患儿空腹静脉血，</w:t>
      </w:r>
      <w:r>
        <w:rPr>
          <w:rFonts w:ascii="Times New Roman" w:hAnsi="Times New Roman" w:eastAsia="Times New Roman" w:cs="Times New Roman"/>
          <w:sz w:val="21"/>
          <w:szCs w:val="21"/>
          <w:spacing w:val="-2"/>
        </w:rPr>
        <w:t>3000 r/min</w:t>
      </w:r>
      <w:r>
        <w:rPr>
          <w:rFonts w:ascii="Times New Roman" w:hAnsi="Times New Roman" w:eastAsia="Times New Roman" w:cs="Times New Roman"/>
          <w:sz w:val="21"/>
          <w:szCs w:val="21"/>
          <w:spacing w:val="12"/>
        </w:rPr>
        <w:t xml:space="preserve"> </w:t>
      </w:r>
      <w:r>
        <w:rPr>
          <w:sz w:val="21"/>
          <w:szCs w:val="21"/>
          <w:spacing w:val="-2"/>
        </w:rPr>
        <w:t>离心</w:t>
      </w:r>
      <w:r>
        <w:rPr>
          <w:sz w:val="21"/>
          <w:szCs w:val="21"/>
          <w:spacing w:val="-42"/>
        </w:rPr>
        <w:t xml:space="preserve"> </w:t>
      </w:r>
      <w:r>
        <w:rPr>
          <w:rFonts w:ascii="Times New Roman" w:hAnsi="Times New Roman" w:eastAsia="Times New Roman" w:cs="Times New Roman"/>
          <w:sz w:val="21"/>
          <w:szCs w:val="21"/>
          <w:spacing w:val="-3"/>
        </w:rPr>
        <w:t>5 min</w:t>
      </w:r>
      <w:r>
        <w:rPr>
          <w:sz w:val="21"/>
          <w:szCs w:val="21"/>
          <w:spacing w:val="-3"/>
        </w:rPr>
        <w:t>，分离上清液，</w:t>
      </w:r>
      <w:r>
        <w:rPr>
          <w:rFonts w:ascii="Times New Roman" w:hAnsi="Times New Roman" w:eastAsia="Times New Roman" w:cs="Times New Roman"/>
          <w:sz w:val="21"/>
          <w:szCs w:val="21"/>
          <w:spacing w:val="-3"/>
        </w:rPr>
        <w:t>-70℃</w:t>
      </w:r>
      <w:r>
        <w:rPr>
          <w:sz w:val="21"/>
          <w:szCs w:val="21"/>
          <w:spacing w:val="-3"/>
        </w:rPr>
        <w:t>冰</w:t>
      </w:r>
      <w:r>
        <w:rPr>
          <w:sz w:val="21"/>
          <w:szCs w:val="21"/>
        </w:rPr>
        <w:t xml:space="preserve"> </w:t>
      </w:r>
      <w:r>
        <w:rPr>
          <w:sz w:val="21"/>
          <w:szCs w:val="21"/>
          <w:spacing w:val="-3"/>
        </w:rPr>
        <w:t>箱中冷冻保存。采用全自动生化分析仪检测患儿白细胞（</w:t>
      </w:r>
      <w:r>
        <w:rPr>
          <w:rFonts w:ascii="Times New Roman" w:hAnsi="Times New Roman" w:eastAsia="Times New Roman" w:cs="Times New Roman"/>
          <w:sz w:val="21"/>
          <w:szCs w:val="21"/>
          <w:spacing w:val="-3"/>
        </w:rPr>
        <w:t>WBC</w:t>
      </w:r>
      <w:r>
        <w:rPr>
          <w:sz w:val="21"/>
          <w:szCs w:val="21"/>
          <w:spacing w:val="-3"/>
        </w:rPr>
        <w:t>）、血小</w:t>
      </w:r>
      <w:r>
        <w:rPr>
          <w:sz w:val="21"/>
          <w:szCs w:val="21"/>
          <w:spacing w:val="-4"/>
        </w:rPr>
        <w:t>板计数（</w:t>
      </w:r>
      <w:r>
        <w:rPr>
          <w:rFonts w:ascii="Times New Roman" w:hAnsi="Times New Roman" w:eastAsia="Times New Roman" w:cs="Times New Roman"/>
          <w:sz w:val="21"/>
          <w:szCs w:val="21"/>
          <w:spacing w:val="-4"/>
        </w:rPr>
        <w:t>PLT</w:t>
      </w:r>
      <w:r>
        <w:rPr>
          <w:sz w:val="21"/>
          <w:szCs w:val="21"/>
          <w:spacing w:val="-4"/>
        </w:rPr>
        <w:t>）、中</w:t>
      </w:r>
      <w:r>
        <w:rPr>
          <w:sz w:val="21"/>
          <w:szCs w:val="21"/>
        </w:rPr>
        <w:t xml:space="preserve"> </w:t>
      </w:r>
      <w:r>
        <w:rPr>
          <w:sz w:val="21"/>
          <w:szCs w:val="21"/>
          <w:spacing w:val="2"/>
        </w:rPr>
        <w:t>性粒细胞</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NEU</w:t>
      </w:r>
      <w:r>
        <w:rPr>
          <w:rFonts w:ascii="Times New Roman" w:hAnsi="Times New Roman" w:eastAsia="Times New Roman" w:cs="Times New Roman"/>
          <w:sz w:val="21"/>
          <w:szCs w:val="21"/>
          <w:spacing w:val="2"/>
        </w:rPr>
        <w:t>)</w:t>
      </w:r>
      <w:r>
        <w:rPr>
          <w:sz w:val="21"/>
          <w:szCs w:val="21"/>
          <w:spacing w:val="2"/>
        </w:rPr>
        <w:t>、淋巴细胞（</w:t>
      </w:r>
      <w:r>
        <w:rPr>
          <w:rFonts w:ascii="Times New Roman" w:hAnsi="Times New Roman" w:eastAsia="Times New Roman" w:cs="Times New Roman"/>
          <w:sz w:val="21"/>
          <w:szCs w:val="21"/>
        </w:rPr>
        <w:t>LYM</w:t>
      </w:r>
      <w:r>
        <w:rPr>
          <w:sz w:val="21"/>
          <w:szCs w:val="21"/>
          <w:spacing w:val="2"/>
        </w:rPr>
        <w:t>）、血红蛋白（</w:t>
      </w:r>
      <w:r>
        <w:rPr>
          <w:rFonts w:ascii="Times New Roman" w:hAnsi="Times New Roman" w:eastAsia="Times New Roman" w:cs="Times New Roman"/>
          <w:sz w:val="21"/>
          <w:szCs w:val="21"/>
        </w:rPr>
        <w:t>Hb</w:t>
      </w:r>
      <w:r>
        <w:rPr>
          <w:sz w:val="21"/>
          <w:szCs w:val="21"/>
          <w:spacing w:val="2"/>
        </w:rPr>
        <w:t>）、中性粒细胞</w:t>
      </w:r>
      <w:r>
        <w:rPr>
          <w:rFonts w:ascii="Times New Roman" w:hAnsi="Times New Roman" w:eastAsia="Times New Roman" w:cs="Times New Roman"/>
          <w:sz w:val="21"/>
          <w:szCs w:val="21"/>
          <w:spacing w:val="2"/>
        </w:rPr>
        <w:t>-</w:t>
      </w:r>
      <w:r>
        <w:rPr>
          <w:sz w:val="21"/>
          <w:szCs w:val="21"/>
          <w:spacing w:val="2"/>
        </w:rPr>
        <w:t>淋巴细胞比值</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NLR</w:t>
      </w:r>
      <w:r>
        <w:rPr>
          <w:rFonts w:ascii="Times New Roman" w:hAnsi="Times New Roman" w:eastAsia="Times New Roman" w:cs="Times New Roman"/>
          <w:sz w:val="21"/>
          <w:szCs w:val="21"/>
          <w:spacing w:val="2"/>
        </w:rPr>
        <w:t>) </w:t>
      </w:r>
      <w:r>
        <w:rPr>
          <w:sz w:val="21"/>
          <w:szCs w:val="21"/>
          <w:spacing w:val="-1"/>
        </w:rPr>
        <w:t>水平，采用比浊法检测患儿</w:t>
      </w:r>
      <w:r>
        <w:rPr>
          <w:sz w:val="21"/>
          <w:szCs w:val="21"/>
          <w:spacing w:val="-22"/>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32"/>
        </w:rPr>
        <w:t xml:space="preserve"> </w:t>
      </w:r>
      <w:r>
        <w:rPr>
          <w:sz w:val="21"/>
          <w:szCs w:val="21"/>
          <w:spacing w:val="-1"/>
        </w:rPr>
        <w:t>反应蛋白（</w:t>
      </w:r>
      <w:r>
        <w:rPr>
          <w:rFonts w:ascii="Times New Roman" w:hAnsi="Times New Roman" w:eastAsia="Times New Roman" w:cs="Times New Roman"/>
          <w:sz w:val="21"/>
          <w:szCs w:val="21"/>
          <w:spacing w:val="-1"/>
        </w:rPr>
        <w:t>CRP</w:t>
      </w:r>
      <w:r>
        <w:rPr>
          <w:sz w:val="21"/>
          <w:szCs w:val="21"/>
          <w:spacing w:val="-1"/>
        </w:rPr>
        <w:t>）水平，比较</w:t>
      </w:r>
      <w:r>
        <w:rPr>
          <w:sz w:val="21"/>
          <w:szCs w:val="21"/>
          <w:spacing w:val="-25"/>
        </w:rPr>
        <w:t xml:space="preserve"> </w:t>
      </w: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34"/>
        </w:rPr>
        <w:t xml:space="preserve"> </w:t>
      </w:r>
      <w:r>
        <w:rPr>
          <w:sz w:val="21"/>
          <w:szCs w:val="21"/>
          <w:spacing w:val="-1"/>
        </w:rPr>
        <w:t>组患儿实验室指标。</w:t>
      </w:r>
      <w:r>
        <w:rPr>
          <w:rFonts w:ascii="Times New Roman" w:hAnsi="Times New Roman" w:eastAsia="Times New Roman" w:cs="Times New Roman"/>
          <w:sz w:val="21"/>
          <w:szCs w:val="21"/>
          <w:spacing w:val="-1"/>
        </w:rPr>
        <w:t>D-</w:t>
      </w:r>
      <w:r>
        <w:rPr>
          <w:sz w:val="21"/>
          <w:szCs w:val="21"/>
          <w:spacing w:val="-1"/>
        </w:rPr>
        <w:t>二聚</w:t>
      </w:r>
      <w:r>
        <w:rPr>
          <w:sz w:val="21"/>
          <w:szCs w:val="21"/>
        </w:rPr>
        <w:t xml:space="preserve"> </w:t>
      </w:r>
      <w:r>
        <w:rPr>
          <w:sz w:val="21"/>
          <w:szCs w:val="21"/>
          <w:spacing w:val="-2"/>
        </w:rPr>
        <w:t>体（</w:t>
      </w:r>
      <w:r>
        <w:rPr>
          <w:rFonts w:ascii="Times New Roman" w:hAnsi="Times New Roman" w:eastAsia="Times New Roman" w:cs="Times New Roman"/>
          <w:sz w:val="21"/>
          <w:szCs w:val="21"/>
          <w:spacing w:val="-2"/>
        </w:rPr>
        <w:t>D-D</w:t>
      </w:r>
      <w:r>
        <w:rPr>
          <w:sz w:val="21"/>
          <w:szCs w:val="21"/>
          <w:spacing w:val="-2"/>
        </w:rPr>
        <w:t>）水平在</w:t>
      </w:r>
      <w:r>
        <w:rPr>
          <w:sz w:val="21"/>
          <w:szCs w:val="21"/>
          <w:spacing w:val="-32"/>
        </w:rPr>
        <w:t xml:space="preserve"> </w:t>
      </w:r>
      <w:r>
        <w:rPr>
          <w:rFonts w:ascii="Times New Roman" w:hAnsi="Times New Roman" w:eastAsia="Times New Roman" w:cs="Times New Roman"/>
          <w:sz w:val="21"/>
          <w:szCs w:val="21"/>
          <w:spacing w:val="-2"/>
        </w:rPr>
        <w:t>0~0.256mg/L </w:t>
      </w:r>
      <w:r>
        <w:rPr>
          <w:sz w:val="21"/>
          <w:szCs w:val="21"/>
          <w:spacing w:val="-2"/>
        </w:rPr>
        <w:t>为正常。</w:t>
      </w:r>
    </w:p>
    <w:p>
      <w:pPr>
        <w:pStyle w:val="BodyText"/>
        <w:ind w:left="28"/>
        <w:spacing w:before="72" w:line="235" w:lineRule="auto"/>
        <w:outlineLvl w:val="1"/>
        <w:rPr>
          <w:sz w:val="21"/>
          <w:szCs w:val="21"/>
        </w:rPr>
      </w:pPr>
      <w:r>
        <w:rPr>
          <w:rFonts w:ascii="Times New Roman" w:hAnsi="Times New Roman" w:eastAsia="Times New Roman" w:cs="Times New Roman"/>
          <w:sz w:val="21"/>
          <w:szCs w:val="21"/>
          <w:b/>
          <w:bCs/>
          <w:spacing w:val="-5"/>
        </w:rPr>
        <w:t>1.3</w:t>
      </w:r>
      <w:r>
        <w:rPr>
          <w:rFonts w:ascii="Times New Roman" w:hAnsi="Times New Roman" w:eastAsia="Times New Roman" w:cs="Times New Roman"/>
          <w:sz w:val="21"/>
          <w:szCs w:val="21"/>
          <w:b/>
          <w:bCs/>
          <w:spacing w:val="17"/>
        </w:rPr>
        <w:t xml:space="preserve"> </w:t>
      </w:r>
      <w:r>
        <w:rPr>
          <w:sz w:val="21"/>
          <w:szCs w:val="21"/>
          <w:b/>
          <w:bCs/>
          <w:spacing w:val="-5"/>
        </w:rPr>
        <w:t>统计学处理</w:t>
      </w:r>
    </w:p>
    <w:p>
      <w:pPr>
        <w:spacing w:line="235" w:lineRule="auto"/>
        <w:sectPr>
          <w:headerReference w:type="default" r:id="rId7"/>
          <w:pgSz w:w="11907" w:h="16839"/>
          <w:pgMar w:top="400" w:right="1722" w:bottom="0" w:left="1785" w:header="0" w:footer="0" w:gutter="0"/>
        </w:sectPr>
        <w:rPr>
          <w:sz w:val="21"/>
          <w:szCs w:val="21"/>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55" w:right="325" w:firstLine="411"/>
        <w:spacing w:before="68" w:line="275" w:lineRule="auto"/>
        <w:jc w:val="both"/>
        <w:rPr>
          <w:sz w:val="21"/>
          <w:szCs w:val="21"/>
        </w:rPr>
      </w:pPr>
      <w:r>
        <w:rPr>
          <w:sz w:val="21"/>
          <w:szCs w:val="21"/>
          <w:spacing w:val="-1"/>
        </w:rPr>
        <w:t>采用 </w:t>
      </w:r>
      <w:r>
        <w:rPr>
          <w:rFonts w:ascii="Times New Roman" w:hAnsi="Times New Roman" w:eastAsia="Times New Roman" w:cs="Times New Roman"/>
          <w:sz w:val="21"/>
          <w:szCs w:val="21"/>
          <w:spacing w:val="-1"/>
        </w:rPr>
        <w:t>SPSS20.0</w:t>
      </w:r>
      <w:r>
        <w:rPr>
          <w:rFonts w:ascii="Times New Roman" w:hAnsi="Times New Roman" w:eastAsia="Times New Roman" w:cs="Times New Roman"/>
          <w:sz w:val="21"/>
          <w:szCs w:val="21"/>
          <w:spacing w:val="33"/>
          <w:w w:val="101"/>
        </w:rPr>
        <w:t xml:space="preserve"> </w:t>
      </w:r>
      <w:r>
        <w:rPr>
          <w:sz w:val="21"/>
          <w:szCs w:val="21"/>
          <w:spacing w:val="-1"/>
        </w:rPr>
        <w:t>软件对本研究数据进行分析。以</w:t>
      </w:r>
      <w:r>
        <w:rPr>
          <w:sz w:val="21"/>
          <w:szCs w:val="21"/>
          <w:spacing w:val="99"/>
        </w:rPr>
        <w:t xml:space="preserve"> </w:t>
      </w:r>
      <w:r>
        <w:rPr>
          <w:rFonts w:ascii="Times New Roman" w:hAnsi="Times New Roman" w:eastAsia="Times New Roman" w:cs="Times New Roman"/>
          <w:sz w:val="21"/>
          <w:szCs w:val="21"/>
          <w:i/>
          <w:iCs/>
          <w:spacing w:val="-1"/>
        </w:rPr>
        <w:t>x</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i/>
          <w:iCs/>
          <w:spacing w:val="-1"/>
        </w:rPr>
        <w:t>s  </w:t>
      </w:r>
      <w:r>
        <w:rPr>
          <w:sz w:val="21"/>
          <w:szCs w:val="21"/>
          <w:spacing w:val="-1"/>
        </w:rPr>
        <w:t>表</w:t>
      </w:r>
      <w:r>
        <w:rPr>
          <w:sz w:val="21"/>
          <w:szCs w:val="21"/>
          <w:spacing w:val="-2"/>
        </w:rPr>
        <w:t>示计量资料，采用</w:t>
      </w:r>
      <w:r>
        <w:rPr>
          <w:sz w:val="21"/>
          <w:szCs w:val="21"/>
          <w:spacing w:val="-22"/>
        </w:rPr>
        <w:t xml:space="preserve"> </w:t>
      </w:r>
      <w:r>
        <w:rPr>
          <w:rFonts w:ascii="Times New Roman" w:hAnsi="Times New Roman" w:eastAsia="Times New Roman" w:cs="Times New Roman"/>
          <w:sz w:val="21"/>
          <w:szCs w:val="21"/>
          <w:i/>
          <w:iCs/>
          <w:spacing w:val="-2"/>
        </w:rPr>
        <w:t>t</w:t>
      </w:r>
      <w:r>
        <w:rPr>
          <w:rFonts w:ascii="Times New Roman" w:hAnsi="Times New Roman" w:eastAsia="Times New Roman" w:cs="Times New Roman"/>
          <w:sz w:val="21"/>
          <w:szCs w:val="21"/>
          <w:i/>
          <w:iCs/>
          <w:spacing w:val="27"/>
        </w:rPr>
        <w:t xml:space="preserve"> </w:t>
      </w:r>
      <w:r>
        <w:rPr>
          <w:sz w:val="21"/>
          <w:szCs w:val="21"/>
          <w:spacing w:val="-2"/>
        </w:rPr>
        <w:t>检验；以</w:t>
      </w:r>
      <w:r>
        <w:rPr>
          <w:sz w:val="21"/>
          <w:szCs w:val="21"/>
        </w:rPr>
        <w:t xml:space="preserve"> </w:t>
      </w:r>
      <w:r>
        <w:rPr>
          <w:sz w:val="21"/>
          <w:szCs w:val="21"/>
          <w:spacing w:val="-3"/>
        </w:rPr>
        <w:t>百分率表示计数资料，采用</w:t>
      </w:r>
      <w:r>
        <w:rPr>
          <w:sz w:val="21"/>
          <w:szCs w:val="21"/>
          <w:spacing w:val="-72"/>
        </w:rPr>
        <w:t xml:space="preserve"> </w:t>
      </w:r>
      <w:r>
        <w:rPr>
          <w:rFonts w:ascii="Times New Roman" w:hAnsi="Times New Roman" w:eastAsia="Times New Roman" w:cs="Times New Roman"/>
          <w:sz w:val="21"/>
          <w:szCs w:val="21"/>
          <w:i/>
          <w:iCs/>
          <w:spacing w:val="-3"/>
        </w:rPr>
        <w:t>χ</w:t>
      </w:r>
      <w:r>
        <w:rPr>
          <w:rFonts w:ascii="Times New Roman" w:hAnsi="Times New Roman" w:eastAsia="Times New Roman" w:cs="Times New Roman"/>
          <w:sz w:val="14"/>
          <w:szCs w:val="14"/>
          <w:i/>
          <w:iCs/>
          <w:spacing w:val="-3"/>
          <w:position w:val="7"/>
        </w:rPr>
        <w:t>2</w:t>
      </w:r>
      <w:r>
        <w:rPr>
          <w:rFonts w:ascii="Times New Roman" w:hAnsi="Times New Roman" w:eastAsia="Times New Roman" w:cs="Times New Roman"/>
          <w:sz w:val="14"/>
          <w:szCs w:val="14"/>
          <w:i/>
          <w:iCs/>
          <w:spacing w:val="9"/>
          <w:position w:val="7"/>
        </w:rPr>
        <w:t xml:space="preserve"> </w:t>
      </w:r>
      <w:r>
        <w:rPr>
          <w:sz w:val="21"/>
          <w:szCs w:val="21"/>
          <w:spacing w:val="-3"/>
        </w:rPr>
        <w:t>检验。采用多因素</w:t>
      </w:r>
      <w:r>
        <w:rPr>
          <w:sz w:val="21"/>
          <w:szCs w:val="21"/>
          <w:spacing w:val="-46"/>
        </w:rPr>
        <w:t xml:space="preserve"> </w:t>
      </w:r>
      <w:r>
        <w:rPr>
          <w:rFonts w:ascii="Times New Roman" w:hAnsi="Times New Roman" w:eastAsia="Times New Roman" w:cs="Times New Roman"/>
          <w:sz w:val="21"/>
          <w:szCs w:val="21"/>
          <w:spacing w:val="-3"/>
        </w:rPr>
        <w:t>logistic</w:t>
      </w:r>
      <w:r>
        <w:rPr>
          <w:rFonts w:ascii="Times New Roman" w:hAnsi="Times New Roman" w:eastAsia="Times New Roman" w:cs="Times New Roman"/>
          <w:sz w:val="21"/>
          <w:szCs w:val="21"/>
          <w:spacing w:val="29"/>
          <w:w w:val="101"/>
        </w:rPr>
        <w:t xml:space="preserve"> </w:t>
      </w:r>
      <w:r>
        <w:rPr>
          <w:sz w:val="21"/>
          <w:szCs w:val="21"/>
          <w:spacing w:val="-3"/>
        </w:rPr>
        <w:t>回归</w:t>
      </w:r>
      <w:r>
        <w:rPr>
          <w:sz w:val="21"/>
          <w:szCs w:val="21"/>
          <w:spacing w:val="-4"/>
        </w:rPr>
        <w:t>分析腹型</w:t>
      </w:r>
      <w:r>
        <w:rPr>
          <w:sz w:val="21"/>
          <w:szCs w:val="21"/>
          <w:spacing w:val="-49"/>
        </w:rPr>
        <w:t xml:space="preserve"> </w:t>
      </w:r>
      <w:r>
        <w:rPr>
          <w:rFonts w:ascii="Times New Roman" w:hAnsi="Times New Roman" w:eastAsia="Times New Roman" w:cs="Times New Roman"/>
          <w:sz w:val="21"/>
          <w:szCs w:val="21"/>
          <w:spacing w:val="-4"/>
        </w:rPr>
        <w:t>HSP</w:t>
      </w:r>
      <w:r>
        <w:rPr>
          <w:rFonts w:ascii="Times New Roman" w:hAnsi="Times New Roman" w:eastAsia="Times New Roman" w:cs="Times New Roman"/>
          <w:sz w:val="21"/>
          <w:szCs w:val="21"/>
          <w:spacing w:val="18"/>
          <w:w w:val="101"/>
        </w:rPr>
        <w:t xml:space="preserve"> </w:t>
      </w:r>
      <w:r>
        <w:rPr>
          <w:sz w:val="21"/>
          <w:szCs w:val="21"/>
          <w:spacing w:val="-4"/>
        </w:rPr>
        <w:t>患儿发生胃肠道</w:t>
      </w:r>
      <w:r>
        <w:rPr>
          <w:sz w:val="21"/>
          <w:szCs w:val="21"/>
        </w:rPr>
        <w:t xml:space="preserve"> </w:t>
      </w:r>
      <w:r>
        <w:rPr>
          <w:sz w:val="21"/>
          <w:szCs w:val="21"/>
          <w:spacing w:val="-2"/>
        </w:rPr>
        <w:t>出血的影响因素。以</w:t>
      </w:r>
      <w:r>
        <w:rPr>
          <w:sz w:val="21"/>
          <w:szCs w:val="21"/>
          <w:spacing w:val="-44"/>
        </w:rPr>
        <w:t xml:space="preserve"> </w:t>
      </w:r>
      <w:r>
        <w:rPr>
          <w:rFonts w:ascii="Times New Roman" w:hAnsi="Times New Roman" w:eastAsia="Times New Roman" w:cs="Times New Roman"/>
          <w:sz w:val="21"/>
          <w:szCs w:val="21"/>
          <w:i/>
          <w:iCs/>
          <w:spacing w:val="-2"/>
        </w:rPr>
        <w:t>P</w:t>
      </w:r>
      <w:r>
        <w:rPr>
          <w:sz w:val="21"/>
          <w:szCs w:val="21"/>
          <w:spacing w:val="-2"/>
        </w:rPr>
        <w:t>＜</w:t>
      </w:r>
      <w:r>
        <w:rPr>
          <w:rFonts w:ascii="Times New Roman" w:hAnsi="Times New Roman" w:eastAsia="Times New Roman" w:cs="Times New Roman"/>
          <w:sz w:val="21"/>
          <w:szCs w:val="21"/>
          <w:spacing w:val="-2"/>
        </w:rPr>
        <w:t>0.05 </w:t>
      </w:r>
      <w:r>
        <w:rPr>
          <w:sz w:val="21"/>
          <w:szCs w:val="21"/>
          <w:spacing w:val="-2"/>
        </w:rPr>
        <w:t>为差异有统计学意义。</w:t>
      </w:r>
    </w:p>
    <w:p>
      <w:pPr>
        <w:pStyle w:val="BodyText"/>
        <w:ind w:left="345"/>
        <w:spacing w:line="234" w:lineRule="auto"/>
        <w:outlineLvl w:val="0"/>
        <w:rPr>
          <w:sz w:val="21"/>
          <w:szCs w:val="21"/>
        </w:rPr>
      </w:pPr>
      <w:r>
        <w:rPr>
          <w:rFonts w:ascii="Times New Roman" w:hAnsi="Times New Roman" w:eastAsia="Times New Roman" w:cs="Times New Roman"/>
          <w:sz w:val="21"/>
          <w:szCs w:val="21"/>
          <w:b/>
          <w:bCs/>
          <w:spacing w:val="-8"/>
        </w:rPr>
        <w:t>2</w:t>
      </w:r>
      <w:r>
        <w:rPr>
          <w:rFonts w:ascii="Times New Roman" w:hAnsi="Times New Roman" w:eastAsia="Times New Roman" w:cs="Times New Roman"/>
          <w:sz w:val="21"/>
          <w:szCs w:val="21"/>
          <w:b/>
          <w:bCs/>
          <w:spacing w:val="14"/>
        </w:rPr>
        <w:t xml:space="preserve"> </w:t>
      </w:r>
      <w:r>
        <w:rPr>
          <w:sz w:val="21"/>
          <w:szCs w:val="21"/>
          <w:b/>
          <w:bCs/>
          <w:spacing w:val="-8"/>
        </w:rPr>
        <w:t>结</w:t>
      </w:r>
      <w:r>
        <w:rPr>
          <w:sz w:val="21"/>
          <w:szCs w:val="21"/>
          <w:spacing w:val="7"/>
        </w:rPr>
        <w:t xml:space="preserve">  </w:t>
      </w:r>
      <w:r>
        <w:rPr>
          <w:sz w:val="21"/>
          <w:szCs w:val="21"/>
          <w:b/>
          <w:bCs/>
          <w:spacing w:val="-8"/>
        </w:rPr>
        <w:t>果</w:t>
      </w:r>
    </w:p>
    <w:p>
      <w:pPr>
        <w:pStyle w:val="BodyText"/>
        <w:ind w:left="345"/>
        <w:spacing w:before="47" w:line="233" w:lineRule="auto"/>
        <w:outlineLvl w:val="1"/>
        <w:rPr>
          <w:sz w:val="21"/>
          <w:szCs w:val="21"/>
        </w:rPr>
      </w:pPr>
      <w:r>
        <w:rPr>
          <w:rFonts w:ascii="Times New Roman" w:hAnsi="Times New Roman" w:eastAsia="Times New Roman" w:cs="Times New Roman"/>
          <w:sz w:val="21"/>
          <w:szCs w:val="21"/>
          <w:b/>
          <w:bCs/>
          <w:spacing w:val="-2"/>
        </w:rPr>
        <w:t>2.1 2 </w:t>
      </w:r>
      <w:r>
        <w:rPr>
          <w:sz w:val="21"/>
          <w:szCs w:val="21"/>
          <w:b/>
          <w:bCs/>
          <w:spacing w:val="-2"/>
        </w:rPr>
        <w:t>组患儿临床资料比较</w:t>
      </w:r>
    </w:p>
    <w:p>
      <w:pPr>
        <w:pStyle w:val="BodyText"/>
        <w:ind w:left="353" w:right="335" w:firstLine="415"/>
        <w:spacing w:before="48" w:line="275" w:lineRule="auto"/>
        <w:rPr>
          <w:sz w:val="21"/>
          <w:szCs w:val="21"/>
        </w:rPr>
      </w:pPr>
      <w:r>
        <w:rPr>
          <w:sz w:val="21"/>
          <w:szCs w:val="21"/>
          <w:spacing w:val="3"/>
        </w:rPr>
        <w:t>合并组患儿与未合并组比较在皮疹分布情况及呕吐</w:t>
      </w:r>
      <w:r>
        <w:rPr>
          <w:sz w:val="21"/>
          <w:szCs w:val="21"/>
          <w:spacing w:val="2"/>
        </w:rPr>
        <w:t>患儿占比方面比较差异具有统计学</w:t>
      </w:r>
      <w:r>
        <w:rPr>
          <w:sz w:val="21"/>
          <w:szCs w:val="21"/>
        </w:rPr>
        <w:t xml:space="preserve"> </w:t>
      </w:r>
      <w:r>
        <w:rPr>
          <w:sz w:val="21"/>
          <w:szCs w:val="21"/>
          <w:spacing w:val="-5"/>
        </w:rPr>
        <w:t>意义（</w:t>
      </w:r>
      <w:r>
        <w:rPr>
          <w:rFonts w:ascii="Times New Roman" w:hAnsi="Times New Roman" w:eastAsia="Times New Roman" w:cs="Times New Roman"/>
          <w:sz w:val="21"/>
          <w:szCs w:val="21"/>
          <w:i/>
          <w:iCs/>
          <w:spacing w:val="-5"/>
        </w:rPr>
        <w:t>P</w:t>
      </w:r>
      <w:r>
        <w:rPr>
          <w:sz w:val="21"/>
          <w:szCs w:val="21"/>
          <w:spacing w:val="-5"/>
        </w:rPr>
        <w:t>＜</w:t>
      </w:r>
      <w:r>
        <w:rPr>
          <w:rFonts w:ascii="Times New Roman" w:hAnsi="Times New Roman" w:eastAsia="Times New Roman" w:cs="Times New Roman"/>
          <w:sz w:val="21"/>
          <w:szCs w:val="21"/>
          <w:spacing w:val="-5"/>
        </w:rPr>
        <w:t>0.05</w:t>
      </w:r>
      <w:r>
        <w:rPr>
          <w:sz w:val="21"/>
          <w:szCs w:val="21"/>
          <w:spacing w:val="-5"/>
        </w:rPr>
        <w:t>）。见表 </w:t>
      </w:r>
      <w:r>
        <w:rPr>
          <w:rFonts w:ascii="Times New Roman" w:hAnsi="Times New Roman" w:eastAsia="Times New Roman" w:cs="Times New Roman"/>
          <w:sz w:val="21"/>
          <w:szCs w:val="21"/>
          <w:spacing w:val="-5"/>
        </w:rPr>
        <w:t>1</w:t>
      </w:r>
      <w:r>
        <w:rPr>
          <w:sz w:val="21"/>
          <w:szCs w:val="21"/>
          <w:spacing w:val="-5"/>
        </w:rPr>
        <w:t>。</w:t>
      </w:r>
    </w:p>
    <w:p>
      <w:pPr>
        <w:pStyle w:val="BodyText"/>
        <w:ind w:left="3266"/>
        <w:spacing w:line="233" w:lineRule="auto"/>
        <w:outlineLvl w:val="0"/>
        <w:rPr>
          <w:sz w:val="21"/>
          <w:szCs w:val="21"/>
        </w:rPr>
      </w:pPr>
      <w:r>
        <w:rPr>
          <w:sz w:val="21"/>
          <w:szCs w:val="21"/>
          <w:spacing w:val="-3"/>
        </w:rPr>
        <w:t>表</w:t>
      </w:r>
      <w:r>
        <w:rPr>
          <w:sz w:val="21"/>
          <w:szCs w:val="21"/>
          <w:spacing w:val="-19"/>
        </w:rPr>
        <w:t xml:space="preserve"> </w:t>
      </w:r>
      <w:r>
        <w:rPr>
          <w:rFonts w:ascii="Times New Roman" w:hAnsi="Times New Roman" w:eastAsia="Times New Roman" w:cs="Times New Roman"/>
          <w:sz w:val="21"/>
          <w:szCs w:val="21"/>
          <w:spacing w:val="-3"/>
        </w:rPr>
        <w:t>1 2 </w:t>
      </w:r>
      <w:r>
        <w:rPr>
          <w:sz w:val="21"/>
          <w:szCs w:val="21"/>
          <w:spacing w:val="-3"/>
        </w:rPr>
        <w:t>组患儿临床资料比较</w:t>
      </w:r>
    </w:p>
    <w:p>
      <w:pPr>
        <w:spacing w:line="18" w:lineRule="exact"/>
        <w:rPr/>
      </w:pPr>
      <w:r/>
    </w:p>
    <w:tbl>
      <w:tblPr>
        <w:tblStyle w:val="TableNormal"/>
        <w:tblW w:w="897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24"/>
        <w:gridCol w:w="854"/>
        <w:gridCol w:w="2047"/>
        <w:gridCol w:w="2381"/>
        <w:gridCol w:w="1165"/>
        <w:gridCol w:w="1101"/>
      </w:tblGrid>
      <w:tr>
        <w:trPr>
          <w:trHeight w:val="322" w:hRule="atLeast"/>
        </w:trPr>
        <w:tc>
          <w:tcPr>
            <w:tcW w:w="2278" w:type="dxa"/>
            <w:vAlign w:val="top"/>
            <w:gridSpan w:val="2"/>
            <w:tcBorders>
              <w:bottom w:val="single" w:color="000000" w:sz="2" w:space="0"/>
              <w:top w:val="single" w:color="000000" w:sz="2" w:space="0"/>
            </w:tcBorders>
          </w:tcPr>
          <w:p>
            <w:pPr>
              <w:ind w:left="884"/>
              <w:spacing w:before="34" w:line="220" w:lineRule="auto"/>
              <w:rPr>
                <w:rFonts w:ascii="SimSun" w:hAnsi="SimSun" w:eastAsia="SimSun" w:cs="SimSun"/>
                <w:sz w:val="21"/>
                <w:szCs w:val="21"/>
              </w:rPr>
            </w:pPr>
            <w:r>
              <w:rPr>
                <w:rFonts w:ascii="SimSun" w:hAnsi="SimSun" w:eastAsia="SimSun" w:cs="SimSun"/>
                <w:sz w:val="21"/>
                <w:szCs w:val="21"/>
                <w:spacing w:val="-6"/>
              </w:rPr>
              <w:t>项目</w:t>
            </w:r>
          </w:p>
        </w:tc>
        <w:tc>
          <w:tcPr>
            <w:tcW w:w="2047" w:type="dxa"/>
            <w:vAlign w:val="top"/>
            <w:tcBorders>
              <w:bottom w:val="single" w:color="000000" w:sz="2" w:space="0"/>
              <w:top w:val="single" w:color="000000" w:sz="2" w:space="0"/>
            </w:tcBorders>
          </w:tcPr>
          <w:p>
            <w:pPr>
              <w:pStyle w:val="TableText"/>
              <w:ind w:left="246"/>
              <w:spacing w:before="34" w:line="233" w:lineRule="auto"/>
              <w:rPr>
                <w:rFonts w:ascii="SimSun" w:hAnsi="SimSun" w:eastAsia="SimSun" w:cs="SimSun"/>
              </w:rPr>
            </w:pPr>
            <w:r>
              <w:rPr>
                <w:rFonts w:ascii="SimSun" w:hAnsi="SimSun" w:eastAsia="SimSun" w:cs="SimSun"/>
                <w:spacing w:val="-1"/>
              </w:rPr>
              <w:t>合并组（</w:t>
            </w:r>
            <w:r>
              <w:rPr>
                <w:spacing w:val="-1"/>
              </w:rPr>
              <w:t>n=52</w:t>
            </w:r>
            <w:r>
              <w:rPr>
                <w:rFonts w:ascii="SimSun" w:hAnsi="SimSun" w:eastAsia="SimSun" w:cs="SimSun"/>
                <w:spacing w:val="-1"/>
              </w:rPr>
              <w:t>）</w:t>
            </w:r>
          </w:p>
        </w:tc>
        <w:tc>
          <w:tcPr>
            <w:tcW w:w="2381" w:type="dxa"/>
            <w:vAlign w:val="top"/>
            <w:tcBorders>
              <w:bottom w:val="single" w:color="000000" w:sz="2" w:space="0"/>
              <w:top w:val="single" w:color="000000" w:sz="2" w:space="0"/>
            </w:tcBorders>
          </w:tcPr>
          <w:p>
            <w:pPr>
              <w:pStyle w:val="TableText"/>
              <w:ind w:left="442"/>
              <w:spacing w:before="34" w:line="233" w:lineRule="auto"/>
              <w:rPr>
                <w:rFonts w:ascii="SimSun" w:hAnsi="SimSun" w:eastAsia="SimSun" w:cs="SimSun"/>
              </w:rPr>
            </w:pPr>
            <w:r>
              <w:rPr>
                <w:rFonts w:ascii="SimSun" w:hAnsi="SimSun" w:eastAsia="SimSun" w:cs="SimSun"/>
                <w:spacing w:val="-2"/>
              </w:rPr>
              <w:t>未合并组（</w:t>
            </w:r>
            <w:r>
              <w:rPr>
                <w:spacing w:val="-2"/>
              </w:rPr>
              <w:t>n=66</w:t>
            </w:r>
            <w:r>
              <w:rPr>
                <w:rFonts w:ascii="SimSun" w:hAnsi="SimSun" w:eastAsia="SimSun" w:cs="SimSun"/>
                <w:spacing w:val="-2"/>
              </w:rPr>
              <w:t>）</w:t>
            </w:r>
          </w:p>
        </w:tc>
        <w:tc>
          <w:tcPr>
            <w:tcW w:w="1165" w:type="dxa"/>
            <w:vAlign w:val="top"/>
            <w:tcBorders>
              <w:bottom w:val="single" w:color="000000" w:sz="2" w:space="0"/>
              <w:top w:val="single" w:color="000000" w:sz="2" w:space="0"/>
            </w:tcBorders>
          </w:tcPr>
          <w:p>
            <w:pPr>
              <w:pStyle w:val="TableText"/>
              <w:ind w:left="494"/>
              <w:spacing w:before="39" w:line="217" w:lineRule="auto"/>
              <w:rPr/>
            </w:pPr>
            <w:r>
              <w:rPr>
                <w:i/>
                <w:iCs/>
                <w:spacing w:val="6"/>
                <w:position w:val="-1"/>
              </w:rPr>
              <w:t>χ</w:t>
            </w:r>
            <w:r>
              <w:rPr>
                <w:sz w:val="14"/>
                <w:szCs w:val="14"/>
                <w:i/>
                <w:iCs/>
                <w:spacing w:val="6"/>
                <w:position w:val="6"/>
              </w:rPr>
              <w:t>2</w:t>
            </w:r>
            <w:r>
              <w:rPr>
                <w:i/>
                <w:iCs/>
                <w:spacing w:val="6"/>
                <w:position w:val="-1"/>
              </w:rPr>
              <w:t>/t</w:t>
            </w:r>
          </w:p>
        </w:tc>
        <w:tc>
          <w:tcPr>
            <w:tcW w:w="1101" w:type="dxa"/>
            <w:vAlign w:val="top"/>
            <w:tcBorders>
              <w:bottom w:val="single" w:color="000000" w:sz="2" w:space="0"/>
              <w:top w:val="single" w:color="000000" w:sz="2" w:space="0"/>
            </w:tcBorders>
          </w:tcPr>
          <w:p>
            <w:pPr>
              <w:pStyle w:val="TableText"/>
              <w:ind w:left="483"/>
              <w:spacing w:before="78" w:line="183" w:lineRule="auto"/>
              <w:rPr/>
            </w:pPr>
            <w:r>
              <w:rPr>
                <w:i/>
                <w:iCs/>
                <w:spacing w:val="6"/>
              </w:rPr>
              <w:t>P</w:t>
            </w:r>
          </w:p>
        </w:tc>
      </w:tr>
      <w:tr>
        <w:trPr>
          <w:trHeight w:val="613" w:hRule="atLeast"/>
        </w:trPr>
        <w:tc>
          <w:tcPr>
            <w:tcW w:w="1424" w:type="dxa"/>
            <w:vAlign w:val="top"/>
            <w:tcBorders>
              <w:top w:val="single" w:color="000000" w:sz="2" w:space="0"/>
            </w:tcBorders>
          </w:tcPr>
          <w:p>
            <w:pPr>
              <w:pStyle w:val="TableText"/>
              <w:ind w:left="211"/>
              <w:spacing w:before="191" w:line="213" w:lineRule="auto"/>
              <w:rPr/>
            </w:pPr>
            <w:r>
              <w:rPr>
                <w:rFonts w:ascii="SimSun" w:hAnsi="SimSun" w:eastAsia="SimSun" w:cs="SimSun"/>
                <w:spacing w:val="-2"/>
              </w:rPr>
              <w:t>性别</w:t>
            </w:r>
            <w:r>
              <w:rPr>
                <w:spacing w:val="-2"/>
              </w:rPr>
              <w:t>[n(%)]</w:t>
            </w:r>
          </w:p>
        </w:tc>
        <w:tc>
          <w:tcPr>
            <w:tcW w:w="854" w:type="dxa"/>
            <w:vAlign w:val="top"/>
            <w:textDirection w:val="tbRlV"/>
            <w:tcBorders>
              <w:top w:val="single" w:color="000000" w:sz="2" w:space="0"/>
            </w:tcBorders>
          </w:tcPr>
          <w:p>
            <w:pPr>
              <w:spacing w:line="333" w:lineRule="auto"/>
              <w:rPr>
                <w:rFonts w:ascii="Arial"/>
                <w:sz w:val="21"/>
              </w:rPr>
            </w:pPr>
            <w:r/>
          </w:p>
          <w:p>
            <w:pPr>
              <w:ind w:left="31"/>
              <w:spacing w:before="70" w:line="203" w:lineRule="auto"/>
              <w:rPr>
                <w:rFonts w:ascii="SimSun" w:hAnsi="SimSun" w:eastAsia="SimSun" w:cs="SimSun"/>
                <w:sz w:val="21"/>
                <w:szCs w:val="21"/>
              </w:rPr>
            </w:pPr>
            <w:r>
              <w:rPr>
                <w:rFonts w:ascii="SimSun" w:hAnsi="SimSun" w:eastAsia="SimSun" w:cs="SimSun"/>
                <w:sz w:val="21"/>
                <w:szCs w:val="21"/>
              </w:rPr>
              <w:t>男</w:t>
            </w:r>
            <w:r>
              <w:rPr>
                <w:rFonts w:ascii="SimSun" w:hAnsi="SimSun" w:eastAsia="SimSun" w:cs="SimSun"/>
                <w:sz w:val="21"/>
                <w:szCs w:val="21"/>
                <w:spacing w:val="7"/>
              </w:rPr>
              <w:t xml:space="preserve"> </w:t>
            </w:r>
            <w:r>
              <w:rPr>
                <w:rFonts w:ascii="SimSun" w:hAnsi="SimSun" w:eastAsia="SimSun" w:cs="SimSun"/>
                <w:sz w:val="21"/>
                <w:szCs w:val="21"/>
              </w:rPr>
              <w:t>女</w:t>
            </w:r>
          </w:p>
        </w:tc>
        <w:tc>
          <w:tcPr>
            <w:tcW w:w="2047" w:type="dxa"/>
            <w:vAlign w:val="top"/>
            <w:tcBorders>
              <w:top w:val="single" w:color="000000" w:sz="2" w:space="0"/>
            </w:tcBorders>
          </w:tcPr>
          <w:p>
            <w:pPr>
              <w:pStyle w:val="TableText"/>
              <w:ind w:left="435"/>
              <w:spacing w:before="31" w:line="279" w:lineRule="exact"/>
              <w:rPr>
                <w:rFonts w:ascii="SimSun" w:hAnsi="SimSun" w:eastAsia="SimSun" w:cs="SimSun"/>
              </w:rPr>
            </w:pPr>
            <w:r>
              <w:rPr>
                <w:spacing w:val="-1"/>
                <w:position w:val="1"/>
              </w:rPr>
              <w:t>35</w:t>
            </w:r>
            <w:r>
              <w:rPr>
                <w:rFonts w:ascii="SimSun" w:hAnsi="SimSun" w:eastAsia="SimSun" w:cs="SimSun"/>
                <w:spacing w:val="-1"/>
                <w:position w:val="1"/>
              </w:rPr>
              <w:t>（</w:t>
            </w:r>
            <w:r>
              <w:rPr>
                <w:spacing w:val="-1"/>
                <w:position w:val="1"/>
              </w:rPr>
              <w:t>67.31</w:t>
            </w:r>
            <w:r>
              <w:rPr>
                <w:rFonts w:ascii="SimSun" w:hAnsi="SimSun" w:eastAsia="SimSun" w:cs="SimSun"/>
                <w:spacing w:val="-1"/>
                <w:position w:val="1"/>
              </w:rPr>
              <w:t>）</w:t>
            </w:r>
          </w:p>
          <w:p>
            <w:pPr>
              <w:pStyle w:val="TableText"/>
              <w:ind w:left="451"/>
              <w:spacing w:before="43" w:line="219" w:lineRule="auto"/>
              <w:rPr>
                <w:rFonts w:ascii="SimSun" w:hAnsi="SimSun" w:eastAsia="SimSun" w:cs="SimSun"/>
              </w:rPr>
            </w:pPr>
            <w:r>
              <w:rPr>
                <w:spacing w:val="-3"/>
              </w:rPr>
              <w:t>17</w:t>
            </w:r>
            <w:r>
              <w:rPr>
                <w:rFonts w:ascii="SimSun" w:hAnsi="SimSun" w:eastAsia="SimSun" w:cs="SimSun"/>
                <w:spacing w:val="-3"/>
              </w:rPr>
              <w:t>（</w:t>
            </w:r>
            <w:r>
              <w:rPr>
                <w:spacing w:val="-3"/>
              </w:rPr>
              <w:t>32.69</w:t>
            </w:r>
            <w:r>
              <w:rPr>
                <w:rFonts w:ascii="SimSun" w:hAnsi="SimSun" w:eastAsia="SimSun" w:cs="SimSun"/>
                <w:spacing w:val="-3"/>
              </w:rPr>
              <w:t>）</w:t>
            </w:r>
          </w:p>
        </w:tc>
        <w:tc>
          <w:tcPr>
            <w:tcW w:w="2381" w:type="dxa"/>
            <w:vAlign w:val="top"/>
            <w:tcBorders>
              <w:top w:val="single" w:color="000000" w:sz="2" w:space="0"/>
            </w:tcBorders>
          </w:tcPr>
          <w:p>
            <w:pPr>
              <w:pStyle w:val="TableText"/>
              <w:ind w:left="729"/>
              <w:spacing w:before="31" w:line="279" w:lineRule="exact"/>
              <w:rPr>
                <w:rFonts w:ascii="SimSun" w:hAnsi="SimSun" w:eastAsia="SimSun" w:cs="SimSun"/>
              </w:rPr>
            </w:pPr>
            <w:r>
              <w:rPr>
                <w:spacing w:val="-1"/>
                <w:position w:val="1"/>
              </w:rPr>
              <w:t>42</w:t>
            </w:r>
            <w:r>
              <w:rPr>
                <w:rFonts w:ascii="SimSun" w:hAnsi="SimSun" w:eastAsia="SimSun" w:cs="SimSun"/>
                <w:spacing w:val="-1"/>
                <w:position w:val="1"/>
              </w:rPr>
              <w:t>（</w:t>
            </w:r>
            <w:r>
              <w:rPr>
                <w:spacing w:val="-1"/>
                <w:position w:val="1"/>
              </w:rPr>
              <w:t>63.64</w:t>
            </w:r>
            <w:r>
              <w:rPr>
                <w:rFonts w:ascii="SimSun" w:hAnsi="SimSun" w:eastAsia="SimSun" w:cs="SimSun"/>
                <w:spacing w:val="-1"/>
                <w:position w:val="1"/>
              </w:rPr>
              <w:t>）</w:t>
            </w:r>
          </w:p>
          <w:p>
            <w:pPr>
              <w:pStyle w:val="TableText"/>
              <w:ind w:left="731"/>
              <w:spacing w:before="43" w:line="219" w:lineRule="auto"/>
              <w:rPr>
                <w:rFonts w:ascii="SimSun" w:hAnsi="SimSun" w:eastAsia="SimSun" w:cs="SimSun"/>
              </w:rPr>
            </w:pPr>
            <w:r>
              <w:rPr>
                <w:spacing w:val="-1"/>
              </w:rPr>
              <w:t>24</w:t>
            </w:r>
            <w:r>
              <w:rPr>
                <w:rFonts w:ascii="SimSun" w:hAnsi="SimSun" w:eastAsia="SimSun" w:cs="SimSun"/>
                <w:spacing w:val="-1"/>
              </w:rPr>
              <w:t>（</w:t>
            </w:r>
            <w:r>
              <w:rPr>
                <w:spacing w:val="-1"/>
              </w:rPr>
              <w:t>36.36</w:t>
            </w:r>
            <w:r>
              <w:rPr>
                <w:rFonts w:ascii="SimSun" w:hAnsi="SimSun" w:eastAsia="SimSun" w:cs="SimSun"/>
                <w:spacing w:val="-1"/>
              </w:rPr>
              <w:t>）</w:t>
            </w:r>
          </w:p>
        </w:tc>
        <w:tc>
          <w:tcPr>
            <w:tcW w:w="1165" w:type="dxa"/>
            <w:vAlign w:val="top"/>
            <w:tcBorders>
              <w:top w:val="single" w:color="000000" w:sz="2" w:space="0"/>
            </w:tcBorders>
          </w:tcPr>
          <w:p>
            <w:pPr>
              <w:pStyle w:val="TableText"/>
              <w:ind w:left="425"/>
              <w:spacing w:before="229" w:line="232" w:lineRule="auto"/>
              <w:rPr/>
            </w:pPr>
            <w:r>
              <w:rPr>
                <w:spacing w:val="-2"/>
              </w:rPr>
              <w:t>0.173</w:t>
            </w:r>
          </w:p>
        </w:tc>
        <w:tc>
          <w:tcPr>
            <w:tcW w:w="1101" w:type="dxa"/>
            <w:vAlign w:val="top"/>
            <w:tcBorders>
              <w:top w:val="single" w:color="000000" w:sz="2" w:space="0"/>
            </w:tcBorders>
          </w:tcPr>
          <w:p>
            <w:pPr>
              <w:pStyle w:val="TableText"/>
              <w:ind w:left="324"/>
              <w:spacing w:before="229" w:line="232" w:lineRule="auto"/>
              <w:rPr/>
            </w:pPr>
            <w:r>
              <w:rPr>
                <w:spacing w:val="-2"/>
              </w:rPr>
              <w:t>0.678</w:t>
            </w:r>
          </w:p>
        </w:tc>
      </w:tr>
      <w:tr>
        <w:trPr>
          <w:trHeight w:val="313" w:hRule="atLeast"/>
        </w:trPr>
        <w:tc>
          <w:tcPr>
            <w:tcW w:w="2278" w:type="dxa"/>
            <w:vAlign w:val="top"/>
            <w:gridSpan w:val="2"/>
          </w:tcPr>
          <w:p>
            <w:pPr>
              <w:pStyle w:val="TableText"/>
              <w:ind w:left="131"/>
              <w:spacing w:before="53" w:line="209" w:lineRule="auto"/>
              <w:rPr>
                <w:rFonts w:ascii="SimSun" w:hAnsi="SimSun" w:eastAsia="SimSun" w:cs="SimSun"/>
              </w:rPr>
            </w:pPr>
            <w:r>
              <w:rPr>
                <w:rFonts w:ascii="SimSun" w:hAnsi="SimSun" w:eastAsia="SimSun" w:cs="SimSun"/>
                <w:spacing w:val="-12"/>
              </w:rPr>
              <w:t>年龄</w:t>
            </w:r>
            <w:r>
              <w:rPr>
                <w:rFonts w:ascii="SimSun" w:hAnsi="SimSun" w:eastAsia="SimSun" w:cs="SimSun"/>
                <w:spacing w:val="14"/>
              </w:rPr>
              <w:t xml:space="preserve"> </w:t>
            </w:r>
            <w:r>
              <w:rPr>
                <w:rFonts w:ascii="SimSun" w:hAnsi="SimSun" w:eastAsia="SimSun" w:cs="SimSun"/>
                <w:spacing w:val="-12"/>
              </w:rPr>
              <w:t>(</w:t>
            </w:r>
            <w:r>
              <w:rPr>
                <w:position w:val="-3"/>
              </w:rPr>
              <w:drawing>
                <wp:inline distT="0" distB="0" distL="0" distR="0">
                  <wp:extent cx="78543" cy="121348"/>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78543" cy="121348"/>
                          </a:xfrm>
                          <a:prstGeom prst="rect">
                            <a:avLst/>
                          </a:prstGeom>
                        </pic:spPr>
                      </pic:pic>
                    </a:graphicData>
                  </a:graphic>
                </wp:inline>
              </w:drawing>
            </w:r>
            <w:r>
              <w:rPr>
                <w:spacing w:val="-12"/>
              </w:rPr>
              <w:t>±</w:t>
            </w:r>
            <w:r>
              <w:rPr>
                <w:i/>
                <w:iCs/>
                <w:spacing w:val="-12"/>
              </w:rPr>
              <w:t>s</w:t>
            </w:r>
            <w:r>
              <w:rPr>
                <w:i/>
                <w:iCs/>
                <w:spacing w:val="-21"/>
              </w:rPr>
              <w:t xml:space="preserve"> </w:t>
            </w:r>
            <w:r>
              <w:rPr>
                <w:rFonts w:ascii="SimSun" w:hAnsi="SimSun" w:eastAsia="SimSun" w:cs="SimSun"/>
                <w:sz w:val="22"/>
                <w:szCs w:val="22"/>
                <w:i/>
                <w:iCs/>
                <w:spacing w:val="-12"/>
              </w:rPr>
              <w:t>，</w:t>
            </w:r>
            <w:r>
              <w:rPr>
                <w:rFonts w:ascii="SimSun" w:hAnsi="SimSun" w:eastAsia="SimSun" w:cs="SimSun"/>
                <w:spacing w:val="-12"/>
              </w:rPr>
              <w:t>岁）</w:t>
            </w:r>
          </w:p>
        </w:tc>
        <w:tc>
          <w:tcPr>
            <w:tcW w:w="2047" w:type="dxa"/>
            <w:vAlign w:val="top"/>
          </w:tcPr>
          <w:p>
            <w:pPr>
              <w:pStyle w:val="TableText"/>
              <w:ind w:left="566"/>
              <w:spacing w:before="91" w:line="210" w:lineRule="auto"/>
              <w:rPr/>
            </w:pPr>
            <w:r>
              <w:rPr/>
              <w:t>8.20±1.33</w:t>
            </w:r>
          </w:p>
        </w:tc>
        <w:tc>
          <w:tcPr>
            <w:tcW w:w="2381" w:type="dxa"/>
            <w:vAlign w:val="top"/>
          </w:tcPr>
          <w:p>
            <w:pPr>
              <w:pStyle w:val="TableText"/>
              <w:ind w:left="860"/>
              <w:spacing w:before="91" w:line="210" w:lineRule="auto"/>
              <w:rPr/>
            </w:pPr>
            <w:r>
              <w:rPr/>
              <w:t>7.98±1.52</w:t>
            </w:r>
          </w:p>
        </w:tc>
        <w:tc>
          <w:tcPr>
            <w:tcW w:w="1165" w:type="dxa"/>
            <w:vAlign w:val="top"/>
          </w:tcPr>
          <w:p>
            <w:pPr>
              <w:pStyle w:val="TableText"/>
              <w:ind w:left="425"/>
              <w:spacing w:before="91" w:line="210" w:lineRule="auto"/>
              <w:rPr/>
            </w:pPr>
            <w:r>
              <w:rPr>
                <w:spacing w:val="-2"/>
              </w:rPr>
              <w:t>0.824</w:t>
            </w:r>
          </w:p>
        </w:tc>
        <w:tc>
          <w:tcPr>
            <w:tcW w:w="1101" w:type="dxa"/>
            <w:vAlign w:val="top"/>
          </w:tcPr>
          <w:p>
            <w:pPr>
              <w:pStyle w:val="TableText"/>
              <w:ind w:left="324"/>
              <w:spacing w:before="91" w:line="210" w:lineRule="auto"/>
              <w:rPr/>
            </w:pPr>
            <w:r>
              <w:rPr>
                <w:spacing w:val="-2"/>
              </w:rPr>
              <w:t>0.412</w:t>
            </w:r>
          </w:p>
        </w:tc>
      </w:tr>
      <w:tr>
        <w:trPr>
          <w:trHeight w:val="324" w:hRule="atLeast"/>
        </w:trPr>
        <w:tc>
          <w:tcPr>
            <w:tcW w:w="2278" w:type="dxa"/>
            <w:vAlign w:val="top"/>
            <w:gridSpan w:val="2"/>
          </w:tcPr>
          <w:p>
            <w:pPr>
              <w:pStyle w:val="TableText"/>
              <w:ind w:left="143"/>
              <w:spacing w:before="53" w:line="213" w:lineRule="auto"/>
              <w:rPr/>
            </w:pPr>
            <w:r>
              <w:rPr>
                <w:rFonts w:ascii="SimSun" w:hAnsi="SimSun" w:eastAsia="SimSun" w:cs="SimSun"/>
                <w:spacing w:val="-3"/>
              </w:rPr>
              <w:t>既往史</w:t>
            </w:r>
            <w:r>
              <w:rPr>
                <w:spacing w:val="-3"/>
              </w:rPr>
              <w:t>[n(%)]</w:t>
            </w:r>
          </w:p>
        </w:tc>
        <w:tc>
          <w:tcPr>
            <w:tcW w:w="2047" w:type="dxa"/>
            <w:vAlign w:val="top"/>
          </w:tcPr>
          <w:p>
            <w:pPr>
              <w:pStyle w:val="TableText"/>
              <w:ind w:left="487"/>
              <w:spacing w:before="54" w:line="228" w:lineRule="auto"/>
              <w:rPr>
                <w:rFonts w:ascii="SimSun" w:hAnsi="SimSun" w:eastAsia="SimSun" w:cs="SimSun"/>
              </w:rPr>
            </w:pPr>
            <w:r>
              <w:rPr>
                <w:spacing w:val="-1"/>
              </w:rPr>
              <w:t>7</w:t>
            </w:r>
            <w:r>
              <w:rPr>
                <w:rFonts w:ascii="SimSun" w:hAnsi="SimSun" w:eastAsia="SimSun" w:cs="SimSun"/>
                <w:spacing w:val="-1"/>
              </w:rPr>
              <w:t>（</w:t>
            </w:r>
            <w:r>
              <w:rPr>
                <w:spacing w:val="-1"/>
              </w:rPr>
              <w:t>13.46</w:t>
            </w:r>
            <w:r>
              <w:rPr>
                <w:rFonts w:ascii="SimSun" w:hAnsi="SimSun" w:eastAsia="SimSun" w:cs="SimSun"/>
                <w:spacing w:val="-1"/>
              </w:rPr>
              <w:t>）</w:t>
            </w:r>
          </w:p>
        </w:tc>
        <w:tc>
          <w:tcPr>
            <w:tcW w:w="2381" w:type="dxa"/>
            <w:vAlign w:val="top"/>
          </w:tcPr>
          <w:p>
            <w:pPr>
              <w:pStyle w:val="TableText"/>
              <w:ind w:left="751"/>
              <w:spacing w:before="54" w:line="228" w:lineRule="auto"/>
              <w:rPr>
                <w:rFonts w:ascii="SimSun" w:hAnsi="SimSun" w:eastAsia="SimSun" w:cs="SimSun"/>
              </w:rPr>
            </w:pPr>
            <w:r>
              <w:rPr>
                <w:spacing w:val="-3"/>
              </w:rPr>
              <w:t>12</w:t>
            </w:r>
            <w:r>
              <w:rPr>
                <w:rFonts w:ascii="SimSun" w:hAnsi="SimSun" w:eastAsia="SimSun" w:cs="SimSun"/>
                <w:spacing w:val="-3"/>
              </w:rPr>
              <w:t>（</w:t>
            </w:r>
            <w:r>
              <w:rPr>
                <w:spacing w:val="-3"/>
              </w:rPr>
              <w:t>18.18</w:t>
            </w:r>
            <w:r>
              <w:rPr>
                <w:rFonts w:ascii="SimSun" w:hAnsi="SimSun" w:eastAsia="SimSun" w:cs="SimSun"/>
                <w:spacing w:val="-3"/>
              </w:rPr>
              <w:t>）</w:t>
            </w:r>
          </w:p>
        </w:tc>
        <w:tc>
          <w:tcPr>
            <w:tcW w:w="1165" w:type="dxa"/>
            <w:vAlign w:val="top"/>
          </w:tcPr>
          <w:p>
            <w:pPr>
              <w:pStyle w:val="TableText"/>
              <w:ind w:left="425"/>
              <w:spacing w:before="91" w:line="221" w:lineRule="auto"/>
              <w:rPr/>
            </w:pPr>
            <w:r>
              <w:rPr>
                <w:spacing w:val="-2"/>
              </w:rPr>
              <w:t>0.480</w:t>
            </w:r>
          </w:p>
        </w:tc>
        <w:tc>
          <w:tcPr>
            <w:tcW w:w="1101" w:type="dxa"/>
            <w:vAlign w:val="top"/>
          </w:tcPr>
          <w:p>
            <w:pPr>
              <w:pStyle w:val="TableText"/>
              <w:ind w:left="324"/>
              <w:spacing w:before="91" w:line="221" w:lineRule="auto"/>
              <w:rPr/>
            </w:pPr>
            <w:r>
              <w:rPr>
                <w:spacing w:val="-2"/>
              </w:rPr>
              <w:t>0.489</w:t>
            </w:r>
          </w:p>
        </w:tc>
      </w:tr>
      <w:tr>
        <w:trPr>
          <w:trHeight w:val="313" w:hRule="atLeast"/>
        </w:trPr>
        <w:tc>
          <w:tcPr>
            <w:tcW w:w="2278" w:type="dxa"/>
            <w:vAlign w:val="top"/>
            <w:gridSpan w:val="2"/>
          </w:tcPr>
          <w:p>
            <w:pPr>
              <w:pStyle w:val="TableText"/>
              <w:ind w:left="142"/>
              <w:spacing w:before="43" w:line="213" w:lineRule="auto"/>
              <w:rPr/>
            </w:pPr>
            <w:r>
              <w:rPr>
                <w:rFonts w:ascii="SimSun" w:hAnsi="SimSun" w:eastAsia="SimSun" w:cs="SimSun"/>
                <w:spacing w:val="-2"/>
              </w:rPr>
              <w:t>呼吸道感染</w:t>
            </w:r>
            <w:r>
              <w:rPr>
                <w:spacing w:val="-2"/>
              </w:rPr>
              <w:t>[n(%)]</w:t>
            </w:r>
          </w:p>
        </w:tc>
        <w:tc>
          <w:tcPr>
            <w:tcW w:w="2047" w:type="dxa"/>
            <w:vAlign w:val="top"/>
          </w:tcPr>
          <w:p>
            <w:pPr>
              <w:pStyle w:val="TableText"/>
              <w:ind w:left="487"/>
              <w:spacing w:before="43" w:line="228" w:lineRule="auto"/>
              <w:rPr>
                <w:rFonts w:ascii="SimSun" w:hAnsi="SimSun" w:eastAsia="SimSun" w:cs="SimSun"/>
              </w:rPr>
            </w:pPr>
            <w:r>
              <w:rPr>
                <w:spacing w:val="-1"/>
              </w:rPr>
              <w:t>7</w:t>
            </w:r>
            <w:r>
              <w:rPr>
                <w:rFonts w:ascii="SimSun" w:hAnsi="SimSun" w:eastAsia="SimSun" w:cs="SimSun"/>
                <w:spacing w:val="-1"/>
              </w:rPr>
              <w:t>（</w:t>
            </w:r>
            <w:r>
              <w:rPr>
                <w:spacing w:val="-1"/>
              </w:rPr>
              <w:t>13.46</w:t>
            </w:r>
            <w:r>
              <w:rPr>
                <w:rFonts w:ascii="SimSun" w:hAnsi="SimSun" w:eastAsia="SimSun" w:cs="SimSun"/>
                <w:spacing w:val="-1"/>
              </w:rPr>
              <w:t>）</w:t>
            </w:r>
          </w:p>
        </w:tc>
        <w:tc>
          <w:tcPr>
            <w:tcW w:w="2381" w:type="dxa"/>
            <w:vAlign w:val="top"/>
          </w:tcPr>
          <w:p>
            <w:pPr>
              <w:pStyle w:val="TableText"/>
              <w:ind w:left="751"/>
              <w:spacing w:before="43" w:line="228" w:lineRule="auto"/>
              <w:rPr>
                <w:rFonts w:ascii="SimSun" w:hAnsi="SimSun" w:eastAsia="SimSun" w:cs="SimSun"/>
              </w:rPr>
            </w:pPr>
            <w:r>
              <w:rPr>
                <w:spacing w:val="-3"/>
              </w:rPr>
              <w:t>18</w:t>
            </w:r>
            <w:r>
              <w:rPr>
                <w:rFonts w:ascii="SimSun" w:hAnsi="SimSun" w:eastAsia="SimSun" w:cs="SimSun"/>
                <w:spacing w:val="-3"/>
              </w:rPr>
              <w:t>（</w:t>
            </w:r>
            <w:r>
              <w:rPr>
                <w:spacing w:val="-3"/>
              </w:rPr>
              <w:t>27.27</w:t>
            </w:r>
            <w:r>
              <w:rPr>
                <w:rFonts w:ascii="SimSun" w:hAnsi="SimSun" w:eastAsia="SimSun" w:cs="SimSun"/>
                <w:spacing w:val="-3"/>
              </w:rPr>
              <w:t>）</w:t>
            </w:r>
          </w:p>
        </w:tc>
        <w:tc>
          <w:tcPr>
            <w:tcW w:w="1165" w:type="dxa"/>
            <w:vAlign w:val="top"/>
          </w:tcPr>
          <w:p>
            <w:pPr>
              <w:rPr>
                <w:rFonts w:ascii="Arial"/>
                <w:sz w:val="21"/>
              </w:rPr>
            </w:pPr>
            <w:r/>
          </w:p>
        </w:tc>
        <w:tc>
          <w:tcPr>
            <w:tcW w:w="1101" w:type="dxa"/>
            <w:vAlign w:val="top"/>
          </w:tcPr>
          <w:p>
            <w:pPr>
              <w:rPr>
                <w:rFonts w:ascii="Arial"/>
                <w:sz w:val="21"/>
              </w:rPr>
            </w:pPr>
            <w:r/>
          </w:p>
        </w:tc>
      </w:tr>
      <w:tr>
        <w:trPr>
          <w:trHeight w:val="313" w:hRule="atLeast"/>
        </w:trPr>
        <w:tc>
          <w:tcPr>
            <w:tcW w:w="2278" w:type="dxa"/>
            <w:vAlign w:val="top"/>
            <w:gridSpan w:val="2"/>
          </w:tcPr>
          <w:p>
            <w:pPr>
              <w:pStyle w:val="TableText"/>
              <w:ind w:left="134"/>
              <w:spacing w:before="43" w:line="213" w:lineRule="auto"/>
              <w:rPr/>
            </w:pPr>
            <w:r>
              <w:rPr>
                <w:rFonts w:ascii="SimSun" w:hAnsi="SimSun" w:eastAsia="SimSun" w:cs="SimSun"/>
                <w:spacing w:val="-1"/>
              </w:rPr>
              <w:t>皮疹分布情况</w:t>
            </w:r>
            <w:r>
              <w:rPr>
                <w:spacing w:val="-1"/>
              </w:rPr>
              <w:t>[n(%)]</w:t>
            </w:r>
          </w:p>
        </w:tc>
        <w:tc>
          <w:tcPr>
            <w:tcW w:w="2047" w:type="dxa"/>
            <w:vAlign w:val="top"/>
          </w:tcPr>
          <w:p>
            <w:pPr>
              <w:rPr>
                <w:rFonts w:ascii="Arial"/>
                <w:sz w:val="21"/>
              </w:rPr>
            </w:pPr>
            <w:r/>
          </w:p>
        </w:tc>
        <w:tc>
          <w:tcPr>
            <w:tcW w:w="2381" w:type="dxa"/>
            <w:vAlign w:val="top"/>
          </w:tcPr>
          <w:p>
            <w:pPr>
              <w:rPr>
                <w:rFonts w:ascii="Arial"/>
                <w:sz w:val="21"/>
              </w:rPr>
            </w:pPr>
            <w:r/>
          </w:p>
        </w:tc>
        <w:tc>
          <w:tcPr>
            <w:tcW w:w="1165" w:type="dxa"/>
            <w:vAlign w:val="top"/>
          </w:tcPr>
          <w:p>
            <w:pPr>
              <w:rPr>
                <w:rFonts w:ascii="Arial"/>
                <w:sz w:val="21"/>
              </w:rPr>
            </w:pPr>
            <w:r/>
          </w:p>
        </w:tc>
        <w:tc>
          <w:tcPr>
            <w:tcW w:w="1101" w:type="dxa"/>
            <w:vAlign w:val="top"/>
          </w:tcPr>
          <w:p>
            <w:pPr>
              <w:rPr>
                <w:rFonts w:ascii="Arial"/>
                <w:sz w:val="21"/>
              </w:rPr>
            </w:pPr>
            <w:r/>
          </w:p>
        </w:tc>
      </w:tr>
      <w:tr>
        <w:trPr>
          <w:trHeight w:val="301" w:hRule="atLeast"/>
        </w:trPr>
        <w:tc>
          <w:tcPr>
            <w:tcW w:w="2278" w:type="dxa"/>
            <w:vAlign w:val="top"/>
            <w:gridSpan w:val="2"/>
          </w:tcPr>
          <w:p>
            <w:pPr>
              <w:ind w:left="1633"/>
              <w:spacing w:before="44" w:line="217" w:lineRule="auto"/>
              <w:rPr>
                <w:rFonts w:ascii="SimSun" w:hAnsi="SimSun" w:eastAsia="SimSun" w:cs="SimSun"/>
                <w:sz w:val="21"/>
                <w:szCs w:val="21"/>
              </w:rPr>
            </w:pPr>
            <w:r>
              <w:rPr>
                <w:rFonts w:ascii="SimSun" w:hAnsi="SimSun" w:eastAsia="SimSun" w:cs="SimSun"/>
                <w:sz w:val="21"/>
                <w:szCs w:val="21"/>
                <w:spacing w:val="-3"/>
              </w:rPr>
              <w:t>轻度</w:t>
            </w:r>
          </w:p>
        </w:tc>
        <w:tc>
          <w:tcPr>
            <w:tcW w:w="2047" w:type="dxa"/>
            <w:vAlign w:val="top"/>
          </w:tcPr>
          <w:p>
            <w:pPr>
              <w:pStyle w:val="TableText"/>
              <w:ind w:left="487"/>
              <w:spacing w:before="44" w:line="217" w:lineRule="auto"/>
              <w:rPr>
                <w:rFonts w:ascii="SimSun" w:hAnsi="SimSun" w:eastAsia="SimSun" w:cs="SimSun"/>
              </w:rPr>
            </w:pPr>
            <w:r>
              <w:rPr>
                <w:spacing w:val="-1"/>
              </w:rPr>
              <w:t>7</w:t>
            </w:r>
            <w:r>
              <w:rPr>
                <w:rFonts w:ascii="SimSun" w:hAnsi="SimSun" w:eastAsia="SimSun" w:cs="SimSun"/>
                <w:spacing w:val="-1"/>
              </w:rPr>
              <w:t>（</w:t>
            </w:r>
            <w:r>
              <w:rPr>
                <w:spacing w:val="-1"/>
              </w:rPr>
              <w:t>13.46</w:t>
            </w:r>
            <w:r>
              <w:rPr>
                <w:rFonts w:ascii="SimSun" w:hAnsi="SimSun" w:eastAsia="SimSun" w:cs="SimSun"/>
                <w:spacing w:val="-1"/>
              </w:rPr>
              <w:t>）</w:t>
            </w:r>
          </w:p>
        </w:tc>
        <w:tc>
          <w:tcPr>
            <w:tcW w:w="2381" w:type="dxa"/>
            <w:vAlign w:val="top"/>
          </w:tcPr>
          <w:p>
            <w:pPr>
              <w:pStyle w:val="TableText"/>
              <w:ind w:left="735"/>
              <w:spacing w:before="44" w:line="217" w:lineRule="auto"/>
              <w:rPr>
                <w:rFonts w:ascii="SimSun" w:hAnsi="SimSun" w:eastAsia="SimSun" w:cs="SimSun"/>
              </w:rPr>
            </w:pPr>
            <w:r>
              <w:rPr>
                <w:spacing w:val="-1"/>
              </w:rPr>
              <w:t>33</w:t>
            </w:r>
            <w:r>
              <w:rPr>
                <w:rFonts w:ascii="SimSun" w:hAnsi="SimSun" w:eastAsia="SimSun" w:cs="SimSun"/>
                <w:spacing w:val="-1"/>
              </w:rPr>
              <w:t>（</w:t>
            </w:r>
            <w:r>
              <w:rPr>
                <w:spacing w:val="-1"/>
              </w:rPr>
              <w:t>50.00</w:t>
            </w:r>
            <w:r>
              <w:rPr>
                <w:rFonts w:ascii="SimSun" w:hAnsi="SimSun" w:eastAsia="SimSun" w:cs="SimSun"/>
                <w:spacing w:val="-1"/>
              </w:rPr>
              <w:t>）</w:t>
            </w:r>
          </w:p>
        </w:tc>
        <w:tc>
          <w:tcPr>
            <w:tcW w:w="1165" w:type="dxa"/>
            <w:vAlign w:val="top"/>
          </w:tcPr>
          <w:p>
            <w:pPr>
              <w:pStyle w:val="TableText"/>
              <w:ind w:left="374"/>
              <w:spacing w:before="81" w:line="208" w:lineRule="auto"/>
              <w:rPr/>
            </w:pPr>
            <w:r>
              <w:rPr>
                <w:spacing w:val="-2"/>
              </w:rPr>
              <w:t>33.788</w:t>
            </w:r>
          </w:p>
        </w:tc>
        <w:tc>
          <w:tcPr>
            <w:tcW w:w="1101" w:type="dxa"/>
            <w:vAlign w:val="top"/>
          </w:tcPr>
          <w:p>
            <w:pPr>
              <w:pStyle w:val="TableText"/>
              <w:ind w:left="234"/>
              <w:spacing w:before="44" w:line="217" w:lineRule="auto"/>
              <w:rPr/>
            </w:pPr>
            <w:r>
              <w:rPr>
                <w:rFonts w:ascii="SimSun" w:hAnsi="SimSun" w:eastAsia="SimSun" w:cs="SimSun"/>
                <w:spacing w:val="13"/>
              </w:rPr>
              <w:t>&lt;</w:t>
            </w:r>
            <w:r>
              <w:rPr>
                <w:spacing w:val="13"/>
              </w:rPr>
              <w:t>0.001</w:t>
            </w:r>
          </w:p>
        </w:tc>
      </w:tr>
      <w:tr>
        <w:trPr>
          <w:trHeight w:val="312" w:hRule="atLeast"/>
        </w:trPr>
        <w:tc>
          <w:tcPr>
            <w:tcW w:w="2278" w:type="dxa"/>
            <w:vAlign w:val="top"/>
            <w:gridSpan w:val="2"/>
          </w:tcPr>
          <w:p>
            <w:pPr>
              <w:ind w:left="1651"/>
              <w:spacing w:before="56" w:line="216" w:lineRule="auto"/>
              <w:rPr>
                <w:rFonts w:ascii="SimSun" w:hAnsi="SimSun" w:eastAsia="SimSun" w:cs="SimSun"/>
                <w:sz w:val="21"/>
                <w:szCs w:val="21"/>
              </w:rPr>
            </w:pPr>
            <w:r>
              <w:rPr>
                <w:rFonts w:ascii="SimSun" w:hAnsi="SimSun" w:eastAsia="SimSun" w:cs="SimSun"/>
                <w:sz w:val="21"/>
                <w:szCs w:val="21"/>
                <w:spacing w:val="-7"/>
              </w:rPr>
              <w:t>中度</w:t>
            </w:r>
          </w:p>
        </w:tc>
        <w:tc>
          <w:tcPr>
            <w:tcW w:w="2047" w:type="dxa"/>
            <w:vAlign w:val="top"/>
          </w:tcPr>
          <w:p>
            <w:pPr>
              <w:pStyle w:val="TableText"/>
              <w:ind w:left="451"/>
              <w:spacing w:before="56" w:line="216" w:lineRule="auto"/>
              <w:rPr>
                <w:rFonts w:ascii="SimSun" w:hAnsi="SimSun" w:eastAsia="SimSun" w:cs="SimSun"/>
              </w:rPr>
            </w:pPr>
            <w:r>
              <w:rPr>
                <w:spacing w:val="-3"/>
              </w:rPr>
              <w:t>10</w:t>
            </w:r>
            <w:r>
              <w:rPr>
                <w:rFonts w:ascii="SimSun" w:hAnsi="SimSun" w:eastAsia="SimSun" w:cs="SimSun"/>
                <w:spacing w:val="-3"/>
              </w:rPr>
              <w:t>（</w:t>
            </w:r>
            <w:r>
              <w:rPr>
                <w:spacing w:val="-3"/>
              </w:rPr>
              <w:t>19.23</w:t>
            </w:r>
            <w:r>
              <w:rPr>
                <w:rFonts w:ascii="SimSun" w:hAnsi="SimSun" w:eastAsia="SimSun" w:cs="SimSun"/>
                <w:spacing w:val="-3"/>
              </w:rPr>
              <w:t>）</w:t>
            </w:r>
          </w:p>
        </w:tc>
        <w:tc>
          <w:tcPr>
            <w:tcW w:w="2381" w:type="dxa"/>
            <w:vAlign w:val="top"/>
          </w:tcPr>
          <w:p>
            <w:pPr>
              <w:pStyle w:val="TableText"/>
              <w:ind w:left="731"/>
              <w:spacing w:before="56" w:line="216" w:lineRule="auto"/>
              <w:rPr>
                <w:rFonts w:ascii="SimSun" w:hAnsi="SimSun" w:eastAsia="SimSun" w:cs="SimSun"/>
              </w:rPr>
            </w:pPr>
            <w:r>
              <w:rPr>
                <w:spacing w:val="-1"/>
              </w:rPr>
              <w:t>21</w:t>
            </w:r>
            <w:r>
              <w:rPr>
                <w:rFonts w:ascii="SimSun" w:hAnsi="SimSun" w:eastAsia="SimSun" w:cs="SimSun"/>
                <w:spacing w:val="-1"/>
              </w:rPr>
              <w:t>（</w:t>
            </w:r>
            <w:r>
              <w:rPr>
                <w:spacing w:val="-1"/>
              </w:rPr>
              <w:t>31.82</w:t>
            </w:r>
            <w:r>
              <w:rPr>
                <w:rFonts w:ascii="SimSun" w:hAnsi="SimSun" w:eastAsia="SimSun" w:cs="SimSun"/>
                <w:spacing w:val="-1"/>
              </w:rPr>
              <w:t>）</w:t>
            </w:r>
          </w:p>
        </w:tc>
        <w:tc>
          <w:tcPr>
            <w:tcW w:w="1165" w:type="dxa"/>
            <w:vAlign w:val="top"/>
          </w:tcPr>
          <w:p>
            <w:pPr>
              <w:rPr>
                <w:rFonts w:ascii="Arial"/>
                <w:sz w:val="21"/>
              </w:rPr>
            </w:pPr>
            <w:r/>
          </w:p>
        </w:tc>
        <w:tc>
          <w:tcPr>
            <w:tcW w:w="1101" w:type="dxa"/>
            <w:vAlign w:val="top"/>
          </w:tcPr>
          <w:p>
            <w:pPr>
              <w:rPr>
                <w:rFonts w:ascii="Arial"/>
                <w:sz w:val="21"/>
              </w:rPr>
            </w:pPr>
            <w:r/>
          </w:p>
        </w:tc>
      </w:tr>
      <w:tr>
        <w:trPr>
          <w:trHeight w:val="313" w:hRule="atLeast"/>
        </w:trPr>
        <w:tc>
          <w:tcPr>
            <w:tcW w:w="2278" w:type="dxa"/>
            <w:vAlign w:val="top"/>
            <w:gridSpan w:val="2"/>
          </w:tcPr>
          <w:p>
            <w:pPr>
              <w:ind w:left="1633"/>
              <w:spacing w:before="57" w:line="216" w:lineRule="auto"/>
              <w:rPr>
                <w:rFonts w:ascii="SimSun" w:hAnsi="SimSun" w:eastAsia="SimSun" w:cs="SimSun"/>
                <w:sz w:val="21"/>
                <w:szCs w:val="21"/>
              </w:rPr>
            </w:pPr>
            <w:r>
              <w:rPr>
                <w:rFonts w:ascii="SimSun" w:hAnsi="SimSun" w:eastAsia="SimSun" w:cs="SimSun"/>
                <w:sz w:val="21"/>
                <w:szCs w:val="21"/>
                <w:spacing w:val="-3"/>
              </w:rPr>
              <w:t>重度</w:t>
            </w:r>
          </w:p>
        </w:tc>
        <w:tc>
          <w:tcPr>
            <w:tcW w:w="2047" w:type="dxa"/>
            <w:vAlign w:val="top"/>
          </w:tcPr>
          <w:p>
            <w:pPr>
              <w:pStyle w:val="TableText"/>
              <w:ind w:left="451"/>
              <w:spacing w:before="57" w:line="216" w:lineRule="auto"/>
              <w:rPr>
                <w:rFonts w:ascii="SimSun" w:hAnsi="SimSun" w:eastAsia="SimSun" w:cs="SimSun"/>
              </w:rPr>
            </w:pPr>
            <w:r>
              <w:rPr>
                <w:spacing w:val="-3"/>
              </w:rPr>
              <w:t>12</w:t>
            </w:r>
            <w:r>
              <w:rPr>
                <w:rFonts w:ascii="SimSun" w:hAnsi="SimSun" w:eastAsia="SimSun" w:cs="SimSun"/>
                <w:spacing w:val="-3"/>
              </w:rPr>
              <w:t>（</w:t>
            </w:r>
            <w:r>
              <w:rPr>
                <w:spacing w:val="-3"/>
              </w:rPr>
              <w:t>23.08</w:t>
            </w:r>
            <w:r>
              <w:rPr>
                <w:rFonts w:ascii="SimSun" w:hAnsi="SimSun" w:eastAsia="SimSun" w:cs="SimSun"/>
                <w:spacing w:val="-3"/>
              </w:rPr>
              <w:t>）</w:t>
            </w:r>
          </w:p>
        </w:tc>
        <w:tc>
          <w:tcPr>
            <w:tcW w:w="2381" w:type="dxa"/>
            <w:vAlign w:val="top"/>
          </w:tcPr>
          <w:p>
            <w:pPr>
              <w:pStyle w:val="TableText"/>
              <w:ind w:left="792"/>
              <w:spacing w:before="57" w:line="216" w:lineRule="auto"/>
              <w:rPr>
                <w:rFonts w:ascii="SimSun" w:hAnsi="SimSun" w:eastAsia="SimSun" w:cs="SimSun"/>
              </w:rPr>
            </w:pPr>
            <w:r>
              <w:rPr>
                <w:spacing w:val="-2"/>
              </w:rPr>
              <w:t>8</w:t>
            </w:r>
            <w:r>
              <w:rPr>
                <w:rFonts w:ascii="SimSun" w:hAnsi="SimSun" w:eastAsia="SimSun" w:cs="SimSun"/>
                <w:spacing w:val="-2"/>
              </w:rPr>
              <w:t>（</w:t>
            </w:r>
            <w:r>
              <w:rPr>
                <w:spacing w:val="-2"/>
              </w:rPr>
              <w:t>12.12</w:t>
            </w:r>
            <w:r>
              <w:rPr>
                <w:rFonts w:ascii="SimSun" w:hAnsi="SimSun" w:eastAsia="SimSun" w:cs="SimSun"/>
                <w:spacing w:val="-2"/>
              </w:rPr>
              <w:t>）</w:t>
            </w:r>
          </w:p>
        </w:tc>
        <w:tc>
          <w:tcPr>
            <w:tcW w:w="1165" w:type="dxa"/>
            <w:vAlign w:val="top"/>
          </w:tcPr>
          <w:p>
            <w:pPr>
              <w:rPr>
                <w:rFonts w:ascii="Arial"/>
                <w:sz w:val="21"/>
              </w:rPr>
            </w:pPr>
            <w:r/>
          </w:p>
        </w:tc>
        <w:tc>
          <w:tcPr>
            <w:tcW w:w="1101" w:type="dxa"/>
            <w:vAlign w:val="top"/>
          </w:tcPr>
          <w:p>
            <w:pPr>
              <w:rPr>
                <w:rFonts w:ascii="Arial"/>
                <w:sz w:val="21"/>
              </w:rPr>
            </w:pPr>
            <w:r/>
          </w:p>
        </w:tc>
      </w:tr>
      <w:tr>
        <w:trPr>
          <w:trHeight w:val="315" w:hRule="atLeast"/>
        </w:trPr>
        <w:tc>
          <w:tcPr>
            <w:tcW w:w="2278" w:type="dxa"/>
            <w:vAlign w:val="top"/>
            <w:gridSpan w:val="2"/>
          </w:tcPr>
          <w:p>
            <w:pPr>
              <w:ind w:left="1422"/>
              <w:spacing w:before="58" w:line="217" w:lineRule="auto"/>
              <w:rPr>
                <w:rFonts w:ascii="SimSun" w:hAnsi="SimSun" w:eastAsia="SimSun" w:cs="SimSun"/>
                <w:sz w:val="21"/>
                <w:szCs w:val="21"/>
              </w:rPr>
            </w:pPr>
            <w:r>
              <w:rPr>
                <w:rFonts w:ascii="SimSun" w:hAnsi="SimSun" w:eastAsia="SimSun" w:cs="SimSun"/>
                <w:sz w:val="21"/>
                <w:szCs w:val="21"/>
                <w:spacing w:val="-2"/>
              </w:rPr>
              <w:t>特重度</w:t>
            </w:r>
          </w:p>
        </w:tc>
        <w:tc>
          <w:tcPr>
            <w:tcW w:w="2047" w:type="dxa"/>
            <w:vAlign w:val="top"/>
          </w:tcPr>
          <w:p>
            <w:pPr>
              <w:pStyle w:val="TableText"/>
              <w:ind w:left="431"/>
              <w:spacing w:before="58" w:line="217" w:lineRule="auto"/>
              <w:rPr>
                <w:rFonts w:ascii="SimSun" w:hAnsi="SimSun" w:eastAsia="SimSun" w:cs="SimSun"/>
              </w:rPr>
            </w:pPr>
            <w:r>
              <w:rPr>
                <w:spacing w:val="-1"/>
              </w:rPr>
              <w:t>23</w:t>
            </w:r>
            <w:r>
              <w:rPr>
                <w:rFonts w:ascii="SimSun" w:hAnsi="SimSun" w:eastAsia="SimSun" w:cs="SimSun"/>
                <w:spacing w:val="-1"/>
              </w:rPr>
              <w:t>（</w:t>
            </w:r>
            <w:r>
              <w:rPr>
                <w:spacing w:val="-1"/>
              </w:rPr>
              <w:t>44.23</w:t>
            </w:r>
            <w:r>
              <w:rPr>
                <w:rFonts w:ascii="SimSun" w:hAnsi="SimSun" w:eastAsia="SimSun" w:cs="SimSun"/>
                <w:spacing w:val="-1"/>
              </w:rPr>
              <w:t>）</w:t>
            </w:r>
          </w:p>
        </w:tc>
        <w:tc>
          <w:tcPr>
            <w:tcW w:w="2381" w:type="dxa"/>
            <w:vAlign w:val="top"/>
          </w:tcPr>
          <w:p>
            <w:pPr>
              <w:pStyle w:val="TableText"/>
              <w:ind w:left="835"/>
              <w:spacing w:before="58" w:line="217" w:lineRule="auto"/>
              <w:rPr>
                <w:rFonts w:ascii="SimSun" w:hAnsi="SimSun" w:eastAsia="SimSun" w:cs="SimSun"/>
              </w:rPr>
            </w:pPr>
            <w:r>
              <w:rPr>
                <w:spacing w:val="-1"/>
              </w:rPr>
              <w:t>4</w:t>
            </w:r>
            <w:r>
              <w:rPr>
                <w:rFonts w:ascii="SimSun" w:hAnsi="SimSun" w:eastAsia="SimSun" w:cs="SimSun"/>
                <w:spacing w:val="-1"/>
              </w:rPr>
              <w:t>（</w:t>
            </w:r>
            <w:r>
              <w:rPr>
                <w:spacing w:val="-1"/>
              </w:rPr>
              <w:t>6.06</w:t>
            </w:r>
            <w:r>
              <w:rPr>
                <w:rFonts w:ascii="SimSun" w:hAnsi="SimSun" w:eastAsia="SimSun" w:cs="SimSun"/>
                <w:spacing w:val="-1"/>
              </w:rPr>
              <w:t>）</w:t>
            </w:r>
          </w:p>
        </w:tc>
        <w:tc>
          <w:tcPr>
            <w:tcW w:w="1165" w:type="dxa"/>
            <w:vAlign w:val="top"/>
          </w:tcPr>
          <w:p>
            <w:pPr>
              <w:rPr>
                <w:rFonts w:ascii="Arial"/>
                <w:sz w:val="21"/>
              </w:rPr>
            </w:pPr>
            <w:r/>
          </w:p>
        </w:tc>
        <w:tc>
          <w:tcPr>
            <w:tcW w:w="1101" w:type="dxa"/>
            <w:vAlign w:val="top"/>
          </w:tcPr>
          <w:p>
            <w:pPr>
              <w:rPr>
                <w:rFonts w:ascii="Arial"/>
                <w:sz w:val="21"/>
              </w:rPr>
            </w:pPr>
            <w:r/>
          </w:p>
        </w:tc>
      </w:tr>
      <w:tr>
        <w:trPr>
          <w:trHeight w:val="324" w:hRule="atLeast"/>
        </w:trPr>
        <w:tc>
          <w:tcPr>
            <w:tcW w:w="2278" w:type="dxa"/>
            <w:vAlign w:val="top"/>
            <w:gridSpan w:val="2"/>
          </w:tcPr>
          <w:p>
            <w:pPr>
              <w:pStyle w:val="TableText"/>
              <w:ind w:left="140"/>
              <w:spacing w:before="55" w:line="213" w:lineRule="auto"/>
              <w:rPr/>
            </w:pPr>
            <w:r>
              <w:rPr>
                <w:rFonts w:ascii="SimSun" w:hAnsi="SimSun" w:eastAsia="SimSun" w:cs="SimSun"/>
                <w:spacing w:val="-3"/>
              </w:rPr>
              <w:t>呕吐</w:t>
            </w:r>
            <w:r>
              <w:rPr>
                <w:spacing w:val="-3"/>
              </w:rPr>
              <w:t>[n(%)]</w:t>
            </w:r>
          </w:p>
        </w:tc>
        <w:tc>
          <w:tcPr>
            <w:tcW w:w="2047" w:type="dxa"/>
            <w:vAlign w:val="top"/>
          </w:tcPr>
          <w:p>
            <w:pPr>
              <w:pStyle w:val="TableText"/>
              <w:ind w:left="431"/>
              <w:spacing w:before="55" w:line="227" w:lineRule="auto"/>
              <w:rPr>
                <w:rFonts w:ascii="SimSun" w:hAnsi="SimSun" w:eastAsia="SimSun" w:cs="SimSun"/>
              </w:rPr>
            </w:pPr>
            <w:r>
              <w:rPr>
                <w:spacing w:val="-1"/>
              </w:rPr>
              <w:t>28</w:t>
            </w:r>
            <w:r>
              <w:rPr>
                <w:rFonts w:ascii="SimSun" w:hAnsi="SimSun" w:eastAsia="SimSun" w:cs="SimSun"/>
                <w:spacing w:val="-1"/>
              </w:rPr>
              <w:t>（</w:t>
            </w:r>
            <w:r>
              <w:rPr>
                <w:spacing w:val="-1"/>
              </w:rPr>
              <w:t>53.85</w:t>
            </w:r>
            <w:r>
              <w:rPr>
                <w:rFonts w:ascii="SimSun" w:hAnsi="SimSun" w:eastAsia="SimSun" w:cs="SimSun"/>
                <w:spacing w:val="-1"/>
              </w:rPr>
              <w:t>）</w:t>
            </w:r>
          </w:p>
        </w:tc>
        <w:tc>
          <w:tcPr>
            <w:tcW w:w="2381" w:type="dxa"/>
            <w:vAlign w:val="top"/>
          </w:tcPr>
          <w:p>
            <w:pPr>
              <w:pStyle w:val="TableText"/>
              <w:ind w:left="731"/>
              <w:spacing w:before="55" w:line="227" w:lineRule="auto"/>
              <w:rPr>
                <w:rFonts w:ascii="SimSun" w:hAnsi="SimSun" w:eastAsia="SimSun" w:cs="SimSun"/>
              </w:rPr>
            </w:pPr>
            <w:r>
              <w:rPr>
                <w:spacing w:val="-1"/>
              </w:rPr>
              <w:t>20</w:t>
            </w:r>
            <w:r>
              <w:rPr>
                <w:rFonts w:ascii="SimSun" w:hAnsi="SimSun" w:eastAsia="SimSun" w:cs="SimSun"/>
                <w:spacing w:val="-1"/>
              </w:rPr>
              <w:t>（</w:t>
            </w:r>
            <w:r>
              <w:rPr>
                <w:spacing w:val="-1"/>
              </w:rPr>
              <w:t>30.30</w:t>
            </w:r>
            <w:r>
              <w:rPr>
                <w:rFonts w:ascii="SimSun" w:hAnsi="SimSun" w:eastAsia="SimSun" w:cs="SimSun"/>
                <w:spacing w:val="-1"/>
              </w:rPr>
              <w:t>）</w:t>
            </w:r>
          </w:p>
        </w:tc>
        <w:tc>
          <w:tcPr>
            <w:tcW w:w="1165" w:type="dxa"/>
            <w:vAlign w:val="top"/>
          </w:tcPr>
          <w:p>
            <w:pPr>
              <w:pStyle w:val="TableText"/>
              <w:ind w:left="427"/>
              <w:spacing w:before="92" w:line="220" w:lineRule="auto"/>
              <w:rPr/>
            </w:pPr>
            <w:r>
              <w:rPr>
                <w:spacing w:val="-2"/>
              </w:rPr>
              <w:t>6.681</w:t>
            </w:r>
          </w:p>
        </w:tc>
        <w:tc>
          <w:tcPr>
            <w:tcW w:w="1101" w:type="dxa"/>
            <w:vAlign w:val="top"/>
          </w:tcPr>
          <w:p>
            <w:pPr>
              <w:pStyle w:val="TableText"/>
              <w:ind w:left="324"/>
              <w:spacing w:before="92" w:line="220" w:lineRule="auto"/>
              <w:rPr/>
            </w:pPr>
            <w:r>
              <w:rPr>
                <w:spacing w:val="-2"/>
              </w:rPr>
              <w:t>0.010</w:t>
            </w:r>
          </w:p>
        </w:tc>
      </w:tr>
      <w:tr>
        <w:trPr>
          <w:trHeight w:val="313" w:hRule="atLeast"/>
        </w:trPr>
        <w:tc>
          <w:tcPr>
            <w:tcW w:w="2278" w:type="dxa"/>
            <w:vAlign w:val="top"/>
            <w:gridSpan w:val="2"/>
          </w:tcPr>
          <w:p>
            <w:pPr>
              <w:pStyle w:val="TableText"/>
              <w:ind w:left="133"/>
              <w:spacing w:before="44" w:line="213" w:lineRule="auto"/>
              <w:rPr/>
            </w:pPr>
            <w:r>
              <w:rPr>
                <w:rFonts w:ascii="SimSun" w:hAnsi="SimSun" w:eastAsia="SimSun" w:cs="SimSun"/>
                <w:spacing w:val="-2"/>
              </w:rPr>
              <w:t>水肿</w:t>
            </w:r>
            <w:r>
              <w:rPr>
                <w:spacing w:val="-2"/>
              </w:rPr>
              <w:t>[n(%)]</w:t>
            </w:r>
          </w:p>
        </w:tc>
        <w:tc>
          <w:tcPr>
            <w:tcW w:w="2047" w:type="dxa"/>
            <w:vAlign w:val="top"/>
          </w:tcPr>
          <w:p>
            <w:pPr>
              <w:pStyle w:val="TableText"/>
              <w:ind w:left="541"/>
              <w:spacing w:before="44" w:line="227" w:lineRule="auto"/>
              <w:rPr>
                <w:rFonts w:ascii="SimSun" w:hAnsi="SimSun" w:eastAsia="SimSun" w:cs="SimSun"/>
              </w:rPr>
            </w:pPr>
            <w:r>
              <w:rPr>
                <w:spacing w:val="-2"/>
              </w:rPr>
              <w:t>3</w:t>
            </w:r>
            <w:r>
              <w:rPr>
                <w:rFonts w:ascii="SimSun" w:hAnsi="SimSun" w:eastAsia="SimSun" w:cs="SimSun"/>
                <w:spacing w:val="-2"/>
              </w:rPr>
              <w:t>（</w:t>
            </w:r>
            <w:r>
              <w:rPr>
                <w:spacing w:val="-2"/>
              </w:rPr>
              <w:t>5.77</w:t>
            </w:r>
            <w:r>
              <w:rPr>
                <w:rFonts w:ascii="SimSun" w:hAnsi="SimSun" w:eastAsia="SimSun" w:cs="SimSun"/>
                <w:spacing w:val="-2"/>
              </w:rPr>
              <w:t>）</w:t>
            </w:r>
          </w:p>
        </w:tc>
        <w:tc>
          <w:tcPr>
            <w:tcW w:w="2381" w:type="dxa"/>
            <w:vAlign w:val="top"/>
          </w:tcPr>
          <w:p>
            <w:pPr>
              <w:pStyle w:val="TableText"/>
              <w:ind w:left="841"/>
              <w:spacing w:before="44" w:line="227" w:lineRule="auto"/>
              <w:rPr>
                <w:rFonts w:ascii="SimSun" w:hAnsi="SimSun" w:eastAsia="SimSun" w:cs="SimSun"/>
              </w:rPr>
            </w:pPr>
            <w:r>
              <w:rPr>
                <w:spacing w:val="-2"/>
              </w:rPr>
              <w:t>6</w:t>
            </w:r>
            <w:r>
              <w:rPr>
                <w:rFonts w:ascii="SimSun" w:hAnsi="SimSun" w:eastAsia="SimSun" w:cs="SimSun"/>
                <w:spacing w:val="-2"/>
              </w:rPr>
              <w:t>（</w:t>
            </w:r>
            <w:r>
              <w:rPr>
                <w:spacing w:val="-2"/>
              </w:rPr>
              <w:t>9.09</w:t>
            </w:r>
            <w:r>
              <w:rPr>
                <w:rFonts w:ascii="SimSun" w:hAnsi="SimSun" w:eastAsia="SimSun" w:cs="SimSun"/>
                <w:spacing w:val="-2"/>
              </w:rPr>
              <w:t>）</w:t>
            </w:r>
          </w:p>
        </w:tc>
        <w:tc>
          <w:tcPr>
            <w:tcW w:w="1165" w:type="dxa"/>
            <w:vAlign w:val="top"/>
          </w:tcPr>
          <w:p>
            <w:pPr>
              <w:pStyle w:val="TableText"/>
              <w:ind w:left="425"/>
              <w:spacing w:before="82" w:line="219" w:lineRule="auto"/>
              <w:rPr/>
            </w:pPr>
            <w:r>
              <w:rPr>
                <w:spacing w:val="-2"/>
              </w:rPr>
              <w:t>0.456</w:t>
            </w:r>
          </w:p>
        </w:tc>
        <w:tc>
          <w:tcPr>
            <w:tcW w:w="1101" w:type="dxa"/>
            <w:vAlign w:val="top"/>
          </w:tcPr>
          <w:p>
            <w:pPr>
              <w:pStyle w:val="TableText"/>
              <w:ind w:left="324"/>
              <w:spacing w:before="82" w:line="219" w:lineRule="auto"/>
              <w:rPr/>
            </w:pPr>
            <w:r>
              <w:rPr>
                <w:spacing w:val="-2"/>
              </w:rPr>
              <w:t>0.500</w:t>
            </w:r>
          </w:p>
        </w:tc>
      </w:tr>
      <w:tr>
        <w:trPr>
          <w:trHeight w:val="313" w:hRule="atLeast"/>
        </w:trPr>
        <w:tc>
          <w:tcPr>
            <w:tcW w:w="2278" w:type="dxa"/>
            <w:vAlign w:val="top"/>
            <w:gridSpan w:val="2"/>
          </w:tcPr>
          <w:p>
            <w:pPr>
              <w:pStyle w:val="TableText"/>
              <w:ind w:left="130"/>
              <w:spacing w:before="45" w:line="213" w:lineRule="auto"/>
              <w:rPr/>
            </w:pPr>
            <w:r>
              <w:rPr>
                <w:rFonts w:ascii="SimSun" w:hAnsi="SimSun" w:eastAsia="SimSun" w:cs="SimSun"/>
                <w:spacing w:val="-1"/>
              </w:rPr>
              <w:t>腹痛</w:t>
            </w:r>
            <w:r>
              <w:rPr>
                <w:spacing w:val="-1"/>
              </w:rPr>
              <w:t>[n(%)]</w:t>
            </w:r>
          </w:p>
        </w:tc>
        <w:tc>
          <w:tcPr>
            <w:tcW w:w="2047" w:type="dxa"/>
            <w:vAlign w:val="top"/>
          </w:tcPr>
          <w:p>
            <w:pPr>
              <w:pStyle w:val="TableText"/>
              <w:ind w:left="431"/>
              <w:spacing w:before="45" w:line="226" w:lineRule="auto"/>
              <w:rPr>
                <w:rFonts w:ascii="SimSun" w:hAnsi="SimSun" w:eastAsia="SimSun" w:cs="SimSun"/>
              </w:rPr>
            </w:pPr>
            <w:r>
              <w:rPr>
                <w:spacing w:val="-1"/>
              </w:rPr>
              <w:t>23</w:t>
            </w:r>
            <w:r>
              <w:rPr>
                <w:rFonts w:ascii="SimSun" w:hAnsi="SimSun" w:eastAsia="SimSun" w:cs="SimSun"/>
                <w:spacing w:val="-1"/>
              </w:rPr>
              <w:t>（</w:t>
            </w:r>
            <w:r>
              <w:rPr>
                <w:spacing w:val="-1"/>
              </w:rPr>
              <w:t>44.23</w:t>
            </w:r>
            <w:r>
              <w:rPr>
                <w:rFonts w:ascii="SimSun" w:hAnsi="SimSun" w:eastAsia="SimSun" w:cs="SimSun"/>
                <w:spacing w:val="-1"/>
              </w:rPr>
              <w:t>）</w:t>
            </w:r>
          </w:p>
        </w:tc>
        <w:tc>
          <w:tcPr>
            <w:tcW w:w="2381" w:type="dxa"/>
            <w:vAlign w:val="top"/>
          </w:tcPr>
          <w:p>
            <w:pPr>
              <w:pStyle w:val="TableText"/>
              <w:ind w:left="731"/>
              <w:spacing w:before="45" w:line="226" w:lineRule="auto"/>
              <w:rPr>
                <w:rFonts w:ascii="SimSun" w:hAnsi="SimSun" w:eastAsia="SimSun" w:cs="SimSun"/>
              </w:rPr>
            </w:pPr>
            <w:r>
              <w:rPr>
                <w:spacing w:val="-1"/>
              </w:rPr>
              <w:t>25</w:t>
            </w:r>
            <w:r>
              <w:rPr>
                <w:rFonts w:ascii="SimSun" w:hAnsi="SimSun" w:eastAsia="SimSun" w:cs="SimSun"/>
                <w:spacing w:val="-1"/>
              </w:rPr>
              <w:t>（</w:t>
            </w:r>
            <w:r>
              <w:rPr>
                <w:spacing w:val="-1"/>
              </w:rPr>
              <w:t>37.88</w:t>
            </w:r>
            <w:r>
              <w:rPr>
                <w:rFonts w:ascii="SimSun" w:hAnsi="SimSun" w:eastAsia="SimSun" w:cs="SimSun"/>
                <w:spacing w:val="-1"/>
              </w:rPr>
              <w:t>）</w:t>
            </w:r>
          </w:p>
        </w:tc>
        <w:tc>
          <w:tcPr>
            <w:tcW w:w="1165" w:type="dxa"/>
            <w:vAlign w:val="top"/>
          </w:tcPr>
          <w:p>
            <w:pPr>
              <w:pStyle w:val="TableText"/>
              <w:ind w:left="425"/>
              <w:spacing w:before="82" w:line="219" w:lineRule="auto"/>
              <w:rPr/>
            </w:pPr>
            <w:r>
              <w:rPr>
                <w:spacing w:val="-2"/>
              </w:rPr>
              <w:t>0.486</w:t>
            </w:r>
          </w:p>
        </w:tc>
        <w:tc>
          <w:tcPr>
            <w:tcW w:w="1101" w:type="dxa"/>
            <w:vAlign w:val="top"/>
          </w:tcPr>
          <w:p>
            <w:pPr>
              <w:pStyle w:val="TableText"/>
              <w:ind w:left="324"/>
              <w:spacing w:before="82" w:line="219" w:lineRule="auto"/>
              <w:rPr/>
            </w:pPr>
            <w:r>
              <w:rPr>
                <w:spacing w:val="-2"/>
              </w:rPr>
              <w:t>0.486</w:t>
            </w:r>
          </w:p>
        </w:tc>
      </w:tr>
      <w:tr>
        <w:trPr>
          <w:trHeight w:val="312" w:hRule="atLeast"/>
        </w:trPr>
        <w:tc>
          <w:tcPr>
            <w:tcW w:w="2278" w:type="dxa"/>
            <w:vAlign w:val="top"/>
            <w:gridSpan w:val="2"/>
          </w:tcPr>
          <w:p>
            <w:pPr>
              <w:pStyle w:val="TableText"/>
              <w:ind w:left="151"/>
              <w:spacing w:before="45" w:line="213" w:lineRule="auto"/>
              <w:rPr/>
            </w:pPr>
            <w:r>
              <w:rPr>
                <w:rFonts w:ascii="SimSun" w:hAnsi="SimSun" w:eastAsia="SimSun" w:cs="SimSun"/>
                <w:spacing w:val="-3"/>
              </w:rPr>
              <w:t>肉眼血尿</w:t>
            </w:r>
            <w:r>
              <w:rPr>
                <w:spacing w:val="-3"/>
              </w:rPr>
              <w:t>[n(%)]</w:t>
            </w:r>
          </w:p>
        </w:tc>
        <w:tc>
          <w:tcPr>
            <w:tcW w:w="2047" w:type="dxa"/>
            <w:vAlign w:val="top"/>
          </w:tcPr>
          <w:p>
            <w:pPr>
              <w:pStyle w:val="TableText"/>
              <w:ind w:left="537"/>
              <w:spacing w:before="46" w:line="225" w:lineRule="auto"/>
              <w:rPr>
                <w:rFonts w:ascii="SimSun" w:hAnsi="SimSun" w:eastAsia="SimSun" w:cs="SimSun"/>
              </w:rPr>
            </w:pPr>
            <w:r>
              <w:rPr>
                <w:spacing w:val="-1"/>
              </w:rPr>
              <w:t>2</w:t>
            </w:r>
            <w:r>
              <w:rPr>
                <w:rFonts w:ascii="SimSun" w:hAnsi="SimSun" w:eastAsia="SimSun" w:cs="SimSun"/>
                <w:spacing w:val="-1"/>
              </w:rPr>
              <w:t>（</w:t>
            </w:r>
            <w:r>
              <w:rPr>
                <w:spacing w:val="-1"/>
              </w:rPr>
              <w:t>3.85</w:t>
            </w:r>
            <w:r>
              <w:rPr>
                <w:rFonts w:ascii="SimSun" w:hAnsi="SimSun" w:eastAsia="SimSun" w:cs="SimSun"/>
                <w:spacing w:val="-1"/>
              </w:rPr>
              <w:t>）</w:t>
            </w:r>
          </w:p>
        </w:tc>
        <w:tc>
          <w:tcPr>
            <w:tcW w:w="2381" w:type="dxa"/>
            <w:vAlign w:val="top"/>
          </w:tcPr>
          <w:p>
            <w:pPr>
              <w:pStyle w:val="TableText"/>
              <w:ind w:left="840"/>
              <w:spacing w:before="46" w:line="225" w:lineRule="auto"/>
              <w:rPr>
                <w:rFonts w:ascii="SimSun" w:hAnsi="SimSun" w:eastAsia="SimSun" w:cs="SimSun"/>
              </w:rPr>
            </w:pPr>
            <w:r>
              <w:rPr>
                <w:spacing w:val="-2"/>
              </w:rPr>
              <w:t>3</w:t>
            </w:r>
            <w:r>
              <w:rPr>
                <w:rFonts w:ascii="SimSun" w:hAnsi="SimSun" w:eastAsia="SimSun" w:cs="SimSun"/>
                <w:spacing w:val="-2"/>
              </w:rPr>
              <w:t>（</w:t>
            </w:r>
            <w:r>
              <w:rPr>
                <w:spacing w:val="-2"/>
              </w:rPr>
              <w:t>4.55</w:t>
            </w:r>
            <w:r>
              <w:rPr>
                <w:rFonts w:ascii="SimSun" w:hAnsi="SimSun" w:eastAsia="SimSun" w:cs="SimSun"/>
                <w:spacing w:val="-2"/>
              </w:rPr>
              <w:t>）</w:t>
            </w:r>
          </w:p>
        </w:tc>
        <w:tc>
          <w:tcPr>
            <w:tcW w:w="1165" w:type="dxa"/>
            <w:vAlign w:val="top"/>
          </w:tcPr>
          <w:p>
            <w:pPr>
              <w:pStyle w:val="TableText"/>
              <w:ind w:left="425"/>
              <w:spacing w:before="82" w:line="218" w:lineRule="auto"/>
              <w:rPr/>
            </w:pPr>
            <w:r>
              <w:rPr>
                <w:spacing w:val="-2"/>
              </w:rPr>
              <w:t>0.035</w:t>
            </w:r>
          </w:p>
        </w:tc>
        <w:tc>
          <w:tcPr>
            <w:tcW w:w="1101" w:type="dxa"/>
            <w:vAlign w:val="top"/>
          </w:tcPr>
          <w:p>
            <w:pPr>
              <w:pStyle w:val="TableText"/>
              <w:ind w:left="324"/>
              <w:spacing w:before="82" w:line="218" w:lineRule="auto"/>
              <w:rPr/>
            </w:pPr>
            <w:r>
              <w:rPr>
                <w:spacing w:val="-2"/>
              </w:rPr>
              <w:t>0.851</w:t>
            </w:r>
          </w:p>
        </w:tc>
      </w:tr>
      <w:tr>
        <w:trPr>
          <w:trHeight w:val="613" w:hRule="atLeast"/>
        </w:trPr>
        <w:tc>
          <w:tcPr>
            <w:tcW w:w="2278" w:type="dxa"/>
            <w:vAlign w:val="top"/>
            <w:gridSpan w:val="2"/>
            <w:tcBorders>
              <w:bottom w:val="single" w:color="000000" w:sz="2" w:space="0"/>
            </w:tcBorders>
          </w:tcPr>
          <w:p>
            <w:pPr>
              <w:pStyle w:val="TableText"/>
              <w:ind w:left="139" w:right="265" w:hanging="3"/>
              <w:spacing w:before="47" w:line="259" w:lineRule="auto"/>
              <w:rPr/>
            </w:pPr>
            <w:r>
              <w:rPr>
                <w:rFonts w:ascii="SimSun" w:hAnsi="SimSun" w:eastAsia="SimSun" w:cs="SimSun"/>
                <w:spacing w:val="-2"/>
              </w:rPr>
              <w:t>紫癜伴关节肿痛腹痛</w:t>
            </w:r>
            <w:r>
              <w:rPr>
                <w:rFonts w:ascii="SimSun" w:hAnsi="SimSun" w:eastAsia="SimSun" w:cs="SimSun"/>
                <w:spacing w:val="3"/>
              </w:rPr>
              <w:t xml:space="preserve"> </w:t>
            </w:r>
            <w:r>
              <w:rPr>
                <w:spacing w:val="-3"/>
              </w:rPr>
              <w:t>[n(%)]</w:t>
            </w:r>
          </w:p>
        </w:tc>
        <w:tc>
          <w:tcPr>
            <w:tcW w:w="2047" w:type="dxa"/>
            <w:vAlign w:val="top"/>
            <w:tcBorders>
              <w:bottom w:val="single" w:color="000000" w:sz="2" w:space="0"/>
            </w:tcBorders>
          </w:tcPr>
          <w:p>
            <w:pPr>
              <w:pStyle w:val="TableText"/>
              <w:ind w:left="435"/>
              <w:spacing w:before="186" w:line="279" w:lineRule="exact"/>
              <w:rPr>
                <w:rFonts w:ascii="SimSun" w:hAnsi="SimSun" w:eastAsia="SimSun" w:cs="SimSun"/>
              </w:rPr>
            </w:pPr>
            <w:r>
              <w:rPr>
                <w:spacing w:val="-1"/>
                <w:position w:val="1"/>
              </w:rPr>
              <w:t>31</w:t>
            </w:r>
            <w:r>
              <w:rPr>
                <w:rFonts w:ascii="SimSun" w:hAnsi="SimSun" w:eastAsia="SimSun" w:cs="SimSun"/>
                <w:spacing w:val="-1"/>
                <w:position w:val="1"/>
              </w:rPr>
              <w:t>（</w:t>
            </w:r>
            <w:r>
              <w:rPr>
                <w:spacing w:val="-1"/>
                <w:position w:val="1"/>
              </w:rPr>
              <w:t>59.62</w:t>
            </w:r>
            <w:r>
              <w:rPr>
                <w:rFonts w:ascii="SimSun" w:hAnsi="SimSun" w:eastAsia="SimSun" w:cs="SimSun"/>
                <w:spacing w:val="-1"/>
                <w:position w:val="1"/>
              </w:rPr>
              <w:t>）</w:t>
            </w:r>
          </w:p>
        </w:tc>
        <w:tc>
          <w:tcPr>
            <w:tcW w:w="2381" w:type="dxa"/>
            <w:vAlign w:val="top"/>
            <w:tcBorders>
              <w:bottom w:val="single" w:color="000000" w:sz="2" w:space="0"/>
            </w:tcBorders>
          </w:tcPr>
          <w:p>
            <w:pPr>
              <w:pStyle w:val="TableText"/>
              <w:ind w:left="735"/>
              <w:spacing w:before="186" w:line="279" w:lineRule="exact"/>
              <w:rPr>
                <w:rFonts w:ascii="SimSun" w:hAnsi="SimSun" w:eastAsia="SimSun" w:cs="SimSun"/>
              </w:rPr>
            </w:pPr>
            <w:r>
              <w:rPr>
                <w:spacing w:val="-1"/>
                <w:position w:val="1"/>
              </w:rPr>
              <w:t>39</w:t>
            </w:r>
            <w:r>
              <w:rPr>
                <w:rFonts w:ascii="SimSun" w:hAnsi="SimSun" w:eastAsia="SimSun" w:cs="SimSun"/>
                <w:spacing w:val="-1"/>
                <w:position w:val="1"/>
              </w:rPr>
              <w:t>（</w:t>
            </w:r>
            <w:r>
              <w:rPr>
                <w:spacing w:val="-1"/>
                <w:position w:val="1"/>
              </w:rPr>
              <w:t>59.09</w:t>
            </w:r>
            <w:r>
              <w:rPr>
                <w:rFonts w:ascii="SimSun" w:hAnsi="SimSun" w:eastAsia="SimSun" w:cs="SimSun"/>
                <w:spacing w:val="-1"/>
                <w:position w:val="1"/>
              </w:rPr>
              <w:t>）</w:t>
            </w:r>
          </w:p>
        </w:tc>
        <w:tc>
          <w:tcPr>
            <w:tcW w:w="1165" w:type="dxa"/>
            <w:vAlign w:val="top"/>
            <w:tcBorders>
              <w:bottom w:val="single" w:color="000000" w:sz="2" w:space="0"/>
            </w:tcBorders>
          </w:tcPr>
          <w:p>
            <w:pPr>
              <w:pStyle w:val="TableText"/>
              <w:ind w:left="425"/>
              <w:spacing w:before="222" w:line="232" w:lineRule="auto"/>
              <w:rPr/>
            </w:pPr>
            <w:r>
              <w:rPr>
                <w:spacing w:val="-2"/>
              </w:rPr>
              <w:t>0.003</w:t>
            </w:r>
          </w:p>
        </w:tc>
        <w:tc>
          <w:tcPr>
            <w:tcW w:w="1101" w:type="dxa"/>
            <w:vAlign w:val="top"/>
            <w:tcBorders>
              <w:bottom w:val="single" w:color="000000" w:sz="2" w:space="0"/>
            </w:tcBorders>
          </w:tcPr>
          <w:p>
            <w:pPr>
              <w:pStyle w:val="TableText"/>
              <w:ind w:left="324"/>
              <w:spacing w:before="222" w:line="232" w:lineRule="auto"/>
              <w:rPr/>
            </w:pPr>
            <w:r>
              <w:rPr>
                <w:spacing w:val="-2"/>
              </w:rPr>
              <w:t>0.954</w:t>
            </w:r>
          </w:p>
        </w:tc>
      </w:tr>
    </w:tbl>
    <w:p>
      <w:pPr>
        <w:pStyle w:val="BodyText"/>
        <w:ind w:left="345"/>
        <w:spacing w:before="30" w:line="233" w:lineRule="auto"/>
        <w:outlineLvl w:val="1"/>
        <w:rPr>
          <w:sz w:val="21"/>
          <w:szCs w:val="21"/>
        </w:rPr>
      </w:pPr>
      <w:r>
        <w:rPr>
          <w:rFonts w:ascii="Times New Roman" w:hAnsi="Times New Roman" w:eastAsia="Times New Roman" w:cs="Times New Roman"/>
          <w:sz w:val="21"/>
          <w:szCs w:val="21"/>
          <w:b/>
          <w:bCs/>
          <w:spacing w:val="-2"/>
        </w:rPr>
        <w:t>2.2    2 </w:t>
      </w:r>
      <w:r>
        <w:rPr>
          <w:sz w:val="21"/>
          <w:szCs w:val="21"/>
          <w:b/>
          <w:bCs/>
          <w:spacing w:val="-2"/>
        </w:rPr>
        <w:t>组患儿实验室指标比较</w:t>
      </w:r>
    </w:p>
    <w:p>
      <w:pPr>
        <w:pStyle w:val="BodyText"/>
        <w:ind w:left="350" w:right="325" w:firstLine="418"/>
        <w:spacing w:before="49" w:line="275" w:lineRule="auto"/>
        <w:rPr>
          <w:sz w:val="21"/>
          <w:szCs w:val="21"/>
        </w:rPr>
      </w:pPr>
      <w:r>
        <w:rPr>
          <w:sz w:val="21"/>
          <w:szCs w:val="21"/>
          <w:spacing w:val="-3"/>
        </w:rPr>
        <w:t>合并组患儿</w:t>
      </w:r>
      <w:r>
        <w:rPr>
          <w:sz w:val="21"/>
          <w:szCs w:val="21"/>
          <w:spacing w:val="-35"/>
        </w:rPr>
        <w:t xml:space="preserve"> </w:t>
      </w:r>
      <w:r>
        <w:rPr>
          <w:rFonts w:ascii="Times New Roman" w:hAnsi="Times New Roman" w:eastAsia="Times New Roman" w:cs="Times New Roman"/>
          <w:sz w:val="21"/>
          <w:szCs w:val="21"/>
          <w:spacing w:val="-3"/>
        </w:rPr>
        <w:t>WBC</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PLT</w:t>
      </w:r>
      <w:r>
        <w:rPr>
          <w:rFonts w:ascii="Times New Roman" w:hAnsi="Times New Roman" w:eastAsia="Times New Roman" w:cs="Times New Roman"/>
          <w:sz w:val="21"/>
          <w:szCs w:val="21"/>
          <w:spacing w:val="-30"/>
        </w:rPr>
        <w:t xml:space="preserve"> </w:t>
      </w:r>
      <w:r>
        <w:rPr>
          <w:sz w:val="21"/>
          <w:szCs w:val="21"/>
          <w:spacing w:val="-3"/>
        </w:rPr>
        <w:t>、</w:t>
      </w:r>
      <w:r>
        <w:rPr>
          <w:rFonts w:ascii="Times New Roman" w:hAnsi="Times New Roman" w:eastAsia="Times New Roman" w:cs="Times New Roman"/>
          <w:sz w:val="21"/>
          <w:szCs w:val="21"/>
          <w:spacing w:val="-3"/>
        </w:rPr>
        <w:t>CRP</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NEU</w:t>
      </w:r>
      <w:r>
        <w:rPr>
          <w:rFonts w:ascii="Times New Roman" w:hAnsi="Times New Roman" w:eastAsia="Times New Roman" w:cs="Times New Roman"/>
          <w:sz w:val="21"/>
          <w:szCs w:val="21"/>
          <w:spacing w:val="-31"/>
        </w:rPr>
        <w:t xml:space="preserve"> </w:t>
      </w:r>
      <w:r>
        <w:rPr>
          <w:sz w:val="21"/>
          <w:szCs w:val="21"/>
          <w:spacing w:val="-3"/>
        </w:rPr>
        <w:t>、</w:t>
      </w:r>
      <w:r>
        <w:rPr>
          <w:rFonts w:ascii="Times New Roman" w:hAnsi="Times New Roman" w:eastAsia="Times New Roman" w:cs="Times New Roman"/>
          <w:sz w:val="21"/>
          <w:szCs w:val="21"/>
          <w:spacing w:val="-3"/>
        </w:rPr>
        <w:t>NLR</w:t>
      </w:r>
      <w:r>
        <w:rPr>
          <w:rFonts w:ascii="Times New Roman" w:hAnsi="Times New Roman" w:eastAsia="Times New Roman" w:cs="Times New Roman"/>
          <w:sz w:val="21"/>
          <w:szCs w:val="21"/>
          <w:spacing w:val="24"/>
        </w:rPr>
        <w:t xml:space="preserve"> </w:t>
      </w:r>
      <w:r>
        <w:rPr>
          <w:sz w:val="21"/>
          <w:szCs w:val="21"/>
          <w:spacing w:val="-3"/>
        </w:rPr>
        <w:t>水平明显高于未合并组，差异</w:t>
      </w:r>
      <w:r>
        <w:rPr>
          <w:sz w:val="21"/>
          <w:szCs w:val="21"/>
          <w:spacing w:val="-4"/>
        </w:rPr>
        <w:t>有统计学意</w:t>
      </w:r>
      <w:r>
        <w:rPr>
          <w:sz w:val="21"/>
          <w:szCs w:val="21"/>
        </w:rPr>
        <w:t xml:space="preserve"> </w:t>
      </w:r>
      <w:r>
        <w:rPr>
          <w:sz w:val="21"/>
          <w:szCs w:val="21"/>
          <w:spacing w:val="-2"/>
        </w:rPr>
        <w:t>义（</w:t>
      </w:r>
      <w:r>
        <w:rPr>
          <w:rFonts w:ascii="Times New Roman" w:hAnsi="Times New Roman" w:eastAsia="Times New Roman" w:cs="Times New Roman"/>
          <w:sz w:val="21"/>
          <w:szCs w:val="21"/>
          <w:i/>
          <w:iCs/>
          <w:spacing w:val="-2"/>
        </w:rPr>
        <w:t>P</w:t>
      </w:r>
      <w:r>
        <w:rPr>
          <w:sz w:val="21"/>
          <w:szCs w:val="21"/>
          <w:spacing w:val="-2"/>
        </w:rPr>
        <w:t>＜</w:t>
      </w:r>
      <w:r>
        <w:rPr>
          <w:rFonts w:ascii="Times New Roman" w:hAnsi="Times New Roman" w:eastAsia="Times New Roman" w:cs="Times New Roman"/>
          <w:sz w:val="21"/>
          <w:szCs w:val="21"/>
          <w:spacing w:val="-2"/>
        </w:rPr>
        <w:t>0.05</w:t>
      </w:r>
      <w:r>
        <w:rPr>
          <w:sz w:val="21"/>
          <w:szCs w:val="21"/>
          <w:spacing w:val="-2"/>
        </w:rPr>
        <w:t>）。见表</w:t>
      </w:r>
      <w:r>
        <w:rPr>
          <w:sz w:val="21"/>
          <w:szCs w:val="21"/>
          <w:spacing w:val="-37"/>
        </w:rPr>
        <w:t xml:space="preserve"> </w:t>
      </w:r>
      <w:r>
        <w:rPr>
          <w:rFonts w:ascii="Times New Roman" w:hAnsi="Times New Roman" w:eastAsia="Times New Roman" w:cs="Times New Roman"/>
          <w:sz w:val="21"/>
          <w:szCs w:val="21"/>
          <w:spacing w:val="-2"/>
        </w:rPr>
        <w:t>2</w:t>
      </w:r>
      <w:r>
        <w:rPr>
          <w:sz w:val="21"/>
          <w:szCs w:val="21"/>
          <w:spacing w:val="-2"/>
        </w:rPr>
        <w:t>。</w:t>
      </w:r>
    </w:p>
    <w:p>
      <w:pPr>
        <w:pStyle w:val="BodyText"/>
        <w:ind w:left="3371"/>
        <w:spacing w:line="233" w:lineRule="auto"/>
        <w:outlineLvl w:val="0"/>
        <w:rPr>
          <w:sz w:val="21"/>
          <w:szCs w:val="21"/>
        </w:rPr>
      </w:pPr>
      <w:r>
        <w:rPr>
          <w:sz w:val="21"/>
          <w:szCs w:val="21"/>
          <w:spacing w:val="-1"/>
        </w:rPr>
        <w:t>表</w:t>
      </w:r>
      <w:r>
        <w:rPr>
          <w:sz w:val="21"/>
          <w:szCs w:val="21"/>
          <w:spacing w:val="-47"/>
        </w:rPr>
        <w:t xml:space="preserve"> </w:t>
      </w:r>
      <w:r>
        <w:rPr>
          <w:rFonts w:ascii="Times New Roman" w:hAnsi="Times New Roman" w:eastAsia="Times New Roman" w:cs="Times New Roman"/>
          <w:sz w:val="21"/>
          <w:szCs w:val="21"/>
          <w:spacing w:val="-1"/>
        </w:rPr>
        <w:t>2 2 </w:t>
      </w:r>
      <w:r>
        <w:rPr>
          <w:sz w:val="21"/>
          <w:szCs w:val="21"/>
          <w:spacing w:val="-1"/>
        </w:rPr>
        <w:t>组患儿实验室指标比较</w:t>
      </w:r>
    </w:p>
    <w:p>
      <w:pPr>
        <w:spacing w:line="18" w:lineRule="exact"/>
        <w:rPr/>
      </w:pPr>
      <w:r/>
    </w:p>
    <w:tbl>
      <w:tblPr>
        <w:tblStyle w:val="TableNormal"/>
        <w:tblW w:w="897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56"/>
        <w:gridCol w:w="2069"/>
        <w:gridCol w:w="2379"/>
        <w:gridCol w:w="1170"/>
        <w:gridCol w:w="1098"/>
      </w:tblGrid>
      <w:tr>
        <w:trPr>
          <w:trHeight w:val="322" w:hRule="atLeast"/>
        </w:trPr>
        <w:tc>
          <w:tcPr>
            <w:tcW w:w="2256" w:type="dxa"/>
            <w:vAlign w:val="top"/>
            <w:tcBorders>
              <w:bottom w:val="single" w:color="000000" w:sz="2" w:space="0"/>
              <w:top w:val="single" w:color="000000" w:sz="2" w:space="0"/>
            </w:tcBorders>
          </w:tcPr>
          <w:p>
            <w:pPr>
              <w:ind w:left="884"/>
              <w:spacing w:before="34" w:line="220" w:lineRule="auto"/>
              <w:rPr>
                <w:rFonts w:ascii="SimSun" w:hAnsi="SimSun" w:eastAsia="SimSun" w:cs="SimSun"/>
                <w:sz w:val="21"/>
                <w:szCs w:val="21"/>
              </w:rPr>
            </w:pPr>
            <w:r>
              <w:rPr>
                <w:rFonts w:ascii="SimSun" w:hAnsi="SimSun" w:eastAsia="SimSun" w:cs="SimSun"/>
                <w:sz w:val="21"/>
                <w:szCs w:val="21"/>
                <w:spacing w:val="-3"/>
              </w:rPr>
              <w:t>项目</w:t>
            </w:r>
          </w:p>
        </w:tc>
        <w:tc>
          <w:tcPr>
            <w:tcW w:w="2069" w:type="dxa"/>
            <w:vAlign w:val="top"/>
            <w:tcBorders>
              <w:bottom w:val="single" w:color="000000" w:sz="2" w:space="0"/>
              <w:top w:val="single" w:color="000000" w:sz="2" w:space="0"/>
            </w:tcBorders>
          </w:tcPr>
          <w:p>
            <w:pPr>
              <w:pStyle w:val="TableText"/>
              <w:ind w:left="268"/>
              <w:spacing w:before="34" w:line="233" w:lineRule="auto"/>
              <w:rPr>
                <w:rFonts w:ascii="SimSun" w:hAnsi="SimSun" w:eastAsia="SimSun" w:cs="SimSun"/>
              </w:rPr>
            </w:pPr>
            <w:r>
              <w:rPr>
                <w:rFonts w:ascii="SimSun" w:hAnsi="SimSun" w:eastAsia="SimSun" w:cs="SimSun"/>
                <w:spacing w:val="-1"/>
              </w:rPr>
              <w:t>合并组（</w:t>
            </w:r>
            <w:r>
              <w:rPr>
                <w:spacing w:val="-1"/>
              </w:rPr>
              <w:t>n=52</w:t>
            </w:r>
            <w:r>
              <w:rPr>
                <w:rFonts w:ascii="SimSun" w:hAnsi="SimSun" w:eastAsia="SimSun" w:cs="SimSun"/>
                <w:spacing w:val="-1"/>
              </w:rPr>
              <w:t>）</w:t>
            </w:r>
          </w:p>
        </w:tc>
        <w:tc>
          <w:tcPr>
            <w:tcW w:w="2379" w:type="dxa"/>
            <w:vAlign w:val="top"/>
            <w:tcBorders>
              <w:bottom w:val="single" w:color="000000" w:sz="2" w:space="0"/>
              <w:top w:val="single" w:color="000000" w:sz="2" w:space="0"/>
            </w:tcBorders>
          </w:tcPr>
          <w:p>
            <w:pPr>
              <w:pStyle w:val="TableText"/>
              <w:ind w:left="442"/>
              <w:spacing w:before="34" w:line="233" w:lineRule="auto"/>
              <w:rPr>
                <w:rFonts w:ascii="SimSun" w:hAnsi="SimSun" w:eastAsia="SimSun" w:cs="SimSun"/>
              </w:rPr>
            </w:pPr>
            <w:r>
              <w:rPr>
                <w:rFonts w:ascii="SimSun" w:hAnsi="SimSun" w:eastAsia="SimSun" w:cs="SimSun"/>
                <w:spacing w:val="-2"/>
              </w:rPr>
              <w:t>未合并组（</w:t>
            </w:r>
            <w:r>
              <w:rPr>
                <w:spacing w:val="-2"/>
              </w:rPr>
              <w:t>n=66</w:t>
            </w:r>
            <w:r>
              <w:rPr>
                <w:rFonts w:ascii="SimSun" w:hAnsi="SimSun" w:eastAsia="SimSun" w:cs="SimSun"/>
                <w:spacing w:val="-2"/>
              </w:rPr>
              <w:t>）</w:t>
            </w:r>
          </w:p>
        </w:tc>
        <w:tc>
          <w:tcPr>
            <w:tcW w:w="1170" w:type="dxa"/>
            <w:vAlign w:val="top"/>
            <w:tcBorders>
              <w:bottom w:val="single" w:color="000000" w:sz="2" w:space="0"/>
              <w:top w:val="single" w:color="000000" w:sz="2" w:space="0"/>
            </w:tcBorders>
          </w:tcPr>
          <w:p>
            <w:pPr>
              <w:pStyle w:val="TableText"/>
              <w:ind w:left="496"/>
              <w:spacing w:before="39" w:line="217" w:lineRule="auto"/>
              <w:rPr/>
            </w:pPr>
            <w:r>
              <w:rPr>
                <w:i/>
                <w:iCs/>
                <w:spacing w:val="6"/>
                <w:position w:val="-1"/>
              </w:rPr>
              <w:t>χ</w:t>
            </w:r>
            <w:r>
              <w:rPr>
                <w:sz w:val="14"/>
                <w:szCs w:val="14"/>
                <w:i/>
                <w:iCs/>
                <w:spacing w:val="6"/>
                <w:position w:val="6"/>
              </w:rPr>
              <w:t>2</w:t>
            </w:r>
            <w:r>
              <w:rPr>
                <w:i/>
                <w:iCs/>
                <w:spacing w:val="6"/>
                <w:position w:val="-1"/>
              </w:rPr>
              <w:t>/t</w:t>
            </w:r>
          </w:p>
        </w:tc>
        <w:tc>
          <w:tcPr>
            <w:tcW w:w="1098" w:type="dxa"/>
            <w:vAlign w:val="top"/>
            <w:tcBorders>
              <w:bottom w:val="single" w:color="000000" w:sz="2" w:space="0"/>
              <w:top w:val="single" w:color="000000" w:sz="2" w:space="0"/>
            </w:tcBorders>
          </w:tcPr>
          <w:p>
            <w:pPr>
              <w:pStyle w:val="TableText"/>
              <w:ind w:left="480"/>
              <w:spacing w:before="78" w:line="183" w:lineRule="auto"/>
              <w:rPr/>
            </w:pPr>
            <w:r>
              <w:rPr>
                <w:i/>
                <w:iCs/>
                <w:spacing w:val="6"/>
              </w:rPr>
              <w:t>P</w:t>
            </w:r>
          </w:p>
        </w:tc>
      </w:tr>
      <w:tr>
        <w:trPr>
          <w:trHeight w:val="282" w:hRule="atLeast"/>
        </w:trPr>
        <w:tc>
          <w:tcPr>
            <w:tcW w:w="2256" w:type="dxa"/>
            <w:vAlign w:val="top"/>
            <w:tcBorders>
              <w:top w:val="single" w:color="000000" w:sz="2" w:space="0"/>
            </w:tcBorders>
          </w:tcPr>
          <w:p>
            <w:pPr>
              <w:pStyle w:val="TableText"/>
              <w:ind w:left="125"/>
              <w:spacing w:before="30" w:line="203" w:lineRule="auto"/>
              <w:rPr>
                <w:rFonts w:ascii="SimSun" w:hAnsi="SimSun" w:eastAsia="SimSun" w:cs="SimSun"/>
              </w:rPr>
            </w:pPr>
            <w:r>
              <w:rPr>
                <w:spacing w:val="-7"/>
              </w:rPr>
              <w:t>WBC</w:t>
            </w:r>
            <w:r>
              <w:rPr>
                <w:spacing w:val="11"/>
              </w:rPr>
              <w:t xml:space="preserve">  </w:t>
            </w:r>
            <w:r>
              <w:rPr>
                <w:rFonts w:ascii="SimSun" w:hAnsi="SimSun" w:eastAsia="SimSun" w:cs="SimSun"/>
                <w:spacing w:val="-7"/>
              </w:rPr>
              <w:t>(</w:t>
            </w:r>
            <w:r>
              <w:rPr>
                <w:position w:val="-3"/>
              </w:rPr>
              <w:drawing>
                <wp:inline distT="0" distB="0" distL="0" distR="0">
                  <wp:extent cx="78543" cy="121348"/>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78543" cy="121348"/>
                          </a:xfrm>
                          <a:prstGeom prst="rect">
                            <a:avLst/>
                          </a:prstGeom>
                        </pic:spPr>
                      </pic:pic>
                    </a:graphicData>
                  </a:graphic>
                </wp:inline>
              </w:drawing>
            </w:r>
            <w:r>
              <w:rPr>
                <w:spacing w:val="-7"/>
              </w:rPr>
              <w:t>±</w:t>
            </w:r>
            <w:r>
              <w:rPr>
                <w:i/>
                <w:iCs/>
                <w:spacing w:val="-7"/>
              </w:rPr>
              <w:t>s</w:t>
            </w:r>
            <w:r>
              <w:rPr>
                <w:i/>
                <w:iCs/>
                <w:spacing w:val="-20"/>
              </w:rPr>
              <w:t xml:space="preserve"> </w:t>
            </w:r>
            <w:r>
              <w:rPr>
                <w:rFonts w:ascii="SimSun" w:hAnsi="SimSun" w:eastAsia="SimSun" w:cs="SimSun"/>
                <w:sz w:val="22"/>
                <w:szCs w:val="22"/>
                <w:i/>
                <w:iCs/>
                <w:spacing w:val="-7"/>
              </w:rPr>
              <w:t>，</w:t>
            </w:r>
            <w:r>
              <w:rPr>
                <w:spacing w:val="-7"/>
              </w:rPr>
              <w:t>×10</w:t>
            </w:r>
            <w:r>
              <w:rPr>
                <w:sz w:val="14"/>
                <w:szCs w:val="14"/>
                <w:spacing w:val="-7"/>
                <w:position w:val="7"/>
              </w:rPr>
              <w:t>9</w:t>
            </w:r>
            <w:r>
              <w:rPr>
                <w:spacing w:val="-7"/>
              </w:rPr>
              <w:t>/L</w:t>
            </w:r>
            <w:r>
              <w:rPr>
                <w:rFonts w:ascii="SimSun" w:hAnsi="SimSun" w:eastAsia="SimSun" w:cs="SimSun"/>
                <w:spacing w:val="-7"/>
              </w:rPr>
              <w:t>）</w:t>
            </w:r>
          </w:p>
        </w:tc>
        <w:tc>
          <w:tcPr>
            <w:tcW w:w="2069" w:type="dxa"/>
            <w:vAlign w:val="top"/>
            <w:tcBorders>
              <w:top w:val="single" w:color="000000" w:sz="2" w:space="0"/>
            </w:tcBorders>
          </w:tcPr>
          <w:p>
            <w:pPr>
              <w:pStyle w:val="TableText"/>
              <w:ind w:left="548"/>
              <w:spacing w:before="67" w:line="203" w:lineRule="auto"/>
              <w:rPr/>
            </w:pPr>
            <w:r>
              <w:rPr>
                <w:spacing w:val="-3"/>
              </w:rPr>
              <w:t>13.92±0.52</w:t>
            </w:r>
          </w:p>
        </w:tc>
        <w:tc>
          <w:tcPr>
            <w:tcW w:w="2379" w:type="dxa"/>
            <w:vAlign w:val="top"/>
            <w:tcBorders>
              <w:top w:val="single" w:color="000000" w:sz="2" w:space="0"/>
            </w:tcBorders>
          </w:tcPr>
          <w:p>
            <w:pPr>
              <w:pStyle w:val="TableText"/>
              <w:ind w:left="829"/>
              <w:spacing w:before="67" w:line="203" w:lineRule="auto"/>
              <w:rPr/>
            </w:pPr>
            <w:r>
              <w:rPr>
                <w:spacing w:val="-4"/>
              </w:rPr>
              <w:t>11.26±1.30</w:t>
            </w:r>
          </w:p>
        </w:tc>
        <w:tc>
          <w:tcPr>
            <w:tcW w:w="1170" w:type="dxa"/>
            <w:vAlign w:val="top"/>
            <w:tcBorders>
              <w:top w:val="single" w:color="000000" w:sz="2" w:space="0"/>
            </w:tcBorders>
          </w:tcPr>
          <w:p>
            <w:pPr>
              <w:pStyle w:val="TableText"/>
              <w:ind w:left="392"/>
              <w:spacing w:before="67" w:line="203" w:lineRule="auto"/>
              <w:rPr/>
            </w:pPr>
            <w:r>
              <w:rPr>
                <w:spacing w:val="-5"/>
              </w:rPr>
              <w:t>13.895</w:t>
            </w:r>
          </w:p>
        </w:tc>
        <w:tc>
          <w:tcPr>
            <w:tcW w:w="1098" w:type="dxa"/>
            <w:vAlign w:val="top"/>
            <w:tcBorders>
              <w:top w:val="single" w:color="000000" w:sz="2" w:space="0"/>
            </w:tcBorders>
          </w:tcPr>
          <w:p>
            <w:pPr>
              <w:pStyle w:val="TableText"/>
              <w:ind w:left="231"/>
              <w:spacing w:before="29" w:line="213" w:lineRule="auto"/>
              <w:rPr/>
            </w:pPr>
            <w:r>
              <w:rPr>
                <w:rFonts w:ascii="SimSun" w:hAnsi="SimSun" w:eastAsia="SimSun" w:cs="SimSun"/>
                <w:spacing w:val="13"/>
              </w:rPr>
              <w:t>&lt;</w:t>
            </w:r>
            <w:r>
              <w:rPr>
                <w:spacing w:val="13"/>
              </w:rPr>
              <w:t>0.001</w:t>
            </w:r>
          </w:p>
        </w:tc>
      </w:tr>
      <w:tr>
        <w:trPr>
          <w:trHeight w:val="313" w:hRule="atLeast"/>
        </w:trPr>
        <w:tc>
          <w:tcPr>
            <w:tcW w:w="2256" w:type="dxa"/>
            <w:vAlign w:val="top"/>
          </w:tcPr>
          <w:p>
            <w:pPr>
              <w:pStyle w:val="TableText"/>
              <w:ind w:left="156"/>
              <w:spacing w:before="61" w:line="203" w:lineRule="auto"/>
              <w:rPr>
                <w:rFonts w:ascii="SimSun" w:hAnsi="SimSun" w:eastAsia="SimSun" w:cs="SimSun"/>
              </w:rPr>
            </w:pPr>
            <w:r>
              <w:rPr>
                <w:spacing w:val="-8"/>
              </w:rPr>
              <w:t>PLT</w:t>
            </w:r>
            <w:r>
              <w:rPr>
                <w:spacing w:val="9"/>
              </w:rPr>
              <w:t xml:space="preserve">  </w:t>
            </w:r>
            <w:r>
              <w:rPr>
                <w:rFonts w:ascii="SimSun" w:hAnsi="SimSun" w:eastAsia="SimSun" w:cs="SimSun"/>
                <w:spacing w:val="-8"/>
              </w:rPr>
              <w:t>(</w:t>
            </w:r>
            <w:r>
              <w:rPr>
                <w:position w:val="-3"/>
              </w:rPr>
              <w:drawing>
                <wp:inline distT="0" distB="0" distL="0" distR="0">
                  <wp:extent cx="78543" cy="121348"/>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78543" cy="121348"/>
                          </a:xfrm>
                          <a:prstGeom prst="rect">
                            <a:avLst/>
                          </a:prstGeom>
                        </pic:spPr>
                      </pic:pic>
                    </a:graphicData>
                  </a:graphic>
                </wp:inline>
              </w:drawing>
            </w:r>
            <w:r>
              <w:rPr>
                <w:spacing w:val="-8"/>
              </w:rPr>
              <w:t>±</w:t>
            </w:r>
            <w:r>
              <w:rPr>
                <w:i/>
                <w:iCs/>
                <w:spacing w:val="-8"/>
              </w:rPr>
              <w:t>s</w:t>
            </w:r>
            <w:r>
              <w:rPr>
                <w:i/>
                <w:iCs/>
                <w:spacing w:val="-22"/>
              </w:rPr>
              <w:t xml:space="preserve"> </w:t>
            </w:r>
            <w:r>
              <w:rPr>
                <w:rFonts w:ascii="SimSun" w:hAnsi="SimSun" w:eastAsia="SimSun" w:cs="SimSun"/>
                <w:sz w:val="22"/>
                <w:szCs w:val="22"/>
                <w:i/>
                <w:iCs/>
                <w:spacing w:val="-8"/>
              </w:rPr>
              <w:t>，</w:t>
            </w:r>
            <w:r>
              <w:rPr>
                <w:spacing w:val="-8"/>
              </w:rPr>
              <w:t>×10</w:t>
            </w:r>
            <w:r>
              <w:rPr>
                <w:sz w:val="14"/>
                <w:szCs w:val="14"/>
                <w:spacing w:val="-8"/>
                <w:position w:val="7"/>
              </w:rPr>
              <w:t>9</w:t>
            </w:r>
            <w:r>
              <w:rPr>
                <w:spacing w:val="-8"/>
              </w:rPr>
              <w:t>/L</w:t>
            </w:r>
            <w:r>
              <w:rPr>
                <w:rFonts w:ascii="SimSun" w:hAnsi="SimSun" w:eastAsia="SimSun" w:cs="SimSun"/>
                <w:spacing w:val="-8"/>
              </w:rPr>
              <w:t>）</w:t>
            </w:r>
          </w:p>
        </w:tc>
        <w:tc>
          <w:tcPr>
            <w:tcW w:w="2069" w:type="dxa"/>
            <w:vAlign w:val="top"/>
          </w:tcPr>
          <w:p>
            <w:pPr>
              <w:pStyle w:val="TableText"/>
              <w:ind w:left="426"/>
              <w:spacing w:before="80" w:line="221" w:lineRule="auto"/>
              <w:rPr/>
            </w:pPr>
            <w:r>
              <w:rPr/>
              <w:t>350.22±70.25</w:t>
            </w:r>
          </w:p>
        </w:tc>
        <w:tc>
          <w:tcPr>
            <w:tcW w:w="2379" w:type="dxa"/>
            <w:vAlign w:val="top"/>
          </w:tcPr>
          <w:p>
            <w:pPr>
              <w:pStyle w:val="TableText"/>
              <w:ind w:left="699"/>
              <w:spacing w:before="80" w:line="221" w:lineRule="auto"/>
              <w:rPr/>
            </w:pPr>
            <w:r>
              <w:rPr/>
              <w:t>217.25±35.94</w:t>
            </w:r>
          </w:p>
        </w:tc>
        <w:tc>
          <w:tcPr>
            <w:tcW w:w="1170" w:type="dxa"/>
            <w:vAlign w:val="top"/>
          </w:tcPr>
          <w:p>
            <w:pPr>
              <w:pStyle w:val="TableText"/>
              <w:ind w:left="392"/>
              <w:spacing w:before="98" w:line="203" w:lineRule="auto"/>
              <w:rPr/>
            </w:pPr>
            <w:r>
              <w:rPr>
                <w:spacing w:val="-5"/>
              </w:rPr>
              <w:t>13.331</w:t>
            </w:r>
          </w:p>
        </w:tc>
        <w:tc>
          <w:tcPr>
            <w:tcW w:w="1098" w:type="dxa"/>
            <w:vAlign w:val="top"/>
          </w:tcPr>
          <w:p>
            <w:pPr>
              <w:pStyle w:val="TableText"/>
              <w:ind w:left="231"/>
              <w:spacing w:before="60" w:line="213" w:lineRule="auto"/>
              <w:rPr/>
            </w:pPr>
            <w:r>
              <w:rPr>
                <w:rFonts w:ascii="SimSun" w:hAnsi="SimSun" w:eastAsia="SimSun" w:cs="SimSun"/>
                <w:spacing w:val="13"/>
              </w:rPr>
              <w:t>&lt;</w:t>
            </w:r>
            <w:r>
              <w:rPr>
                <w:spacing w:val="13"/>
              </w:rPr>
              <w:t>0.001</w:t>
            </w:r>
          </w:p>
        </w:tc>
      </w:tr>
      <w:tr>
        <w:trPr>
          <w:trHeight w:val="312" w:hRule="atLeast"/>
        </w:trPr>
        <w:tc>
          <w:tcPr>
            <w:tcW w:w="2256" w:type="dxa"/>
            <w:vAlign w:val="top"/>
          </w:tcPr>
          <w:p>
            <w:pPr>
              <w:pStyle w:val="TableText"/>
              <w:ind w:left="120"/>
              <w:spacing w:before="61" w:line="202" w:lineRule="auto"/>
              <w:rPr>
                <w:rFonts w:ascii="SimSun" w:hAnsi="SimSun" w:eastAsia="SimSun" w:cs="SimSun"/>
              </w:rPr>
            </w:pPr>
            <w:r>
              <w:rPr>
                <w:spacing w:val="-6"/>
              </w:rPr>
              <w:t>NEU</w:t>
            </w:r>
            <w:r>
              <w:rPr>
                <w:spacing w:val="7"/>
              </w:rPr>
              <w:t xml:space="preserve">  </w:t>
            </w:r>
            <w:r>
              <w:rPr>
                <w:rFonts w:ascii="SimSun" w:hAnsi="SimSun" w:eastAsia="SimSun" w:cs="SimSun"/>
                <w:spacing w:val="-6"/>
              </w:rPr>
              <w:t>(</w:t>
            </w:r>
            <w:r>
              <w:rPr>
                <w:position w:val="-3"/>
              </w:rPr>
              <w:drawing>
                <wp:inline distT="0" distB="0" distL="0" distR="0">
                  <wp:extent cx="78543" cy="121348"/>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78543" cy="121348"/>
                          </a:xfrm>
                          <a:prstGeom prst="rect">
                            <a:avLst/>
                          </a:prstGeom>
                        </pic:spPr>
                      </pic:pic>
                    </a:graphicData>
                  </a:graphic>
                </wp:inline>
              </w:drawing>
            </w:r>
            <w:r>
              <w:rPr>
                <w:spacing w:val="-6"/>
              </w:rPr>
              <w:t>±</w:t>
            </w:r>
            <w:r>
              <w:rPr>
                <w:i/>
                <w:iCs/>
                <w:spacing w:val="-6"/>
              </w:rPr>
              <w:t>s</w:t>
            </w:r>
            <w:r>
              <w:rPr>
                <w:i/>
                <w:iCs/>
                <w:spacing w:val="-21"/>
              </w:rPr>
              <w:t xml:space="preserve"> </w:t>
            </w:r>
            <w:r>
              <w:rPr>
                <w:rFonts w:ascii="SimSun" w:hAnsi="SimSun" w:eastAsia="SimSun" w:cs="SimSun"/>
                <w:sz w:val="22"/>
                <w:szCs w:val="22"/>
                <w:i/>
                <w:iCs/>
                <w:spacing w:val="-6"/>
              </w:rPr>
              <w:t>，</w:t>
            </w:r>
            <w:r>
              <w:rPr>
                <w:spacing w:val="-6"/>
              </w:rPr>
              <w:t>×10</w:t>
            </w:r>
            <w:r>
              <w:rPr>
                <w:sz w:val="14"/>
                <w:szCs w:val="14"/>
                <w:spacing w:val="-6"/>
                <w:position w:val="7"/>
              </w:rPr>
              <w:t>9</w:t>
            </w:r>
            <w:r>
              <w:rPr>
                <w:spacing w:val="-6"/>
              </w:rPr>
              <w:t>/L</w:t>
            </w:r>
            <w:r>
              <w:rPr>
                <w:rFonts w:ascii="SimSun" w:hAnsi="SimSun" w:eastAsia="SimSun" w:cs="SimSun"/>
                <w:spacing w:val="-6"/>
              </w:rPr>
              <w:t>）</w:t>
            </w:r>
          </w:p>
        </w:tc>
        <w:tc>
          <w:tcPr>
            <w:tcW w:w="2069" w:type="dxa"/>
            <w:vAlign w:val="top"/>
          </w:tcPr>
          <w:p>
            <w:pPr>
              <w:pStyle w:val="TableText"/>
              <w:ind w:left="551"/>
              <w:spacing w:before="80" w:line="220" w:lineRule="auto"/>
              <w:rPr/>
            </w:pPr>
            <w:r>
              <w:rPr>
                <w:spacing w:val="-2"/>
              </w:rPr>
              <w:t>11.25±2.69</w:t>
            </w:r>
          </w:p>
        </w:tc>
        <w:tc>
          <w:tcPr>
            <w:tcW w:w="2379" w:type="dxa"/>
            <w:vAlign w:val="top"/>
          </w:tcPr>
          <w:p>
            <w:pPr>
              <w:pStyle w:val="TableText"/>
              <w:ind w:left="861"/>
              <w:spacing w:before="80" w:line="220" w:lineRule="auto"/>
              <w:rPr/>
            </w:pPr>
            <w:r>
              <w:rPr/>
              <w:t>6.20±1.42</w:t>
            </w:r>
          </w:p>
        </w:tc>
        <w:tc>
          <w:tcPr>
            <w:tcW w:w="1170" w:type="dxa"/>
            <w:vAlign w:val="top"/>
          </w:tcPr>
          <w:p>
            <w:pPr>
              <w:pStyle w:val="TableText"/>
              <w:ind w:left="395"/>
              <w:spacing w:before="98" w:line="202" w:lineRule="auto"/>
              <w:rPr/>
            </w:pPr>
            <w:r>
              <w:rPr>
                <w:spacing w:val="-5"/>
              </w:rPr>
              <w:t>13.117</w:t>
            </w:r>
          </w:p>
        </w:tc>
        <w:tc>
          <w:tcPr>
            <w:tcW w:w="1098" w:type="dxa"/>
            <w:vAlign w:val="top"/>
          </w:tcPr>
          <w:p>
            <w:pPr>
              <w:pStyle w:val="TableText"/>
              <w:ind w:left="231"/>
              <w:spacing w:before="60" w:line="212" w:lineRule="auto"/>
              <w:rPr/>
            </w:pPr>
            <w:r>
              <w:rPr>
                <w:rFonts w:ascii="SimSun" w:hAnsi="SimSun" w:eastAsia="SimSun" w:cs="SimSun"/>
                <w:spacing w:val="13"/>
              </w:rPr>
              <w:t>&lt;</w:t>
            </w:r>
            <w:r>
              <w:rPr>
                <w:spacing w:val="13"/>
              </w:rPr>
              <w:t>0.001</w:t>
            </w:r>
          </w:p>
        </w:tc>
      </w:tr>
      <w:tr>
        <w:trPr>
          <w:trHeight w:val="319" w:hRule="atLeast"/>
        </w:trPr>
        <w:tc>
          <w:tcPr>
            <w:tcW w:w="2256" w:type="dxa"/>
            <w:vAlign w:val="top"/>
          </w:tcPr>
          <w:p>
            <w:pPr>
              <w:pStyle w:val="TableText"/>
              <w:ind w:left="126"/>
              <w:spacing w:before="62" w:line="207" w:lineRule="auto"/>
              <w:rPr>
                <w:rFonts w:ascii="SimSun" w:hAnsi="SimSun" w:eastAsia="SimSun" w:cs="SimSun"/>
              </w:rPr>
            </w:pPr>
            <w:r>
              <w:rPr>
                <w:spacing w:val="-8"/>
              </w:rPr>
              <w:t>LYM</w:t>
            </w:r>
            <w:r>
              <w:rPr>
                <w:spacing w:val="7"/>
              </w:rPr>
              <w:t xml:space="preserve">  </w:t>
            </w:r>
            <w:r>
              <w:rPr>
                <w:rFonts w:ascii="SimSun" w:hAnsi="SimSun" w:eastAsia="SimSun" w:cs="SimSun"/>
                <w:spacing w:val="-8"/>
              </w:rPr>
              <w:t>(</w:t>
            </w:r>
            <w:r>
              <w:rPr>
                <w:position w:val="-3"/>
              </w:rPr>
              <w:drawing>
                <wp:inline distT="0" distB="0" distL="0" distR="0">
                  <wp:extent cx="78543" cy="121348"/>
                  <wp:effectExtent l="0" t="0" r="0" b="0"/>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78543" cy="121348"/>
                          </a:xfrm>
                          <a:prstGeom prst="rect">
                            <a:avLst/>
                          </a:prstGeom>
                        </pic:spPr>
                      </pic:pic>
                    </a:graphicData>
                  </a:graphic>
                </wp:inline>
              </w:drawing>
            </w:r>
            <w:r>
              <w:rPr>
                <w:spacing w:val="-8"/>
              </w:rPr>
              <w:t>±</w:t>
            </w:r>
            <w:r>
              <w:rPr>
                <w:i/>
                <w:iCs/>
                <w:spacing w:val="-8"/>
              </w:rPr>
              <w:t>s</w:t>
            </w:r>
            <w:r>
              <w:rPr>
                <w:i/>
                <w:iCs/>
                <w:spacing w:val="-20"/>
              </w:rPr>
              <w:t xml:space="preserve"> </w:t>
            </w:r>
            <w:r>
              <w:rPr>
                <w:rFonts w:ascii="SimSun" w:hAnsi="SimSun" w:eastAsia="SimSun" w:cs="SimSun"/>
                <w:sz w:val="22"/>
                <w:szCs w:val="22"/>
                <w:i/>
                <w:iCs/>
                <w:spacing w:val="-8"/>
              </w:rPr>
              <w:t>，</w:t>
            </w:r>
            <w:r>
              <w:rPr>
                <w:spacing w:val="-8"/>
              </w:rPr>
              <w:t>×10</w:t>
            </w:r>
            <w:r>
              <w:rPr>
                <w:sz w:val="14"/>
                <w:szCs w:val="14"/>
                <w:spacing w:val="-8"/>
                <w:position w:val="7"/>
              </w:rPr>
              <w:t>9</w:t>
            </w:r>
            <w:r>
              <w:rPr>
                <w:spacing w:val="-8"/>
              </w:rPr>
              <w:t>/L</w:t>
            </w:r>
            <w:r>
              <w:rPr>
                <w:rFonts w:ascii="SimSun" w:hAnsi="SimSun" w:eastAsia="SimSun" w:cs="SimSun"/>
                <w:spacing w:val="-8"/>
              </w:rPr>
              <w:t>）</w:t>
            </w:r>
          </w:p>
        </w:tc>
        <w:tc>
          <w:tcPr>
            <w:tcW w:w="2069" w:type="dxa"/>
            <w:vAlign w:val="top"/>
          </w:tcPr>
          <w:p>
            <w:pPr>
              <w:pStyle w:val="TableText"/>
              <w:ind w:left="583"/>
              <w:spacing w:before="81" w:line="226" w:lineRule="auto"/>
              <w:rPr/>
            </w:pPr>
            <w:r>
              <w:rPr/>
              <w:t>3.52±1.60</w:t>
            </w:r>
          </w:p>
        </w:tc>
        <w:tc>
          <w:tcPr>
            <w:tcW w:w="2379" w:type="dxa"/>
            <w:vAlign w:val="top"/>
          </w:tcPr>
          <w:p>
            <w:pPr>
              <w:pStyle w:val="TableText"/>
              <w:ind w:left="861"/>
              <w:spacing w:before="81" w:line="226" w:lineRule="auto"/>
              <w:rPr/>
            </w:pPr>
            <w:r>
              <w:rPr/>
              <w:t>3.66±1.36</w:t>
            </w:r>
          </w:p>
        </w:tc>
        <w:tc>
          <w:tcPr>
            <w:tcW w:w="1170" w:type="dxa"/>
            <w:vAlign w:val="top"/>
          </w:tcPr>
          <w:p>
            <w:pPr>
              <w:pStyle w:val="TableText"/>
              <w:ind w:left="427"/>
              <w:spacing w:before="99" w:line="208" w:lineRule="auto"/>
              <w:rPr/>
            </w:pPr>
            <w:r>
              <w:rPr>
                <w:spacing w:val="-2"/>
              </w:rPr>
              <w:t>0.514</w:t>
            </w:r>
          </w:p>
        </w:tc>
        <w:tc>
          <w:tcPr>
            <w:tcW w:w="1098" w:type="dxa"/>
            <w:vAlign w:val="top"/>
          </w:tcPr>
          <w:p>
            <w:pPr>
              <w:pStyle w:val="TableText"/>
              <w:ind w:left="321"/>
              <w:spacing w:before="99" w:line="208" w:lineRule="auto"/>
              <w:rPr/>
            </w:pPr>
            <w:r>
              <w:rPr>
                <w:spacing w:val="-2"/>
              </w:rPr>
              <w:t>0.609</w:t>
            </w:r>
          </w:p>
        </w:tc>
      </w:tr>
      <w:tr>
        <w:trPr>
          <w:trHeight w:val="331" w:hRule="atLeast"/>
        </w:trPr>
        <w:tc>
          <w:tcPr>
            <w:tcW w:w="2256" w:type="dxa"/>
            <w:vAlign w:val="top"/>
          </w:tcPr>
          <w:p>
            <w:pPr>
              <w:pStyle w:val="TableText"/>
              <w:ind w:left="351"/>
              <w:spacing w:before="56" w:line="205" w:lineRule="auto"/>
              <w:rPr>
                <w:rFonts w:ascii="SimSun" w:hAnsi="SimSun" w:eastAsia="SimSun" w:cs="SimSun"/>
              </w:rPr>
            </w:pPr>
            <w:r>
              <w:rPr>
                <w:spacing w:val="-6"/>
              </w:rPr>
              <w:t>Hb</w:t>
            </w:r>
            <w:r>
              <w:rPr>
                <w:spacing w:val="7"/>
              </w:rPr>
              <w:t xml:space="preserve">  </w:t>
            </w:r>
            <w:r>
              <w:rPr>
                <w:rFonts w:ascii="SimSun" w:hAnsi="SimSun" w:eastAsia="SimSun" w:cs="SimSun"/>
                <w:spacing w:val="-6"/>
              </w:rPr>
              <w:t>(</w:t>
            </w:r>
            <w:r>
              <w:rPr>
                <w:position w:val="-3"/>
              </w:rPr>
              <w:drawing>
                <wp:inline distT="0" distB="0" distL="0" distR="0">
                  <wp:extent cx="78543" cy="121348"/>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78543" cy="121348"/>
                          </a:xfrm>
                          <a:prstGeom prst="rect">
                            <a:avLst/>
                          </a:prstGeom>
                        </pic:spPr>
                      </pic:pic>
                    </a:graphicData>
                  </a:graphic>
                </wp:inline>
              </w:drawing>
            </w:r>
            <w:r>
              <w:rPr>
                <w:spacing w:val="-6"/>
              </w:rPr>
              <w:t>±</w:t>
            </w:r>
            <w:r>
              <w:rPr>
                <w:i/>
                <w:iCs/>
                <w:spacing w:val="-6"/>
              </w:rPr>
              <w:t>s</w:t>
            </w:r>
            <w:r>
              <w:rPr>
                <w:rFonts w:ascii="SimSun" w:hAnsi="SimSun" w:eastAsia="SimSun" w:cs="SimSun"/>
                <w:sz w:val="22"/>
                <w:szCs w:val="22"/>
                <w:i/>
                <w:iCs/>
                <w:spacing w:val="-6"/>
              </w:rPr>
              <w:t>，</w:t>
            </w:r>
            <w:r>
              <w:rPr>
                <w:spacing w:val="-6"/>
              </w:rPr>
              <w:t>g/L</w:t>
            </w:r>
            <w:r>
              <w:rPr>
                <w:rFonts w:ascii="SimSun" w:hAnsi="SimSun" w:eastAsia="SimSun" w:cs="SimSun"/>
                <w:spacing w:val="-6"/>
              </w:rPr>
              <w:t>）</w:t>
            </w:r>
          </w:p>
        </w:tc>
        <w:tc>
          <w:tcPr>
            <w:tcW w:w="2069" w:type="dxa"/>
            <w:vAlign w:val="top"/>
          </w:tcPr>
          <w:p>
            <w:pPr>
              <w:pStyle w:val="TableText"/>
              <w:ind w:left="442"/>
              <w:spacing w:before="76" w:line="232" w:lineRule="auto"/>
              <w:rPr/>
            </w:pPr>
            <w:r>
              <w:rPr>
                <w:spacing w:val="-2"/>
              </w:rPr>
              <w:t>126.80±14.87</w:t>
            </w:r>
          </w:p>
        </w:tc>
        <w:tc>
          <w:tcPr>
            <w:tcW w:w="2379" w:type="dxa"/>
            <w:vAlign w:val="top"/>
          </w:tcPr>
          <w:p>
            <w:pPr>
              <w:pStyle w:val="TableText"/>
              <w:ind w:left="719"/>
              <w:spacing w:before="76" w:line="232" w:lineRule="auto"/>
              <w:rPr/>
            </w:pPr>
            <w:r>
              <w:rPr>
                <w:spacing w:val="-2"/>
              </w:rPr>
              <w:t>127.33±20.19</w:t>
            </w:r>
          </w:p>
        </w:tc>
        <w:tc>
          <w:tcPr>
            <w:tcW w:w="1170" w:type="dxa"/>
            <w:vAlign w:val="top"/>
          </w:tcPr>
          <w:p>
            <w:pPr>
              <w:pStyle w:val="TableText"/>
              <w:ind w:left="427"/>
              <w:spacing w:before="93" w:line="226" w:lineRule="auto"/>
              <w:rPr/>
            </w:pPr>
            <w:r>
              <w:rPr>
                <w:spacing w:val="-2"/>
              </w:rPr>
              <w:t>0.158</w:t>
            </w:r>
          </w:p>
        </w:tc>
        <w:tc>
          <w:tcPr>
            <w:tcW w:w="1098" w:type="dxa"/>
            <w:vAlign w:val="top"/>
          </w:tcPr>
          <w:p>
            <w:pPr>
              <w:pStyle w:val="TableText"/>
              <w:ind w:left="321"/>
              <w:spacing w:before="93" w:line="226" w:lineRule="auto"/>
              <w:rPr/>
            </w:pPr>
            <w:r>
              <w:rPr>
                <w:spacing w:val="-2"/>
              </w:rPr>
              <w:t>0.874</w:t>
            </w:r>
          </w:p>
        </w:tc>
      </w:tr>
      <w:tr>
        <w:trPr>
          <w:trHeight w:val="294" w:hRule="atLeast"/>
        </w:trPr>
        <w:tc>
          <w:tcPr>
            <w:tcW w:w="2256" w:type="dxa"/>
            <w:vAlign w:val="top"/>
          </w:tcPr>
          <w:p>
            <w:pPr>
              <w:pStyle w:val="TableText"/>
              <w:ind w:left="515"/>
              <w:spacing w:before="38" w:line="206" w:lineRule="auto"/>
              <w:rPr>
                <w:rFonts w:ascii="SimSun" w:hAnsi="SimSun" w:eastAsia="SimSun" w:cs="SimSun"/>
                <w:sz w:val="22"/>
                <w:szCs w:val="22"/>
              </w:rPr>
            </w:pPr>
            <w:r>
              <w:rPr>
                <w:spacing w:val="-4"/>
              </w:rPr>
              <w:t>NLR</w:t>
            </w:r>
            <w:r>
              <w:rPr>
                <w:spacing w:val="5"/>
              </w:rPr>
              <w:t xml:space="preserve">  </w:t>
            </w:r>
            <w:r>
              <w:rPr>
                <w:rFonts w:ascii="SimSun" w:hAnsi="SimSun" w:eastAsia="SimSun" w:cs="SimSun"/>
                <w:spacing w:val="-4"/>
              </w:rPr>
              <w:t>(</w:t>
            </w:r>
            <w:r>
              <w:rPr>
                <w:position w:val="-3"/>
              </w:rPr>
              <w:drawing>
                <wp:inline distT="0" distB="0" distL="0" distR="0">
                  <wp:extent cx="78543" cy="121348"/>
                  <wp:effectExtent l="0" t="0" r="0" b="0"/>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78543" cy="121348"/>
                          </a:xfrm>
                          <a:prstGeom prst="rect">
                            <a:avLst/>
                          </a:prstGeom>
                        </pic:spPr>
                      </pic:pic>
                    </a:graphicData>
                  </a:graphic>
                </wp:inline>
              </w:drawing>
            </w:r>
            <w:r>
              <w:rPr>
                <w:spacing w:val="-4"/>
              </w:rPr>
              <w:t>±</w:t>
            </w:r>
            <w:r>
              <w:rPr>
                <w:i/>
                <w:iCs/>
                <w:spacing w:val="-4"/>
              </w:rPr>
              <w:t>s</w:t>
            </w:r>
            <w:r>
              <w:rPr>
                <w:rFonts w:ascii="SimSun" w:hAnsi="SimSun" w:eastAsia="SimSun" w:cs="SimSun"/>
                <w:sz w:val="22"/>
                <w:szCs w:val="22"/>
                <w:i/>
                <w:iCs/>
                <w:spacing w:val="-4"/>
              </w:rPr>
              <w:t>）</w:t>
            </w:r>
          </w:p>
        </w:tc>
        <w:tc>
          <w:tcPr>
            <w:tcW w:w="2069" w:type="dxa"/>
            <w:vAlign w:val="top"/>
          </w:tcPr>
          <w:p>
            <w:pPr>
              <w:pStyle w:val="TableText"/>
              <w:ind w:left="578"/>
              <w:spacing w:before="58" w:line="224" w:lineRule="auto"/>
              <w:rPr/>
            </w:pPr>
            <w:r>
              <w:rPr>
                <w:spacing w:val="1"/>
              </w:rPr>
              <w:t>4.40±1.57</w:t>
            </w:r>
          </w:p>
        </w:tc>
        <w:tc>
          <w:tcPr>
            <w:tcW w:w="2379" w:type="dxa"/>
            <w:vAlign w:val="top"/>
          </w:tcPr>
          <w:p>
            <w:pPr>
              <w:pStyle w:val="TableText"/>
              <w:ind w:left="861"/>
              <w:spacing w:before="58" w:line="224" w:lineRule="auto"/>
              <w:rPr/>
            </w:pPr>
            <w:r>
              <w:rPr/>
              <w:t>3.09±1.28</w:t>
            </w:r>
          </w:p>
        </w:tc>
        <w:tc>
          <w:tcPr>
            <w:tcW w:w="1170" w:type="dxa"/>
            <w:vAlign w:val="top"/>
          </w:tcPr>
          <w:p>
            <w:pPr>
              <w:pStyle w:val="TableText"/>
              <w:ind w:left="423"/>
              <w:spacing w:before="76" w:line="206" w:lineRule="auto"/>
              <w:rPr/>
            </w:pPr>
            <w:r>
              <w:rPr>
                <w:spacing w:val="-1"/>
              </w:rPr>
              <w:t>4.993</w:t>
            </w:r>
          </w:p>
        </w:tc>
        <w:tc>
          <w:tcPr>
            <w:tcW w:w="1098" w:type="dxa"/>
            <w:vAlign w:val="top"/>
          </w:tcPr>
          <w:p>
            <w:pPr>
              <w:pStyle w:val="TableText"/>
              <w:ind w:left="231"/>
              <w:spacing w:before="39" w:line="215" w:lineRule="auto"/>
              <w:rPr/>
            </w:pPr>
            <w:r>
              <w:rPr>
                <w:rFonts w:ascii="SimSun" w:hAnsi="SimSun" w:eastAsia="SimSun" w:cs="SimSun"/>
                <w:spacing w:val="13"/>
              </w:rPr>
              <w:t>&lt;</w:t>
            </w:r>
            <w:r>
              <w:rPr>
                <w:spacing w:val="13"/>
              </w:rPr>
              <w:t>0.001</w:t>
            </w:r>
          </w:p>
        </w:tc>
      </w:tr>
      <w:tr>
        <w:trPr>
          <w:trHeight w:val="326" w:hRule="atLeast"/>
        </w:trPr>
        <w:tc>
          <w:tcPr>
            <w:tcW w:w="2256" w:type="dxa"/>
            <w:vAlign w:val="top"/>
          </w:tcPr>
          <w:p>
            <w:pPr>
              <w:pStyle w:val="TableText"/>
              <w:ind w:left="204"/>
              <w:spacing w:before="58" w:line="205" w:lineRule="auto"/>
              <w:rPr>
                <w:rFonts w:ascii="SimSun" w:hAnsi="SimSun" w:eastAsia="SimSun" w:cs="SimSun"/>
              </w:rPr>
            </w:pPr>
            <w:r>
              <w:rPr>
                <w:spacing w:val="-6"/>
              </w:rPr>
              <w:t>CRP</w:t>
            </w:r>
            <w:r>
              <w:rPr>
                <w:spacing w:val="11"/>
              </w:rPr>
              <w:t xml:space="preserve">  </w:t>
            </w:r>
            <w:r>
              <w:rPr>
                <w:rFonts w:ascii="SimSun" w:hAnsi="SimSun" w:eastAsia="SimSun" w:cs="SimSun"/>
                <w:spacing w:val="-6"/>
              </w:rPr>
              <w:t>(</w:t>
            </w:r>
            <w:r>
              <w:rPr>
                <w:position w:val="-3"/>
              </w:rPr>
              <w:drawing>
                <wp:inline distT="0" distB="0" distL="0" distR="0">
                  <wp:extent cx="78543" cy="121348"/>
                  <wp:effectExtent l="0" t="0" r="0" b="0"/>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78543" cy="121348"/>
                          </a:xfrm>
                          <a:prstGeom prst="rect">
                            <a:avLst/>
                          </a:prstGeom>
                        </pic:spPr>
                      </pic:pic>
                    </a:graphicData>
                  </a:graphic>
                </wp:inline>
              </w:drawing>
            </w:r>
            <w:r>
              <w:rPr>
                <w:spacing w:val="-6"/>
              </w:rPr>
              <w:t>±</w:t>
            </w:r>
            <w:r>
              <w:rPr>
                <w:i/>
                <w:iCs/>
                <w:spacing w:val="-6"/>
              </w:rPr>
              <w:t>s</w:t>
            </w:r>
            <w:r>
              <w:rPr>
                <w:rFonts w:ascii="SimSun" w:hAnsi="SimSun" w:eastAsia="SimSun" w:cs="SimSun"/>
                <w:sz w:val="22"/>
                <w:szCs w:val="22"/>
                <w:i/>
                <w:iCs/>
                <w:spacing w:val="-6"/>
              </w:rPr>
              <w:t>，</w:t>
            </w:r>
            <w:r>
              <w:rPr>
                <w:spacing w:val="-6"/>
              </w:rPr>
              <w:t>mg/L</w:t>
            </w:r>
            <w:r>
              <w:rPr>
                <w:rFonts w:ascii="SimSun" w:hAnsi="SimSun" w:eastAsia="SimSun" w:cs="SimSun"/>
                <w:spacing w:val="-6"/>
              </w:rPr>
              <w:t>）</w:t>
            </w:r>
          </w:p>
        </w:tc>
        <w:tc>
          <w:tcPr>
            <w:tcW w:w="2069" w:type="dxa"/>
            <w:vAlign w:val="top"/>
          </w:tcPr>
          <w:p>
            <w:pPr>
              <w:pStyle w:val="TableText"/>
              <w:ind w:left="548"/>
              <w:spacing w:before="77" w:line="232" w:lineRule="auto"/>
              <w:rPr/>
            </w:pPr>
            <w:r>
              <w:rPr>
                <w:spacing w:val="-3"/>
              </w:rPr>
              <w:t>18.21±2.31</w:t>
            </w:r>
          </w:p>
        </w:tc>
        <w:tc>
          <w:tcPr>
            <w:tcW w:w="2379" w:type="dxa"/>
            <w:vAlign w:val="top"/>
          </w:tcPr>
          <w:p>
            <w:pPr>
              <w:pStyle w:val="TableText"/>
              <w:ind w:left="865"/>
              <w:spacing w:before="77" w:line="232" w:lineRule="auto"/>
              <w:rPr/>
            </w:pPr>
            <w:r>
              <w:rPr>
                <w:spacing w:val="-2"/>
              </w:rPr>
              <w:t>9.11±1.40</w:t>
            </w:r>
          </w:p>
        </w:tc>
        <w:tc>
          <w:tcPr>
            <w:tcW w:w="1170" w:type="dxa"/>
            <w:vAlign w:val="top"/>
          </w:tcPr>
          <w:p>
            <w:pPr>
              <w:pStyle w:val="TableText"/>
              <w:ind w:left="372"/>
              <w:spacing w:before="95" w:line="219" w:lineRule="auto"/>
              <w:rPr/>
            </w:pPr>
            <w:r>
              <w:rPr>
                <w:spacing w:val="-1"/>
              </w:rPr>
              <w:t>26.444</w:t>
            </w:r>
          </w:p>
        </w:tc>
        <w:tc>
          <w:tcPr>
            <w:tcW w:w="1098" w:type="dxa"/>
            <w:vAlign w:val="top"/>
          </w:tcPr>
          <w:p>
            <w:pPr>
              <w:pStyle w:val="TableText"/>
              <w:ind w:left="231"/>
              <w:spacing w:before="57" w:line="227" w:lineRule="auto"/>
              <w:rPr/>
            </w:pPr>
            <w:r>
              <w:rPr>
                <w:rFonts w:ascii="SimSun" w:hAnsi="SimSun" w:eastAsia="SimSun" w:cs="SimSun"/>
                <w:spacing w:val="13"/>
              </w:rPr>
              <w:t>&lt;</w:t>
            </w:r>
            <w:r>
              <w:rPr>
                <w:spacing w:val="13"/>
              </w:rPr>
              <w:t>0.001</w:t>
            </w:r>
          </w:p>
        </w:tc>
      </w:tr>
      <w:tr>
        <w:trPr>
          <w:trHeight w:val="334" w:hRule="atLeast"/>
        </w:trPr>
        <w:tc>
          <w:tcPr>
            <w:tcW w:w="2256" w:type="dxa"/>
            <w:vAlign w:val="top"/>
            <w:tcBorders>
              <w:bottom w:val="single" w:color="000000" w:sz="2" w:space="0"/>
            </w:tcBorders>
          </w:tcPr>
          <w:p>
            <w:pPr>
              <w:pStyle w:val="TableText"/>
              <w:ind w:left="384"/>
              <w:spacing w:before="44" w:line="213" w:lineRule="auto"/>
              <w:rPr/>
            </w:pPr>
            <w:r>
              <w:rPr>
                <w:spacing w:val="-1"/>
              </w:rPr>
              <w:t>D-D </w:t>
            </w:r>
            <w:r>
              <w:rPr>
                <w:rFonts w:ascii="SimSun" w:hAnsi="SimSun" w:eastAsia="SimSun" w:cs="SimSun"/>
                <w:spacing w:val="-1"/>
              </w:rPr>
              <w:t>异常</w:t>
            </w:r>
            <w:r>
              <w:rPr>
                <w:spacing w:val="-1"/>
              </w:rPr>
              <w:t>[n(%)]</w:t>
            </w:r>
          </w:p>
        </w:tc>
        <w:tc>
          <w:tcPr>
            <w:tcW w:w="2069" w:type="dxa"/>
            <w:vAlign w:val="top"/>
            <w:tcBorders>
              <w:bottom w:val="single" w:color="000000" w:sz="2" w:space="0"/>
            </w:tcBorders>
          </w:tcPr>
          <w:p>
            <w:pPr>
              <w:pStyle w:val="TableText"/>
              <w:ind w:left="509"/>
              <w:spacing w:before="45" w:line="278" w:lineRule="exact"/>
              <w:rPr>
                <w:rFonts w:ascii="SimSun" w:hAnsi="SimSun" w:eastAsia="SimSun" w:cs="SimSun"/>
              </w:rPr>
            </w:pPr>
            <w:r>
              <w:rPr>
                <w:spacing w:val="-1"/>
                <w:position w:val="1"/>
              </w:rPr>
              <w:t>7</w:t>
            </w:r>
            <w:r>
              <w:rPr>
                <w:rFonts w:ascii="SimSun" w:hAnsi="SimSun" w:eastAsia="SimSun" w:cs="SimSun"/>
                <w:spacing w:val="-1"/>
                <w:position w:val="1"/>
              </w:rPr>
              <w:t>（</w:t>
            </w:r>
            <w:r>
              <w:rPr>
                <w:spacing w:val="-1"/>
                <w:position w:val="1"/>
              </w:rPr>
              <w:t>13.46</w:t>
            </w:r>
            <w:r>
              <w:rPr>
                <w:rFonts w:ascii="SimSun" w:hAnsi="SimSun" w:eastAsia="SimSun" w:cs="SimSun"/>
                <w:spacing w:val="-1"/>
                <w:position w:val="1"/>
              </w:rPr>
              <w:t>）</w:t>
            </w:r>
          </w:p>
        </w:tc>
        <w:tc>
          <w:tcPr>
            <w:tcW w:w="2379" w:type="dxa"/>
            <w:vAlign w:val="top"/>
            <w:tcBorders>
              <w:bottom w:val="single" w:color="000000" w:sz="2" w:space="0"/>
            </w:tcBorders>
          </w:tcPr>
          <w:p>
            <w:pPr>
              <w:pStyle w:val="TableText"/>
              <w:ind w:left="842"/>
              <w:spacing w:before="45" w:line="278"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7.58</w:t>
            </w:r>
            <w:r>
              <w:rPr>
                <w:rFonts w:ascii="SimSun" w:hAnsi="SimSun" w:eastAsia="SimSun" w:cs="SimSun"/>
                <w:spacing w:val="-2"/>
                <w:position w:val="1"/>
              </w:rPr>
              <w:t>）</w:t>
            </w:r>
          </w:p>
        </w:tc>
        <w:tc>
          <w:tcPr>
            <w:tcW w:w="1170" w:type="dxa"/>
            <w:vAlign w:val="top"/>
            <w:tcBorders>
              <w:bottom w:val="single" w:color="000000" w:sz="2" w:space="0"/>
            </w:tcBorders>
          </w:tcPr>
          <w:p>
            <w:pPr>
              <w:pStyle w:val="TableText"/>
              <w:ind w:left="444"/>
              <w:spacing w:before="82" w:line="232" w:lineRule="auto"/>
              <w:rPr/>
            </w:pPr>
            <w:r>
              <w:rPr>
                <w:spacing w:val="-5"/>
              </w:rPr>
              <w:t>1.103</w:t>
            </w:r>
          </w:p>
        </w:tc>
        <w:tc>
          <w:tcPr>
            <w:tcW w:w="1098" w:type="dxa"/>
            <w:vAlign w:val="top"/>
            <w:tcBorders>
              <w:bottom w:val="single" w:color="000000" w:sz="2" w:space="0"/>
            </w:tcBorders>
          </w:tcPr>
          <w:p>
            <w:pPr>
              <w:pStyle w:val="TableText"/>
              <w:ind w:left="321"/>
              <w:spacing w:before="82" w:line="232" w:lineRule="auto"/>
              <w:rPr/>
            </w:pPr>
            <w:r>
              <w:rPr>
                <w:spacing w:val="-2"/>
              </w:rPr>
              <w:t>0.294</w:t>
            </w:r>
          </w:p>
        </w:tc>
      </w:tr>
    </w:tbl>
    <w:p>
      <w:pPr>
        <w:pStyle w:val="BodyText"/>
        <w:ind w:left="345"/>
        <w:spacing w:before="29" w:line="233" w:lineRule="auto"/>
        <w:outlineLvl w:val="1"/>
        <w:rPr>
          <w:sz w:val="21"/>
          <w:szCs w:val="21"/>
        </w:rPr>
      </w:pPr>
      <w:r>
        <w:rPr>
          <w:rFonts w:ascii="Times New Roman" w:hAnsi="Times New Roman" w:eastAsia="Times New Roman" w:cs="Times New Roman"/>
          <w:sz w:val="21"/>
          <w:szCs w:val="21"/>
          <w:b/>
          <w:bCs/>
          <w:spacing w:val="-2"/>
        </w:rPr>
        <w:t>2.3  </w:t>
      </w:r>
      <w:r>
        <w:rPr>
          <w:sz w:val="21"/>
          <w:szCs w:val="21"/>
          <w:b/>
          <w:bCs/>
          <w:spacing w:val="-2"/>
        </w:rPr>
        <w:t>腹型</w:t>
      </w:r>
      <w:r>
        <w:rPr>
          <w:sz w:val="21"/>
          <w:szCs w:val="21"/>
          <w:spacing w:val="-46"/>
        </w:rPr>
        <w:t xml:space="preserve"> </w:t>
      </w:r>
      <w:r>
        <w:rPr>
          <w:rFonts w:ascii="Times New Roman" w:hAnsi="Times New Roman" w:eastAsia="Times New Roman" w:cs="Times New Roman"/>
          <w:sz w:val="21"/>
          <w:szCs w:val="21"/>
          <w:b/>
          <w:bCs/>
          <w:spacing w:val="-2"/>
        </w:rPr>
        <w:t>HSP</w:t>
      </w:r>
      <w:r>
        <w:rPr>
          <w:rFonts w:ascii="Times New Roman" w:hAnsi="Times New Roman" w:eastAsia="Times New Roman" w:cs="Times New Roman"/>
          <w:sz w:val="21"/>
          <w:szCs w:val="21"/>
          <w:b/>
          <w:bCs/>
          <w:spacing w:val="18"/>
          <w:w w:val="101"/>
        </w:rPr>
        <w:t xml:space="preserve"> </w:t>
      </w:r>
      <w:r>
        <w:rPr>
          <w:sz w:val="21"/>
          <w:szCs w:val="21"/>
          <w:b/>
          <w:bCs/>
          <w:spacing w:val="-2"/>
        </w:rPr>
        <w:t>患儿发生胃肠道出血</w:t>
      </w:r>
      <w:r>
        <w:rPr>
          <w:sz w:val="21"/>
          <w:szCs w:val="21"/>
          <w:b/>
          <w:bCs/>
          <w:spacing w:val="-3"/>
        </w:rPr>
        <w:t>的多因素分析</w:t>
      </w:r>
    </w:p>
    <w:p>
      <w:pPr>
        <w:pStyle w:val="BodyText"/>
        <w:ind w:left="350" w:right="323" w:firstLine="441"/>
        <w:spacing w:before="48" w:line="276" w:lineRule="auto"/>
        <w:jc w:val="both"/>
        <w:rPr>
          <w:sz w:val="21"/>
          <w:szCs w:val="21"/>
        </w:rPr>
      </w:pPr>
      <w:r>
        <w:rPr>
          <w:sz w:val="21"/>
          <w:szCs w:val="21"/>
          <w:spacing w:val="-4"/>
        </w:rPr>
        <w:t>以腹型</w:t>
      </w:r>
      <w:r>
        <w:rPr>
          <w:sz w:val="21"/>
          <w:szCs w:val="21"/>
          <w:spacing w:val="-49"/>
        </w:rPr>
        <w:t xml:space="preserve"> </w:t>
      </w:r>
      <w:r>
        <w:rPr>
          <w:rFonts w:ascii="Times New Roman" w:hAnsi="Times New Roman" w:eastAsia="Times New Roman" w:cs="Times New Roman"/>
          <w:sz w:val="21"/>
          <w:szCs w:val="21"/>
          <w:spacing w:val="-4"/>
        </w:rPr>
        <w:t>HSP</w:t>
      </w:r>
      <w:r>
        <w:rPr>
          <w:rFonts w:ascii="Times New Roman" w:hAnsi="Times New Roman" w:eastAsia="Times New Roman" w:cs="Times New Roman"/>
          <w:sz w:val="21"/>
          <w:szCs w:val="21"/>
          <w:spacing w:val="19"/>
        </w:rPr>
        <w:t xml:space="preserve"> </w:t>
      </w:r>
      <w:r>
        <w:rPr>
          <w:sz w:val="21"/>
          <w:szCs w:val="21"/>
          <w:spacing w:val="-4"/>
        </w:rPr>
        <w:t>患儿是否发生胃肠道出血为因变量，以表</w:t>
      </w:r>
      <w:r>
        <w:rPr>
          <w:sz w:val="21"/>
          <w:szCs w:val="21"/>
          <w:spacing w:val="-28"/>
        </w:rPr>
        <w:t xml:space="preserve"> </w:t>
      </w:r>
      <w:r>
        <w:rPr>
          <w:rFonts w:ascii="Times New Roman" w:hAnsi="Times New Roman" w:eastAsia="Times New Roman" w:cs="Times New Roman"/>
          <w:sz w:val="21"/>
          <w:szCs w:val="21"/>
          <w:spacing w:val="-4"/>
        </w:rPr>
        <w:t>1</w:t>
      </w:r>
      <w:r>
        <w:rPr>
          <w:sz w:val="21"/>
          <w:szCs w:val="21"/>
          <w:spacing w:val="-4"/>
        </w:rPr>
        <w:t>、</w:t>
      </w:r>
      <w:r>
        <w:rPr>
          <w:rFonts w:ascii="Times New Roman" w:hAnsi="Times New Roman" w:eastAsia="Times New Roman" w:cs="Times New Roman"/>
          <w:sz w:val="21"/>
          <w:szCs w:val="21"/>
          <w:spacing w:val="-4"/>
        </w:rPr>
        <w:t>2</w:t>
      </w:r>
      <w:r>
        <w:rPr>
          <w:rFonts w:ascii="Times New Roman" w:hAnsi="Times New Roman" w:eastAsia="Times New Roman" w:cs="Times New Roman"/>
          <w:sz w:val="21"/>
          <w:szCs w:val="21"/>
          <w:spacing w:val="28"/>
        </w:rPr>
        <w:t xml:space="preserve"> </w:t>
      </w:r>
      <w:r>
        <w:rPr>
          <w:sz w:val="21"/>
          <w:szCs w:val="21"/>
          <w:spacing w:val="-5"/>
        </w:rPr>
        <w:t>中具有统计学意义的指标作</w:t>
      </w:r>
      <w:r>
        <w:rPr>
          <w:sz w:val="21"/>
          <w:szCs w:val="21"/>
        </w:rPr>
        <w:t xml:space="preserve"> </w:t>
      </w:r>
      <w:r>
        <w:rPr>
          <w:sz w:val="21"/>
          <w:szCs w:val="21"/>
          <w:spacing w:val="-5"/>
        </w:rPr>
        <w:t>为自变量，赋值情况见表</w:t>
      </w:r>
      <w:r>
        <w:rPr>
          <w:sz w:val="21"/>
          <w:szCs w:val="21"/>
          <w:spacing w:val="-39"/>
        </w:rPr>
        <w:t xml:space="preserve"> </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3"/>
        </w:rPr>
        <w:t xml:space="preserve"> </w:t>
      </w:r>
      <w:r>
        <w:rPr>
          <w:sz w:val="21"/>
          <w:szCs w:val="21"/>
          <w:spacing w:val="-5"/>
        </w:rPr>
        <w:t>。多因素</w:t>
      </w:r>
      <w:r>
        <w:rPr>
          <w:sz w:val="21"/>
          <w:szCs w:val="21"/>
          <w:spacing w:val="-46"/>
        </w:rPr>
        <w:t xml:space="preserve"> </w:t>
      </w:r>
      <w:r>
        <w:rPr>
          <w:rFonts w:ascii="Times New Roman" w:hAnsi="Times New Roman" w:eastAsia="Times New Roman" w:cs="Times New Roman"/>
          <w:sz w:val="21"/>
          <w:szCs w:val="21"/>
          <w:spacing w:val="-5"/>
        </w:rPr>
        <w:t>logistic</w:t>
      </w:r>
      <w:r>
        <w:rPr>
          <w:rFonts w:ascii="Times New Roman" w:hAnsi="Times New Roman" w:eastAsia="Times New Roman" w:cs="Times New Roman"/>
          <w:sz w:val="21"/>
          <w:szCs w:val="21"/>
          <w:spacing w:val="30"/>
        </w:rPr>
        <w:t xml:space="preserve"> </w:t>
      </w:r>
      <w:r>
        <w:rPr>
          <w:sz w:val="21"/>
          <w:szCs w:val="21"/>
          <w:spacing w:val="-5"/>
        </w:rPr>
        <w:t>回归分析显示，皮疹分布、呕吐、</w:t>
      </w:r>
      <w:r>
        <w:rPr>
          <w:sz w:val="21"/>
          <w:szCs w:val="21"/>
          <w:spacing w:val="26"/>
        </w:rPr>
        <w:t xml:space="preserve"> </w:t>
      </w:r>
      <w:r>
        <w:rPr>
          <w:rFonts w:ascii="Times New Roman" w:hAnsi="Times New Roman" w:eastAsia="Times New Roman" w:cs="Times New Roman"/>
          <w:sz w:val="21"/>
          <w:szCs w:val="21"/>
          <w:spacing w:val="-5"/>
        </w:rPr>
        <w:t>NLR </w:t>
      </w:r>
      <w:r>
        <w:rPr>
          <w:sz w:val="21"/>
          <w:szCs w:val="21"/>
          <w:spacing w:val="-5"/>
        </w:rPr>
        <w:t>及</w:t>
      </w:r>
      <w:r>
        <w:rPr>
          <w:sz w:val="21"/>
          <w:szCs w:val="21"/>
          <w:spacing w:val="-44"/>
        </w:rPr>
        <w:t xml:space="preserve"> </w:t>
      </w:r>
      <w:r>
        <w:rPr>
          <w:rFonts w:ascii="Times New Roman" w:hAnsi="Times New Roman" w:eastAsia="Times New Roman" w:cs="Times New Roman"/>
          <w:sz w:val="21"/>
          <w:szCs w:val="21"/>
          <w:spacing w:val="-5"/>
        </w:rPr>
        <w:t>CRP</w:t>
      </w:r>
      <w:r>
        <w:rPr>
          <w:rFonts w:ascii="Times New Roman" w:hAnsi="Times New Roman" w:eastAsia="Times New Roman" w:cs="Times New Roman"/>
          <w:sz w:val="21"/>
          <w:szCs w:val="21"/>
        </w:rPr>
        <w:t xml:space="preserve"> </w:t>
      </w:r>
      <w:r>
        <w:rPr>
          <w:sz w:val="21"/>
          <w:szCs w:val="21"/>
          <w:spacing w:val="-1"/>
        </w:rPr>
        <w:t>水平为腹型</w:t>
      </w:r>
      <w:r>
        <w:rPr>
          <w:sz w:val="21"/>
          <w:szCs w:val="21"/>
          <w:spacing w:val="-48"/>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18"/>
        </w:rPr>
        <w:t xml:space="preserve"> </w:t>
      </w:r>
      <w:r>
        <w:rPr>
          <w:sz w:val="21"/>
          <w:szCs w:val="21"/>
          <w:spacing w:val="-1"/>
        </w:rPr>
        <w:t>患儿发生胃肠道出血的独立危险因素（</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）。见表</w:t>
      </w:r>
      <w:r>
        <w:rPr>
          <w:sz w:val="21"/>
          <w:szCs w:val="21"/>
          <w:spacing w:val="-49"/>
        </w:rPr>
        <w:t xml:space="preserve"> </w:t>
      </w:r>
      <w:r>
        <w:rPr>
          <w:rFonts w:ascii="Times New Roman" w:hAnsi="Times New Roman" w:eastAsia="Times New Roman" w:cs="Times New Roman"/>
          <w:sz w:val="21"/>
          <w:szCs w:val="21"/>
          <w:spacing w:val="-1"/>
        </w:rPr>
        <w:t>4</w:t>
      </w:r>
      <w:r>
        <w:rPr>
          <w:sz w:val="21"/>
          <w:szCs w:val="21"/>
          <w:spacing w:val="-1"/>
        </w:rPr>
        <w:t>。</w:t>
      </w:r>
    </w:p>
    <w:p>
      <w:pPr>
        <w:pStyle w:val="BodyText"/>
        <w:ind w:left="3555"/>
        <w:spacing w:before="277" w:line="233" w:lineRule="auto"/>
        <w:rPr>
          <w:sz w:val="21"/>
          <w:szCs w:val="21"/>
        </w:rPr>
      </w:pPr>
      <w:r>
        <w:rPr>
          <w:sz w:val="21"/>
          <w:szCs w:val="21"/>
          <w:spacing w:val="-5"/>
        </w:rPr>
        <w:t>表</w:t>
      </w:r>
      <w:r>
        <w:rPr>
          <w:sz w:val="21"/>
          <w:szCs w:val="21"/>
          <w:spacing w:val="-42"/>
        </w:rPr>
        <w:t xml:space="preserve"> </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6"/>
        </w:rPr>
        <w:t xml:space="preserve"> </w:t>
      </w:r>
      <w:r>
        <w:rPr>
          <w:sz w:val="21"/>
          <w:szCs w:val="21"/>
          <w:spacing w:val="-5"/>
        </w:rPr>
        <w:t>因变量赋值情况</w:t>
      </w:r>
    </w:p>
    <w:p>
      <w:pPr>
        <w:spacing w:line="233" w:lineRule="auto"/>
        <w:sectPr>
          <w:headerReference w:type="default" r:id="rId8"/>
          <w:pgSz w:w="11907" w:h="16839"/>
          <w:pgMar w:top="400" w:right="1473" w:bottom="0" w:left="1460" w:header="0" w:footer="0" w:gutter="0"/>
        </w:sectPr>
        <w:rPr>
          <w:sz w:val="21"/>
          <w:szCs w:val="21"/>
        </w:rPr>
      </w:pPr>
    </w:p>
    <w:p>
      <w:pPr>
        <w:spacing w:line="17" w:lineRule="exact"/>
        <w:rPr/>
      </w:pPr>
      <w:r/>
    </w:p>
    <w:tbl>
      <w:tblPr>
        <w:tblStyle w:val="TableNormal"/>
        <w:tblW w:w="853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79"/>
        <w:gridCol w:w="1686"/>
        <w:gridCol w:w="580"/>
        <w:gridCol w:w="373"/>
        <w:gridCol w:w="950"/>
        <w:gridCol w:w="928"/>
        <w:gridCol w:w="950"/>
        <w:gridCol w:w="1491"/>
      </w:tblGrid>
      <w:tr>
        <w:trPr>
          <w:trHeight w:val="302" w:hRule="atLeast"/>
        </w:trPr>
        <w:tc>
          <w:tcPr>
            <w:tcW w:w="1579" w:type="dxa"/>
            <w:vAlign w:val="top"/>
            <w:tcBorders>
              <w:top w:val="single" w:color="000000" w:sz="2" w:space="0"/>
            </w:tcBorders>
          </w:tcPr>
          <w:p>
            <w:pPr>
              <w:pStyle w:val="TableText"/>
              <w:ind w:left="721"/>
              <w:spacing w:before="58" w:line="186" w:lineRule="auto"/>
              <w:rPr/>
            </w:pPr>
            <w:r>
              <w:rPr>
                <w:spacing w:val="-1"/>
              </w:rPr>
              <w:t>X1</w:t>
            </w:r>
          </w:p>
        </w:tc>
        <w:tc>
          <w:tcPr>
            <w:tcW w:w="2266" w:type="dxa"/>
            <w:vAlign w:val="top"/>
            <w:gridSpan w:val="2"/>
            <w:tcBorders>
              <w:top w:val="single" w:color="000000" w:sz="2" w:space="0"/>
            </w:tcBorders>
          </w:tcPr>
          <w:p>
            <w:pPr>
              <w:ind w:left="686"/>
              <w:spacing w:before="35" w:line="219" w:lineRule="auto"/>
              <w:rPr>
                <w:rFonts w:ascii="SimSun" w:hAnsi="SimSun" w:eastAsia="SimSun" w:cs="SimSun"/>
                <w:sz w:val="21"/>
                <w:szCs w:val="21"/>
              </w:rPr>
            </w:pPr>
            <w:r>
              <w:rPr>
                <w:rFonts w:ascii="SimSun" w:hAnsi="SimSun" w:eastAsia="SimSun" w:cs="SimSun"/>
                <w:sz w:val="21"/>
                <w:szCs w:val="21"/>
                <w:spacing w:val="-3"/>
              </w:rPr>
              <w:t>皮疹分布</w:t>
            </w:r>
          </w:p>
        </w:tc>
        <w:tc>
          <w:tcPr>
            <w:tcW w:w="4692" w:type="dxa"/>
            <w:vAlign w:val="top"/>
            <w:gridSpan w:val="5"/>
            <w:tcBorders>
              <w:top w:val="single" w:color="000000" w:sz="2" w:space="0"/>
            </w:tcBorders>
          </w:tcPr>
          <w:p>
            <w:pPr>
              <w:pStyle w:val="TableText"/>
              <w:ind w:left="714"/>
              <w:spacing w:before="35" w:line="221" w:lineRule="auto"/>
              <w:rPr>
                <w:rFonts w:ascii="SimSun" w:hAnsi="SimSun" w:eastAsia="SimSun" w:cs="SimSun"/>
              </w:rPr>
            </w:pPr>
            <w:r>
              <w:rPr>
                <w:spacing w:val="-1"/>
              </w:rPr>
              <w:t>0=</w:t>
            </w:r>
            <w:r>
              <w:rPr>
                <w:rFonts w:ascii="SimSun" w:hAnsi="SimSun" w:eastAsia="SimSun" w:cs="SimSun"/>
                <w:spacing w:val="-1"/>
              </w:rPr>
              <w:t>轻度</w:t>
            </w:r>
            <w:r>
              <w:rPr>
                <w:spacing w:val="-1"/>
              </w:rPr>
              <w:t>,1=</w:t>
            </w:r>
            <w:r>
              <w:rPr>
                <w:rFonts w:ascii="SimSun" w:hAnsi="SimSun" w:eastAsia="SimSun" w:cs="SimSun"/>
                <w:spacing w:val="-1"/>
              </w:rPr>
              <w:t>中度，</w:t>
            </w:r>
            <w:r>
              <w:rPr>
                <w:spacing w:val="-1"/>
              </w:rPr>
              <w:t>2=</w:t>
            </w:r>
            <w:r>
              <w:rPr>
                <w:rFonts w:ascii="SimSun" w:hAnsi="SimSun" w:eastAsia="SimSun" w:cs="SimSun"/>
                <w:spacing w:val="-1"/>
              </w:rPr>
              <w:t>重度</w:t>
            </w:r>
            <w:r>
              <w:rPr>
                <w:spacing w:val="-1"/>
              </w:rPr>
              <w:t>,3=</w:t>
            </w:r>
            <w:r>
              <w:rPr>
                <w:rFonts w:ascii="SimSun" w:hAnsi="SimSun" w:eastAsia="SimSun" w:cs="SimSun"/>
                <w:spacing w:val="-1"/>
              </w:rPr>
              <w:t>特重度</w:t>
            </w:r>
          </w:p>
        </w:tc>
      </w:tr>
      <w:tr>
        <w:trPr>
          <w:trHeight w:val="305" w:hRule="atLeast"/>
        </w:trPr>
        <w:tc>
          <w:tcPr>
            <w:tcW w:w="1579" w:type="dxa"/>
            <w:vAlign w:val="top"/>
          </w:tcPr>
          <w:p>
            <w:pPr>
              <w:pStyle w:val="TableText"/>
              <w:ind w:left="721"/>
              <w:spacing w:before="69" w:line="186" w:lineRule="auto"/>
              <w:rPr/>
            </w:pPr>
            <w:r>
              <w:rPr>
                <w:spacing w:val="-1"/>
              </w:rPr>
              <w:t>X2</w:t>
            </w:r>
          </w:p>
        </w:tc>
        <w:tc>
          <w:tcPr>
            <w:tcW w:w="2266" w:type="dxa"/>
            <w:vAlign w:val="top"/>
            <w:gridSpan w:val="2"/>
          </w:tcPr>
          <w:p>
            <w:pPr>
              <w:ind w:left="902"/>
              <w:spacing w:before="47" w:line="218" w:lineRule="auto"/>
              <w:rPr>
                <w:rFonts w:ascii="SimSun" w:hAnsi="SimSun" w:eastAsia="SimSun" w:cs="SimSun"/>
                <w:sz w:val="21"/>
                <w:szCs w:val="21"/>
              </w:rPr>
            </w:pPr>
            <w:r>
              <w:rPr>
                <w:rFonts w:ascii="SimSun" w:hAnsi="SimSun" w:eastAsia="SimSun" w:cs="SimSun"/>
                <w:sz w:val="21"/>
                <w:szCs w:val="21"/>
                <w:spacing w:val="-5"/>
              </w:rPr>
              <w:t>呕吐</w:t>
            </w:r>
          </w:p>
        </w:tc>
        <w:tc>
          <w:tcPr>
            <w:tcW w:w="4692" w:type="dxa"/>
            <w:vAlign w:val="top"/>
            <w:gridSpan w:val="5"/>
          </w:tcPr>
          <w:p>
            <w:pPr>
              <w:pStyle w:val="TableText"/>
              <w:ind w:left="1724"/>
              <w:spacing w:before="47" w:line="218" w:lineRule="auto"/>
              <w:rPr>
                <w:rFonts w:ascii="SimSun" w:hAnsi="SimSun" w:eastAsia="SimSun" w:cs="SimSun"/>
              </w:rPr>
            </w:pPr>
            <w:r>
              <w:rPr>
                <w:spacing w:val="-1"/>
              </w:rPr>
              <w:t>0=</w:t>
            </w:r>
            <w:r>
              <w:rPr>
                <w:rFonts w:ascii="SimSun" w:hAnsi="SimSun" w:eastAsia="SimSun" w:cs="SimSun"/>
                <w:spacing w:val="-1"/>
              </w:rPr>
              <w:t>无，</w:t>
            </w:r>
            <w:r>
              <w:rPr>
                <w:spacing w:val="-1"/>
              </w:rPr>
              <w:t>1=</w:t>
            </w:r>
            <w:r>
              <w:rPr>
                <w:rFonts w:ascii="SimSun" w:hAnsi="SimSun" w:eastAsia="SimSun" w:cs="SimSun"/>
                <w:spacing w:val="-1"/>
              </w:rPr>
              <w:t>有</w:t>
            </w:r>
          </w:p>
        </w:tc>
      </w:tr>
      <w:tr>
        <w:trPr>
          <w:trHeight w:val="313" w:hRule="atLeast"/>
        </w:trPr>
        <w:tc>
          <w:tcPr>
            <w:tcW w:w="1579" w:type="dxa"/>
            <w:vAlign w:val="top"/>
          </w:tcPr>
          <w:p>
            <w:pPr>
              <w:pStyle w:val="TableText"/>
              <w:ind w:left="721"/>
              <w:spacing w:before="77" w:line="186" w:lineRule="auto"/>
              <w:rPr/>
            </w:pPr>
            <w:r>
              <w:rPr>
                <w:spacing w:val="-1"/>
              </w:rPr>
              <w:t>X3</w:t>
            </w:r>
          </w:p>
        </w:tc>
        <w:tc>
          <w:tcPr>
            <w:tcW w:w="2266" w:type="dxa"/>
            <w:vAlign w:val="top"/>
            <w:gridSpan w:val="2"/>
          </w:tcPr>
          <w:p>
            <w:pPr>
              <w:pStyle w:val="TableText"/>
              <w:ind w:left="858"/>
              <w:spacing w:before="94" w:line="186" w:lineRule="auto"/>
              <w:rPr/>
            </w:pPr>
            <w:r>
              <w:rPr>
                <w:spacing w:val="-1"/>
              </w:rPr>
              <w:t>WBC</w:t>
            </w:r>
          </w:p>
        </w:tc>
        <w:tc>
          <w:tcPr>
            <w:tcW w:w="4692" w:type="dxa"/>
            <w:vAlign w:val="top"/>
            <w:gridSpan w:val="5"/>
          </w:tcPr>
          <w:p>
            <w:pPr>
              <w:ind w:left="1845"/>
              <w:spacing w:before="55" w:line="218" w:lineRule="auto"/>
              <w:rPr>
                <w:rFonts w:ascii="SimSun" w:hAnsi="SimSun" w:eastAsia="SimSun" w:cs="SimSun"/>
                <w:sz w:val="21"/>
                <w:szCs w:val="21"/>
              </w:rPr>
            </w:pPr>
            <w:r>
              <w:rPr>
                <w:rFonts w:ascii="SimSun" w:hAnsi="SimSun" w:eastAsia="SimSun" w:cs="SimSun"/>
                <w:sz w:val="21"/>
                <w:szCs w:val="21"/>
                <w:spacing w:val="-2"/>
              </w:rPr>
              <w:t>连续变量</w:t>
            </w:r>
          </w:p>
        </w:tc>
      </w:tr>
      <w:tr>
        <w:trPr>
          <w:trHeight w:val="313" w:hRule="atLeast"/>
        </w:trPr>
        <w:tc>
          <w:tcPr>
            <w:tcW w:w="1579" w:type="dxa"/>
            <w:vAlign w:val="top"/>
          </w:tcPr>
          <w:p>
            <w:pPr>
              <w:pStyle w:val="TableText"/>
              <w:ind w:left="721"/>
              <w:spacing w:before="78" w:line="186" w:lineRule="auto"/>
              <w:rPr/>
            </w:pPr>
            <w:r>
              <w:rPr>
                <w:spacing w:val="-1"/>
              </w:rPr>
              <w:t>X4</w:t>
            </w:r>
          </w:p>
        </w:tc>
        <w:tc>
          <w:tcPr>
            <w:tcW w:w="2266" w:type="dxa"/>
            <w:vAlign w:val="top"/>
            <w:gridSpan w:val="2"/>
          </w:tcPr>
          <w:p>
            <w:pPr>
              <w:pStyle w:val="TableText"/>
              <w:ind w:left="921"/>
              <w:spacing w:before="98" w:line="183" w:lineRule="auto"/>
              <w:rPr/>
            </w:pPr>
            <w:r>
              <w:rPr>
                <w:spacing w:val="-2"/>
              </w:rPr>
              <w:t>PLT</w:t>
            </w:r>
          </w:p>
        </w:tc>
        <w:tc>
          <w:tcPr>
            <w:tcW w:w="4692" w:type="dxa"/>
            <w:vAlign w:val="top"/>
            <w:gridSpan w:val="5"/>
          </w:tcPr>
          <w:p>
            <w:pPr>
              <w:ind w:left="1845"/>
              <w:spacing w:before="55" w:line="218" w:lineRule="auto"/>
              <w:rPr>
                <w:rFonts w:ascii="SimSun" w:hAnsi="SimSun" w:eastAsia="SimSun" w:cs="SimSun"/>
                <w:sz w:val="21"/>
                <w:szCs w:val="21"/>
              </w:rPr>
            </w:pPr>
            <w:r>
              <w:rPr>
                <w:rFonts w:ascii="SimSun" w:hAnsi="SimSun" w:eastAsia="SimSun" w:cs="SimSun"/>
                <w:sz w:val="21"/>
                <w:szCs w:val="21"/>
                <w:spacing w:val="-2"/>
              </w:rPr>
              <w:t>连续变量</w:t>
            </w:r>
          </w:p>
        </w:tc>
      </w:tr>
      <w:tr>
        <w:trPr>
          <w:trHeight w:val="313" w:hRule="atLeast"/>
        </w:trPr>
        <w:tc>
          <w:tcPr>
            <w:tcW w:w="1579" w:type="dxa"/>
            <w:vAlign w:val="top"/>
          </w:tcPr>
          <w:p>
            <w:pPr>
              <w:pStyle w:val="TableText"/>
              <w:ind w:left="721"/>
              <w:spacing w:before="81" w:line="183" w:lineRule="auto"/>
              <w:rPr/>
            </w:pPr>
            <w:r>
              <w:rPr>
                <w:spacing w:val="-1"/>
              </w:rPr>
              <w:t>X5</w:t>
            </w:r>
          </w:p>
        </w:tc>
        <w:tc>
          <w:tcPr>
            <w:tcW w:w="2266" w:type="dxa"/>
            <w:vAlign w:val="top"/>
            <w:gridSpan w:val="2"/>
          </w:tcPr>
          <w:p>
            <w:pPr>
              <w:pStyle w:val="TableText"/>
              <w:ind w:left="876"/>
              <w:spacing w:before="98" w:line="183" w:lineRule="auto"/>
              <w:rPr/>
            </w:pPr>
            <w:r>
              <w:rPr/>
              <w:t>NEU</w:t>
            </w:r>
          </w:p>
        </w:tc>
        <w:tc>
          <w:tcPr>
            <w:tcW w:w="4692" w:type="dxa"/>
            <w:vAlign w:val="top"/>
            <w:gridSpan w:val="5"/>
          </w:tcPr>
          <w:p>
            <w:pPr>
              <w:ind w:left="1845"/>
              <w:spacing w:before="56" w:line="217" w:lineRule="auto"/>
              <w:rPr>
                <w:rFonts w:ascii="SimSun" w:hAnsi="SimSun" w:eastAsia="SimSun" w:cs="SimSun"/>
                <w:sz w:val="21"/>
                <w:szCs w:val="21"/>
              </w:rPr>
            </w:pPr>
            <w:r>
              <w:rPr>
                <w:rFonts w:ascii="SimSun" w:hAnsi="SimSun" w:eastAsia="SimSun" w:cs="SimSun"/>
                <w:sz w:val="21"/>
                <w:szCs w:val="21"/>
                <w:spacing w:val="-2"/>
              </w:rPr>
              <w:t>连续变量</w:t>
            </w:r>
          </w:p>
        </w:tc>
      </w:tr>
      <w:tr>
        <w:trPr>
          <w:trHeight w:val="313" w:hRule="atLeast"/>
        </w:trPr>
        <w:tc>
          <w:tcPr>
            <w:tcW w:w="1579" w:type="dxa"/>
            <w:vAlign w:val="top"/>
          </w:tcPr>
          <w:p>
            <w:pPr>
              <w:pStyle w:val="TableText"/>
              <w:ind w:left="721"/>
              <w:spacing w:before="78" w:line="186" w:lineRule="auto"/>
              <w:rPr/>
            </w:pPr>
            <w:r>
              <w:rPr>
                <w:spacing w:val="-1"/>
              </w:rPr>
              <w:t>X6</w:t>
            </w:r>
          </w:p>
        </w:tc>
        <w:tc>
          <w:tcPr>
            <w:tcW w:w="2266" w:type="dxa"/>
            <w:vAlign w:val="top"/>
            <w:gridSpan w:val="2"/>
          </w:tcPr>
          <w:p>
            <w:pPr>
              <w:pStyle w:val="TableText"/>
              <w:ind w:left="882"/>
              <w:spacing w:before="98" w:line="183" w:lineRule="auto"/>
              <w:rPr/>
            </w:pPr>
            <w:r>
              <w:rPr>
                <w:spacing w:val="1"/>
              </w:rPr>
              <w:t>NLR</w:t>
            </w:r>
          </w:p>
        </w:tc>
        <w:tc>
          <w:tcPr>
            <w:tcW w:w="4692" w:type="dxa"/>
            <w:vAlign w:val="top"/>
            <w:gridSpan w:val="5"/>
          </w:tcPr>
          <w:p>
            <w:pPr>
              <w:ind w:left="1845"/>
              <w:spacing w:before="56" w:line="217" w:lineRule="auto"/>
              <w:rPr>
                <w:rFonts w:ascii="SimSun" w:hAnsi="SimSun" w:eastAsia="SimSun" w:cs="SimSun"/>
                <w:sz w:val="21"/>
                <w:szCs w:val="21"/>
              </w:rPr>
            </w:pPr>
            <w:r>
              <w:rPr>
                <w:rFonts w:ascii="SimSun" w:hAnsi="SimSun" w:eastAsia="SimSun" w:cs="SimSun"/>
                <w:sz w:val="21"/>
                <w:szCs w:val="21"/>
                <w:spacing w:val="-2"/>
              </w:rPr>
              <w:t>连续变量</w:t>
            </w:r>
          </w:p>
        </w:tc>
      </w:tr>
      <w:tr>
        <w:trPr>
          <w:trHeight w:val="313" w:hRule="atLeast"/>
        </w:trPr>
        <w:tc>
          <w:tcPr>
            <w:tcW w:w="1579" w:type="dxa"/>
            <w:vAlign w:val="top"/>
          </w:tcPr>
          <w:p>
            <w:pPr>
              <w:pStyle w:val="TableText"/>
              <w:ind w:left="721"/>
              <w:spacing w:before="81" w:line="183" w:lineRule="auto"/>
              <w:rPr/>
            </w:pPr>
            <w:r>
              <w:rPr>
                <w:spacing w:val="-1"/>
              </w:rPr>
              <w:t>X7</w:t>
            </w:r>
          </w:p>
        </w:tc>
        <w:tc>
          <w:tcPr>
            <w:tcW w:w="2266" w:type="dxa"/>
            <w:vAlign w:val="top"/>
            <w:gridSpan w:val="2"/>
          </w:tcPr>
          <w:p>
            <w:pPr>
              <w:pStyle w:val="TableText"/>
              <w:ind w:left="904"/>
              <w:spacing w:before="95" w:line="186" w:lineRule="auto"/>
              <w:rPr/>
            </w:pPr>
            <w:r>
              <w:rPr>
                <w:spacing w:val="-2"/>
              </w:rPr>
              <w:t>CRP</w:t>
            </w:r>
          </w:p>
        </w:tc>
        <w:tc>
          <w:tcPr>
            <w:tcW w:w="4692" w:type="dxa"/>
            <w:vAlign w:val="top"/>
            <w:gridSpan w:val="5"/>
          </w:tcPr>
          <w:p>
            <w:pPr>
              <w:ind w:left="1845"/>
              <w:spacing w:before="56" w:line="217" w:lineRule="auto"/>
              <w:rPr>
                <w:rFonts w:ascii="SimSun" w:hAnsi="SimSun" w:eastAsia="SimSun" w:cs="SimSun"/>
                <w:sz w:val="21"/>
                <w:szCs w:val="21"/>
              </w:rPr>
            </w:pPr>
            <w:r>
              <w:rPr>
                <w:rFonts w:ascii="SimSun" w:hAnsi="SimSun" w:eastAsia="SimSun" w:cs="SimSun"/>
                <w:sz w:val="21"/>
                <w:szCs w:val="21"/>
                <w:spacing w:val="-2"/>
              </w:rPr>
              <w:t>连续变量</w:t>
            </w:r>
          </w:p>
        </w:tc>
      </w:tr>
      <w:tr>
        <w:trPr>
          <w:trHeight w:val="341" w:hRule="atLeast"/>
        </w:trPr>
        <w:tc>
          <w:tcPr>
            <w:tcW w:w="1579" w:type="dxa"/>
            <w:vAlign w:val="top"/>
            <w:tcBorders>
              <w:bottom w:val="single" w:color="000000" w:sz="2" w:space="0"/>
            </w:tcBorders>
          </w:tcPr>
          <w:p>
            <w:pPr>
              <w:pStyle w:val="TableText"/>
              <w:ind w:left="774"/>
              <w:spacing w:before="82" w:line="183" w:lineRule="auto"/>
              <w:rPr/>
            </w:pPr>
            <w:r>
              <w:rPr/>
              <w:t>Y</w:t>
            </w:r>
          </w:p>
        </w:tc>
        <w:tc>
          <w:tcPr>
            <w:tcW w:w="2266" w:type="dxa"/>
            <w:vAlign w:val="top"/>
            <w:gridSpan w:val="2"/>
            <w:tcBorders>
              <w:bottom w:val="single" w:color="000000" w:sz="2" w:space="0"/>
            </w:tcBorders>
          </w:tcPr>
          <w:p>
            <w:pPr>
              <w:ind w:left="610"/>
              <w:spacing w:before="55" w:line="219" w:lineRule="auto"/>
              <w:rPr>
                <w:rFonts w:ascii="SimSun" w:hAnsi="SimSun" w:eastAsia="SimSun" w:cs="SimSun"/>
                <w:sz w:val="21"/>
                <w:szCs w:val="21"/>
              </w:rPr>
            </w:pPr>
            <w:r>
              <w:rPr>
                <w:rFonts w:ascii="SimSun" w:hAnsi="SimSun" w:eastAsia="SimSun" w:cs="SimSun"/>
                <w:sz w:val="21"/>
                <w:szCs w:val="21"/>
                <w:spacing w:val="-7"/>
              </w:rPr>
              <w:t>胃肠道出血</w:t>
            </w:r>
          </w:p>
        </w:tc>
        <w:tc>
          <w:tcPr>
            <w:tcW w:w="4692" w:type="dxa"/>
            <w:vAlign w:val="top"/>
            <w:gridSpan w:val="5"/>
            <w:tcBorders>
              <w:bottom w:val="single" w:color="000000" w:sz="2" w:space="0"/>
            </w:tcBorders>
          </w:tcPr>
          <w:p>
            <w:pPr>
              <w:pStyle w:val="TableText"/>
              <w:ind w:left="1409"/>
              <w:spacing w:before="56" w:line="234" w:lineRule="auto"/>
              <w:rPr>
                <w:rFonts w:ascii="SimSun" w:hAnsi="SimSun" w:eastAsia="SimSun" w:cs="SimSun"/>
              </w:rPr>
            </w:pPr>
            <w:r>
              <w:rPr>
                <w:spacing w:val="-1"/>
              </w:rPr>
              <w:t>0=</w:t>
            </w:r>
            <w:r>
              <w:rPr>
                <w:rFonts w:ascii="SimSun" w:hAnsi="SimSun" w:eastAsia="SimSun" w:cs="SimSun"/>
                <w:spacing w:val="-1"/>
              </w:rPr>
              <w:t>未发生，</w:t>
            </w:r>
            <w:r>
              <w:rPr>
                <w:spacing w:val="-1"/>
              </w:rPr>
              <w:t>1=</w:t>
            </w:r>
            <w:r>
              <w:rPr>
                <w:rFonts w:ascii="SimSun" w:hAnsi="SimSun" w:eastAsia="SimSun" w:cs="SimSun"/>
                <w:spacing w:val="-1"/>
              </w:rPr>
              <w:t>发生</w:t>
            </w:r>
          </w:p>
        </w:tc>
      </w:tr>
      <w:tr>
        <w:trPr>
          <w:trHeight w:val="317" w:hRule="atLeast"/>
        </w:trPr>
        <w:tc>
          <w:tcPr>
            <w:tcW w:w="8537" w:type="dxa"/>
            <w:vAlign w:val="top"/>
            <w:gridSpan w:val="8"/>
            <w:tcBorders>
              <w:bottom w:val="single" w:color="000000" w:sz="2" w:space="0"/>
              <w:top w:val="single" w:color="000000" w:sz="2" w:space="0"/>
            </w:tcBorders>
          </w:tcPr>
          <w:p>
            <w:pPr>
              <w:pStyle w:val="TableText"/>
              <w:ind w:left="2042"/>
              <w:spacing w:before="32" w:line="233" w:lineRule="auto"/>
              <w:rPr>
                <w:rFonts w:ascii="SimSun" w:hAnsi="SimSun" w:eastAsia="SimSun" w:cs="SimSun"/>
              </w:rPr>
            </w:pPr>
            <w:r>
              <w:rPr>
                <w:rFonts w:ascii="SimSun" w:hAnsi="SimSun" w:eastAsia="SimSun" w:cs="SimSun"/>
                <w:spacing w:val="-2"/>
              </w:rPr>
              <w:t>表</w:t>
            </w:r>
            <w:r>
              <w:rPr>
                <w:rFonts w:ascii="SimSun" w:hAnsi="SimSun" w:eastAsia="SimSun" w:cs="SimSun"/>
                <w:spacing w:val="-38"/>
              </w:rPr>
              <w:t xml:space="preserve"> </w:t>
            </w:r>
            <w:r>
              <w:rPr>
                <w:spacing w:val="-2"/>
              </w:rPr>
              <w:t>4 </w:t>
            </w:r>
            <w:r>
              <w:rPr>
                <w:rFonts w:ascii="SimSun" w:hAnsi="SimSun" w:eastAsia="SimSun" w:cs="SimSun"/>
                <w:spacing w:val="-2"/>
              </w:rPr>
              <w:t>腹型</w:t>
            </w:r>
            <w:r>
              <w:rPr>
                <w:rFonts w:ascii="SimSun" w:hAnsi="SimSun" w:eastAsia="SimSun" w:cs="SimSun"/>
                <w:spacing w:val="-48"/>
              </w:rPr>
              <w:t xml:space="preserve"> </w:t>
            </w:r>
            <w:r>
              <w:rPr>
                <w:spacing w:val="-2"/>
              </w:rPr>
              <w:t>HSP</w:t>
            </w:r>
            <w:r>
              <w:rPr>
                <w:spacing w:val="18"/>
              </w:rPr>
              <w:t xml:space="preserve"> </w:t>
            </w:r>
            <w:r>
              <w:rPr>
                <w:rFonts w:ascii="SimSun" w:hAnsi="SimSun" w:eastAsia="SimSun" w:cs="SimSun"/>
                <w:spacing w:val="-2"/>
              </w:rPr>
              <w:t>患儿发生胃肠道出血的多因素分析</w:t>
            </w:r>
          </w:p>
        </w:tc>
      </w:tr>
      <w:tr>
        <w:trPr>
          <w:trHeight w:val="318" w:hRule="atLeast"/>
        </w:trPr>
        <w:tc>
          <w:tcPr>
            <w:tcW w:w="1579" w:type="dxa"/>
            <w:vAlign w:val="top"/>
            <w:tcBorders>
              <w:bottom w:val="single" w:color="000000" w:sz="2" w:space="0"/>
              <w:top w:val="single" w:color="000000" w:sz="2" w:space="0"/>
            </w:tcBorders>
          </w:tcPr>
          <w:p>
            <w:pPr>
              <w:ind w:left="958"/>
              <w:spacing w:before="34" w:line="220" w:lineRule="auto"/>
              <w:rPr>
                <w:rFonts w:ascii="SimSun" w:hAnsi="SimSun" w:eastAsia="SimSun" w:cs="SimSun"/>
                <w:sz w:val="21"/>
                <w:szCs w:val="21"/>
              </w:rPr>
            </w:pPr>
            <w:r>
              <w:rPr>
                <w:rFonts w:ascii="SimSun" w:hAnsi="SimSun" w:eastAsia="SimSun" w:cs="SimSun"/>
                <w:sz w:val="21"/>
                <w:szCs w:val="21"/>
                <w:spacing w:val="-3"/>
              </w:rPr>
              <w:t>指标</w:t>
            </w:r>
          </w:p>
        </w:tc>
        <w:tc>
          <w:tcPr>
            <w:tcW w:w="1686" w:type="dxa"/>
            <w:vAlign w:val="top"/>
            <w:tcBorders>
              <w:bottom w:val="single" w:color="000000" w:sz="2" w:space="0"/>
              <w:top w:val="single" w:color="000000" w:sz="2" w:space="0"/>
            </w:tcBorders>
          </w:tcPr>
          <w:p>
            <w:pPr>
              <w:pStyle w:val="TableText"/>
              <w:ind w:left="1141"/>
              <w:spacing w:before="68" w:line="192" w:lineRule="auto"/>
              <w:rPr/>
            </w:pPr>
            <w:r>
              <w:rPr>
                <w:i/>
                <w:iCs/>
                <w:spacing w:val="15"/>
              </w:rPr>
              <w:t>β</w:t>
            </w:r>
          </w:p>
        </w:tc>
        <w:tc>
          <w:tcPr>
            <w:tcW w:w="953" w:type="dxa"/>
            <w:vAlign w:val="top"/>
            <w:gridSpan w:val="2"/>
            <w:tcBorders>
              <w:bottom w:val="single" w:color="000000" w:sz="2" w:space="0"/>
              <w:top w:val="single" w:color="000000" w:sz="2" w:space="0"/>
            </w:tcBorders>
          </w:tcPr>
          <w:p>
            <w:pPr>
              <w:pStyle w:val="TableText"/>
              <w:ind w:left="365"/>
              <w:spacing w:before="74" w:line="186" w:lineRule="auto"/>
              <w:rPr/>
            </w:pPr>
            <w:r>
              <w:rPr>
                <w:i/>
                <w:iCs/>
                <w:spacing w:val="1"/>
              </w:rPr>
              <w:t>SE</w:t>
            </w:r>
          </w:p>
        </w:tc>
        <w:tc>
          <w:tcPr>
            <w:tcW w:w="950" w:type="dxa"/>
            <w:vAlign w:val="top"/>
            <w:tcBorders>
              <w:bottom w:val="single" w:color="000000" w:sz="2" w:space="0"/>
              <w:top w:val="single" w:color="000000" w:sz="2" w:space="0"/>
            </w:tcBorders>
          </w:tcPr>
          <w:p>
            <w:pPr>
              <w:pStyle w:val="TableText"/>
              <w:ind w:left="290"/>
              <w:spacing w:before="70" w:line="190" w:lineRule="auto"/>
              <w:rPr/>
            </w:pPr>
            <w:r>
              <w:rPr>
                <w:i/>
                <w:iCs/>
                <w:spacing w:val="-2"/>
                <w:w w:val="96"/>
              </w:rPr>
              <w:t>Wald</w:t>
            </w:r>
          </w:p>
        </w:tc>
        <w:tc>
          <w:tcPr>
            <w:tcW w:w="928" w:type="dxa"/>
            <w:vAlign w:val="top"/>
            <w:tcBorders>
              <w:bottom w:val="single" w:color="000000" w:sz="2" w:space="0"/>
              <w:top w:val="single" w:color="000000" w:sz="2" w:space="0"/>
            </w:tcBorders>
          </w:tcPr>
          <w:p>
            <w:pPr>
              <w:pStyle w:val="TableText"/>
              <w:ind w:left="405"/>
              <w:spacing w:before="77" w:line="183" w:lineRule="auto"/>
              <w:rPr/>
            </w:pPr>
            <w:r>
              <w:rPr>
                <w:i/>
                <w:iCs/>
                <w:spacing w:val="6"/>
              </w:rPr>
              <w:t>P</w:t>
            </w:r>
          </w:p>
        </w:tc>
        <w:tc>
          <w:tcPr>
            <w:tcW w:w="950" w:type="dxa"/>
            <w:vAlign w:val="top"/>
            <w:tcBorders>
              <w:bottom w:val="single" w:color="000000" w:sz="2" w:space="0"/>
              <w:top w:val="single" w:color="000000" w:sz="2" w:space="0"/>
            </w:tcBorders>
          </w:tcPr>
          <w:p>
            <w:pPr>
              <w:pStyle w:val="TableText"/>
              <w:ind w:left="382"/>
              <w:spacing w:before="74" w:line="186" w:lineRule="auto"/>
              <w:rPr/>
            </w:pPr>
            <w:r>
              <w:rPr>
                <w:i/>
                <w:iCs/>
                <w:spacing w:val="-4"/>
              </w:rPr>
              <w:t>OR</w:t>
            </w:r>
          </w:p>
        </w:tc>
        <w:tc>
          <w:tcPr>
            <w:tcW w:w="1491" w:type="dxa"/>
            <w:vAlign w:val="top"/>
            <w:tcBorders>
              <w:bottom w:val="single" w:color="000000" w:sz="2" w:space="0"/>
              <w:top w:val="single" w:color="000000" w:sz="2" w:space="0"/>
            </w:tcBorders>
          </w:tcPr>
          <w:p>
            <w:pPr>
              <w:pStyle w:val="TableText"/>
              <w:ind w:left="478"/>
              <w:spacing w:before="74" w:line="186" w:lineRule="auto"/>
              <w:rPr/>
            </w:pPr>
            <w:r>
              <w:rPr>
                <w:i/>
                <w:iCs/>
                <w:spacing w:val="2"/>
              </w:rPr>
              <w:t>95%</w:t>
            </w:r>
            <w:r>
              <w:rPr>
                <w:i/>
                <w:iCs/>
              </w:rPr>
              <w:t>CI</w:t>
            </w:r>
          </w:p>
        </w:tc>
      </w:tr>
      <w:tr>
        <w:trPr>
          <w:trHeight w:val="292" w:hRule="atLeast"/>
        </w:trPr>
        <w:tc>
          <w:tcPr>
            <w:tcW w:w="1579" w:type="dxa"/>
            <w:vAlign w:val="top"/>
            <w:tcBorders>
              <w:top w:val="single" w:color="000000" w:sz="2" w:space="0"/>
            </w:tcBorders>
          </w:tcPr>
          <w:p>
            <w:pPr>
              <w:spacing w:before="35" w:line="217" w:lineRule="auto"/>
              <w:jc w:val="right"/>
              <w:rPr>
                <w:rFonts w:ascii="SimSun" w:hAnsi="SimSun" w:eastAsia="SimSun" w:cs="SimSun"/>
                <w:sz w:val="21"/>
                <w:szCs w:val="21"/>
              </w:rPr>
            </w:pPr>
            <w:r>
              <w:pict>
                <v:shape id="_x0000_s18" style="position:absolute;margin-left:48.6pt;margin-top:3.89757pt;mso-position-vertical-relative:text;mso-position-horizontal-relative:text;width:326.65pt;height:330pt;z-index:251666432;"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pict>
                <v:shape id="_x0000_s20" style="position:absolute;margin-left:48.6pt;margin-top:3.89757pt;mso-position-vertical-relative:text;mso-position-horizontal-relative:text;width:326.65pt;height:330pt;z-index:251667456;"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rFonts w:ascii="SimSun" w:hAnsi="SimSun" w:eastAsia="SimSun" w:cs="SimSun"/>
                <w:sz w:val="21"/>
                <w:szCs w:val="21"/>
                <w:spacing w:val="-3"/>
              </w:rPr>
              <w:t>皮疹分布</w:t>
            </w:r>
          </w:p>
        </w:tc>
        <w:tc>
          <w:tcPr>
            <w:tcW w:w="1686" w:type="dxa"/>
            <w:vAlign w:val="top"/>
            <w:tcBorders>
              <w:top w:val="single" w:color="000000" w:sz="2" w:space="0"/>
            </w:tcBorders>
          </w:tcPr>
          <w:p>
            <w:pPr>
              <w:pStyle w:val="TableText"/>
              <w:ind w:left="979"/>
              <w:spacing w:before="70" w:line="210" w:lineRule="auto"/>
              <w:rPr/>
            </w:pPr>
            <w:r>
              <w:rPr>
                <w:spacing w:val="-2"/>
              </w:rPr>
              <w:t>3.152</w:t>
            </w:r>
          </w:p>
        </w:tc>
        <w:tc>
          <w:tcPr>
            <w:tcW w:w="953" w:type="dxa"/>
            <w:vAlign w:val="top"/>
            <w:gridSpan w:val="2"/>
            <w:tcBorders>
              <w:top w:val="single" w:color="000000" w:sz="2" w:space="0"/>
            </w:tcBorders>
          </w:tcPr>
          <w:p>
            <w:pPr>
              <w:pStyle w:val="TableText"/>
              <w:ind w:left="268"/>
              <w:spacing w:before="70" w:line="210" w:lineRule="auto"/>
              <w:rPr/>
            </w:pPr>
            <w:r>
              <w:rPr>
                <w:spacing w:val="-5"/>
              </w:rPr>
              <w:t>1.125</w:t>
            </w:r>
          </w:p>
        </w:tc>
        <w:tc>
          <w:tcPr>
            <w:tcW w:w="950" w:type="dxa"/>
            <w:vAlign w:val="top"/>
            <w:tcBorders>
              <w:top w:val="single" w:color="000000" w:sz="2" w:space="0"/>
            </w:tcBorders>
          </w:tcPr>
          <w:p>
            <w:pPr>
              <w:pStyle w:val="TableText"/>
              <w:ind w:left="246"/>
              <w:spacing w:before="70" w:line="210" w:lineRule="auto"/>
              <w:rPr/>
            </w:pPr>
            <w:r>
              <w:rPr>
                <w:spacing w:val="-2"/>
              </w:rPr>
              <w:t>7.859</w:t>
            </w:r>
          </w:p>
        </w:tc>
        <w:tc>
          <w:tcPr>
            <w:tcW w:w="928" w:type="dxa"/>
            <w:vAlign w:val="top"/>
            <w:tcBorders>
              <w:top w:val="single" w:color="000000" w:sz="2" w:space="0"/>
            </w:tcBorders>
          </w:tcPr>
          <w:p>
            <w:pPr>
              <w:pStyle w:val="TableText"/>
              <w:ind w:left="244"/>
              <w:spacing w:before="70" w:line="210" w:lineRule="auto"/>
              <w:rPr/>
            </w:pPr>
            <w:r>
              <w:rPr>
                <w:spacing w:val="-2"/>
              </w:rPr>
              <w:t>0.025</w:t>
            </w:r>
          </w:p>
        </w:tc>
        <w:tc>
          <w:tcPr>
            <w:tcW w:w="950" w:type="dxa"/>
            <w:vAlign w:val="top"/>
            <w:tcBorders>
              <w:top w:val="single" w:color="000000" w:sz="2" w:space="0"/>
            </w:tcBorders>
          </w:tcPr>
          <w:p>
            <w:pPr>
              <w:pStyle w:val="TableText"/>
              <w:ind w:left="225"/>
              <w:spacing w:before="70" w:line="210" w:lineRule="auto"/>
              <w:rPr/>
            </w:pPr>
            <w:r>
              <w:rPr>
                <w:spacing w:val="-1"/>
              </w:rPr>
              <w:t>22.563</w:t>
            </w:r>
          </w:p>
        </w:tc>
        <w:tc>
          <w:tcPr>
            <w:tcW w:w="1491" w:type="dxa"/>
            <w:vAlign w:val="top"/>
            <w:tcBorders>
              <w:top w:val="single" w:color="000000" w:sz="2" w:space="0"/>
            </w:tcBorders>
          </w:tcPr>
          <w:p>
            <w:pPr>
              <w:pStyle w:val="TableText"/>
              <w:ind w:left="162"/>
              <w:spacing w:before="70" w:line="210" w:lineRule="auto"/>
              <w:rPr/>
            </w:pPr>
            <w:r>
              <w:rPr>
                <w:spacing w:val="-1"/>
              </w:rPr>
              <w:t>2.548-200.461</w:t>
            </w:r>
          </w:p>
        </w:tc>
      </w:tr>
      <w:tr>
        <w:trPr>
          <w:trHeight w:val="315" w:hRule="atLeast"/>
        </w:trPr>
        <w:tc>
          <w:tcPr>
            <w:tcW w:w="1579" w:type="dxa"/>
            <w:vAlign w:val="top"/>
          </w:tcPr>
          <w:p>
            <w:pPr>
              <w:ind w:left="966"/>
              <w:spacing w:before="55" w:line="219" w:lineRule="auto"/>
              <w:rPr>
                <w:rFonts w:ascii="SimSun" w:hAnsi="SimSun" w:eastAsia="SimSun" w:cs="SimSun"/>
                <w:sz w:val="21"/>
                <w:szCs w:val="21"/>
              </w:rPr>
            </w:pPr>
            <w:r>
              <w:rPr>
                <w:rFonts w:ascii="SimSun" w:hAnsi="SimSun" w:eastAsia="SimSun" w:cs="SimSun"/>
                <w:sz w:val="21"/>
                <w:szCs w:val="21"/>
                <w:spacing w:val="-5"/>
              </w:rPr>
              <w:t>呕吐</w:t>
            </w:r>
          </w:p>
        </w:tc>
        <w:tc>
          <w:tcPr>
            <w:tcW w:w="1686" w:type="dxa"/>
            <w:vAlign w:val="top"/>
          </w:tcPr>
          <w:p>
            <w:pPr>
              <w:pStyle w:val="TableText"/>
              <w:ind w:left="975"/>
              <w:spacing w:before="91" w:line="212" w:lineRule="auto"/>
              <w:rPr/>
            </w:pPr>
            <w:r>
              <w:rPr>
                <w:spacing w:val="-1"/>
              </w:rPr>
              <w:t>2.158</w:t>
            </w:r>
          </w:p>
        </w:tc>
        <w:tc>
          <w:tcPr>
            <w:tcW w:w="953" w:type="dxa"/>
            <w:vAlign w:val="top"/>
            <w:gridSpan w:val="2"/>
          </w:tcPr>
          <w:p>
            <w:pPr>
              <w:pStyle w:val="TableText"/>
              <w:ind w:left="268"/>
              <w:spacing w:before="91" w:line="212" w:lineRule="auto"/>
              <w:rPr/>
            </w:pPr>
            <w:r>
              <w:rPr>
                <w:spacing w:val="-5"/>
              </w:rPr>
              <w:t>1.085</w:t>
            </w:r>
          </w:p>
        </w:tc>
        <w:tc>
          <w:tcPr>
            <w:tcW w:w="950" w:type="dxa"/>
            <w:vAlign w:val="top"/>
          </w:tcPr>
          <w:p>
            <w:pPr>
              <w:pStyle w:val="TableText"/>
              <w:ind w:left="247"/>
              <w:spacing w:before="91" w:line="212" w:lineRule="auto"/>
              <w:rPr/>
            </w:pPr>
            <w:r>
              <w:rPr>
                <w:spacing w:val="-2"/>
              </w:rPr>
              <w:t>3.956</w:t>
            </w:r>
          </w:p>
        </w:tc>
        <w:tc>
          <w:tcPr>
            <w:tcW w:w="928" w:type="dxa"/>
            <w:vAlign w:val="top"/>
          </w:tcPr>
          <w:p>
            <w:pPr>
              <w:pStyle w:val="TableText"/>
              <w:ind w:left="244"/>
              <w:spacing w:before="91" w:line="212" w:lineRule="auto"/>
              <w:rPr/>
            </w:pPr>
            <w:r>
              <w:rPr>
                <w:spacing w:val="-2"/>
              </w:rPr>
              <w:t>0.036</w:t>
            </w:r>
          </w:p>
        </w:tc>
        <w:tc>
          <w:tcPr>
            <w:tcW w:w="950" w:type="dxa"/>
            <w:vAlign w:val="top"/>
          </w:tcPr>
          <w:p>
            <w:pPr>
              <w:pStyle w:val="TableText"/>
              <w:ind w:left="286"/>
              <w:spacing w:before="91" w:line="212" w:lineRule="auto"/>
              <w:rPr/>
            </w:pPr>
            <w:r>
              <w:rPr>
                <w:spacing w:val="-3"/>
              </w:rPr>
              <w:t>8.745</w:t>
            </w:r>
          </w:p>
        </w:tc>
        <w:tc>
          <w:tcPr>
            <w:tcW w:w="1491" w:type="dxa"/>
            <w:vAlign w:val="top"/>
          </w:tcPr>
          <w:p>
            <w:pPr>
              <w:pStyle w:val="TableText"/>
              <w:ind w:left="235"/>
              <w:spacing w:before="91" w:line="212" w:lineRule="auto"/>
              <w:rPr/>
            </w:pPr>
            <w:r>
              <w:rPr>
                <w:spacing w:val="-2"/>
              </w:rPr>
              <w:t>1.965-74.563</w:t>
            </w:r>
          </w:p>
        </w:tc>
      </w:tr>
      <w:tr>
        <w:trPr>
          <w:trHeight w:val="283" w:hRule="atLeast"/>
        </w:trPr>
        <w:tc>
          <w:tcPr>
            <w:tcW w:w="1579" w:type="dxa"/>
            <w:vAlign w:val="top"/>
          </w:tcPr>
          <w:p>
            <w:pPr>
              <w:pStyle w:val="TableText"/>
              <w:ind w:left="921"/>
              <w:spacing w:before="77" w:line="186" w:lineRule="auto"/>
              <w:rPr/>
            </w:pPr>
            <w:r>
              <w:rPr>
                <w:spacing w:val="-1"/>
              </w:rPr>
              <w:t>WBC</w:t>
            </w:r>
          </w:p>
        </w:tc>
        <w:tc>
          <w:tcPr>
            <w:tcW w:w="1686" w:type="dxa"/>
            <w:vAlign w:val="top"/>
          </w:tcPr>
          <w:p>
            <w:pPr>
              <w:pStyle w:val="TableText"/>
              <w:ind w:left="978"/>
              <w:spacing w:before="73" w:line="198" w:lineRule="auto"/>
              <w:rPr/>
            </w:pPr>
            <w:r>
              <w:rPr>
                <w:spacing w:val="-2"/>
              </w:rPr>
              <w:t>0.082</w:t>
            </w:r>
          </w:p>
        </w:tc>
        <w:tc>
          <w:tcPr>
            <w:tcW w:w="953" w:type="dxa"/>
            <w:vAlign w:val="top"/>
            <w:gridSpan w:val="2"/>
          </w:tcPr>
          <w:p>
            <w:pPr>
              <w:pStyle w:val="TableText"/>
              <w:ind w:left="251"/>
              <w:spacing w:before="73" w:line="198" w:lineRule="auto"/>
              <w:rPr/>
            </w:pPr>
            <w:r>
              <w:rPr>
                <w:spacing w:val="-2"/>
              </w:rPr>
              <w:t>0.094</w:t>
            </w:r>
          </w:p>
        </w:tc>
        <w:tc>
          <w:tcPr>
            <w:tcW w:w="950" w:type="dxa"/>
            <w:vAlign w:val="top"/>
          </w:tcPr>
          <w:p>
            <w:pPr>
              <w:pStyle w:val="TableText"/>
              <w:ind w:left="246"/>
              <w:spacing w:before="73" w:line="198" w:lineRule="auto"/>
              <w:rPr/>
            </w:pPr>
            <w:r>
              <w:rPr>
                <w:spacing w:val="-2"/>
              </w:rPr>
              <w:t>0.767</w:t>
            </w:r>
          </w:p>
        </w:tc>
        <w:tc>
          <w:tcPr>
            <w:tcW w:w="928" w:type="dxa"/>
            <w:vAlign w:val="top"/>
          </w:tcPr>
          <w:p>
            <w:pPr>
              <w:pStyle w:val="TableText"/>
              <w:ind w:left="244"/>
              <w:spacing w:before="73" w:line="198" w:lineRule="auto"/>
              <w:rPr/>
            </w:pPr>
            <w:r>
              <w:rPr>
                <w:spacing w:val="-2"/>
              </w:rPr>
              <w:t>0.381</w:t>
            </w:r>
          </w:p>
        </w:tc>
        <w:tc>
          <w:tcPr>
            <w:tcW w:w="950" w:type="dxa"/>
            <w:vAlign w:val="top"/>
          </w:tcPr>
          <w:p>
            <w:pPr>
              <w:pStyle w:val="TableText"/>
              <w:ind w:left="297"/>
              <w:spacing w:before="73" w:line="198" w:lineRule="auto"/>
              <w:rPr/>
            </w:pPr>
            <w:r>
              <w:rPr>
                <w:spacing w:val="-5"/>
              </w:rPr>
              <w:t>1.085</w:t>
            </w:r>
          </w:p>
        </w:tc>
        <w:tc>
          <w:tcPr>
            <w:tcW w:w="1491" w:type="dxa"/>
            <w:vAlign w:val="top"/>
          </w:tcPr>
          <w:p>
            <w:pPr>
              <w:pStyle w:val="TableText"/>
              <w:ind w:left="248"/>
              <w:spacing w:before="73" w:line="198" w:lineRule="auto"/>
              <w:rPr/>
            </w:pPr>
            <w:r>
              <w:rPr>
                <w:spacing w:val="-1"/>
              </w:rPr>
              <w:t>0.785~1.126</w:t>
            </w:r>
          </w:p>
        </w:tc>
      </w:tr>
      <w:tr>
        <w:trPr>
          <w:trHeight w:val="277" w:hRule="atLeast"/>
        </w:trPr>
        <w:tc>
          <w:tcPr>
            <w:tcW w:w="1579" w:type="dxa"/>
            <w:vAlign w:val="top"/>
          </w:tcPr>
          <w:p>
            <w:pPr>
              <w:pStyle w:val="TableText"/>
              <w:ind w:left="985"/>
              <w:spacing w:before="74" w:line="183" w:lineRule="auto"/>
              <w:rPr/>
            </w:pPr>
            <w:r>
              <w:rPr>
                <w:spacing w:val="-2"/>
              </w:rPr>
              <w:t>PLT</w:t>
            </w:r>
          </w:p>
        </w:tc>
        <w:tc>
          <w:tcPr>
            <w:tcW w:w="1686" w:type="dxa"/>
            <w:vAlign w:val="top"/>
          </w:tcPr>
          <w:p>
            <w:pPr>
              <w:pStyle w:val="TableText"/>
              <w:ind w:left="978"/>
              <w:spacing w:before="67" w:line="198" w:lineRule="auto"/>
              <w:rPr/>
            </w:pPr>
            <w:r>
              <w:rPr>
                <w:spacing w:val="-2"/>
              </w:rPr>
              <w:t>0.459</w:t>
            </w:r>
          </w:p>
        </w:tc>
        <w:tc>
          <w:tcPr>
            <w:tcW w:w="953" w:type="dxa"/>
            <w:vAlign w:val="top"/>
            <w:gridSpan w:val="2"/>
          </w:tcPr>
          <w:p>
            <w:pPr>
              <w:pStyle w:val="TableText"/>
              <w:ind w:left="251"/>
              <w:spacing w:before="67" w:line="198" w:lineRule="auto"/>
              <w:rPr/>
            </w:pPr>
            <w:r>
              <w:rPr>
                <w:spacing w:val="-2"/>
              </w:rPr>
              <w:t>0.468</w:t>
            </w:r>
          </w:p>
        </w:tc>
        <w:tc>
          <w:tcPr>
            <w:tcW w:w="950" w:type="dxa"/>
            <w:vAlign w:val="top"/>
          </w:tcPr>
          <w:p>
            <w:pPr>
              <w:pStyle w:val="TableText"/>
              <w:ind w:left="246"/>
              <w:spacing w:before="67" w:line="198" w:lineRule="auto"/>
              <w:rPr/>
            </w:pPr>
            <w:r>
              <w:rPr>
                <w:spacing w:val="-2"/>
              </w:rPr>
              <w:t>0.960</w:t>
            </w:r>
          </w:p>
        </w:tc>
        <w:tc>
          <w:tcPr>
            <w:tcW w:w="928" w:type="dxa"/>
            <w:vAlign w:val="top"/>
          </w:tcPr>
          <w:p>
            <w:pPr>
              <w:pStyle w:val="TableText"/>
              <w:ind w:left="244"/>
              <w:spacing w:before="67" w:line="198" w:lineRule="auto"/>
              <w:rPr/>
            </w:pPr>
            <w:r>
              <w:rPr>
                <w:spacing w:val="-2"/>
              </w:rPr>
              <w:t>0.327</w:t>
            </w:r>
          </w:p>
        </w:tc>
        <w:tc>
          <w:tcPr>
            <w:tcW w:w="950" w:type="dxa"/>
            <w:vAlign w:val="top"/>
          </w:tcPr>
          <w:p>
            <w:pPr>
              <w:pStyle w:val="TableText"/>
              <w:ind w:left="297"/>
              <w:spacing w:before="67" w:line="198" w:lineRule="auto"/>
              <w:rPr/>
            </w:pPr>
            <w:r>
              <w:rPr>
                <w:spacing w:val="-5"/>
              </w:rPr>
              <w:t>1.582</w:t>
            </w:r>
          </w:p>
        </w:tc>
        <w:tc>
          <w:tcPr>
            <w:tcW w:w="1491" w:type="dxa"/>
            <w:vAlign w:val="top"/>
          </w:tcPr>
          <w:p>
            <w:pPr>
              <w:pStyle w:val="TableText"/>
              <w:ind w:left="248"/>
              <w:spacing w:before="67" w:line="198" w:lineRule="auto"/>
              <w:rPr/>
            </w:pPr>
            <w:r>
              <w:rPr>
                <w:spacing w:val="-1"/>
              </w:rPr>
              <w:t>0.632~3.960</w:t>
            </w:r>
          </w:p>
        </w:tc>
      </w:tr>
      <w:tr>
        <w:trPr>
          <w:trHeight w:val="278" w:hRule="atLeast"/>
        </w:trPr>
        <w:tc>
          <w:tcPr>
            <w:tcW w:w="1579" w:type="dxa"/>
            <w:vAlign w:val="top"/>
          </w:tcPr>
          <w:p>
            <w:pPr>
              <w:pStyle w:val="TableText"/>
              <w:ind w:left="939"/>
              <w:spacing w:before="74" w:line="183" w:lineRule="auto"/>
              <w:rPr/>
            </w:pPr>
            <w:r>
              <w:rPr/>
              <w:t>NEU</w:t>
            </w:r>
          </w:p>
        </w:tc>
        <w:tc>
          <w:tcPr>
            <w:tcW w:w="1686" w:type="dxa"/>
            <w:vAlign w:val="top"/>
          </w:tcPr>
          <w:p>
            <w:pPr>
              <w:pStyle w:val="TableText"/>
              <w:ind w:left="978"/>
              <w:spacing w:before="67" w:line="199" w:lineRule="auto"/>
              <w:rPr/>
            </w:pPr>
            <w:r>
              <w:rPr>
                <w:spacing w:val="-2"/>
              </w:rPr>
              <w:t>0.039</w:t>
            </w:r>
          </w:p>
        </w:tc>
        <w:tc>
          <w:tcPr>
            <w:tcW w:w="953" w:type="dxa"/>
            <w:vAlign w:val="top"/>
            <w:gridSpan w:val="2"/>
          </w:tcPr>
          <w:p>
            <w:pPr>
              <w:pStyle w:val="TableText"/>
              <w:ind w:left="251"/>
              <w:spacing w:before="67" w:line="199" w:lineRule="auto"/>
              <w:rPr/>
            </w:pPr>
            <w:r>
              <w:rPr>
                <w:spacing w:val="-2"/>
              </w:rPr>
              <w:t>0.037</w:t>
            </w:r>
          </w:p>
        </w:tc>
        <w:tc>
          <w:tcPr>
            <w:tcW w:w="950" w:type="dxa"/>
            <w:vAlign w:val="top"/>
          </w:tcPr>
          <w:p>
            <w:pPr>
              <w:pStyle w:val="TableText"/>
              <w:ind w:left="263"/>
              <w:spacing w:before="67" w:line="199" w:lineRule="auto"/>
              <w:rPr/>
            </w:pPr>
            <w:r>
              <w:rPr>
                <w:spacing w:val="-5"/>
              </w:rPr>
              <w:t>1.097</w:t>
            </w:r>
          </w:p>
        </w:tc>
        <w:tc>
          <w:tcPr>
            <w:tcW w:w="928" w:type="dxa"/>
            <w:vAlign w:val="top"/>
          </w:tcPr>
          <w:p>
            <w:pPr>
              <w:pStyle w:val="TableText"/>
              <w:ind w:left="244"/>
              <w:spacing w:before="67" w:line="199" w:lineRule="auto"/>
              <w:rPr/>
            </w:pPr>
            <w:r>
              <w:rPr>
                <w:spacing w:val="-2"/>
              </w:rPr>
              <w:t>0.295</w:t>
            </w:r>
          </w:p>
        </w:tc>
        <w:tc>
          <w:tcPr>
            <w:tcW w:w="950" w:type="dxa"/>
            <w:vAlign w:val="top"/>
          </w:tcPr>
          <w:p>
            <w:pPr>
              <w:pStyle w:val="TableText"/>
              <w:ind w:left="297"/>
              <w:spacing w:before="67" w:line="199" w:lineRule="auto"/>
              <w:rPr/>
            </w:pPr>
            <w:r>
              <w:rPr>
                <w:spacing w:val="-5"/>
              </w:rPr>
              <w:t>1.039</w:t>
            </w:r>
          </w:p>
        </w:tc>
        <w:tc>
          <w:tcPr>
            <w:tcW w:w="1491" w:type="dxa"/>
            <w:vAlign w:val="top"/>
          </w:tcPr>
          <w:p>
            <w:pPr>
              <w:pStyle w:val="TableText"/>
              <w:ind w:left="252"/>
              <w:spacing w:before="67" w:line="199" w:lineRule="auto"/>
              <w:rPr/>
            </w:pPr>
            <w:r>
              <w:rPr>
                <w:spacing w:val="-2"/>
              </w:rPr>
              <w:t>0.967~1.117</w:t>
            </w:r>
          </w:p>
        </w:tc>
      </w:tr>
      <w:tr>
        <w:trPr>
          <w:trHeight w:val="277" w:hRule="atLeast"/>
        </w:trPr>
        <w:tc>
          <w:tcPr>
            <w:tcW w:w="1579" w:type="dxa"/>
            <w:vAlign w:val="top"/>
          </w:tcPr>
          <w:p>
            <w:pPr>
              <w:pStyle w:val="TableText"/>
              <w:ind w:left="945"/>
              <w:spacing w:before="74" w:line="183" w:lineRule="auto"/>
              <w:rPr/>
            </w:pPr>
            <w:r>
              <w:rPr>
                <w:spacing w:val="1"/>
              </w:rPr>
              <w:t>NLR</w:t>
            </w:r>
          </w:p>
        </w:tc>
        <w:tc>
          <w:tcPr>
            <w:tcW w:w="1686" w:type="dxa"/>
            <w:vAlign w:val="top"/>
          </w:tcPr>
          <w:p>
            <w:pPr>
              <w:pStyle w:val="TableText"/>
              <w:ind w:left="975"/>
              <w:spacing w:before="67" w:line="198" w:lineRule="auto"/>
              <w:rPr/>
            </w:pPr>
            <w:r>
              <w:rPr>
                <w:spacing w:val="-1"/>
              </w:rPr>
              <w:t>2.785</w:t>
            </w:r>
          </w:p>
        </w:tc>
        <w:tc>
          <w:tcPr>
            <w:tcW w:w="953" w:type="dxa"/>
            <w:vAlign w:val="top"/>
            <w:gridSpan w:val="2"/>
          </w:tcPr>
          <w:p>
            <w:pPr>
              <w:pStyle w:val="TableText"/>
              <w:ind w:left="268"/>
              <w:spacing w:before="67" w:line="198" w:lineRule="auto"/>
              <w:rPr/>
            </w:pPr>
            <w:r>
              <w:rPr>
                <w:spacing w:val="-5"/>
              </w:rPr>
              <w:t>1.248</w:t>
            </w:r>
          </w:p>
        </w:tc>
        <w:tc>
          <w:tcPr>
            <w:tcW w:w="950" w:type="dxa"/>
            <w:vAlign w:val="top"/>
          </w:tcPr>
          <w:p>
            <w:pPr>
              <w:pStyle w:val="TableText"/>
              <w:ind w:left="242"/>
              <w:spacing w:before="67" w:line="198" w:lineRule="auto"/>
              <w:rPr/>
            </w:pPr>
            <w:r>
              <w:rPr>
                <w:spacing w:val="-1"/>
              </w:rPr>
              <w:t>4.792</w:t>
            </w:r>
          </w:p>
        </w:tc>
        <w:tc>
          <w:tcPr>
            <w:tcW w:w="928" w:type="dxa"/>
            <w:vAlign w:val="top"/>
          </w:tcPr>
          <w:p>
            <w:pPr>
              <w:pStyle w:val="TableText"/>
              <w:ind w:left="244"/>
              <w:spacing w:before="67" w:line="198" w:lineRule="auto"/>
              <w:rPr/>
            </w:pPr>
            <w:r>
              <w:rPr>
                <w:spacing w:val="-2"/>
              </w:rPr>
              <w:t>0.029</w:t>
            </w:r>
          </w:p>
        </w:tc>
        <w:tc>
          <w:tcPr>
            <w:tcW w:w="950" w:type="dxa"/>
            <w:vAlign w:val="top"/>
          </w:tcPr>
          <w:p>
            <w:pPr>
              <w:pStyle w:val="TableText"/>
              <w:ind w:left="249"/>
              <w:spacing w:before="67" w:line="198" w:lineRule="auto"/>
              <w:rPr/>
            </w:pPr>
            <w:r>
              <w:rPr>
                <w:spacing w:val="-6"/>
              </w:rPr>
              <w:t>11.054</w:t>
            </w:r>
          </w:p>
        </w:tc>
        <w:tc>
          <w:tcPr>
            <w:tcW w:w="1491" w:type="dxa"/>
            <w:vAlign w:val="top"/>
          </w:tcPr>
          <w:p>
            <w:pPr>
              <w:pStyle w:val="TableText"/>
              <w:ind w:left="215"/>
              <w:spacing w:before="67" w:line="198" w:lineRule="auto"/>
              <w:rPr/>
            </w:pPr>
            <w:r>
              <w:rPr>
                <w:spacing w:val="-1"/>
              </w:rPr>
              <w:t>2.165-89.564</w:t>
            </w:r>
          </w:p>
        </w:tc>
      </w:tr>
      <w:tr>
        <w:trPr>
          <w:trHeight w:val="302" w:hRule="atLeast"/>
        </w:trPr>
        <w:tc>
          <w:tcPr>
            <w:tcW w:w="1579" w:type="dxa"/>
            <w:vAlign w:val="top"/>
            <w:tcBorders>
              <w:bottom w:val="single" w:color="000000" w:sz="2" w:space="0"/>
            </w:tcBorders>
          </w:tcPr>
          <w:p>
            <w:pPr>
              <w:pStyle w:val="TableText"/>
              <w:ind w:left="967"/>
              <w:spacing w:before="72" w:line="186" w:lineRule="auto"/>
              <w:rPr/>
            </w:pPr>
            <w:r>
              <w:rPr>
                <w:spacing w:val="-2"/>
              </w:rPr>
              <w:t>CRP</w:t>
            </w:r>
          </w:p>
        </w:tc>
        <w:tc>
          <w:tcPr>
            <w:tcW w:w="1686" w:type="dxa"/>
            <w:vAlign w:val="top"/>
            <w:tcBorders>
              <w:bottom w:val="single" w:color="000000" w:sz="2" w:space="0"/>
            </w:tcBorders>
          </w:tcPr>
          <w:p>
            <w:pPr>
              <w:pStyle w:val="TableText"/>
              <w:ind w:left="975"/>
              <w:spacing w:before="68" w:line="222" w:lineRule="auto"/>
              <w:rPr/>
            </w:pPr>
            <w:r>
              <w:rPr>
                <w:spacing w:val="-1"/>
              </w:rPr>
              <w:t>2.885</w:t>
            </w:r>
          </w:p>
        </w:tc>
        <w:tc>
          <w:tcPr>
            <w:tcW w:w="953" w:type="dxa"/>
            <w:vAlign w:val="top"/>
            <w:gridSpan w:val="2"/>
            <w:tcBorders>
              <w:bottom w:val="single" w:color="000000" w:sz="2" w:space="0"/>
            </w:tcBorders>
          </w:tcPr>
          <w:p>
            <w:pPr>
              <w:pStyle w:val="TableText"/>
              <w:ind w:left="268"/>
              <w:spacing w:before="68" w:line="222" w:lineRule="auto"/>
              <w:rPr/>
            </w:pPr>
            <w:r>
              <w:rPr>
                <w:spacing w:val="-5"/>
              </w:rPr>
              <w:t>1.233</w:t>
            </w:r>
          </w:p>
        </w:tc>
        <w:tc>
          <w:tcPr>
            <w:tcW w:w="950" w:type="dxa"/>
            <w:vAlign w:val="top"/>
            <w:tcBorders>
              <w:bottom w:val="single" w:color="000000" w:sz="2" w:space="0"/>
            </w:tcBorders>
          </w:tcPr>
          <w:p>
            <w:pPr>
              <w:pStyle w:val="TableText"/>
              <w:ind w:left="252"/>
              <w:spacing w:before="68" w:line="222" w:lineRule="auto"/>
              <w:rPr/>
            </w:pPr>
            <w:r>
              <w:rPr>
                <w:spacing w:val="-3"/>
              </w:rPr>
              <w:t>8.154</w:t>
            </w:r>
          </w:p>
        </w:tc>
        <w:tc>
          <w:tcPr>
            <w:tcW w:w="928" w:type="dxa"/>
            <w:vAlign w:val="top"/>
            <w:tcBorders>
              <w:bottom w:val="single" w:color="000000" w:sz="2" w:space="0"/>
            </w:tcBorders>
          </w:tcPr>
          <w:p>
            <w:pPr>
              <w:pStyle w:val="TableText"/>
              <w:ind w:left="244"/>
              <w:spacing w:before="68" w:line="222" w:lineRule="auto"/>
              <w:rPr/>
            </w:pPr>
            <w:r>
              <w:rPr>
                <w:spacing w:val="-2"/>
              </w:rPr>
              <w:t>0.026</w:t>
            </w:r>
          </w:p>
        </w:tc>
        <w:tc>
          <w:tcPr>
            <w:tcW w:w="950" w:type="dxa"/>
            <w:vAlign w:val="top"/>
            <w:tcBorders>
              <w:bottom w:val="single" w:color="000000" w:sz="2" w:space="0"/>
            </w:tcBorders>
          </w:tcPr>
          <w:p>
            <w:pPr>
              <w:pStyle w:val="TableText"/>
              <w:ind w:left="277"/>
              <w:spacing w:before="68" w:line="222" w:lineRule="auto"/>
              <w:rPr/>
            </w:pPr>
            <w:r>
              <w:rPr>
                <w:spacing w:val="-1"/>
              </w:rPr>
              <w:t>2.568</w:t>
            </w:r>
          </w:p>
        </w:tc>
        <w:tc>
          <w:tcPr>
            <w:tcW w:w="1491" w:type="dxa"/>
            <w:vAlign w:val="top"/>
            <w:tcBorders>
              <w:bottom w:val="single" w:color="000000" w:sz="2" w:space="0"/>
            </w:tcBorders>
          </w:tcPr>
          <w:p>
            <w:pPr>
              <w:pStyle w:val="TableText"/>
              <w:ind w:left="287"/>
              <w:spacing w:before="68" w:line="222" w:lineRule="auto"/>
              <w:rPr/>
            </w:pPr>
            <w:r>
              <w:rPr>
                <w:spacing w:val="-3"/>
              </w:rPr>
              <w:t>1.158-8.312</w:t>
            </w:r>
          </w:p>
        </w:tc>
      </w:tr>
    </w:tbl>
    <w:p>
      <w:pPr>
        <w:pStyle w:val="BodyText"/>
        <w:ind w:left="127"/>
        <w:spacing w:before="29" w:line="212" w:lineRule="auto"/>
        <w:outlineLvl w:val="1"/>
        <w:rPr>
          <w:sz w:val="21"/>
          <w:szCs w:val="21"/>
        </w:rPr>
      </w:pPr>
      <w:r>
        <w:rPr>
          <w:rFonts w:ascii="Times New Roman" w:hAnsi="Times New Roman" w:eastAsia="Times New Roman" w:cs="Times New Roman"/>
          <w:sz w:val="21"/>
          <w:szCs w:val="21"/>
          <w:b/>
          <w:bCs/>
          <w:spacing w:val="-3"/>
        </w:rPr>
        <w:t>2.4 Logistic</w:t>
      </w:r>
      <w:r>
        <w:rPr>
          <w:rFonts w:ascii="Times New Roman" w:hAnsi="Times New Roman" w:eastAsia="Times New Roman" w:cs="Times New Roman"/>
          <w:sz w:val="21"/>
          <w:szCs w:val="21"/>
          <w:b/>
          <w:bCs/>
          <w:spacing w:val="46"/>
          <w:w w:val="101"/>
        </w:rPr>
        <w:t xml:space="preserve"> </w:t>
      </w:r>
      <w:r>
        <w:rPr>
          <w:sz w:val="21"/>
          <w:szCs w:val="21"/>
          <w:b/>
          <w:bCs/>
          <w:spacing w:val="-3"/>
        </w:rPr>
        <w:t>回归模型的建立与预测效能</w:t>
      </w:r>
    </w:p>
    <w:p>
      <w:pPr>
        <w:spacing w:line="278" w:lineRule="auto"/>
        <w:rPr>
          <w:rFonts w:ascii="Arial"/>
          <w:sz w:val="21"/>
        </w:rPr>
      </w:pPr>
      <w:r/>
    </w:p>
    <w:p>
      <w:pPr>
        <w:pStyle w:val="BodyText"/>
        <w:ind w:left="125" w:right="50" w:firstLine="424"/>
        <w:spacing w:before="69" w:line="270" w:lineRule="auto"/>
        <w:jc w:val="both"/>
        <w:rPr>
          <w:rFonts w:ascii="Times New Roman" w:hAnsi="Times New Roman" w:eastAsia="Times New Roman" w:cs="Times New Roman"/>
          <w:sz w:val="21"/>
          <w:szCs w:val="21"/>
        </w:rPr>
      </w:pPr>
      <w:r>
        <w:rPr>
          <w:sz w:val="21"/>
          <w:szCs w:val="21"/>
          <w:spacing w:val="3"/>
        </w:rPr>
        <w:t>根据表 </w:t>
      </w:r>
      <w:r>
        <w:rPr>
          <w:rFonts w:ascii="Times New Roman" w:hAnsi="Times New Roman" w:eastAsia="Times New Roman" w:cs="Times New Roman"/>
          <w:sz w:val="21"/>
          <w:szCs w:val="21"/>
          <w:spacing w:val="3"/>
        </w:rPr>
        <w:t>4  </w:t>
      </w:r>
      <w:r>
        <w:rPr>
          <w:sz w:val="21"/>
          <w:szCs w:val="21"/>
          <w:spacing w:val="3"/>
        </w:rPr>
        <w:t>得到风险预测模型，</w:t>
      </w:r>
      <w:r>
        <w:rPr>
          <w:sz w:val="21"/>
          <w:szCs w:val="21"/>
          <w:spacing w:val="-44"/>
        </w:rPr>
        <w:t xml:space="preserve"> </w:t>
      </w:r>
      <w:r>
        <w:rPr>
          <w:rFonts w:ascii="Times New Roman" w:hAnsi="Times New Roman" w:eastAsia="Times New Roman" w:cs="Times New Roman"/>
          <w:sz w:val="21"/>
          <w:szCs w:val="21"/>
        </w:rPr>
        <w:t>Logit</w:t>
      </w:r>
      <w:r>
        <w:rPr>
          <w:rFonts w:ascii="Times New Roman" w:hAnsi="Times New Roman" w:eastAsia="Times New Roman" w:cs="Times New Roman"/>
          <w:sz w:val="21"/>
          <w:szCs w:val="21"/>
          <w:spacing w:val="3"/>
        </w:rPr>
        <w:t>(P)=3.152×X1+2.158×X2+2.785×X6+2.855×X7 </w:t>
      </w:r>
      <w:r>
        <w:rPr>
          <w:sz w:val="21"/>
          <w:szCs w:val="21"/>
          <w:spacing w:val="3"/>
        </w:rPr>
        <w:t>，</w:t>
      </w:r>
      <w:r>
        <w:rPr>
          <w:sz w:val="21"/>
          <w:szCs w:val="21"/>
        </w:rPr>
        <w:t xml:space="preserve"> </w:t>
      </w:r>
      <w:r>
        <w:rPr>
          <w:rFonts w:ascii="Times New Roman" w:hAnsi="Times New Roman" w:eastAsia="Times New Roman" w:cs="Times New Roman"/>
          <w:sz w:val="21"/>
          <w:szCs w:val="21"/>
        </w:rPr>
        <w:t>Hosmer-Lemeshoe </w:t>
      </w:r>
      <w:r>
        <w:rPr>
          <w:sz w:val="21"/>
          <w:szCs w:val="21"/>
        </w:rPr>
        <w:t>检验显示诊断模型的拟合度良好(</w:t>
      </w:r>
      <w:r>
        <w:rPr>
          <w:rFonts w:ascii="Times New Roman" w:hAnsi="Times New Roman" w:eastAsia="Times New Roman" w:cs="Times New Roman"/>
          <w:sz w:val="21"/>
          <w:szCs w:val="21"/>
          <w:i/>
          <w:iCs/>
        </w:rPr>
        <w:t>χ</w:t>
      </w:r>
      <w:r>
        <w:rPr>
          <w:rFonts w:ascii="Times New Roman" w:hAnsi="Times New Roman" w:eastAsia="Times New Roman" w:cs="Times New Roman"/>
          <w:sz w:val="14"/>
          <w:szCs w:val="14"/>
          <w:i/>
          <w:iCs/>
          <w:position w:val="7"/>
        </w:rPr>
        <w:t>2</w:t>
      </w:r>
      <w:r>
        <w:rPr>
          <w:rFonts w:ascii="Times New Roman" w:hAnsi="Times New Roman" w:eastAsia="Times New Roman" w:cs="Times New Roman"/>
          <w:sz w:val="21"/>
          <w:szCs w:val="21"/>
        </w:rPr>
        <w:t>=6.528</w:t>
      </w:r>
      <w:r>
        <w:rPr>
          <w:sz w:val="21"/>
          <w:szCs w:val="21"/>
        </w:rPr>
        <w:t>，</w:t>
      </w:r>
      <w:r>
        <w:rPr>
          <w:rFonts w:ascii="Times New Roman" w:hAnsi="Times New Roman" w:eastAsia="Times New Roman" w:cs="Times New Roman"/>
          <w:sz w:val="21"/>
          <w:szCs w:val="21"/>
          <w:i/>
          <w:iCs/>
        </w:rPr>
        <w:t>P</w:t>
      </w:r>
      <w:r>
        <w:rPr>
          <w:rFonts w:ascii="Times New Roman" w:hAnsi="Times New Roman" w:eastAsia="Times New Roman" w:cs="Times New Roman"/>
          <w:sz w:val="21"/>
          <w:szCs w:val="21"/>
        </w:rPr>
        <w:t>=0.574</w:t>
      </w:r>
      <w:r>
        <w:rPr>
          <w:sz w:val="21"/>
          <w:szCs w:val="21"/>
        </w:rPr>
        <w:t>）。</w:t>
      </w:r>
      <w:r>
        <w:rPr>
          <w:rFonts w:ascii="Times New Roman" w:hAnsi="Times New Roman" w:eastAsia="Times New Roman" w:cs="Times New Roman"/>
          <w:sz w:val="21"/>
          <w:szCs w:val="21"/>
        </w:rPr>
        <w:t>ROC</w:t>
      </w:r>
      <w:r>
        <w:rPr>
          <w:rFonts w:ascii="Times New Roman" w:hAnsi="Times New Roman" w:eastAsia="Times New Roman" w:cs="Times New Roman"/>
          <w:sz w:val="21"/>
          <w:szCs w:val="21"/>
          <w:spacing w:val="27"/>
          <w:w w:val="101"/>
        </w:rPr>
        <w:t xml:space="preserve"> </w:t>
      </w:r>
      <w:r>
        <w:rPr>
          <w:sz w:val="21"/>
          <w:szCs w:val="21"/>
        </w:rPr>
        <w:t>结果显示， </w:t>
      </w:r>
      <w:r>
        <w:rPr>
          <w:sz w:val="21"/>
          <w:szCs w:val="21"/>
          <w:spacing w:val="-3"/>
        </w:rPr>
        <w:t>腹型</w:t>
      </w:r>
      <w:r>
        <w:rPr>
          <w:sz w:val="21"/>
          <w:szCs w:val="21"/>
          <w:spacing w:val="-44"/>
        </w:rPr>
        <w:t xml:space="preserve"> </w:t>
      </w:r>
      <w:r>
        <w:rPr>
          <w:rFonts w:ascii="Times New Roman" w:hAnsi="Times New Roman" w:eastAsia="Times New Roman" w:cs="Times New Roman"/>
          <w:sz w:val="21"/>
          <w:szCs w:val="21"/>
          <w:spacing w:val="-3"/>
        </w:rPr>
        <w:t>HSP</w:t>
      </w:r>
      <w:r>
        <w:rPr>
          <w:rFonts w:ascii="Times New Roman" w:hAnsi="Times New Roman" w:eastAsia="Times New Roman" w:cs="Times New Roman"/>
          <w:sz w:val="21"/>
          <w:szCs w:val="21"/>
          <w:spacing w:val="18"/>
          <w:w w:val="101"/>
        </w:rPr>
        <w:t xml:space="preserve"> </w:t>
      </w:r>
      <w:r>
        <w:rPr>
          <w:sz w:val="21"/>
          <w:szCs w:val="21"/>
          <w:spacing w:val="-3"/>
        </w:rPr>
        <w:t>患儿发生胃肠道出血风险预测模型预测胃肠道出血的曲线下面积（</w:t>
      </w:r>
      <w:r>
        <w:rPr>
          <w:rFonts w:ascii="Times New Roman" w:hAnsi="Times New Roman" w:eastAsia="Times New Roman" w:cs="Times New Roman"/>
          <w:sz w:val="21"/>
          <w:szCs w:val="21"/>
          <w:spacing w:val="-3"/>
        </w:rPr>
        <w:t>AUC</w:t>
      </w:r>
      <w:r>
        <w:rPr>
          <w:sz w:val="21"/>
          <w:szCs w:val="21"/>
          <w:spacing w:val="-3"/>
        </w:rPr>
        <w:t>）为</w:t>
      </w:r>
      <w:r>
        <w:rPr>
          <w:sz w:val="21"/>
          <w:szCs w:val="21"/>
          <w:spacing w:val="-34"/>
        </w:rPr>
        <w:t xml:space="preserve"> </w:t>
      </w:r>
      <w:r>
        <w:rPr>
          <w:rFonts w:ascii="Times New Roman" w:hAnsi="Times New Roman" w:eastAsia="Times New Roman" w:cs="Times New Roman"/>
          <w:sz w:val="21"/>
          <w:szCs w:val="21"/>
          <w:spacing w:val="-3"/>
        </w:rPr>
        <w:t>0.899</w:t>
      </w:r>
      <w:r>
        <w:rPr>
          <w:rFonts w:ascii="Times New Roman" w:hAnsi="Times New Roman" w:eastAsia="Times New Roman" w:cs="Times New Roman"/>
          <w:sz w:val="21"/>
          <w:szCs w:val="21"/>
        </w:rPr>
        <w:t xml:space="preserve">  </w:t>
      </w:r>
      <w:r>
        <w:rPr>
          <w:sz w:val="21"/>
          <w:szCs w:val="21"/>
          <w:spacing w:val="-1"/>
        </w:rPr>
        <w:t>（</w:t>
      </w:r>
      <w:r>
        <w:rPr>
          <w:rFonts w:ascii="Times New Roman" w:hAnsi="Times New Roman" w:eastAsia="Times New Roman" w:cs="Times New Roman"/>
          <w:sz w:val="21"/>
          <w:szCs w:val="21"/>
          <w:spacing w:val="-1"/>
        </w:rPr>
        <w:t>95%CI</w:t>
      </w:r>
      <w:r>
        <w:rPr>
          <w:sz w:val="21"/>
          <w:szCs w:val="21"/>
          <w:spacing w:val="-1"/>
        </w:rPr>
        <w:t>：</w:t>
      </w:r>
      <w:r>
        <w:rPr>
          <w:rFonts w:ascii="Times New Roman" w:hAnsi="Times New Roman" w:eastAsia="Times New Roman" w:cs="Times New Roman"/>
          <w:sz w:val="21"/>
          <w:szCs w:val="21"/>
          <w:spacing w:val="-1"/>
        </w:rPr>
        <w:t>0.848~0.951</w:t>
      </w:r>
      <w:r>
        <w:rPr>
          <w:sz w:val="21"/>
          <w:szCs w:val="21"/>
        </w:rPr>
        <w:t>），</w:t>
      </w:r>
      <w:r>
        <w:rPr>
          <w:sz w:val="21"/>
          <w:szCs w:val="21"/>
          <w:spacing w:val="-1"/>
        </w:rPr>
        <w:t>灵敏度</w:t>
      </w:r>
      <w:r>
        <w:rPr>
          <w:sz w:val="21"/>
          <w:szCs w:val="21"/>
          <w:spacing w:val="-21"/>
        </w:rPr>
        <w:t xml:space="preserve"> </w:t>
      </w:r>
      <w:r>
        <w:rPr>
          <w:rFonts w:ascii="Times New Roman" w:hAnsi="Times New Roman" w:eastAsia="Times New Roman" w:cs="Times New Roman"/>
          <w:sz w:val="21"/>
          <w:szCs w:val="21"/>
          <w:spacing w:val="-1"/>
        </w:rPr>
        <w:t>81.11%</w:t>
      </w:r>
      <w:r>
        <w:rPr>
          <w:sz w:val="21"/>
          <w:szCs w:val="21"/>
          <w:spacing w:val="-1"/>
        </w:rPr>
        <w:t>，特异度为</w:t>
      </w:r>
      <w:r>
        <w:rPr>
          <w:sz w:val="21"/>
          <w:szCs w:val="21"/>
          <w:spacing w:val="-35"/>
        </w:rPr>
        <w:t xml:space="preserve"> </w:t>
      </w:r>
      <w:r>
        <w:rPr>
          <w:rFonts w:ascii="Times New Roman" w:hAnsi="Times New Roman" w:eastAsia="Times New Roman" w:cs="Times New Roman"/>
          <w:sz w:val="21"/>
          <w:szCs w:val="21"/>
          <w:spacing w:val="-1"/>
        </w:rPr>
        <w:t>85.00%</w:t>
      </w:r>
      <w:r>
        <w:rPr>
          <w:sz w:val="21"/>
          <w:szCs w:val="21"/>
          <w:spacing w:val="-1"/>
        </w:rPr>
        <w:t>，提示该模型具有较好的预测</w:t>
      </w:r>
      <w:r>
        <w:rPr>
          <w:sz w:val="21"/>
          <w:szCs w:val="21"/>
        </w:rPr>
        <w:t xml:space="preserve"> </w:t>
      </w:r>
      <w:r>
        <w:rPr>
          <w:sz w:val="21"/>
          <w:szCs w:val="21"/>
          <w:spacing w:val="-3"/>
        </w:rPr>
        <w:t>效能（</w:t>
      </w:r>
      <w:r>
        <w:rPr>
          <w:rFonts w:ascii="Times New Roman" w:hAnsi="Times New Roman" w:eastAsia="Times New Roman" w:cs="Times New Roman"/>
          <w:sz w:val="21"/>
          <w:szCs w:val="21"/>
          <w:i/>
          <w:iCs/>
          <w:spacing w:val="-3"/>
        </w:rPr>
        <w:t>P</w:t>
      </w:r>
      <w:r>
        <w:rPr>
          <w:sz w:val="21"/>
          <w:szCs w:val="21"/>
          <w:spacing w:val="-3"/>
        </w:rPr>
        <w:t>＜</w:t>
      </w:r>
      <w:r>
        <w:rPr>
          <w:rFonts w:ascii="Times New Roman" w:hAnsi="Times New Roman" w:eastAsia="Times New Roman" w:cs="Times New Roman"/>
          <w:sz w:val="21"/>
          <w:szCs w:val="21"/>
          <w:spacing w:val="-3"/>
        </w:rPr>
        <w:t>0.05</w:t>
      </w:r>
      <w:r>
        <w:rPr>
          <w:sz w:val="21"/>
          <w:szCs w:val="21"/>
          <w:spacing w:val="-3"/>
        </w:rPr>
        <w:t>）。见图 </w:t>
      </w:r>
      <w:r>
        <w:rPr>
          <w:rFonts w:ascii="Times New Roman" w:hAnsi="Times New Roman" w:eastAsia="Times New Roman" w:cs="Times New Roman"/>
          <w:sz w:val="21"/>
          <w:szCs w:val="21"/>
          <w:spacing w:val="-3"/>
        </w:rPr>
        <w:t>1</w:t>
      </w:r>
    </w:p>
    <w:p>
      <w:pPr>
        <w:ind w:firstLine="1889"/>
        <w:spacing w:line="5041" w:lineRule="exact"/>
        <w:rPr/>
      </w:pPr>
      <w:r>
        <w:rPr>
          <w:position w:val="-100"/>
        </w:rPr>
        <w:drawing>
          <wp:inline distT="0" distB="0" distL="0" distR="0">
            <wp:extent cx="3296284" cy="3201669"/>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3296284" cy="3201669"/>
                    </a:xfrm>
                    <a:prstGeom prst="rect">
                      <a:avLst/>
                    </a:prstGeom>
                  </pic:spPr>
                </pic:pic>
              </a:graphicData>
            </a:graphic>
          </wp:inline>
        </w:drawing>
      </w:r>
    </w:p>
    <w:p>
      <w:pPr>
        <w:pStyle w:val="BodyText"/>
        <w:ind w:left="2642"/>
        <w:spacing w:before="66" w:line="212" w:lineRule="auto"/>
        <w:outlineLvl w:val="0"/>
        <w:rPr>
          <w:sz w:val="21"/>
          <w:szCs w:val="21"/>
        </w:rPr>
      </w:pPr>
      <w:r>
        <w:rPr>
          <w:sz w:val="21"/>
          <w:szCs w:val="21"/>
          <w:spacing w:val="-4"/>
        </w:rPr>
        <w:t>图</w:t>
      </w:r>
      <w:r>
        <w:rPr>
          <w:sz w:val="21"/>
          <w:szCs w:val="21"/>
          <w:spacing w:val="-28"/>
        </w:rPr>
        <w:t xml:space="preserve"> </w:t>
      </w:r>
      <w:r>
        <w:rPr>
          <w:rFonts w:ascii="Times New Roman" w:hAnsi="Times New Roman" w:eastAsia="Times New Roman" w:cs="Times New Roman"/>
          <w:sz w:val="21"/>
          <w:szCs w:val="21"/>
          <w:spacing w:val="-4"/>
        </w:rPr>
        <w:t>1    Logistic</w:t>
      </w:r>
      <w:r>
        <w:rPr>
          <w:rFonts w:ascii="Times New Roman" w:hAnsi="Times New Roman" w:eastAsia="Times New Roman" w:cs="Times New Roman"/>
          <w:sz w:val="21"/>
          <w:szCs w:val="21"/>
          <w:spacing w:val="30"/>
          <w:w w:val="101"/>
        </w:rPr>
        <w:t xml:space="preserve"> </w:t>
      </w:r>
      <w:r>
        <w:rPr>
          <w:sz w:val="21"/>
          <w:szCs w:val="21"/>
          <w:spacing w:val="-4"/>
        </w:rPr>
        <w:t>回归模型的预测</w:t>
      </w:r>
      <w:r>
        <w:rPr>
          <w:sz w:val="21"/>
          <w:szCs w:val="21"/>
          <w:spacing w:val="-49"/>
        </w:rPr>
        <w:t xml:space="preserve"> </w:t>
      </w:r>
      <w:r>
        <w:rPr>
          <w:rFonts w:ascii="Times New Roman" w:hAnsi="Times New Roman" w:eastAsia="Times New Roman" w:cs="Times New Roman"/>
          <w:sz w:val="21"/>
          <w:szCs w:val="21"/>
          <w:spacing w:val="-4"/>
        </w:rPr>
        <w:t>ROC</w:t>
      </w:r>
      <w:r>
        <w:rPr>
          <w:rFonts w:ascii="Times New Roman" w:hAnsi="Times New Roman" w:eastAsia="Times New Roman" w:cs="Times New Roman"/>
          <w:sz w:val="21"/>
          <w:szCs w:val="21"/>
          <w:spacing w:val="34"/>
        </w:rPr>
        <w:t xml:space="preserve"> </w:t>
      </w:r>
      <w:r>
        <w:rPr>
          <w:sz w:val="21"/>
          <w:szCs w:val="21"/>
          <w:spacing w:val="-5"/>
        </w:rPr>
        <w:t>曲线</w:t>
      </w:r>
    </w:p>
    <w:p>
      <w:pPr>
        <w:spacing w:line="212" w:lineRule="auto"/>
        <w:sectPr>
          <w:headerReference w:type="default" r:id="rId17"/>
          <w:footerReference w:type="default" r:id="rId18"/>
          <w:pgSz w:w="11907" w:h="16839"/>
          <w:pgMar w:top="1745" w:right="1690" w:bottom="1745" w:left="1678" w:header="1383" w:footer="1478" w:gutter="0"/>
        </w:sectPr>
        <w:rPr>
          <w:sz w:val="21"/>
          <w:szCs w:val="21"/>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3" w:firstLine="419"/>
        <w:spacing w:before="68" w:line="275" w:lineRule="auto"/>
        <w:jc w:val="both"/>
        <w:rPr>
          <w:sz w:val="21"/>
          <w:szCs w:val="21"/>
        </w:rPr>
      </w:pPr>
      <w:r>
        <w:rPr>
          <w:sz w:val="21"/>
          <w:szCs w:val="21"/>
          <w:spacing w:val="-1"/>
        </w:rPr>
        <w:t>腹型</w:t>
      </w:r>
      <w:r>
        <w:rPr>
          <w:sz w:val="21"/>
          <w:szCs w:val="21"/>
          <w:spacing w:val="-13"/>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35"/>
        </w:rPr>
        <w:t xml:space="preserve"> </w:t>
      </w:r>
      <w:r>
        <w:rPr>
          <w:sz w:val="21"/>
          <w:szCs w:val="21"/>
          <w:spacing w:val="-1"/>
        </w:rPr>
        <w:t>是一种以小血管炎为主要病变的全身性血管炎疾病，其病理机制涉及免疫复</w:t>
      </w:r>
      <w:r>
        <w:rPr>
          <w:sz w:val="21"/>
          <w:szCs w:val="21"/>
        </w:rPr>
        <w:t xml:space="preserve"> </w:t>
      </w:r>
      <w:r>
        <w:rPr>
          <w:sz w:val="21"/>
          <w:szCs w:val="21"/>
          <w:spacing w:val="-2"/>
        </w:rPr>
        <w:t>合物的沉积、补体系统的激活、炎症细胞的浸润等</w:t>
      </w:r>
      <w:r>
        <w:rPr>
          <w:rFonts w:ascii="Times New Roman" w:hAnsi="Times New Roman" w:eastAsia="Times New Roman" w:cs="Times New Roman"/>
          <w:sz w:val="14"/>
          <w:szCs w:val="14"/>
          <w:spacing w:val="-2"/>
          <w:position w:val="7"/>
        </w:rPr>
        <w:t>[8]</w:t>
      </w:r>
      <w:r>
        <w:rPr>
          <w:rFonts w:ascii="Times New Roman" w:hAnsi="Times New Roman" w:eastAsia="Times New Roman" w:cs="Times New Roman"/>
          <w:sz w:val="14"/>
          <w:szCs w:val="14"/>
          <w:spacing w:val="-8"/>
          <w:position w:val="7"/>
        </w:rPr>
        <w:t xml:space="preserve"> </w:t>
      </w:r>
      <w:r>
        <w:rPr>
          <w:sz w:val="21"/>
          <w:szCs w:val="21"/>
          <w:spacing w:val="-2"/>
        </w:rPr>
        <w:t>。胃肠道出血是腹型过敏性紫癜患儿常</w:t>
      </w:r>
      <w:r>
        <w:rPr>
          <w:sz w:val="21"/>
          <w:szCs w:val="21"/>
        </w:rPr>
        <w:t xml:space="preserve"> </w:t>
      </w:r>
      <w:r>
        <w:rPr>
          <w:sz w:val="21"/>
          <w:szCs w:val="21"/>
          <w:spacing w:val="-2"/>
        </w:rPr>
        <w:t>见的并发症之一，其发生率约为 </w:t>
      </w:r>
      <w:r>
        <w:rPr>
          <w:rFonts w:ascii="Times New Roman" w:hAnsi="Times New Roman" w:eastAsia="Times New Roman" w:cs="Times New Roman"/>
          <w:sz w:val="21"/>
          <w:szCs w:val="21"/>
          <w:spacing w:val="-2"/>
        </w:rPr>
        <w:t>30%~50%</w:t>
      </w:r>
      <w:r>
        <w:rPr>
          <w:sz w:val="21"/>
          <w:szCs w:val="21"/>
          <w:spacing w:val="-2"/>
        </w:rPr>
        <w:t>，胃肠道出血主要是由于肠道小血管炎</w:t>
      </w:r>
      <w:r>
        <w:rPr>
          <w:sz w:val="21"/>
          <w:szCs w:val="21"/>
          <w:spacing w:val="-3"/>
        </w:rPr>
        <w:t>症反应，</w:t>
      </w:r>
      <w:r>
        <w:rPr>
          <w:sz w:val="21"/>
          <w:szCs w:val="21"/>
        </w:rPr>
        <w:t xml:space="preserve">  </w:t>
      </w:r>
      <w:r>
        <w:rPr>
          <w:sz w:val="21"/>
          <w:szCs w:val="21"/>
          <w:spacing w:val="-5"/>
        </w:rPr>
        <w:t>导致血管壁的通透性增加，红细胞渗出至肠腔，从而出现胃肠道出血。此外， 血</w:t>
      </w:r>
      <w:r>
        <w:rPr>
          <w:sz w:val="21"/>
          <w:szCs w:val="21"/>
          <w:spacing w:val="-6"/>
        </w:rPr>
        <w:t>管炎症还可</w:t>
      </w:r>
      <w:r>
        <w:rPr>
          <w:sz w:val="21"/>
          <w:szCs w:val="21"/>
        </w:rPr>
        <w:t xml:space="preserve"> </w:t>
      </w:r>
      <w:r>
        <w:rPr>
          <w:sz w:val="21"/>
          <w:szCs w:val="21"/>
        </w:rPr>
        <w:t>引起胃肠道平滑肌痉挛，导致胃肠道功能紊乱</w:t>
      </w:r>
      <w:r>
        <w:rPr>
          <w:rFonts w:ascii="Times New Roman" w:hAnsi="Times New Roman" w:eastAsia="Times New Roman" w:cs="Times New Roman"/>
          <w:sz w:val="14"/>
          <w:szCs w:val="14"/>
          <w:position w:val="7"/>
        </w:rPr>
        <w:t>[9]</w:t>
      </w:r>
      <w:r>
        <w:rPr>
          <w:sz w:val="21"/>
          <w:szCs w:val="21"/>
        </w:rPr>
        <w:t>。胃肠道出血可能导致</w:t>
      </w:r>
      <w:r>
        <w:rPr>
          <w:sz w:val="21"/>
          <w:szCs w:val="21"/>
          <w:spacing w:val="-1"/>
        </w:rPr>
        <w:t>患儿出现剧烈腹痛、</w:t>
      </w:r>
      <w:r>
        <w:rPr>
          <w:sz w:val="21"/>
          <w:szCs w:val="21"/>
        </w:rPr>
        <w:t xml:space="preserve"> </w:t>
      </w:r>
      <w:r>
        <w:rPr>
          <w:sz w:val="21"/>
          <w:szCs w:val="21"/>
          <w:spacing w:val="-10"/>
        </w:rPr>
        <w:t>恶心、呕吐、便血等症状，</w:t>
      </w:r>
      <w:r>
        <w:rPr>
          <w:sz w:val="21"/>
          <w:szCs w:val="21"/>
          <w:spacing w:val="42"/>
        </w:rPr>
        <w:t xml:space="preserve"> </w:t>
      </w:r>
      <w:r>
        <w:rPr>
          <w:sz w:val="21"/>
          <w:szCs w:val="21"/>
          <w:spacing w:val="-10"/>
        </w:rPr>
        <w:t>严重者可出现休克、贫血、</w:t>
      </w:r>
      <w:r>
        <w:rPr>
          <w:sz w:val="21"/>
          <w:szCs w:val="21"/>
          <w:spacing w:val="-11"/>
        </w:rPr>
        <w:t>甚至危及生命。因此，</w:t>
      </w:r>
      <w:r>
        <w:rPr>
          <w:sz w:val="21"/>
          <w:szCs w:val="21"/>
          <w:spacing w:val="61"/>
        </w:rPr>
        <w:t xml:space="preserve"> </w:t>
      </w:r>
      <w:r>
        <w:rPr>
          <w:sz w:val="21"/>
          <w:szCs w:val="21"/>
          <w:spacing w:val="-11"/>
        </w:rPr>
        <w:t>了解胃肠道出</w:t>
      </w:r>
      <w:r>
        <w:rPr>
          <w:sz w:val="21"/>
          <w:szCs w:val="21"/>
        </w:rPr>
        <w:t xml:space="preserve"> </w:t>
      </w:r>
      <w:r>
        <w:rPr>
          <w:sz w:val="21"/>
          <w:szCs w:val="21"/>
          <w:spacing w:val="-6"/>
        </w:rPr>
        <w:t>血在腹型过敏性紫癜患儿中的重要性，对提高诊断准确率、及时采取治疗措施具有重要意义。</w:t>
      </w:r>
    </w:p>
    <w:p>
      <w:pPr>
        <w:pStyle w:val="BodyText"/>
        <w:ind w:left="21" w:right="31" w:firstLine="421"/>
        <w:spacing w:before="9" w:line="275" w:lineRule="auto"/>
        <w:jc w:val="both"/>
        <w:rPr>
          <w:sz w:val="21"/>
          <w:szCs w:val="21"/>
        </w:rPr>
      </w:pPr>
      <w:r>
        <w:rPr>
          <w:sz w:val="21"/>
          <w:szCs w:val="21"/>
        </w:rPr>
        <w:t>本研究经多因素 </w:t>
      </w:r>
      <w:r>
        <w:rPr>
          <w:rFonts w:ascii="Times New Roman" w:hAnsi="Times New Roman" w:eastAsia="Times New Roman" w:cs="Times New Roman"/>
          <w:sz w:val="21"/>
          <w:szCs w:val="21"/>
        </w:rPr>
        <w:t>logistic  </w:t>
      </w:r>
      <w:r>
        <w:rPr>
          <w:sz w:val="21"/>
          <w:szCs w:val="21"/>
        </w:rPr>
        <w:t>回归分析显示，皮</w:t>
      </w:r>
      <w:r>
        <w:rPr>
          <w:sz w:val="21"/>
          <w:szCs w:val="21"/>
          <w:spacing w:val="-1"/>
        </w:rPr>
        <w:t>疹分布（</w:t>
      </w:r>
      <w:r>
        <w:rPr>
          <w:rFonts w:ascii="Times New Roman" w:hAnsi="Times New Roman" w:eastAsia="Times New Roman" w:cs="Times New Roman"/>
          <w:sz w:val="21"/>
          <w:szCs w:val="21"/>
          <w:spacing w:val="-1"/>
        </w:rPr>
        <w:t>X1</w:t>
      </w:r>
      <w:r>
        <w:rPr>
          <w:sz w:val="21"/>
          <w:szCs w:val="21"/>
          <w:spacing w:val="-1"/>
        </w:rPr>
        <w:t>）、呕吐（</w:t>
      </w:r>
      <w:r>
        <w:rPr>
          <w:rFonts w:ascii="Times New Roman" w:hAnsi="Times New Roman" w:eastAsia="Times New Roman" w:cs="Times New Roman"/>
          <w:sz w:val="21"/>
          <w:szCs w:val="21"/>
          <w:spacing w:val="-1"/>
        </w:rPr>
        <w:t>X2</w:t>
      </w:r>
      <w:r>
        <w:rPr>
          <w:sz w:val="21"/>
          <w:szCs w:val="21"/>
          <w:spacing w:val="-1"/>
        </w:rPr>
        <w:t>）、</w:t>
      </w:r>
      <w:r>
        <w:rPr>
          <w:rFonts w:ascii="Times New Roman" w:hAnsi="Times New Roman" w:eastAsia="Times New Roman" w:cs="Times New Roman"/>
          <w:sz w:val="21"/>
          <w:szCs w:val="21"/>
          <w:spacing w:val="-1"/>
        </w:rPr>
        <w:t>NLR</w:t>
      </w:r>
      <w:r>
        <w:rPr>
          <w:sz w:val="21"/>
          <w:szCs w:val="21"/>
          <w:spacing w:val="-1"/>
        </w:rPr>
        <w:t>（</w:t>
      </w:r>
      <w:r>
        <w:rPr>
          <w:rFonts w:ascii="Times New Roman" w:hAnsi="Times New Roman" w:eastAsia="Times New Roman" w:cs="Times New Roman"/>
          <w:sz w:val="21"/>
          <w:szCs w:val="21"/>
          <w:spacing w:val="-1"/>
        </w:rPr>
        <w:t>X6</w:t>
      </w:r>
      <w:r>
        <w:rPr>
          <w:sz w:val="21"/>
          <w:szCs w:val="21"/>
          <w:spacing w:val="-1"/>
        </w:rPr>
        <w:t>）</w:t>
      </w:r>
      <w:r>
        <w:rPr>
          <w:sz w:val="21"/>
          <w:szCs w:val="21"/>
        </w:rPr>
        <w:t xml:space="preserve"> </w:t>
      </w:r>
      <w:r>
        <w:rPr>
          <w:sz w:val="21"/>
          <w:szCs w:val="21"/>
          <w:spacing w:val="-1"/>
        </w:rPr>
        <w:t>及</w:t>
      </w:r>
      <w:r>
        <w:rPr>
          <w:sz w:val="21"/>
          <w:szCs w:val="21"/>
          <w:spacing w:val="-28"/>
        </w:rPr>
        <w:t xml:space="preserve"> </w:t>
      </w:r>
      <w:r>
        <w:rPr>
          <w:rFonts w:ascii="Times New Roman" w:hAnsi="Times New Roman" w:eastAsia="Times New Roman" w:cs="Times New Roman"/>
          <w:sz w:val="21"/>
          <w:szCs w:val="21"/>
          <w:spacing w:val="-1"/>
        </w:rPr>
        <w:t>CRP</w:t>
      </w:r>
      <w:r>
        <w:rPr>
          <w:sz w:val="21"/>
          <w:szCs w:val="21"/>
          <w:spacing w:val="-1"/>
        </w:rPr>
        <w:t>（</w:t>
      </w:r>
      <w:r>
        <w:rPr>
          <w:rFonts w:ascii="Times New Roman" w:hAnsi="Times New Roman" w:eastAsia="Times New Roman" w:cs="Times New Roman"/>
          <w:sz w:val="21"/>
          <w:szCs w:val="21"/>
          <w:spacing w:val="-1"/>
        </w:rPr>
        <w:t>X7</w:t>
      </w:r>
      <w:r>
        <w:rPr>
          <w:sz w:val="21"/>
          <w:szCs w:val="21"/>
          <w:spacing w:val="-1"/>
        </w:rPr>
        <w:t>）水平为腹型</w:t>
      </w:r>
      <w:r>
        <w:rPr>
          <w:sz w:val="21"/>
          <w:szCs w:val="21"/>
          <w:spacing w:val="-49"/>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18"/>
        </w:rPr>
        <w:t xml:space="preserve"> </w:t>
      </w:r>
      <w:r>
        <w:rPr>
          <w:sz w:val="21"/>
          <w:szCs w:val="21"/>
          <w:spacing w:val="-1"/>
        </w:rPr>
        <w:t>患儿发生胃肠道出血的独立危险因素。与未合并患儿比较，</w:t>
      </w:r>
      <w:r>
        <w:rPr>
          <w:sz w:val="21"/>
          <w:szCs w:val="21"/>
        </w:rPr>
        <w:t xml:space="preserve"> </w:t>
      </w:r>
      <w:r>
        <w:rPr>
          <w:sz w:val="21"/>
          <w:szCs w:val="21"/>
          <w:spacing w:val="1"/>
        </w:rPr>
        <w:t>合并胃肠道出血患儿皮疹分布更广，病情更为严重。</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1"/>
        </w:rPr>
        <w:t xml:space="preserve">  </w:t>
      </w:r>
      <w:r>
        <w:rPr>
          <w:sz w:val="21"/>
          <w:szCs w:val="21"/>
          <w:spacing w:val="1"/>
        </w:rPr>
        <w:t>是一种由免疫复合物介导的</w:t>
      </w:r>
      <w:r>
        <w:rPr>
          <w:sz w:val="21"/>
          <w:szCs w:val="21"/>
        </w:rPr>
        <w:t>系统 </w:t>
      </w:r>
      <w:r>
        <w:rPr>
          <w:sz w:val="21"/>
          <w:szCs w:val="21"/>
        </w:rPr>
        <w:t>性血管炎，主要以 </w:t>
      </w:r>
      <w:r>
        <w:rPr>
          <w:rFonts w:ascii="Times New Roman" w:hAnsi="Times New Roman" w:eastAsia="Times New Roman" w:cs="Times New Roman"/>
          <w:sz w:val="21"/>
          <w:szCs w:val="21"/>
        </w:rPr>
        <w:t>IgA  </w:t>
      </w:r>
      <w:r>
        <w:rPr>
          <w:sz w:val="21"/>
          <w:szCs w:val="21"/>
        </w:rPr>
        <w:t>为主的免疫复合物在血管壁沉积，导致血管内</w:t>
      </w:r>
      <w:r>
        <w:rPr>
          <w:sz w:val="21"/>
          <w:szCs w:val="21"/>
          <w:spacing w:val="-1"/>
        </w:rPr>
        <w:t>皮细胞损伤，内皮细</w:t>
      </w:r>
      <w:r>
        <w:rPr>
          <w:sz w:val="21"/>
          <w:szCs w:val="21"/>
        </w:rPr>
        <w:t xml:space="preserve"> </w:t>
      </w:r>
      <w:r>
        <w:rPr>
          <w:sz w:val="21"/>
          <w:szCs w:val="21"/>
        </w:rPr>
        <w:t>胞损伤是 </w:t>
      </w:r>
      <w:r>
        <w:rPr>
          <w:rFonts w:ascii="Times New Roman" w:hAnsi="Times New Roman" w:eastAsia="Times New Roman" w:cs="Times New Roman"/>
          <w:sz w:val="21"/>
          <w:szCs w:val="21"/>
        </w:rPr>
        <w:t>IgA  </w:t>
      </w:r>
      <w:r>
        <w:rPr>
          <w:sz w:val="21"/>
          <w:szCs w:val="21"/>
        </w:rPr>
        <w:t>血管炎的一个特征，可能与免疫复合物的沉积、补体、</w:t>
      </w:r>
      <w:r>
        <w:rPr>
          <w:sz w:val="21"/>
          <w:szCs w:val="21"/>
          <w:spacing w:val="-1"/>
        </w:rPr>
        <w:t>炎症因子和趋化因子</w:t>
      </w:r>
      <w:r>
        <w:rPr>
          <w:sz w:val="21"/>
          <w:szCs w:val="21"/>
        </w:rPr>
        <w:t xml:space="preserve"> </w:t>
      </w:r>
      <w:r>
        <w:rPr>
          <w:sz w:val="21"/>
          <w:szCs w:val="21"/>
        </w:rPr>
        <w:t>的激活、氧化应激等因素有关</w:t>
      </w:r>
      <w:r>
        <w:rPr>
          <w:rFonts w:ascii="Times New Roman" w:hAnsi="Times New Roman" w:eastAsia="Times New Roman" w:cs="Times New Roman"/>
          <w:sz w:val="14"/>
          <w:szCs w:val="14"/>
          <w:position w:val="7"/>
        </w:rPr>
        <w:t>[10]</w:t>
      </w:r>
      <w:r>
        <w:rPr>
          <w:sz w:val="21"/>
          <w:szCs w:val="21"/>
        </w:rPr>
        <w:t>。根据证据，</w:t>
      </w:r>
      <w:r>
        <w:rPr>
          <w:rFonts w:ascii="Times New Roman" w:hAnsi="Times New Roman" w:eastAsia="Times New Roman" w:cs="Times New Roman"/>
          <w:sz w:val="21"/>
          <w:szCs w:val="21"/>
        </w:rPr>
        <w:t>HSP  </w:t>
      </w:r>
      <w:r>
        <w:rPr>
          <w:sz w:val="21"/>
          <w:szCs w:val="21"/>
        </w:rPr>
        <w:t>病理变化是毛细血管及小动脉血管壁的</w:t>
      </w:r>
      <w:r>
        <w:rPr>
          <w:sz w:val="21"/>
          <w:szCs w:val="21"/>
          <w:spacing w:val="14"/>
        </w:rPr>
        <w:t xml:space="preserve"> </w:t>
      </w:r>
      <w:r>
        <w:rPr>
          <w:sz w:val="21"/>
          <w:szCs w:val="21"/>
          <w:spacing w:val="-3"/>
        </w:rPr>
        <w:t>纤维样坏死，血管周围有浆液渗出及炎性细胞浸润，这种病理变化导致血管通透性增加，血</w:t>
      </w:r>
      <w:r>
        <w:rPr>
          <w:sz w:val="21"/>
          <w:szCs w:val="21"/>
          <w:spacing w:val="17"/>
        </w:rPr>
        <w:t xml:space="preserve"> </w:t>
      </w:r>
      <w:r>
        <w:rPr>
          <w:sz w:val="21"/>
          <w:szCs w:val="21"/>
          <w:spacing w:val="-3"/>
        </w:rPr>
        <w:t>液外渗，产生紫癜和黏膜及某些器官出血，特别是胃肠道症状出现于约一半的患儿中，症状</w:t>
      </w:r>
      <w:r>
        <w:rPr>
          <w:sz w:val="21"/>
          <w:szCs w:val="21"/>
          <w:spacing w:val="17"/>
        </w:rPr>
        <w:t xml:space="preserve"> </w:t>
      </w:r>
      <w:r>
        <w:rPr>
          <w:sz w:val="21"/>
          <w:szCs w:val="21"/>
          <w:spacing w:val="-1"/>
        </w:rPr>
        <w:t>从轻微到较严重不等，包括消化道出血、肠缺血和坏死、肠套叠和肠</w:t>
      </w:r>
      <w:r>
        <w:rPr>
          <w:sz w:val="21"/>
          <w:szCs w:val="21"/>
          <w:spacing w:val="-2"/>
        </w:rPr>
        <w:t>穿孔</w:t>
      </w:r>
      <w:r>
        <w:rPr>
          <w:rFonts w:ascii="Times New Roman" w:hAnsi="Times New Roman" w:eastAsia="Times New Roman" w:cs="Times New Roman"/>
          <w:sz w:val="14"/>
          <w:szCs w:val="14"/>
          <w:spacing w:val="-2"/>
          <w:position w:val="7"/>
        </w:rPr>
        <w:t>[11-12]</w:t>
      </w:r>
      <w:r>
        <w:rPr>
          <w:sz w:val="21"/>
          <w:szCs w:val="21"/>
          <w:spacing w:val="-2"/>
        </w:rPr>
        <w:t>。由此可见，</w:t>
      </w:r>
      <w:r>
        <w:rPr>
          <w:sz w:val="21"/>
          <w:szCs w:val="21"/>
        </w:rPr>
        <w:t xml:space="preserve"> </w:t>
      </w:r>
      <w:r>
        <w:rPr>
          <w:sz w:val="21"/>
          <w:szCs w:val="21"/>
          <w:spacing w:val="-3"/>
        </w:rPr>
        <w:t>皮疹的分布严重程度与过敏性紫癜的胃肠道出血之间存在一定的关联，皮疹的分布和严重程</w:t>
      </w:r>
      <w:r>
        <w:rPr>
          <w:sz w:val="21"/>
          <w:szCs w:val="21"/>
          <w:spacing w:val="17"/>
        </w:rPr>
        <w:t xml:space="preserve"> </w:t>
      </w:r>
      <w:r>
        <w:rPr>
          <w:sz w:val="21"/>
          <w:szCs w:val="21"/>
          <w:spacing w:val="-5"/>
        </w:rPr>
        <w:t>度可以作为判断过敏性紫癜患儿是否可能出现胃肠道出血的一个参考指标。呕吐过程中，</w:t>
      </w:r>
      <w:r>
        <w:rPr>
          <w:sz w:val="21"/>
          <w:szCs w:val="21"/>
          <w:spacing w:val="-8"/>
        </w:rPr>
        <w:t xml:space="preserve"> </w:t>
      </w:r>
      <w:r>
        <w:rPr>
          <w:sz w:val="21"/>
          <w:szCs w:val="21"/>
          <w:spacing w:val="-5"/>
        </w:rPr>
        <w:t>胃</w:t>
      </w:r>
      <w:r>
        <w:rPr>
          <w:sz w:val="21"/>
          <w:szCs w:val="21"/>
        </w:rPr>
        <w:t xml:space="preserve"> </w:t>
      </w:r>
      <w:r>
        <w:rPr>
          <w:sz w:val="21"/>
          <w:szCs w:val="21"/>
          <w:spacing w:val="-5"/>
        </w:rPr>
        <w:t>酸和胃蛋白酶等刺激性物质会直接作用于胃黏膜，导致胃黏膜受损。此外，</w:t>
      </w:r>
      <w:r>
        <w:rPr>
          <w:sz w:val="21"/>
          <w:szCs w:val="21"/>
          <w:spacing w:val="-7"/>
        </w:rPr>
        <w:t xml:space="preserve"> </w:t>
      </w:r>
      <w:r>
        <w:rPr>
          <w:sz w:val="21"/>
          <w:szCs w:val="21"/>
          <w:spacing w:val="-5"/>
        </w:rPr>
        <w:t>过敏性紫癜引起</w:t>
      </w:r>
      <w:r>
        <w:rPr>
          <w:sz w:val="21"/>
          <w:szCs w:val="21"/>
        </w:rPr>
        <w:t xml:space="preserve"> </w:t>
      </w:r>
      <w:r>
        <w:rPr>
          <w:sz w:val="21"/>
          <w:szCs w:val="21"/>
          <w:spacing w:val="1"/>
        </w:rPr>
        <w:t>的全身性炎症反应也会对胃黏膜造成进一步的损伤</w:t>
      </w:r>
      <w:r>
        <w:rPr>
          <w:rFonts w:ascii="Times New Roman" w:hAnsi="Times New Roman" w:eastAsia="Times New Roman" w:cs="Times New Roman"/>
          <w:sz w:val="14"/>
          <w:szCs w:val="14"/>
          <w:spacing w:val="1"/>
          <w:position w:val="7"/>
        </w:rPr>
        <w:t>[13] </w:t>
      </w:r>
      <w:r>
        <w:rPr>
          <w:sz w:val="21"/>
          <w:szCs w:val="21"/>
          <w:spacing w:val="1"/>
        </w:rPr>
        <w:t>。如果胃黏膜损伤较轻，可</w:t>
      </w:r>
      <w:r>
        <w:rPr>
          <w:sz w:val="21"/>
          <w:szCs w:val="21"/>
        </w:rPr>
        <w:t>能会引起 </w:t>
      </w:r>
      <w:r>
        <w:rPr>
          <w:sz w:val="21"/>
          <w:szCs w:val="21"/>
          <w:spacing w:val="-3"/>
        </w:rPr>
        <w:t>浅表性黏膜损伤；但如果损伤进一步发展，可能会导致微血管内皮细胞损伤，从而引起黏膜</w:t>
      </w:r>
      <w:r>
        <w:rPr>
          <w:sz w:val="21"/>
          <w:szCs w:val="21"/>
          <w:spacing w:val="17"/>
        </w:rPr>
        <w:t xml:space="preserve"> </w:t>
      </w:r>
      <w:r>
        <w:rPr>
          <w:sz w:val="21"/>
          <w:szCs w:val="21"/>
          <w:spacing w:val="1"/>
        </w:rPr>
        <w:t>缺血、缺氧，最终导致组织坏死</w:t>
      </w:r>
      <w:r>
        <w:rPr>
          <w:rFonts w:ascii="Times New Roman" w:hAnsi="Times New Roman" w:eastAsia="Times New Roman" w:cs="Times New Roman"/>
          <w:sz w:val="14"/>
          <w:szCs w:val="14"/>
          <w:spacing w:val="1"/>
          <w:position w:val="7"/>
        </w:rPr>
        <w:t>[14] </w:t>
      </w:r>
      <w:r>
        <w:rPr>
          <w:sz w:val="21"/>
          <w:szCs w:val="21"/>
          <w:spacing w:val="1"/>
        </w:rPr>
        <w:t>。因此，呕吐不仅直接损伤胃黏膜，还可能通过</w:t>
      </w:r>
      <w:r>
        <w:rPr>
          <w:sz w:val="21"/>
          <w:szCs w:val="21"/>
        </w:rPr>
        <w:t>全身性 </w:t>
      </w:r>
      <w:r>
        <w:rPr>
          <w:sz w:val="21"/>
          <w:szCs w:val="21"/>
          <w:spacing w:val="-5"/>
        </w:rPr>
        <w:t>炎症反应加剧胃黏膜的损伤，最终导致消化道出血。中性粒细胞是免疫应答的效应细胞，</w:t>
      </w:r>
      <w:r>
        <w:rPr>
          <w:sz w:val="21"/>
          <w:szCs w:val="21"/>
          <w:spacing w:val="-8"/>
        </w:rPr>
        <w:t xml:space="preserve"> </w:t>
      </w:r>
      <w:r>
        <w:rPr>
          <w:sz w:val="21"/>
          <w:szCs w:val="21"/>
          <w:spacing w:val="-5"/>
        </w:rPr>
        <w:t>具</w:t>
      </w:r>
      <w:r>
        <w:rPr>
          <w:sz w:val="21"/>
          <w:szCs w:val="21"/>
        </w:rPr>
        <w:t xml:space="preserve"> </w:t>
      </w:r>
      <w:r>
        <w:rPr>
          <w:sz w:val="21"/>
          <w:szCs w:val="21"/>
          <w:spacing w:val="-1"/>
        </w:rPr>
        <w:t>有吞噬、释放氧自由基和溶酶体酶等功能，能够杀灭化脓性致病菌。中性粒细胞在</w:t>
      </w:r>
      <w:r>
        <w:rPr>
          <w:sz w:val="21"/>
          <w:szCs w:val="21"/>
          <w:spacing w:val="-24"/>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48"/>
          <w:w w:val="101"/>
        </w:rPr>
        <w:t xml:space="preserve"> </w:t>
      </w:r>
      <w:r>
        <w:rPr>
          <w:sz w:val="21"/>
          <w:szCs w:val="21"/>
          <w:spacing w:val="-1"/>
        </w:rPr>
        <w:t>的</w:t>
      </w:r>
      <w:r>
        <w:rPr>
          <w:sz w:val="21"/>
          <w:szCs w:val="21"/>
        </w:rPr>
        <w:t xml:space="preserve"> </w:t>
      </w:r>
      <w:r>
        <w:rPr>
          <w:sz w:val="21"/>
          <w:szCs w:val="21"/>
          <w:spacing w:val="-1"/>
        </w:rPr>
        <w:t>发病机制中起着重要作用，它们通过活化及合成 </w:t>
      </w:r>
      <w:r>
        <w:rPr>
          <w:rFonts w:ascii="Times New Roman" w:hAnsi="Times New Roman" w:eastAsia="Times New Roman" w:cs="Times New Roman"/>
          <w:sz w:val="21"/>
          <w:szCs w:val="21"/>
          <w:spacing w:val="-1"/>
        </w:rPr>
        <w:t>IL-8</w:t>
      </w:r>
      <w:r>
        <w:rPr>
          <w:rFonts w:ascii="Times New Roman" w:hAnsi="Times New Roman" w:eastAsia="Times New Roman" w:cs="Times New Roman"/>
          <w:sz w:val="21"/>
          <w:szCs w:val="21"/>
          <w:spacing w:val="40"/>
        </w:rPr>
        <w:t xml:space="preserve"> </w:t>
      </w:r>
      <w:r>
        <w:rPr>
          <w:sz w:val="21"/>
          <w:szCs w:val="21"/>
          <w:spacing w:val="-1"/>
        </w:rPr>
        <w:t>等趋化因子，导致组织损伤</w:t>
      </w:r>
      <w:r>
        <w:rPr>
          <w:rFonts w:ascii="Times New Roman" w:hAnsi="Times New Roman" w:eastAsia="Times New Roman" w:cs="Times New Roman"/>
          <w:sz w:val="14"/>
          <w:szCs w:val="14"/>
          <w:spacing w:val="-1"/>
          <w:position w:val="7"/>
        </w:rPr>
        <w:t>[15-16</w:t>
      </w:r>
      <w:r>
        <w:rPr>
          <w:rFonts w:ascii="Times New Roman" w:hAnsi="Times New Roman" w:eastAsia="Times New Roman" w:cs="Times New Roman"/>
          <w:sz w:val="14"/>
          <w:szCs w:val="14"/>
          <w:spacing w:val="-2"/>
          <w:position w:val="7"/>
        </w:rPr>
        <w:t>]</w:t>
      </w:r>
      <w:r>
        <w:rPr>
          <w:sz w:val="21"/>
          <w:szCs w:val="21"/>
          <w:spacing w:val="-2"/>
        </w:rPr>
        <w:t>。此</w:t>
      </w:r>
      <w:r>
        <w:rPr>
          <w:sz w:val="21"/>
          <w:szCs w:val="21"/>
        </w:rPr>
        <w:t xml:space="preserve"> </w:t>
      </w:r>
      <w:r>
        <w:rPr>
          <w:sz w:val="21"/>
          <w:szCs w:val="21"/>
          <w:spacing w:val="-1"/>
        </w:rPr>
        <w:t>外，中性粒细胞及其</w:t>
      </w:r>
      <w:r>
        <w:rPr>
          <w:sz w:val="21"/>
          <w:szCs w:val="21"/>
          <w:spacing w:val="-32"/>
        </w:rPr>
        <w:t xml:space="preserve"> </w:t>
      </w:r>
      <w:r>
        <w:rPr>
          <w:rFonts w:ascii="Times New Roman" w:hAnsi="Times New Roman" w:eastAsia="Times New Roman" w:cs="Times New Roman"/>
          <w:sz w:val="21"/>
          <w:szCs w:val="21"/>
          <w:spacing w:val="-1"/>
        </w:rPr>
        <w:t>IgA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Fc</w:t>
      </w:r>
      <w:r>
        <w:rPr>
          <w:rFonts w:ascii="Times New Roman" w:hAnsi="Times New Roman" w:eastAsia="Times New Roman" w:cs="Times New Roman"/>
          <w:sz w:val="21"/>
          <w:szCs w:val="21"/>
          <w:spacing w:val="13"/>
        </w:rPr>
        <w:t xml:space="preserve"> </w:t>
      </w:r>
      <w:r>
        <w:rPr>
          <w:sz w:val="21"/>
          <w:szCs w:val="21"/>
          <w:spacing w:val="-1"/>
        </w:rPr>
        <w:t>受体对血管内皮细胞也有显著的损伤效应。</w:t>
      </w:r>
      <w:r>
        <w:rPr>
          <w:rFonts w:ascii="Times New Roman" w:hAnsi="Times New Roman" w:eastAsia="Times New Roman" w:cs="Times New Roman"/>
          <w:sz w:val="21"/>
          <w:szCs w:val="21"/>
          <w:spacing w:val="-1"/>
        </w:rPr>
        <w:t>CRP </w:t>
      </w:r>
      <w:r>
        <w:rPr>
          <w:sz w:val="21"/>
          <w:szCs w:val="21"/>
          <w:spacing w:val="-1"/>
        </w:rPr>
        <w:t>是一种急性时</w:t>
      </w:r>
      <w:r>
        <w:rPr>
          <w:sz w:val="21"/>
          <w:szCs w:val="21"/>
        </w:rPr>
        <w:t xml:space="preserve"> </w:t>
      </w:r>
      <w:r>
        <w:rPr>
          <w:sz w:val="21"/>
          <w:szCs w:val="21"/>
          <w:spacing w:val="1"/>
        </w:rPr>
        <w:t>相蛋白，主要由肝脏合成，在炎症、感染、创伤等情况下，</w:t>
      </w:r>
      <w:r>
        <w:rPr>
          <w:rFonts w:ascii="Times New Roman" w:hAnsi="Times New Roman" w:eastAsia="Times New Roman" w:cs="Times New Roman"/>
          <w:sz w:val="21"/>
          <w:szCs w:val="21"/>
        </w:rPr>
        <w:t>CRP</w:t>
      </w:r>
      <w:r>
        <w:rPr>
          <w:rFonts w:ascii="Times New Roman" w:hAnsi="Times New Roman" w:eastAsia="Times New Roman" w:cs="Times New Roman"/>
          <w:sz w:val="21"/>
          <w:szCs w:val="21"/>
          <w:spacing w:val="1"/>
        </w:rPr>
        <w:t xml:space="preserve">  </w:t>
      </w:r>
      <w:r>
        <w:rPr>
          <w:sz w:val="21"/>
          <w:szCs w:val="21"/>
          <w:spacing w:val="1"/>
        </w:rPr>
        <w:t>的浓度会急剧升高。</w:t>
      </w:r>
      <w:r>
        <w:rPr>
          <w:rFonts w:ascii="Times New Roman" w:hAnsi="Times New Roman" w:eastAsia="Times New Roman" w:cs="Times New Roman"/>
          <w:sz w:val="21"/>
          <w:szCs w:val="21"/>
        </w:rPr>
        <w:t>CRP</w:t>
      </w:r>
      <w:r>
        <w:rPr>
          <w:rFonts w:ascii="Times New Roman" w:hAnsi="Times New Roman" w:eastAsia="Times New Roman" w:cs="Times New Roman"/>
          <w:sz w:val="21"/>
          <w:szCs w:val="21"/>
          <w:spacing w:val="7"/>
        </w:rPr>
        <w:t xml:space="preserve">  </w:t>
      </w:r>
      <w:r>
        <w:rPr>
          <w:sz w:val="21"/>
          <w:szCs w:val="21"/>
          <w:spacing w:val="1"/>
        </w:rPr>
        <w:t>水平升高也会导致血管内皮受损，</w:t>
      </w:r>
      <w:r>
        <w:rPr>
          <w:rFonts w:ascii="Times New Roman" w:hAnsi="Times New Roman" w:eastAsia="Times New Roman" w:cs="Times New Roman"/>
          <w:sz w:val="21"/>
          <w:szCs w:val="21"/>
        </w:rPr>
        <w:t>CRP</w:t>
      </w:r>
      <w:r>
        <w:rPr>
          <w:rFonts w:ascii="Times New Roman" w:hAnsi="Times New Roman" w:eastAsia="Times New Roman" w:cs="Times New Roman"/>
          <w:sz w:val="21"/>
          <w:szCs w:val="21"/>
          <w:spacing w:val="1"/>
        </w:rPr>
        <w:t xml:space="preserve">  </w:t>
      </w:r>
      <w:r>
        <w:rPr>
          <w:sz w:val="21"/>
          <w:szCs w:val="21"/>
          <w:spacing w:val="1"/>
        </w:rPr>
        <w:t>可以与脂蛋白结</w:t>
      </w:r>
      <w:r>
        <w:rPr>
          <w:sz w:val="21"/>
          <w:szCs w:val="21"/>
        </w:rPr>
        <w:t>合，通过经典途径激活补体系统， </w:t>
      </w:r>
      <w:r>
        <w:rPr>
          <w:sz w:val="21"/>
          <w:szCs w:val="21"/>
          <w:spacing w:val="-4"/>
        </w:rPr>
        <w:t>造成血管内膜受损。这种内皮损伤会导致炎性物质释放，</w:t>
      </w:r>
      <w:r>
        <w:rPr>
          <w:sz w:val="21"/>
          <w:szCs w:val="21"/>
          <w:spacing w:val="-48"/>
        </w:rPr>
        <w:t xml:space="preserve"> </w:t>
      </w:r>
      <w:r>
        <w:rPr>
          <w:sz w:val="21"/>
          <w:szCs w:val="21"/>
          <w:spacing w:val="-4"/>
        </w:rPr>
        <w:t>促进内皮细胞与循环血白细胞的相</w:t>
      </w:r>
      <w:r>
        <w:rPr>
          <w:sz w:val="21"/>
          <w:szCs w:val="21"/>
        </w:rPr>
        <w:t xml:space="preserve"> </w:t>
      </w:r>
      <w:r>
        <w:rPr>
          <w:sz w:val="21"/>
          <w:szCs w:val="21"/>
          <w:spacing w:val="-1"/>
        </w:rPr>
        <w:t>互作用，进而影响血管功能，进而引起消化道出血</w:t>
      </w:r>
      <w:r>
        <w:rPr>
          <w:rFonts w:ascii="Times New Roman" w:hAnsi="Times New Roman" w:eastAsia="Times New Roman" w:cs="Times New Roman"/>
          <w:sz w:val="14"/>
          <w:szCs w:val="14"/>
          <w:spacing w:val="-1"/>
          <w:position w:val="7"/>
        </w:rPr>
        <w:t>[17]</w:t>
      </w:r>
      <w:r>
        <w:rPr>
          <w:sz w:val="21"/>
          <w:szCs w:val="21"/>
          <w:spacing w:val="-1"/>
        </w:rPr>
        <w:t>。有研究发现， </w:t>
      </w:r>
      <w:r>
        <w:rPr>
          <w:rFonts w:ascii="Times New Roman" w:hAnsi="Times New Roman" w:eastAsia="Times New Roman" w:cs="Times New Roman"/>
          <w:sz w:val="21"/>
          <w:szCs w:val="21"/>
          <w:spacing w:val="-1"/>
        </w:rPr>
        <w:t>CRP ≥5 m</w:t>
      </w:r>
      <w:r>
        <w:rPr>
          <w:rFonts w:ascii="Times New Roman" w:hAnsi="Times New Roman" w:eastAsia="Times New Roman" w:cs="Times New Roman"/>
          <w:sz w:val="21"/>
          <w:szCs w:val="21"/>
          <w:spacing w:val="-2"/>
        </w:rPr>
        <w:t>g /L</w:t>
      </w:r>
      <w:r>
        <w:rPr>
          <w:rFonts w:ascii="Times New Roman" w:hAnsi="Times New Roman" w:eastAsia="Times New Roman" w:cs="Times New Roman"/>
          <w:sz w:val="21"/>
          <w:szCs w:val="21"/>
          <w:spacing w:val="13"/>
        </w:rPr>
        <w:t xml:space="preserve"> </w:t>
      </w:r>
      <w:r>
        <w:rPr>
          <w:sz w:val="21"/>
          <w:szCs w:val="21"/>
          <w:spacing w:val="-2"/>
        </w:rPr>
        <w:t>是上消</w:t>
      </w:r>
      <w:r>
        <w:rPr>
          <w:sz w:val="21"/>
          <w:szCs w:val="21"/>
        </w:rPr>
        <w:t xml:space="preserve"> </w:t>
      </w:r>
      <w:r>
        <w:rPr>
          <w:sz w:val="21"/>
          <w:szCs w:val="21"/>
          <w:spacing w:val="-1"/>
        </w:rPr>
        <w:t>化道出血患儿再出血并发症的重要危险因素</w:t>
      </w:r>
      <w:r>
        <w:rPr>
          <w:rFonts w:ascii="Times New Roman" w:hAnsi="Times New Roman" w:eastAsia="Times New Roman" w:cs="Times New Roman"/>
          <w:sz w:val="14"/>
          <w:szCs w:val="14"/>
          <w:spacing w:val="-1"/>
          <w:position w:val="7"/>
        </w:rPr>
        <w:t>[18]</w:t>
      </w:r>
      <w:r>
        <w:rPr>
          <w:sz w:val="21"/>
          <w:szCs w:val="21"/>
          <w:spacing w:val="-1"/>
        </w:rPr>
        <w:t>。</w:t>
      </w:r>
    </w:p>
    <w:p>
      <w:pPr>
        <w:pStyle w:val="BodyText"/>
        <w:ind w:left="11" w:right="73" w:firstLine="430"/>
        <w:spacing w:before="2" w:line="274" w:lineRule="auto"/>
        <w:jc w:val="both"/>
        <w:rPr>
          <w:sz w:val="21"/>
          <w:szCs w:val="21"/>
        </w:rPr>
      </w:pPr>
      <w:r>
        <w:rPr>
          <w:sz w:val="21"/>
          <w:szCs w:val="21"/>
        </w:rPr>
        <w:t>基于本研究结果，构建的</w:t>
      </w:r>
      <w:r>
        <w:rPr>
          <w:sz w:val="21"/>
          <w:szCs w:val="21"/>
          <w:spacing w:val="-45"/>
        </w:rPr>
        <w:t xml:space="preserve"> </w:t>
      </w:r>
      <w:r>
        <w:rPr>
          <w:rFonts w:ascii="Times New Roman" w:hAnsi="Times New Roman" w:eastAsia="Times New Roman" w:cs="Times New Roman"/>
          <w:sz w:val="21"/>
          <w:szCs w:val="21"/>
        </w:rPr>
        <w:t>logistic </w:t>
      </w:r>
      <w:r>
        <w:rPr>
          <w:sz w:val="21"/>
          <w:szCs w:val="21"/>
        </w:rPr>
        <w:t>预测模型经</w:t>
      </w:r>
      <w:r>
        <w:rPr>
          <w:sz w:val="21"/>
          <w:szCs w:val="21"/>
          <w:spacing w:val="-47"/>
        </w:rPr>
        <w:t xml:space="preserve"> </w:t>
      </w:r>
      <w:r>
        <w:rPr>
          <w:rFonts w:ascii="Times New Roman" w:hAnsi="Times New Roman" w:eastAsia="Times New Roman" w:cs="Times New Roman"/>
          <w:sz w:val="21"/>
          <w:szCs w:val="21"/>
        </w:rPr>
        <w:t>Hos</w:t>
      </w:r>
      <w:r>
        <w:rPr>
          <w:rFonts w:ascii="Times New Roman" w:hAnsi="Times New Roman" w:eastAsia="Times New Roman" w:cs="Times New Roman"/>
          <w:sz w:val="21"/>
          <w:szCs w:val="21"/>
          <w:spacing w:val="-1"/>
        </w:rPr>
        <w:t>mer-Lemeshoe </w:t>
      </w:r>
      <w:r>
        <w:rPr>
          <w:sz w:val="21"/>
          <w:szCs w:val="21"/>
          <w:spacing w:val="-1"/>
        </w:rPr>
        <w:t>检验显示诊断模型的拟</w:t>
      </w:r>
      <w:r>
        <w:rPr>
          <w:sz w:val="21"/>
          <w:szCs w:val="21"/>
        </w:rPr>
        <w:t xml:space="preserve"> </w:t>
      </w:r>
      <w:r>
        <w:rPr>
          <w:sz w:val="21"/>
          <w:szCs w:val="21"/>
        </w:rPr>
        <w:t>合度良好(</w:t>
      </w:r>
      <w:r>
        <w:rPr>
          <w:rFonts w:ascii="Times New Roman" w:hAnsi="Times New Roman" w:eastAsia="Times New Roman" w:cs="Times New Roman"/>
          <w:sz w:val="21"/>
          <w:szCs w:val="21"/>
        </w:rPr>
        <w:t>χ</w:t>
      </w:r>
      <w:r>
        <w:rPr>
          <w:rFonts w:ascii="Times New Roman" w:hAnsi="Times New Roman" w:eastAsia="Times New Roman" w:cs="Times New Roman"/>
          <w:sz w:val="14"/>
          <w:szCs w:val="14"/>
          <w:position w:val="7"/>
        </w:rPr>
        <w:t>2</w:t>
      </w:r>
      <w:r>
        <w:rPr>
          <w:rFonts w:ascii="Times New Roman" w:hAnsi="Times New Roman" w:eastAsia="Times New Roman" w:cs="Times New Roman"/>
          <w:sz w:val="21"/>
          <w:szCs w:val="21"/>
        </w:rPr>
        <w:t>=6.528</w:t>
      </w:r>
      <w:r>
        <w:rPr>
          <w:sz w:val="21"/>
          <w:szCs w:val="21"/>
        </w:rPr>
        <w:t>，</w:t>
      </w:r>
      <w:r>
        <w:rPr>
          <w:rFonts w:ascii="Times New Roman" w:hAnsi="Times New Roman" w:eastAsia="Times New Roman" w:cs="Times New Roman"/>
          <w:sz w:val="21"/>
          <w:szCs w:val="21"/>
        </w:rPr>
        <w:t>P=0.574</w:t>
      </w:r>
      <w:r>
        <w:rPr>
          <w:sz w:val="21"/>
          <w:szCs w:val="21"/>
        </w:rPr>
        <w:t>）。经</w:t>
      </w:r>
      <w:r>
        <w:rPr>
          <w:sz w:val="21"/>
          <w:szCs w:val="21"/>
          <w:spacing w:val="-45"/>
        </w:rPr>
        <w:t xml:space="preserve"> </w:t>
      </w:r>
      <w:r>
        <w:rPr>
          <w:rFonts w:ascii="Times New Roman" w:hAnsi="Times New Roman" w:eastAsia="Times New Roman" w:cs="Times New Roman"/>
          <w:sz w:val="21"/>
          <w:szCs w:val="21"/>
        </w:rPr>
        <w:t>ROC</w:t>
      </w:r>
      <w:r>
        <w:rPr>
          <w:rFonts w:ascii="Times New Roman" w:hAnsi="Times New Roman" w:eastAsia="Times New Roman" w:cs="Times New Roman"/>
          <w:sz w:val="21"/>
          <w:szCs w:val="21"/>
          <w:spacing w:val="13"/>
          <w:w w:val="101"/>
        </w:rPr>
        <w:t xml:space="preserve"> </w:t>
      </w:r>
      <w:r>
        <w:rPr>
          <w:sz w:val="21"/>
          <w:szCs w:val="21"/>
        </w:rPr>
        <w:t>结果显示，腹型</w:t>
      </w:r>
      <w:r>
        <w:rPr>
          <w:sz w:val="21"/>
          <w:szCs w:val="21"/>
          <w:spacing w:val="-49"/>
        </w:rPr>
        <w:t xml:space="preserve"> </w:t>
      </w:r>
      <w:r>
        <w:rPr>
          <w:rFonts w:ascii="Times New Roman" w:hAnsi="Times New Roman" w:eastAsia="Times New Roman" w:cs="Times New Roman"/>
          <w:sz w:val="21"/>
          <w:szCs w:val="21"/>
        </w:rPr>
        <w:t>HSP</w:t>
      </w:r>
      <w:r>
        <w:rPr>
          <w:rFonts w:ascii="Times New Roman" w:hAnsi="Times New Roman" w:eastAsia="Times New Roman" w:cs="Times New Roman"/>
          <w:sz w:val="21"/>
          <w:szCs w:val="21"/>
          <w:spacing w:val="18"/>
          <w:w w:val="101"/>
        </w:rPr>
        <w:t xml:space="preserve"> </w:t>
      </w:r>
      <w:r>
        <w:rPr>
          <w:sz w:val="21"/>
          <w:szCs w:val="21"/>
        </w:rPr>
        <w:t>患儿发生胃肠道出血风险预 </w:t>
      </w:r>
      <w:r>
        <w:rPr>
          <w:sz w:val="21"/>
          <w:szCs w:val="21"/>
          <w:spacing w:val="-1"/>
        </w:rPr>
        <w:t>测模型预测胃肠道出血的</w:t>
      </w:r>
      <w:r>
        <w:rPr>
          <w:sz w:val="21"/>
          <w:szCs w:val="21"/>
          <w:spacing w:val="-49"/>
        </w:rPr>
        <w:t xml:space="preserve"> </w:t>
      </w:r>
      <w:r>
        <w:rPr>
          <w:rFonts w:ascii="Times New Roman" w:hAnsi="Times New Roman" w:eastAsia="Times New Roman" w:cs="Times New Roman"/>
          <w:sz w:val="21"/>
          <w:szCs w:val="21"/>
          <w:spacing w:val="-1"/>
        </w:rPr>
        <w:t>AUC </w:t>
      </w:r>
      <w:r>
        <w:rPr>
          <w:sz w:val="21"/>
          <w:szCs w:val="21"/>
          <w:spacing w:val="-1"/>
        </w:rPr>
        <w:t>为</w:t>
      </w:r>
      <w:r>
        <w:rPr>
          <w:sz w:val="21"/>
          <w:szCs w:val="21"/>
          <w:spacing w:val="-44"/>
        </w:rPr>
        <w:t xml:space="preserve"> </w:t>
      </w:r>
      <w:r>
        <w:rPr>
          <w:rFonts w:ascii="Times New Roman" w:hAnsi="Times New Roman" w:eastAsia="Times New Roman" w:cs="Times New Roman"/>
          <w:sz w:val="21"/>
          <w:szCs w:val="21"/>
          <w:spacing w:val="-1"/>
        </w:rPr>
        <w:t>0.899</w:t>
      </w:r>
      <w:r>
        <w:rPr>
          <w:sz w:val="21"/>
          <w:szCs w:val="21"/>
          <w:spacing w:val="-1"/>
        </w:rPr>
        <w:t>（</w:t>
      </w:r>
      <w:r>
        <w:rPr>
          <w:rFonts w:ascii="Times New Roman" w:hAnsi="Times New Roman" w:eastAsia="Times New Roman" w:cs="Times New Roman"/>
          <w:sz w:val="21"/>
          <w:szCs w:val="21"/>
          <w:spacing w:val="-1"/>
        </w:rPr>
        <w:t>95%CI</w:t>
      </w:r>
      <w:r>
        <w:rPr>
          <w:sz w:val="21"/>
          <w:szCs w:val="21"/>
          <w:spacing w:val="-1"/>
        </w:rPr>
        <w:t>：</w:t>
      </w:r>
      <w:r>
        <w:rPr>
          <w:rFonts w:ascii="Times New Roman" w:hAnsi="Times New Roman" w:eastAsia="Times New Roman" w:cs="Times New Roman"/>
          <w:sz w:val="21"/>
          <w:szCs w:val="21"/>
          <w:spacing w:val="-1"/>
        </w:rPr>
        <w:t>0.848~0.9</w:t>
      </w:r>
      <w:r>
        <w:rPr>
          <w:rFonts w:ascii="Times New Roman" w:hAnsi="Times New Roman" w:eastAsia="Times New Roman" w:cs="Times New Roman"/>
          <w:sz w:val="21"/>
          <w:szCs w:val="21"/>
          <w:spacing w:val="-2"/>
        </w:rPr>
        <w:t>51</w:t>
      </w:r>
      <w:r>
        <w:rPr>
          <w:sz w:val="21"/>
          <w:szCs w:val="21"/>
          <w:spacing w:val="-19"/>
        </w:rPr>
        <w:t>），</w:t>
      </w:r>
      <w:r>
        <w:rPr>
          <w:sz w:val="21"/>
          <w:szCs w:val="21"/>
          <w:spacing w:val="-2"/>
        </w:rPr>
        <w:t>提示该模型具有较好的预</w:t>
      </w:r>
      <w:r>
        <w:rPr>
          <w:sz w:val="21"/>
          <w:szCs w:val="21"/>
        </w:rPr>
        <w:t xml:space="preserve"> </w:t>
      </w:r>
      <w:r>
        <w:rPr>
          <w:sz w:val="21"/>
          <w:szCs w:val="21"/>
          <w:spacing w:val="-1"/>
        </w:rPr>
        <w:t>测效能，有助于临床医生对腹型</w:t>
      </w:r>
      <w:r>
        <w:rPr>
          <w:sz w:val="21"/>
          <w:szCs w:val="21"/>
          <w:spacing w:val="-7"/>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41"/>
        </w:rPr>
        <w:t xml:space="preserve"> </w:t>
      </w:r>
      <w:r>
        <w:rPr>
          <w:sz w:val="21"/>
          <w:szCs w:val="21"/>
          <w:spacing w:val="-1"/>
        </w:rPr>
        <w:t>患儿发生胃肠道出血的风险进行早期评估和预测。该</w:t>
      </w:r>
      <w:r>
        <w:rPr>
          <w:sz w:val="21"/>
          <w:szCs w:val="21"/>
        </w:rPr>
        <w:t xml:space="preserve"> </w:t>
      </w:r>
      <w:r>
        <w:rPr>
          <w:sz w:val="21"/>
          <w:szCs w:val="21"/>
          <w:spacing w:val="8"/>
        </w:rPr>
        <w:t>模型的应用可以提高临床决策的准确性，为患儿提供个体化的治疗和预防策略。此外，</w:t>
      </w:r>
      <w:r>
        <w:rPr>
          <w:sz w:val="21"/>
          <w:szCs w:val="21"/>
          <w:spacing w:val="9"/>
        </w:rPr>
        <w:t xml:space="preserve"> </w:t>
      </w:r>
      <w:r>
        <w:rPr>
          <w:rFonts w:ascii="Times New Roman" w:hAnsi="Times New Roman" w:eastAsia="Times New Roman" w:cs="Times New Roman"/>
          <w:sz w:val="21"/>
          <w:szCs w:val="21"/>
          <w:spacing w:val="-1"/>
        </w:rPr>
        <w:t>Nomogram </w:t>
      </w:r>
      <w:r>
        <w:rPr>
          <w:sz w:val="21"/>
          <w:szCs w:val="21"/>
          <w:spacing w:val="-1"/>
        </w:rPr>
        <w:t>预测模型还具有以下优点：简便易行，便于临床推广；可视化，</w:t>
      </w:r>
      <w:r>
        <w:rPr>
          <w:sz w:val="21"/>
          <w:szCs w:val="21"/>
          <w:spacing w:val="-2"/>
        </w:rPr>
        <w:t>便于医生和患儿</w:t>
      </w:r>
      <w:r>
        <w:rPr>
          <w:sz w:val="21"/>
          <w:szCs w:val="21"/>
        </w:rPr>
        <w:t xml:space="preserve"> </w:t>
      </w:r>
      <w:r>
        <w:rPr>
          <w:sz w:val="21"/>
          <w:szCs w:val="21"/>
          <w:spacing w:val="-4"/>
        </w:rPr>
        <w:t>理解；可根据患儿具体情况调整预测因素，提高预测的针对性。因此，</w:t>
      </w:r>
      <w:r>
        <w:rPr>
          <w:sz w:val="21"/>
          <w:szCs w:val="21"/>
          <w:spacing w:val="32"/>
        </w:rPr>
        <w:t xml:space="preserve"> </w:t>
      </w:r>
      <w:r>
        <w:rPr>
          <w:rFonts w:ascii="Times New Roman" w:hAnsi="Times New Roman" w:eastAsia="Times New Roman" w:cs="Times New Roman"/>
          <w:sz w:val="21"/>
          <w:szCs w:val="21"/>
          <w:spacing w:val="-4"/>
        </w:rPr>
        <w:t>N</w:t>
      </w:r>
      <w:r>
        <w:rPr>
          <w:rFonts w:ascii="Times New Roman" w:hAnsi="Times New Roman" w:eastAsia="Times New Roman" w:cs="Times New Roman"/>
          <w:sz w:val="21"/>
          <w:szCs w:val="21"/>
          <w:spacing w:val="-5"/>
        </w:rPr>
        <w:t>omogram </w:t>
      </w:r>
      <w:r>
        <w:rPr>
          <w:sz w:val="21"/>
          <w:szCs w:val="21"/>
          <w:spacing w:val="-5"/>
        </w:rPr>
        <w:t>预测模型</w:t>
      </w:r>
      <w:r>
        <w:rPr>
          <w:sz w:val="21"/>
          <w:szCs w:val="21"/>
        </w:rPr>
        <w:t xml:space="preserve"> </w:t>
      </w:r>
      <w:r>
        <w:rPr>
          <w:sz w:val="21"/>
          <w:szCs w:val="21"/>
          <w:spacing w:val="-2"/>
        </w:rPr>
        <w:t>在腹型</w:t>
      </w:r>
      <w:r>
        <w:rPr>
          <w:sz w:val="21"/>
          <w:szCs w:val="21"/>
          <w:spacing w:val="-41"/>
        </w:rPr>
        <w:t xml:space="preserve"> </w:t>
      </w:r>
      <w:r>
        <w:rPr>
          <w:rFonts w:ascii="Times New Roman" w:hAnsi="Times New Roman" w:eastAsia="Times New Roman" w:cs="Times New Roman"/>
          <w:sz w:val="21"/>
          <w:szCs w:val="21"/>
          <w:spacing w:val="-2"/>
        </w:rPr>
        <w:t>HSP</w:t>
      </w:r>
      <w:r>
        <w:rPr>
          <w:rFonts w:ascii="Times New Roman" w:hAnsi="Times New Roman" w:eastAsia="Times New Roman" w:cs="Times New Roman"/>
          <w:sz w:val="21"/>
          <w:szCs w:val="21"/>
          <w:spacing w:val="19"/>
        </w:rPr>
        <w:t xml:space="preserve"> </w:t>
      </w:r>
      <w:r>
        <w:rPr>
          <w:sz w:val="21"/>
          <w:szCs w:val="21"/>
          <w:spacing w:val="-2"/>
        </w:rPr>
        <w:t>患儿的胃肠道出血风险评估中具有较高的应用价值。</w:t>
      </w:r>
    </w:p>
    <w:p>
      <w:pPr>
        <w:pStyle w:val="BodyText"/>
        <w:ind w:left="25" w:right="72" w:firstLine="420"/>
        <w:spacing w:before="10" w:line="275" w:lineRule="auto"/>
        <w:jc w:val="both"/>
        <w:rPr>
          <w:sz w:val="21"/>
          <w:szCs w:val="21"/>
        </w:rPr>
      </w:pPr>
      <w:r>
        <w:rPr>
          <w:sz w:val="21"/>
          <w:szCs w:val="21"/>
          <w:spacing w:val="-1"/>
        </w:rPr>
        <w:t>综上所述，腹型 </w:t>
      </w:r>
      <w:r>
        <w:rPr>
          <w:rFonts w:ascii="Times New Roman" w:hAnsi="Times New Roman" w:eastAsia="Times New Roman" w:cs="Times New Roman"/>
          <w:sz w:val="21"/>
          <w:szCs w:val="21"/>
          <w:spacing w:val="-1"/>
        </w:rPr>
        <w:t>HSP  </w:t>
      </w:r>
      <w:r>
        <w:rPr>
          <w:sz w:val="21"/>
          <w:szCs w:val="21"/>
          <w:spacing w:val="-1"/>
        </w:rPr>
        <w:t>发生胃肠道出血的危险因素包括皮疹分布、呕吐、</w:t>
      </w:r>
      <w:r>
        <w:rPr>
          <w:rFonts w:ascii="Times New Roman" w:hAnsi="Times New Roman" w:eastAsia="Times New Roman" w:cs="Times New Roman"/>
          <w:sz w:val="21"/>
          <w:szCs w:val="21"/>
          <w:spacing w:val="-1"/>
        </w:rPr>
        <w:t>NLR</w:t>
      </w:r>
      <w:r>
        <w:rPr>
          <w:rFonts w:ascii="Times New Roman" w:hAnsi="Times New Roman" w:eastAsia="Times New Roman" w:cs="Times New Roman"/>
          <w:sz w:val="21"/>
          <w:szCs w:val="21"/>
          <w:spacing w:val="49"/>
        </w:rPr>
        <w:t xml:space="preserve"> </w:t>
      </w:r>
      <w:r>
        <w:rPr>
          <w:sz w:val="21"/>
          <w:szCs w:val="21"/>
          <w:spacing w:val="-1"/>
        </w:rPr>
        <w:t>及 </w:t>
      </w:r>
      <w:r>
        <w:rPr>
          <w:rFonts w:ascii="Times New Roman" w:hAnsi="Times New Roman" w:eastAsia="Times New Roman" w:cs="Times New Roman"/>
          <w:sz w:val="21"/>
          <w:szCs w:val="21"/>
          <w:spacing w:val="-1"/>
        </w:rPr>
        <w:t>CRP</w:t>
      </w:r>
      <w:r>
        <w:rPr>
          <w:rFonts w:ascii="Times New Roman" w:hAnsi="Times New Roman" w:eastAsia="Times New Roman" w:cs="Times New Roman"/>
          <w:sz w:val="21"/>
          <w:szCs w:val="21"/>
        </w:rPr>
        <w:t xml:space="preserve"> </w:t>
      </w:r>
      <w:r>
        <w:rPr>
          <w:sz w:val="21"/>
          <w:szCs w:val="21"/>
          <w:spacing w:val="-1"/>
        </w:rPr>
        <w:t>水平，并构建了一个具有较高预测准确性的</w:t>
      </w:r>
      <w:r>
        <w:rPr>
          <w:sz w:val="21"/>
          <w:szCs w:val="21"/>
          <w:spacing w:val="-19"/>
        </w:rPr>
        <w:t xml:space="preserve"> </w:t>
      </w:r>
      <w:r>
        <w:rPr>
          <w:rFonts w:ascii="Times New Roman" w:hAnsi="Times New Roman" w:eastAsia="Times New Roman" w:cs="Times New Roman"/>
          <w:sz w:val="21"/>
          <w:szCs w:val="21"/>
          <w:spacing w:val="-1"/>
        </w:rPr>
        <w:t>logistic</w:t>
      </w:r>
      <w:r>
        <w:rPr>
          <w:rFonts w:ascii="Times New Roman" w:hAnsi="Times New Roman" w:eastAsia="Times New Roman" w:cs="Times New Roman"/>
          <w:sz w:val="21"/>
          <w:szCs w:val="21"/>
          <w:spacing w:val="22"/>
        </w:rPr>
        <w:t xml:space="preserve"> </w:t>
      </w:r>
      <w:r>
        <w:rPr>
          <w:sz w:val="21"/>
          <w:szCs w:val="21"/>
          <w:spacing w:val="-1"/>
        </w:rPr>
        <w:t>预测模型，为临床早期识别和干预提供</w:t>
      </w:r>
      <w:r>
        <w:rPr>
          <w:sz w:val="21"/>
          <w:szCs w:val="21"/>
        </w:rPr>
        <w:t xml:space="preserve"> </w:t>
      </w:r>
      <w:r>
        <w:rPr>
          <w:sz w:val="21"/>
          <w:szCs w:val="21"/>
          <w:spacing w:val="-3"/>
        </w:rPr>
        <w:t>了重要依据，有助于降低患儿胃肠道出血风险。但由于本研究时间较短，且实验对象均为我</w:t>
      </w:r>
      <w:r>
        <w:rPr>
          <w:sz w:val="21"/>
          <w:szCs w:val="21"/>
          <w:spacing w:val="15"/>
        </w:rPr>
        <w:t xml:space="preserve"> </w:t>
      </w:r>
      <w:r>
        <w:rPr>
          <w:sz w:val="21"/>
          <w:szCs w:val="21"/>
          <w:spacing w:val="-1"/>
        </w:rPr>
        <w:t>院就诊患儿，无法代表广大腹型</w:t>
      </w:r>
      <w:r>
        <w:rPr>
          <w:sz w:val="21"/>
          <w:szCs w:val="21"/>
          <w:spacing w:val="-20"/>
        </w:rPr>
        <w:t xml:space="preserve"> </w:t>
      </w:r>
      <w:r>
        <w:rPr>
          <w:rFonts w:ascii="Times New Roman" w:hAnsi="Times New Roman" w:eastAsia="Times New Roman" w:cs="Times New Roman"/>
          <w:sz w:val="21"/>
          <w:szCs w:val="21"/>
          <w:spacing w:val="-1"/>
        </w:rPr>
        <w:t>HSP</w:t>
      </w:r>
      <w:r>
        <w:rPr>
          <w:rFonts w:ascii="Times New Roman" w:hAnsi="Times New Roman" w:eastAsia="Times New Roman" w:cs="Times New Roman"/>
          <w:sz w:val="21"/>
          <w:szCs w:val="21"/>
          <w:spacing w:val="41"/>
        </w:rPr>
        <w:t xml:space="preserve"> </w:t>
      </w:r>
      <w:r>
        <w:rPr>
          <w:sz w:val="21"/>
          <w:szCs w:val="21"/>
          <w:spacing w:val="-1"/>
        </w:rPr>
        <w:t>患儿，研究结果可能存在偶然性，未来将扩大实验对</w:t>
      </w:r>
      <w:r>
        <w:rPr>
          <w:sz w:val="21"/>
          <w:szCs w:val="21"/>
        </w:rPr>
        <w:t xml:space="preserve"> </w:t>
      </w:r>
      <w:r>
        <w:rPr>
          <w:sz w:val="21"/>
          <w:szCs w:val="21"/>
          <w:spacing w:val="-1"/>
        </w:rPr>
        <w:t>象及研究时间进行深入探究。</w:t>
      </w:r>
    </w:p>
    <w:p>
      <w:pPr>
        <w:spacing w:line="275" w:lineRule="auto"/>
        <w:sectPr>
          <w:headerReference w:type="default" r:id="rId20"/>
          <w:footerReference w:type="default" r:id="rId21"/>
          <w:pgSz w:w="11907" w:h="16839"/>
          <w:pgMar w:top="400" w:right="1725" w:bottom="400" w:left="1785" w:header="0" w:footer="0" w:gutter="0"/>
        </w:sectPr>
        <w:rPr>
          <w:sz w:val="21"/>
          <w:szCs w:val="21"/>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29"/>
        <w:spacing w:before="104" w:line="220" w:lineRule="auto"/>
        <w:outlineLvl w:val="1"/>
        <w:rPr>
          <w:sz w:val="32"/>
          <w:szCs w:val="32"/>
        </w:rPr>
      </w:pPr>
      <w:r>
        <w:rPr>
          <w:sz w:val="32"/>
          <w:szCs w:val="32"/>
          <w:b/>
          <w:bCs/>
          <w:spacing w:val="-6"/>
        </w:rPr>
        <w:t>参考文献</w:t>
      </w:r>
    </w:p>
    <w:p>
      <w:pPr>
        <w:ind w:left="315" w:right="60" w:hanging="284"/>
        <w:spacing w:before="100"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LEUNG</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BARANKIN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LEONG</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Henoch-Sc</w:t>
      </w:r>
      <w:r>
        <w:rPr>
          <w:rFonts w:ascii="Times New Roman" w:hAnsi="Times New Roman" w:eastAsia="Times New Roman" w:cs="Times New Roman"/>
          <w:sz w:val="21"/>
          <w:szCs w:val="21"/>
          <w:spacing w:val="-2"/>
        </w:rPr>
        <w:t>hönlein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purpura</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children: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an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updated review[J]. Curr Pediatr Rev, 2020,</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16(4): 265-276.</w:t>
      </w:r>
    </w:p>
    <w:p>
      <w:pPr>
        <w:ind w:left="323" w:right="59" w:hanging="292"/>
        <w:spacing w:before="86"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PARUMS</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V.</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review</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IgA</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vasculitis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(Henoch-Schönlein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purpura)</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past,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present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future[J]. Med Sci Monit, 2024, 30:</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e94391</w:t>
      </w:r>
      <w:r>
        <w:rPr>
          <w:rFonts w:ascii="Times New Roman" w:hAnsi="Times New Roman" w:eastAsia="Times New Roman" w:cs="Times New Roman"/>
          <w:sz w:val="21"/>
          <w:szCs w:val="21"/>
          <w:spacing w:val="-1"/>
        </w:rPr>
        <w:t>2.</w:t>
      </w:r>
    </w:p>
    <w:p>
      <w:pPr>
        <w:ind w:left="318" w:right="56" w:hanging="287"/>
        <w:spacing w:before="83"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CUI</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HUANG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GUO</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Diagnosis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
        </w:rPr>
        <w:t xml:space="preserve">  adult   mixed-type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Henoch-Schönlein purpura[J]. Centr Europ J </w:t>
      </w:r>
      <w:r>
        <w:rPr>
          <w:rFonts w:ascii="Times New Roman" w:hAnsi="Times New Roman" w:eastAsia="Times New Roman" w:cs="Times New Roman"/>
          <w:sz w:val="21"/>
          <w:szCs w:val="21"/>
          <w:spacing w:val="-1"/>
        </w:rPr>
        <w:t>Immunol, 2019, 44(2):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138-143.</w:t>
      </w:r>
    </w:p>
    <w:p>
      <w:pPr>
        <w:ind w:left="316" w:right="57" w:hanging="285"/>
        <w:spacing w:before="86" w:line="24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HU  Y  B,</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DING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Q  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unusual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cause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gastrointestinal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bleeding: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adult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mixed-type        Henoch-Schönlein        purpura[J/OL].        Rev        Esp         Enferm    </w:t>
      </w:r>
      <w:r>
        <w:rPr>
          <w:rFonts w:ascii="Times New Roman" w:hAnsi="Times New Roman" w:eastAsia="Times New Roman" w:cs="Times New Roman"/>
          <w:sz w:val="21"/>
          <w:szCs w:val="21"/>
          <w:spacing w:val="-1"/>
        </w:rPr>
        <w:t xml:space="preserve">    Dig,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(2023-01-22)[2024-07-01].    </w:t>
      </w:r>
      <w:hyperlink w:history="true" r:id="rId23">
        <w:r>
          <w:rPr>
            <w:rFonts w:ascii="Times New Roman" w:hAnsi="Times New Roman" w:eastAsia="Times New Roman" w:cs="Times New Roman"/>
            <w:sz w:val="21"/>
            <w:szCs w:val="21"/>
          </w:rPr>
          <w:t>https://pubmed.ncbi.nlm.nih.gov/37350</w:t>
        </w:r>
        <w:r>
          <w:rPr>
            <w:rFonts w:ascii="Times New Roman" w:hAnsi="Times New Roman" w:eastAsia="Times New Roman" w:cs="Times New Roman"/>
            <w:sz w:val="21"/>
            <w:szCs w:val="21"/>
            <w:spacing w:val="-1"/>
          </w:rPr>
          <w:t>661/</w:t>
        </w:r>
      </w:hyperlink>
    </w:p>
    <w:p>
      <w:pPr>
        <w:ind w:left="314" w:right="61" w:hanging="283"/>
        <w:spacing w:before="85" w:line="24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FANG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PENG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ZHAO</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characteristics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of video</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capsule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endoscopy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pediatric  Henoch-Schönlein  purpura  with  gastrointestinal  symptoms[J].  Pediatr  Rheumatol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Online J, 2020,</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18(1):</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84.</w:t>
      </w:r>
    </w:p>
    <w:p>
      <w:pPr>
        <w:ind w:left="316" w:right="57" w:hanging="285"/>
        <w:spacing w:before="85" w:line="24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XUAN  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P,  JIN  X  F,  WANG  M  Z,  et  al.  Necroptosis-Related  prognost</w:t>
      </w:r>
      <w:r>
        <w:rPr>
          <w:rFonts w:ascii="Times New Roman" w:hAnsi="Times New Roman" w:eastAsia="Times New Roman" w:cs="Times New Roman"/>
          <w:sz w:val="21"/>
          <w:szCs w:val="21"/>
          <w:spacing w:val="-2"/>
        </w:rPr>
        <w:t>ic  signature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nomogram model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for predicting the overall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survival 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patients with</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lung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cancer[J].</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Genet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Res </w:t>
      </w:r>
      <w:r>
        <w:rPr>
          <w:rFonts w:ascii="Times New Roman" w:hAnsi="Times New Roman" w:eastAsia="Times New Roman" w:cs="Times New Roman"/>
          <w:sz w:val="21"/>
          <w:szCs w:val="21"/>
        </w:rPr>
        <w:t>(Camb), 2022, 2022: 49086</w:t>
      </w:r>
      <w:r>
        <w:rPr>
          <w:rFonts w:ascii="Times New Roman" w:hAnsi="Times New Roman" w:eastAsia="Times New Roman" w:cs="Times New Roman"/>
          <w:sz w:val="21"/>
          <w:szCs w:val="21"/>
          <w:spacing w:val="-1"/>
        </w:rPr>
        <w:t>08.</w:t>
      </w:r>
    </w:p>
    <w:p>
      <w:pPr>
        <w:ind w:left="318" w:right="58" w:hanging="287"/>
        <w:spacing w:before="87" w:line="24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OZEN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S Z, MARKS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S D, BROGAN P, 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European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consensus-based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recommendations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diagnosis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   immunoglobulin    A   vasculitis-the    SHARE    initiative[J]. </w:t>
      </w:r>
      <w:r>
        <w:rPr>
          <w:rFonts w:ascii="Times New Roman" w:hAnsi="Times New Roman" w:eastAsia="Times New Roman" w:cs="Times New Roman"/>
          <w:sz w:val="21"/>
          <w:szCs w:val="21"/>
          <w:spacing w:val="-1"/>
        </w:rPr>
        <w:t>Rheumatology (Oxford), 2019, 58(9):</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1607-1616.</w:t>
      </w:r>
    </w:p>
    <w:p>
      <w:pPr>
        <w:ind w:left="319" w:right="39" w:hanging="288"/>
        <w:spacing w:before="87" w:line="26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2"/>
        </w:rPr>
        <w:t>GUO</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Q</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Y,</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HU</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X</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SONG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Clinical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characteristics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associating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risk</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factors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gastrointestinal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perforation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chil</w:t>
      </w:r>
      <w:r>
        <w:rPr>
          <w:rFonts w:ascii="Times New Roman" w:hAnsi="Times New Roman" w:eastAsia="Times New Roman" w:cs="Times New Roman"/>
          <w:sz w:val="21"/>
          <w:szCs w:val="21"/>
          <w:spacing w:val="-1"/>
        </w:rPr>
        <w:t>dren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IgA  vasculitis[J].   Ann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2021,   53(1):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2315-2320.</w:t>
      </w:r>
    </w:p>
    <w:p>
      <w:pPr>
        <w:pStyle w:val="BodyText"/>
        <w:ind w:left="324" w:right="59" w:hanging="293"/>
        <w:spacing w:before="24" w:line="246" w:lineRule="auto"/>
        <w:rPr>
          <w:sz w:val="21"/>
          <w:szCs w:val="21"/>
        </w:rPr>
      </w:pPr>
      <w:r>
        <w:rPr>
          <w:rFonts w:ascii="Times New Roman" w:hAnsi="Times New Roman" w:eastAsia="Times New Roman" w:cs="Times New Roman"/>
          <w:sz w:val="21"/>
          <w:szCs w:val="21"/>
          <w:spacing w:val="-1"/>
        </w:rPr>
        <w:t>[9]</w:t>
      </w:r>
      <w:r>
        <w:rPr>
          <w:rFonts w:ascii="Times New Roman" w:hAnsi="Times New Roman" w:eastAsia="Times New Roman" w:cs="Times New Roman"/>
          <w:sz w:val="21"/>
          <w:szCs w:val="21"/>
          <w:spacing w:val="50"/>
        </w:rPr>
        <w:t xml:space="preserve"> </w:t>
      </w:r>
      <w:r>
        <w:rPr>
          <w:sz w:val="21"/>
          <w:szCs w:val="21"/>
          <w:spacing w:val="-1"/>
        </w:rPr>
        <w:t>程芮，严冬，刘思茂，等．内镜在以消化道症状为首发表现的腹型过敏性紫癜中的应用</w:t>
      </w:r>
      <w:r>
        <w:rPr>
          <w:sz w:val="21"/>
          <w:szCs w:val="21"/>
        </w:rPr>
        <w:t xml:space="preserve"> </w:t>
      </w:r>
      <w:r>
        <w:rPr>
          <w:sz w:val="21"/>
          <w:szCs w:val="21"/>
          <w:spacing w:val="-2"/>
        </w:rPr>
        <w:t>价值</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5"/>
        </w:rPr>
        <w:t xml:space="preserve"> </w:t>
      </w:r>
      <w:r>
        <w:rPr>
          <w:sz w:val="21"/>
          <w:szCs w:val="21"/>
          <w:spacing w:val="-2"/>
        </w:rPr>
        <w:t>．临床和实验医学杂志，</w:t>
      </w:r>
      <w:r>
        <w:rPr>
          <w:rFonts w:ascii="Times New Roman" w:hAnsi="Times New Roman" w:eastAsia="Times New Roman" w:cs="Times New Roman"/>
          <w:sz w:val="21"/>
          <w:szCs w:val="21"/>
          <w:spacing w:val="-2"/>
        </w:rPr>
        <w:t>2020</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19</w:t>
      </w:r>
      <w:r>
        <w:rPr>
          <w:sz w:val="21"/>
          <w:szCs w:val="21"/>
          <w:spacing w:val="-3"/>
        </w:rPr>
        <w:t>（</w:t>
      </w:r>
      <w:r>
        <w:rPr>
          <w:rFonts w:ascii="Times New Roman" w:hAnsi="Times New Roman" w:eastAsia="Times New Roman" w:cs="Times New Roman"/>
          <w:sz w:val="21"/>
          <w:szCs w:val="21"/>
          <w:spacing w:val="-3"/>
        </w:rPr>
        <w:t>16</w:t>
      </w:r>
      <w:r>
        <w:rPr>
          <w:sz w:val="21"/>
          <w:szCs w:val="21"/>
          <w:spacing w:val="12"/>
        </w:rPr>
        <w:t>）：</w:t>
      </w:r>
      <w:r>
        <w:rPr>
          <w:rFonts w:ascii="Times New Roman" w:hAnsi="Times New Roman" w:eastAsia="Times New Roman" w:cs="Times New Roman"/>
          <w:sz w:val="21"/>
          <w:szCs w:val="21"/>
          <w:spacing w:val="-3"/>
        </w:rPr>
        <w:t>1772-1775</w:t>
      </w:r>
      <w:r>
        <w:rPr>
          <w:sz w:val="21"/>
          <w:szCs w:val="21"/>
          <w:spacing w:val="-3"/>
        </w:rPr>
        <w:t>．</w:t>
      </w:r>
    </w:p>
    <w:p>
      <w:pPr>
        <w:pStyle w:val="BodyText"/>
        <w:ind w:left="323" w:right="58" w:hanging="292"/>
        <w:spacing w:before="69" w:line="245" w:lineRule="auto"/>
        <w:rPr>
          <w:sz w:val="21"/>
          <w:szCs w:val="21"/>
        </w:rPr>
      </w:pPr>
      <w:r>
        <w:rPr>
          <w:rFonts w:ascii="Times New Roman" w:hAnsi="Times New Roman" w:eastAsia="Times New Roman" w:cs="Times New Roman"/>
          <w:sz w:val="21"/>
          <w:szCs w:val="21"/>
          <w:spacing w:val="-1"/>
        </w:rPr>
        <w:t>[10]</w:t>
      </w:r>
      <w:r>
        <w:rPr>
          <w:sz w:val="21"/>
          <w:szCs w:val="21"/>
          <w:spacing w:val="-1"/>
        </w:rPr>
        <w:t>刘利九，樊梦，潘笑悦，等．肠道菌群与腹型过敏性紫癜性肾炎病情严重程度的相关性</w:t>
      </w:r>
      <w:r>
        <w:rPr>
          <w:sz w:val="21"/>
          <w:szCs w:val="21"/>
        </w:rPr>
        <w:t xml:space="preserve"> </w:t>
      </w:r>
      <w:r>
        <w:rPr>
          <w:sz w:val="21"/>
          <w:szCs w:val="21"/>
          <w:spacing w:val="-2"/>
        </w:rPr>
        <w:t>研究</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4"/>
        </w:rPr>
        <w:t xml:space="preserve"> </w:t>
      </w:r>
      <w:r>
        <w:rPr>
          <w:sz w:val="21"/>
          <w:szCs w:val="21"/>
          <w:spacing w:val="-2"/>
        </w:rPr>
        <w:t>．中国微生态学杂志，</w:t>
      </w:r>
      <w:r>
        <w:rPr>
          <w:rFonts w:ascii="Times New Roman" w:hAnsi="Times New Roman" w:eastAsia="Times New Roman" w:cs="Times New Roman"/>
          <w:sz w:val="21"/>
          <w:szCs w:val="21"/>
          <w:spacing w:val="-2"/>
        </w:rPr>
        <w:t>2024</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36</w:t>
      </w:r>
      <w:r>
        <w:rPr>
          <w:sz w:val="21"/>
          <w:szCs w:val="21"/>
          <w:spacing w:val="-3"/>
        </w:rPr>
        <w:t>（</w:t>
      </w:r>
      <w:r>
        <w:rPr>
          <w:rFonts w:ascii="Times New Roman" w:hAnsi="Times New Roman" w:eastAsia="Times New Roman" w:cs="Times New Roman"/>
          <w:sz w:val="21"/>
          <w:szCs w:val="21"/>
          <w:spacing w:val="-3"/>
        </w:rPr>
        <w:t>1</w:t>
      </w:r>
      <w:r>
        <w:rPr>
          <w:sz w:val="21"/>
          <w:szCs w:val="21"/>
          <w:spacing w:val="4"/>
        </w:rPr>
        <w:t>）：</w:t>
      </w:r>
      <w:r>
        <w:rPr>
          <w:rFonts w:ascii="Times New Roman" w:hAnsi="Times New Roman" w:eastAsia="Times New Roman" w:cs="Times New Roman"/>
          <w:sz w:val="21"/>
          <w:szCs w:val="21"/>
          <w:spacing w:val="-3"/>
        </w:rPr>
        <w:t>66-70</w:t>
      </w:r>
      <w:r>
        <w:rPr>
          <w:sz w:val="21"/>
          <w:szCs w:val="21"/>
          <w:spacing w:val="-3"/>
        </w:rPr>
        <w:t>．</w:t>
      </w:r>
    </w:p>
    <w:p>
      <w:pPr>
        <w:ind w:left="322" w:right="55" w:hanging="291"/>
        <w:spacing w:before="88"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[11]YANG 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SHU J, MU J, et 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99</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children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Henoch-Schönlei</w:t>
      </w:r>
      <w:r>
        <w:rPr>
          <w:rFonts w:ascii="Times New Roman" w:hAnsi="Times New Roman" w:eastAsia="Times New Roman" w:cs="Times New Roman"/>
          <w:sz w:val="21"/>
          <w:szCs w:val="21"/>
          <w:spacing w:val="-2"/>
        </w:rPr>
        <w:t>n purpura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complicated with overt gastrointestinal bleeding[J]. Clin Rheumatol, 2022, 41(12): 378</w:t>
      </w:r>
      <w:r>
        <w:rPr>
          <w:rFonts w:ascii="Times New Roman" w:hAnsi="Times New Roman" w:eastAsia="Times New Roman" w:cs="Times New Roman"/>
          <w:sz w:val="21"/>
          <w:szCs w:val="21"/>
          <w:spacing w:val="-1"/>
        </w:rPr>
        <w:t>3-3790.</w:t>
      </w:r>
    </w:p>
    <w:p>
      <w:pPr>
        <w:ind w:left="318" w:right="7" w:hanging="287"/>
        <w:spacing w:before="48"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[12]GÖKÇE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Ş,</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KURUGÖL Z,</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KOTUROĞLU</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Predictive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ro</w:t>
      </w:r>
      <w:r>
        <w:rPr>
          <w:rFonts w:ascii="Times New Roman" w:hAnsi="Times New Roman" w:eastAsia="Times New Roman" w:cs="Times New Roman"/>
          <w:sz w:val="21"/>
          <w:szCs w:val="21"/>
          <w:spacing w:val="-2"/>
        </w:rPr>
        <w:t>le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of laboratory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markers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clinical features for recurrent Henoch-Schönlein Purpura 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childhood: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A study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Turkey[J].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Mod Rheumatol, 2020, 30(6):</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1047-1052.</w:t>
      </w:r>
    </w:p>
    <w:p>
      <w:pPr>
        <w:pStyle w:val="BodyText"/>
        <w:ind w:left="324" w:right="57" w:hanging="293"/>
        <w:spacing w:before="69" w:line="254" w:lineRule="auto"/>
        <w:rPr>
          <w:sz w:val="21"/>
          <w:szCs w:val="21"/>
        </w:rPr>
      </w:pPr>
      <w:r>
        <w:rPr>
          <w:rFonts w:ascii="Times New Roman" w:hAnsi="Times New Roman" w:eastAsia="Times New Roman" w:cs="Times New Roman"/>
          <w:sz w:val="21"/>
          <w:szCs w:val="21"/>
          <w:spacing w:val="-2"/>
        </w:rPr>
        <w:t>[13]</w:t>
      </w:r>
      <w:r>
        <w:rPr>
          <w:sz w:val="21"/>
          <w:szCs w:val="21"/>
          <w:spacing w:val="-2"/>
        </w:rPr>
        <w:t>李婧，高成龙，吴捷．以腹型为首发表现的儿童过敏性紫癜临床分析</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8"/>
        </w:rPr>
        <w:t xml:space="preserve"> </w:t>
      </w:r>
      <w:r>
        <w:rPr>
          <w:sz w:val="21"/>
          <w:szCs w:val="21"/>
          <w:spacing w:val="-2"/>
        </w:rPr>
        <w:t>．中国实用儿科</w:t>
      </w:r>
      <w:r>
        <w:rPr>
          <w:sz w:val="21"/>
          <w:szCs w:val="21"/>
        </w:rPr>
        <w:t xml:space="preserve"> </w:t>
      </w:r>
      <w:r>
        <w:rPr>
          <w:sz w:val="21"/>
          <w:szCs w:val="21"/>
          <w:spacing w:val="-3"/>
        </w:rPr>
        <w:t>杂志，</w:t>
      </w:r>
      <w:r>
        <w:rPr>
          <w:rFonts w:ascii="Times New Roman" w:hAnsi="Times New Roman" w:eastAsia="Times New Roman" w:cs="Times New Roman"/>
          <w:sz w:val="21"/>
          <w:szCs w:val="21"/>
          <w:spacing w:val="-3"/>
        </w:rPr>
        <w:t>2021</w:t>
      </w:r>
      <w:r>
        <w:rPr>
          <w:rFonts w:ascii="Times New Roman" w:hAnsi="Times New Roman" w:eastAsia="Times New Roman" w:cs="Times New Roman"/>
          <w:sz w:val="21"/>
          <w:szCs w:val="21"/>
          <w:spacing w:val="-26"/>
        </w:rPr>
        <w:t xml:space="preserve"> </w:t>
      </w:r>
      <w:r>
        <w:rPr>
          <w:sz w:val="21"/>
          <w:szCs w:val="21"/>
          <w:spacing w:val="-3"/>
        </w:rPr>
        <w:t>，</w:t>
      </w:r>
      <w:r>
        <w:rPr>
          <w:rFonts w:ascii="Times New Roman" w:hAnsi="Times New Roman" w:eastAsia="Times New Roman" w:cs="Times New Roman"/>
          <w:sz w:val="21"/>
          <w:szCs w:val="21"/>
          <w:spacing w:val="-3"/>
        </w:rPr>
        <w:t>36</w:t>
      </w:r>
      <w:r>
        <w:rPr>
          <w:sz w:val="21"/>
          <w:szCs w:val="21"/>
          <w:spacing w:val="-3"/>
        </w:rPr>
        <w:t>（</w:t>
      </w:r>
      <w:r>
        <w:rPr>
          <w:rFonts w:ascii="Times New Roman" w:hAnsi="Times New Roman" w:eastAsia="Times New Roman" w:cs="Times New Roman"/>
          <w:sz w:val="21"/>
          <w:szCs w:val="21"/>
          <w:spacing w:val="-3"/>
        </w:rPr>
        <w:t>1</w:t>
      </w:r>
      <w:r>
        <w:rPr>
          <w:sz w:val="21"/>
          <w:szCs w:val="21"/>
          <w:spacing w:val="8"/>
        </w:rPr>
        <w:t>）：</w:t>
      </w:r>
      <w:r>
        <w:rPr>
          <w:rFonts w:ascii="Times New Roman" w:hAnsi="Times New Roman" w:eastAsia="Times New Roman" w:cs="Times New Roman"/>
          <w:sz w:val="21"/>
          <w:szCs w:val="21"/>
          <w:spacing w:val="-3"/>
        </w:rPr>
        <w:t>47-52</w:t>
      </w:r>
      <w:r>
        <w:rPr>
          <w:sz w:val="21"/>
          <w:szCs w:val="21"/>
          <w:spacing w:val="-3"/>
        </w:rPr>
        <w:t>．</w:t>
      </w:r>
    </w:p>
    <w:p>
      <w:pPr>
        <w:ind w:left="315" w:right="59" w:hanging="284"/>
        <w:spacing w:before="6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[14]KHADER</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2"/>
        </w:rPr>
        <w:t>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BURMEISTER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PATEL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2"/>
        </w:rPr>
        <w:t>Henoch-Schonlein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purpura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presenting</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as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upper gastrointestinal bleed in an adult patient[J]. Cureus, 2021,</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13(3): e13879.</w:t>
      </w:r>
    </w:p>
    <w:p>
      <w:pPr>
        <w:pStyle w:val="BodyText"/>
        <w:ind w:left="318" w:hanging="287"/>
        <w:spacing w:before="66" w:line="267" w:lineRule="auto"/>
        <w:rPr>
          <w:sz w:val="21"/>
          <w:szCs w:val="21"/>
        </w:rPr>
      </w:pPr>
      <w:r>
        <w:rPr>
          <w:rFonts w:ascii="Times New Roman" w:hAnsi="Times New Roman" w:eastAsia="Times New Roman" w:cs="Times New Roman"/>
          <w:sz w:val="21"/>
          <w:szCs w:val="21"/>
          <w:spacing w:val="-1"/>
        </w:rPr>
        <w:t>[15]</w:t>
      </w:r>
      <w:r>
        <w:rPr>
          <w:sz w:val="21"/>
          <w:szCs w:val="21"/>
          <w:spacing w:val="-1"/>
        </w:rPr>
        <w:t>徐梦楠，潜丽俊，蓝菊红．腹型过敏性紫癜患儿消化道出血的危险因素及平均血小板体</w:t>
      </w:r>
      <w:r>
        <w:rPr>
          <w:sz w:val="21"/>
          <w:szCs w:val="21"/>
        </w:rPr>
        <w:t xml:space="preserve"> </w:t>
      </w:r>
      <w:r>
        <w:rPr>
          <w:sz w:val="21"/>
          <w:szCs w:val="21"/>
          <w:spacing w:val="-6"/>
        </w:rPr>
        <w:t>积中性粒细胞</w:t>
      </w:r>
      <w:r>
        <w:rPr>
          <w:rFonts w:ascii="Times New Roman" w:hAnsi="Times New Roman" w:eastAsia="Times New Roman" w:cs="Times New Roman"/>
          <w:sz w:val="21"/>
          <w:szCs w:val="21"/>
          <w:spacing w:val="-6"/>
        </w:rPr>
        <w:t>/</w:t>
      </w:r>
      <w:r>
        <w:rPr>
          <w:sz w:val="21"/>
          <w:szCs w:val="21"/>
          <w:spacing w:val="-6"/>
        </w:rPr>
        <w:t>淋巴细胞比值对消化道出血的预测价值</w:t>
      </w:r>
      <w:r>
        <w:rPr>
          <w:rFonts w:ascii="Times New Roman" w:hAnsi="Times New Roman" w:eastAsia="Times New Roman" w:cs="Times New Roman"/>
          <w:sz w:val="21"/>
          <w:szCs w:val="21"/>
          <w:spacing w:val="-7"/>
        </w:rPr>
        <w:t>[J]</w:t>
      </w:r>
      <w:r>
        <w:rPr>
          <w:sz w:val="21"/>
          <w:szCs w:val="21"/>
          <w:spacing w:val="-7"/>
        </w:rPr>
        <w:t>．中国妇幼保健，</w:t>
      </w:r>
      <w:r>
        <w:rPr>
          <w:rFonts w:ascii="Times New Roman" w:hAnsi="Times New Roman" w:eastAsia="Times New Roman" w:cs="Times New Roman"/>
          <w:sz w:val="21"/>
          <w:szCs w:val="21"/>
          <w:spacing w:val="-7"/>
        </w:rPr>
        <w:t>2023</w:t>
      </w:r>
      <w:r>
        <w:rPr>
          <w:sz w:val="21"/>
          <w:szCs w:val="21"/>
          <w:spacing w:val="-7"/>
        </w:rPr>
        <w:t>，</w:t>
      </w:r>
      <w:r>
        <w:rPr>
          <w:rFonts w:ascii="Times New Roman" w:hAnsi="Times New Roman" w:eastAsia="Times New Roman" w:cs="Times New Roman"/>
          <w:sz w:val="21"/>
          <w:szCs w:val="21"/>
          <w:spacing w:val="-7"/>
        </w:rPr>
        <w:t>38</w:t>
      </w:r>
      <w:r>
        <w:rPr>
          <w:sz w:val="21"/>
          <w:szCs w:val="21"/>
          <w:spacing w:val="-7"/>
        </w:rPr>
        <w:t>（</w:t>
      </w:r>
      <w:r>
        <w:rPr>
          <w:rFonts w:ascii="Times New Roman" w:hAnsi="Times New Roman" w:eastAsia="Times New Roman" w:cs="Times New Roman"/>
          <w:sz w:val="21"/>
          <w:szCs w:val="21"/>
          <w:spacing w:val="-7"/>
        </w:rPr>
        <w:t>24</w:t>
      </w:r>
      <w:r>
        <w:rPr>
          <w:sz w:val="21"/>
          <w:szCs w:val="21"/>
          <w:spacing w:val="-54"/>
          <w:w w:val="97"/>
        </w:rPr>
        <w:t>）：</w:t>
      </w:r>
      <w:r>
        <w:rPr>
          <w:sz w:val="21"/>
          <w:szCs w:val="21"/>
        </w:rPr>
        <w:t xml:space="preserve"> </w:t>
      </w:r>
      <w:r>
        <w:rPr>
          <w:rFonts w:ascii="Times New Roman" w:hAnsi="Times New Roman" w:eastAsia="Times New Roman" w:cs="Times New Roman"/>
          <w:sz w:val="21"/>
          <w:szCs w:val="21"/>
          <w:spacing w:val="-1"/>
        </w:rPr>
        <w:t>4909-4912</w:t>
      </w:r>
      <w:r>
        <w:rPr>
          <w:sz w:val="21"/>
          <w:szCs w:val="21"/>
          <w:spacing w:val="-1"/>
        </w:rPr>
        <w:t>．</w:t>
      </w:r>
    </w:p>
    <w:p>
      <w:pPr>
        <w:ind w:left="322" w:right="55" w:hanging="291"/>
        <w:spacing w:before="50" w:line="24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[16]MILAS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FRAGKOS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Neutrophil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lymphocyte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ratio</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gas</w:t>
      </w:r>
      <w:r>
        <w:rPr>
          <w:rFonts w:ascii="Times New Roman" w:hAnsi="Times New Roman" w:eastAsia="Times New Roman" w:cs="Times New Roman"/>
          <w:sz w:val="21"/>
          <w:szCs w:val="21"/>
          <w:spacing w:val="-2"/>
        </w:rPr>
        <w:t>trointestinal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involvement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among henoch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schonlein purpura patients: a</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systematic review and Meta-Analysis</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Pediatr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Gastroenterol Nutr, 2021,</w:t>
      </w:r>
      <w:r>
        <w:rPr>
          <w:rFonts w:ascii="Times New Roman" w:hAnsi="Times New Roman" w:eastAsia="Times New Roman" w:cs="Times New Roman"/>
          <w:sz w:val="21"/>
          <w:szCs w:val="21"/>
          <w:spacing w:val="-1"/>
        </w:rPr>
        <w:t xml:space="preserve"> 73(4): 437-443.</w:t>
      </w:r>
    </w:p>
    <w:p>
      <w:pPr>
        <w:ind w:left="314" w:right="57" w:hanging="283"/>
        <w:spacing w:before="51" w:line="25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[17]KARADAĞ</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Ş</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ÇAKMAK 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ÇIL B,</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The relevance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practical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labo</w:t>
      </w:r>
      <w:r>
        <w:rPr>
          <w:rFonts w:ascii="Times New Roman" w:hAnsi="Times New Roman" w:eastAsia="Times New Roman" w:cs="Times New Roman"/>
          <w:sz w:val="21"/>
          <w:szCs w:val="21"/>
          <w:spacing w:val="-2"/>
        </w:rPr>
        <w:t>ratory markers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predicting   gastrointestinal   and   renal   involvement   in   children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Henoch–Schönlein </w:t>
      </w:r>
      <w:r>
        <w:rPr>
          <w:rFonts w:ascii="Times New Roman" w:hAnsi="Times New Roman" w:eastAsia="Times New Roman" w:cs="Times New Roman"/>
          <w:sz w:val="21"/>
          <w:szCs w:val="21"/>
        </w:rPr>
        <w:t>Purpura[J]. Postgrad M</w:t>
      </w:r>
      <w:r>
        <w:rPr>
          <w:rFonts w:ascii="Times New Roman" w:hAnsi="Times New Roman" w:eastAsia="Times New Roman" w:cs="Times New Roman"/>
          <w:sz w:val="21"/>
          <w:szCs w:val="21"/>
          <w:spacing w:val="-1"/>
        </w:rPr>
        <w:t>ed, 2021,</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133(3): 272-277.</w:t>
      </w:r>
    </w:p>
    <w:p>
      <w:pPr>
        <w:ind w:left="322" w:right="39" w:hanging="291"/>
        <w:spacing w:before="89" w:line="26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[18]MARIADI</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SUDJANA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WIBAWA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High</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c-reactive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
        </w:rPr>
        <w:t>rotein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level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as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risk</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factors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complications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in upper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gastrointestinal bleeding[J].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BALI</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MEDICAL JOURN</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2020,</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9(3):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596-599.</w:t>
      </w:r>
    </w:p>
    <w:sectPr>
      <w:headerReference w:type="default" r:id="rId22"/>
      <w:pgSz w:w="11907" w:h="16839"/>
      <w:pgMar w:top="400" w:right="1741"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Song">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5"/>
      <w:spacing w:line="226" w:lineRule="auto"/>
      <w:rPr>
        <w:sz w:val="21"/>
        <w:szCs w:val="21"/>
      </w:rPr>
    </w:pPr>
    <w:r>
      <w:rPr>
        <w:rFonts w:ascii="Times New Roman" w:hAnsi="Times New Roman" w:eastAsia="Times New Roman" w:cs="Times New Roman"/>
        <w:sz w:val="21"/>
        <w:szCs w:val="21"/>
        <w:b/>
        <w:bCs/>
        <w:spacing w:val="-4"/>
      </w:rPr>
      <w:t>3</w:t>
    </w:r>
    <w:r>
      <w:rPr>
        <w:rFonts w:ascii="Times New Roman" w:hAnsi="Times New Roman" w:eastAsia="Times New Roman" w:cs="Times New Roman"/>
        <w:sz w:val="21"/>
        <w:szCs w:val="21"/>
        <w:b/>
        <w:bCs/>
        <w:spacing w:val="9"/>
      </w:rPr>
      <w:t xml:space="preserve"> </w:t>
    </w:r>
    <w:r>
      <w:rPr>
        <w:sz w:val="21"/>
        <w:szCs w:val="21"/>
        <w:b/>
        <w:bCs/>
        <w:spacing w:val="-4"/>
      </w:rPr>
      <w:t>讨论</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9" w:line="199" w:lineRule="auto"/>
      <w:rPr>
        <w:rFonts w:ascii="Times New Roman" w:hAnsi="Times New Roman" w:eastAsia="Times New Roman" w:cs="Times New Roman"/>
        <w:sz w:val="12"/>
        <w:szCs w:val="12"/>
      </w:rPr>
    </w:pPr>
    <w:r>
      <w:pict>
        <v:shape id="WordPictureWatermark4" style="position:absolute;margin-left:132.5pt;margin-top:250.42pt;mso-position-vertical-relative:page;mso-position-horizontal-relative:page;width:326.65pt;height:330pt;z-index:-251658240;" o:allowincell="f" filled="false" stroked="false" type="#_x0000_t75">
          <v:imagedata o:title="" r:id="rId1"/>
        </v:shape>
      </w:pict>
    </w:r>
    <w:r>
      <w:pict>
        <v:shape id="WordPictureWatermark6" style="position:absolute;margin-left:132.5pt;margin-top:250.42pt;mso-position-vertical-relative:page;mso-position-horizontal-relative:page;width:326.65pt;height:330pt;z-index:-251657216;" o:allowincell="f" filled="false" stroked="false" type="#_x0000_t75">
          <v:imagedata o:title="" r:id="rId2"/>
        </v:shape>
      </w:pict>
    </w:r>
    <w:r>
      <w:rPr>
        <w:rFonts w:ascii="STSong" w:hAnsi="STSong" w:eastAsia="STSong" w:cs="STSong"/>
        <w:sz w:val="12"/>
        <w:szCs w:val="12"/>
      </w:rPr>
      <w:t>网络首发时间：</w:t>
    </w:r>
    <w:r>
      <w:rPr>
        <w:rFonts w:ascii="Times New Roman" w:hAnsi="Times New Roman" w:eastAsia="Times New Roman" w:cs="Times New Roman"/>
        <w:sz w:val="12"/>
        <w:szCs w:val="12"/>
      </w:rPr>
      <w:t>2025-02-24</w:t>
    </w:r>
    <w:r>
      <w:rPr>
        <w:rFonts w:ascii="Times New Roman" w:hAnsi="Times New Roman" w:eastAsia="Times New Roman" w:cs="Times New Roman"/>
        <w:sz w:val="12"/>
        <w:szCs w:val="12"/>
        <w:spacing w:val="14"/>
      </w:rPr>
      <w:t xml:space="preserve"> </w:t>
    </w:r>
    <w:r>
      <w:rPr>
        <w:rFonts w:ascii="Times New Roman" w:hAnsi="Times New Roman" w:eastAsia="Times New Roman" w:cs="Times New Roman"/>
        <w:sz w:val="12"/>
        <w:szCs w:val="12"/>
      </w:rPr>
      <w:t>13:38:50       </w:t>
    </w:r>
    <w:r>
      <w:rPr>
        <w:rFonts w:ascii="STSong" w:hAnsi="STSong" w:eastAsia="STSong" w:cs="STSong"/>
        <w:sz w:val="12"/>
        <w:szCs w:val="12"/>
      </w:rPr>
      <w:t>网络首发地址：</w:t>
    </w:r>
    <w:hyperlink w:history="true" r:id="rId3">
      <w:r>
        <w:rPr>
          <w:rFonts w:ascii="Times New Roman" w:hAnsi="Times New Roman" w:eastAsia="Times New Roman" w:cs="Times New Roman"/>
          <w:sz w:val="12"/>
          <w:szCs w:val="12"/>
        </w:rPr>
        <w:t>https://link.cnki.net/urli</w:t>
      </w:r>
      <w:r>
        <w:rPr>
          <w:rFonts w:ascii="Times New Roman" w:hAnsi="Times New Roman" w:eastAsia="Times New Roman" w:cs="Times New Roman"/>
          <w:sz w:val="12"/>
          <w:szCs w:val="12"/>
          <w:spacing w:val="-1"/>
        </w:rPr>
        <w:t>d/50.1129.r.20250221.1724.054</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132.5pt;margin-top:250.42pt;mso-position-vertical-relative:page;mso-position-horizontal-relative:page;width:326.65pt;height:330pt;z-index:-251656192;" o:allowincell="f" filled="false" stroked="false" type="#_x0000_t75">
          <v:imagedata o:title="" r:id="rId1"/>
        </v:shape>
      </w:pict>
    </w:r>
    <w:r>
      <w:pict>
        <v:shape id="WordPictureWatermark10" style="position:absolute;margin-left:132.5pt;margin-top:250.42pt;mso-position-vertical-relative:page;mso-position-horizontal-relative:page;width:326.65pt;height:330pt;z-index:-251655168;" o:allowincell="f" filled="false" stroked="false" type="#_x0000_t75">
          <v:imagedata o:title="" r:id="rId2"/>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132.5pt;margin-top:250.42pt;mso-position-vertical-relative:page;mso-position-horizontal-relative:page;width:326.65pt;height:330pt;z-index:-251654144;" o:allowincell="f" filled="false" stroked="false" type="#_x0000_t75">
          <v:imagedata o:title="" r:id="rId1"/>
        </v:shape>
      </w:pict>
    </w:r>
    <w:r>
      <w:pict>
        <v:shape id="WordPictureWatermark14" style="position:absolute;margin-left:132.5pt;margin-top:250.42pt;mso-position-vertical-relative:page;mso-position-horizontal-relative:page;width:326.65pt;height:330pt;z-index:-251653120;" o:allowincell="f" filled="false" stroked="false" type="#_x0000_t75">
          <v:imagedata o:title="" r:id="rId2"/>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6"/>
      <w:spacing w:before="95" w:line="220" w:lineRule="auto"/>
      <w:rPr>
        <w:sz w:val="21"/>
        <w:szCs w:val="21"/>
      </w:rPr>
    </w:pPr>
    <w:r>
      <w:pict>
        <v:shape id="_x0000_s16" style="position:absolute;margin-left:84.62pt;margin-top:72.0001pt;mso-position-vertical-relative:page;mso-position-horizontal-relative:page;width:426.2pt;height:0.5pt;z-index:251664384;" o:allowincell="f" fillcolor="#000000" filled="true" stroked="false" coordsize="8524,10" coordorigin="0,0" path="m0,9l1667,9l1667,0l0,0l0,9xem1668,9l1677,9l1677,0l1668,0l1668,9xem1677,9l3652,9l3652,0l1677,0l1677,9xem3652,9l3661,9l3661,0l3652,0l3652,9xem3661,9l8523,9l8523,0l3661,0l3661,9xe"/>
      </w:pict>
    </w:r>
    <w:r>
      <w:rPr>
        <w:sz w:val="21"/>
        <w:szCs w:val="21"/>
        <w:spacing w:val="-3"/>
      </w:rPr>
      <w:t>变量</w:t>
    </w:r>
    <w:r>
      <w:rPr>
        <w:sz w:val="21"/>
        <w:szCs w:val="21"/>
      </w:rPr>
      <w:t xml:space="preserve">                                            </w:t>
    </w:r>
    <w:r>
      <w:rPr>
        <w:sz w:val="21"/>
        <w:szCs w:val="21"/>
        <w:spacing w:val="-3"/>
      </w:rPr>
      <w:t>赋值情况</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2" style="position:absolute;margin-left:132.5pt;margin-top:250.42pt;mso-position-vertical-relative:page;mso-position-horizontal-relative:page;width:326.65pt;height:330pt;z-index:-251651072;" o:allowincell="f" filled="false" stroked="false" type="#_x0000_t75">
          <v:imagedata o:title="" r:id="rId1"/>
        </v:shape>
      </w:pict>
    </w:r>
    <w:r>
      <w:pict>
        <v:shape id="WordPictureWatermark24" style="position:absolute;margin-left:132.5pt;margin-top:250.42pt;mso-position-vertical-relative:page;mso-position-horizontal-relative:page;width:326.65pt;height:330pt;z-index:-251650048;" o:allowincell="f" filled="false" stroked="false" type="#_x0000_t75">
          <v:imagedata o:title="" r:id="rId2"/>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6" style="position:absolute;margin-left:132.5pt;margin-top:250.42pt;mso-position-vertical-relative:page;mso-position-horizontal-relative:page;width:326.65pt;height:330pt;z-index:-251648000;" o:allowincell="f" filled="false" stroked="false" type="#_x0000_t75">
          <v:imagedata o:title="" r:id="rId1"/>
        </v:shape>
      </w:pict>
    </w:r>
    <w:r>
      <w:pict>
        <v:shape id="WordPictureWatermark28" style="position:absolute;margin-left:132.5pt;margin-top:250.42pt;mso-position-vertical-relative:page;mso-position-horizontal-relative:page;width:326.65pt;height:330pt;z-index:-251646976;" o:allowincell="f" filled="false" stroked="false" type="#_x0000_t75">
          <v:imagedata o:title="" r:id="rId2"/>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1.png"/><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image" Target="media/image4.png"/><Relationship Id="rId4" Type="http://schemas.openxmlformats.org/officeDocument/2006/relationships/image" Target="media/image3.jpeg"/><Relationship Id="rId3" Type="http://schemas.openxmlformats.org/officeDocument/2006/relationships/image" Target="media/image2.jpeg"/><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hyperlink" Target="https://pubmed.ncbi.nlm.nih.gov/37350661/" TargetMode="External"/><Relationship Id="rId22" Type="http://schemas.openxmlformats.org/officeDocument/2006/relationships/header" Target="header6.xml"/><Relationship Id="rId21" Type="http://schemas.openxmlformats.org/officeDocument/2006/relationships/footer" Target="footer2.xml"/><Relationship Id="rId20" Type="http://schemas.openxmlformats.org/officeDocument/2006/relationships/header" Target="header5.xml"/><Relationship Id="rId2" Type="http://schemas.openxmlformats.org/officeDocument/2006/relationships/hyperlink" Target="https://link.cnki.net/urlid/50.1129.r.20250221.1724.054" TargetMode="External"/><Relationship Id="rId19" Type="http://schemas.openxmlformats.org/officeDocument/2006/relationships/image" Target="media/image19.jpeg"/><Relationship Id="rId18" Type="http://schemas.openxmlformats.org/officeDocument/2006/relationships/footer" Target="footer1.xml"/><Relationship Id="rId17" Type="http://schemas.openxmlformats.org/officeDocument/2006/relationships/header" Target="header4.xml"/><Relationship Id="rId16" Type="http://schemas.openxmlformats.org/officeDocument/2006/relationships/image" Target="media/image18.png"/><Relationship Id="rId15" Type="http://schemas.openxmlformats.org/officeDocument/2006/relationships/image" Target="media/image17.png"/><Relationship Id="rId14"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14.png"/><Relationship Id="rId11" Type="http://schemas.openxmlformats.org/officeDocument/2006/relationships/image" Target="media/image13.png"/><Relationship Id="rId10" Type="http://schemas.openxmlformats.org/officeDocument/2006/relationships/image" Target="media/image12.png"/><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hyperlink" Target="https://link.cnki.net/urlid/50.1129.r.20250221.1724.054" TargetMode="External"/><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6.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docProps/app.xml><?xml version="1.0" encoding="utf-8"?>
<ap:Properties xmlns:vt="http://schemas.openxmlformats.org/officeDocument/2006/docPropsVTypes" xmlns:ap="http://schemas.openxmlformats.org/officeDocument/2006/extended-properties">
  <ap:Application>ReaderEx_DIS 2.3.0 Build 3986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2025-02-24T13:39:43Z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2025-10-28T21:28:08</vt:filetime>
  </property>
</Properties>
</file>