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05"/>
        <w:spacing w:before="86" w:line="175" w:lineRule="auto"/>
        <w:rPr>
          <w:sz w:val="17"/>
          <w:szCs w:val="17"/>
        </w:rPr>
      </w:pPr>
      <w:r>
        <w:rPr>
          <w:sz w:val="20"/>
          <w:szCs w:val="20"/>
          <w:color w:val="231F20"/>
          <w:spacing w:val="-9"/>
          <w:position w:val="-1"/>
        </w:rPr>
        <w:t>405</w:t>
      </w:r>
      <w:r>
        <w:rPr>
          <w:sz w:val="20"/>
          <w:szCs w:val="20"/>
          <w:color w:val="231F20"/>
          <w:position w:val="-1"/>
        </w:rPr>
        <w:t xml:space="preserve">                                                                </w:t>
      </w:r>
      <w:r>
        <w:rPr>
          <w:sz w:val="16"/>
          <w:szCs w:val="16"/>
          <w:u w:val="single" w:color="auto"/>
          <w:color w:val="231F20"/>
          <w:spacing w:val="-33"/>
          <w:position w:val="1"/>
        </w:rPr>
        <w:t xml:space="preserve"> </w:t>
      </w:r>
      <w:r>
        <w:rPr>
          <w:sz w:val="16"/>
          <w:szCs w:val="16"/>
          <w:u w:val="single" w:color="auto"/>
          <w:color w:val="231F20"/>
          <w:spacing w:val="-9"/>
          <w:position w:val="1"/>
        </w:rPr>
        <w:t>临床皮肤科杂志</w:t>
      </w:r>
      <w:r>
        <w:rPr>
          <w:sz w:val="16"/>
          <w:szCs w:val="16"/>
          <w:u w:val="single" w:color="auto"/>
          <w:color w:val="231F20"/>
          <w:spacing w:val="11"/>
          <w:position w:val="1"/>
        </w:rPr>
        <w:t xml:space="preserve"> </w:t>
      </w:r>
      <w:r>
        <w:rPr>
          <w:sz w:val="17"/>
          <w:szCs w:val="17"/>
          <w:u w:val="single" w:color="auto"/>
          <w:color w:val="231F20"/>
          <w:spacing w:val="-9"/>
        </w:rPr>
        <w:t>2024 </w:t>
      </w:r>
      <w:r>
        <w:rPr>
          <w:sz w:val="16"/>
          <w:szCs w:val="16"/>
          <w:u w:val="single" w:color="auto"/>
          <w:color w:val="231F20"/>
          <w:spacing w:val="-9"/>
          <w:position w:val="1"/>
        </w:rPr>
        <w:t>年</w:t>
      </w:r>
      <w:r>
        <w:rPr>
          <w:sz w:val="16"/>
          <w:szCs w:val="16"/>
          <w:u w:val="single" w:color="auto"/>
          <w:color w:val="231F20"/>
          <w:spacing w:val="11"/>
          <w:position w:val="1"/>
        </w:rPr>
        <w:t xml:space="preserve"> </w:t>
      </w:r>
      <w:r>
        <w:rPr>
          <w:sz w:val="17"/>
          <w:szCs w:val="17"/>
          <w:u w:val="single" w:color="auto"/>
          <w:color w:val="231F20"/>
          <w:spacing w:val="-9"/>
        </w:rPr>
        <w:t>53 </w:t>
      </w:r>
      <w:r>
        <w:rPr>
          <w:sz w:val="16"/>
          <w:szCs w:val="16"/>
          <w:u w:val="single" w:color="auto"/>
          <w:color w:val="231F20"/>
          <w:spacing w:val="-9"/>
          <w:position w:val="1"/>
        </w:rPr>
        <w:t>卷第</w:t>
      </w:r>
      <w:r>
        <w:rPr>
          <w:sz w:val="16"/>
          <w:szCs w:val="16"/>
          <w:u w:val="single" w:color="auto"/>
          <w:color w:val="231F20"/>
          <w:spacing w:val="8"/>
          <w:position w:val="1"/>
        </w:rPr>
        <w:t xml:space="preserve"> </w:t>
      </w:r>
      <w:r>
        <w:rPr>
          <w:sz w:val="17"/>
          <w:szCs w:val="17"/>
          <w:u w:val="single" w:color="auto"/>
          <w:color w:val="231F20"/>
          <w:spacing w:val="-9"/>
        </w:rPr>
        <w:t>7 </w:t>
      </w:r>
      <w:r>
        <w:rPr>
          <w:sz w:val="16"/>
          <w:szCs w:val="16"/>
          <w:u w:val="single" w:color="auto"/>
          <w:color w:val="231F20"/>
          <w:spacing w:val="-9"/>
          <w:position w:val="1"/>
        </w:rPr>
        <w:t>期    </w:t>
      </w:r>
      <w:r>
        <w:rPr>
          <w:sz w:val="17"/>
          <w:szCs w:val="17"/>
          <w:u w:val="single" w:color="auto"/>
          <w:color w:val="231F20"/>
          <w:spacing w:val="-9"/>
        </w:rPr>
        <w:t>J</w:t>
      </w:r>
      <w:r>
        <w:rPr>
          <w:sz w:val="17"/>
          <w:szCs w:val="17"/>
          <w:u w:val="single" w:color="auto"/>
          <w:color w:val="231F20"/>
          <w:spacing w:val="16"/>
          <w:w w:val="101"/>
        </w:rPr>
        <w:t xml:space="preserve"> </w:t>
      </w:r>
      <w:r>
        <w:rPr>
          <w:sz w:val="17"/>
          <w:szCs w:val="17"/>
          <w:u w:val="single" w:color="auto"/>
          <w:color w:val="231F20"/>
          <w:spacing w:val="-9"/>
        </w:rPr>
        <w:t>Cli</w:t>
      </w:r>
      <w:r>
        <w:rPr>
          <w:sz w:val="17"/>
          <w:szCs w:val="17"/>
          <w:u w:val="single" w:color="auto"/>
          <w:color w:val="231F20"/>
          <w:spacing w:val="-10"/>
        </w:rPr>
        <w:t>n</w:t>
      </w:r>
      <w:r>
        <w:rPr>
          <w:sz w:val="17"/>
          <w:szCs w:val="17"/>
          <w:u w:val="single" w:color="auto"/>
          <w:color w:val="231F20"/>
          <w:spacing w:val="15"/>
          <w:w w:val="101"/>
        </w:rPr>
        <w:t xml:space="preserve"> </w:t>
      </w:r>
      <w:r>
        <w:rPr>
          <w:sz w:val="17"/>
          <w:szCs w:val="17"/>
          <w:u w:val="single" w:color="auto"/>
          <w:color w:val="231F20"/>
          <w:spacing w:val="-10"/>
        </w:rPr>
        <w:t>Dermatol,</w:t>
      </w:r>
      <w:r>
        <w:rPr>
          <w:sz w:val="17"/>
          <w:szCs w:val="17"/>
          <w:u w:val="single" w:color="auto"/>
          <w:color w:val="231F20"/>
          <w:spacing w:val="9"/>
        </w:rPr>
        <w:t xml:space="preserve"> </w:t>
      </w:r>
      <w:r>
        <w:rPr>
          <w:sz w:val="17"/>
          <w:szCs w:val="17"/>
          <w:u w:val="single" w:color="auto"/>
          <w:color w:val="231F20"/>
          <w:spacing w:val="-10"/>
        </w:rPr>
        <w:t>July</w:t>
      </w:r>
      <w:r>
        <w:rPr>
          <w:sz w:val="17"/>
          <w:szCs w:val="17"/>
          <w:u w:val="single" w:color="auto"/>
          <w:color w:val="231F20"/>
          <w:spacing w:val="14"/>
        </w:rPr>
        <w:t xml:space="preserve"> </w:t>
      </w:r>
      <w:r>
        <w:rPr>
          <w:sz w:val="17"/>
          <w:szCs w:val="17"/>
          <w:u w:val="single" w:color="auto"/>
          <w:color w:val="231F20"/>
          <w:spacing w:val="-10"/>
        </w:rPr>
        <w:t>2024,</w:t>
      </w:r>
      <w:r>
        <w:rPr>
          <w:sz w:val="17"/>
          <w:szCs w:val="17"/>
          <w:u w:val="single" w:color="auto"/>
          <w:color w:val="231F20"/>
          <w:spacing w:val="12"/>
          <w:w w:val="101"/>
        </w:rPr>
        <w:t xml:space="preserve"> </w:t>
      </w:r>
      <w:r>
        <w:rPr>
          <w:sz w:val="17"/>
          <w:szCs w:val="17"/>
          <w:u w:val="single" w:color="auto"/>
          <w:color w:val="231F20"/>
          <w:spacing w:val="-10"/>
        </w:rPr>
        <w:t>Vol．53,</w:t>
      </w:r>
      <w:r>
        <w:rPr>
          <w:sz w:val="17"/>
          <w:szCs w:val="17"/>
          <w:u w:val="single" w:color="auto"/>
          <w:color w:val="231F20"/>
          <w:spacing w:val="14"/>
          <w:w w:val="101"/>
        </w:rPr>
        <w:t xml:space="preserve"> </w:t>
      </w:r>
      <w:r>
        <w:rPr>
          <w:sz w:val="17"/>
          <w:szCs w:val="17"/>
          <w:u w:val="single" w:color="auto"/>
          <w:color w:val="231F20"/>
          <w:spacing w:val="-10"/>
        </w:rPr>
        <w:t>No．7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627"/>
        <w:spacing w:before="155" w:line="178" w:lineRule="auto"/>
        <w:outlineLvl w:val="0"/>
        <w:rPr>
          <w:sz w:val="36"/>
          <w:szCs w:val="36"/>
        </w:rPr>
      </w:pPr>
      <w:r>
        <w:rPr>
          <w:sz w:val="36"/>
          <w:szCs w:val="36"/>
          <w:color w:val="231F20"/>
        </w:rPr>
        <w:t>血液学指标与成人伴脏器损害过敏性紫癜的相关性分析</w:t>
      </w:r>
    </w:p>
    <w:p>
      <w:pPr>
        <w:pStyle w:val="BodyText"/>
        <w:ind w:left="621"/>
        <w:spacing w:before="260" w:line="195" w:lineRule="auto"/>
        <w:outlineLvl w:val="0"/>
        <w:rPr>
          <w:sz w:val="22"/>
          <w:szCs w:val="22"/>
        </w:rPr>
      </w:pPr>
      <w:r>
        <w:rPr>
          <w:sz w:val="22"/>
          <w:szCs w:val="22"/>
          <w:color w:val="231F20"/>
          <w:spacing w:val="-1"/>
        </w:rPr>
        <w:t>何丽娜</w:t>
      </w:r>
      <w:r>
        <w:rPr>
          <w:sz w:val="22"/>
          <w:szCs w:val="22"/>
          <w:color w:val="231F20"/>
          <w:spacing w:val="-13"/>
        </w:rPr>
        <w:t xml:space="preserve"> </w:t>
      </w:r>
      <w:r>
        <w:rPr>
          <w:sz w:val="22"/>
          <w:szCs w:val="22"/>
          <w:color w:val="231F20"/>
          <w:spacing w:val="-1"/>
          <w:position w:val="-1"/>
        </w:rPr>
        <w:t>，</w:t>
      </w:r>
      <w:r>
        <w:rPr>
          <w:sz w:val="22"/>
          <w:szCs w:val="22"/>
          <w:color w:val="231F20"/>
          <w:spacing w:val="-43"/>
          <w:position w:val="-1"/>
        </w:rPr>
        <w:t xml:space="preserve"> </w:t>
      </w:r>
      <w:r>
        <w:rPr>
          <w:sz w:val="22"/>
          <w:szCs w:val="22"/>
          <w:color w:val="231F20"/>
          <w:spacing w:val="-1"/>
        </w:rPr>
        <w:t>林    渊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1"/>
          <w:position w:val="-1"/>
        </w:rPr>
        <w:t>，</w:t>
      </w:r>
      <w:r>
        <w:rPr>
          <w:sz w:val="22"/>
          <w:szCs w:val="22"/>
          <w:color w:val="231F20"/>
          <w:spacing w:val="-32"/>
          <w:position w:val="-1"/>
        </w:rPr>
        <w:t xml:space="preserve"> </w:t>
      </w:r>
      <w:r>
        <w:rPr>
          <w:sz w:val="22"/>
          <w:szCs w:val="22"/>
          <w:color w:val="231F20"/>
          <w:spacing w:val="-1"/>
        </w:rPr>
        <w:t>汪    雁</w:t>
      </w:r>
      <w:r>
        <w:rPr>
          <w:sz w:val="22"/>
          <w:szCs w:val="22"/>
          <w:color w:val="231F20"/>
          <w:spacing w:val="-15"/>
        </w:rPr>
        <w:t xml:space="preserve"> </w:t>
      </w:r>
      <w:r>
        <w:rPr>
          <w:sz w:val="22"/>
          <w:szCs w:val="22"/>
          <w:color w:val="231F20"/>
          <w:spacing w:val="-1"/>
          <w:position w:val="-1"/>
        </w:rPr>
        <w:t>，</w:t>
      </w:r>
      <w:r>
        <w:rPr>
          <w:sz w:val="22"/>
          <w:szCs w:val="22"/>
          <w:color w:val="231F20"/>
          <w:spacing w:val="-41"/>
          <w:position w:val="-1"/>
        </w:rPr>
        <w:t xml:space="preserve"> </w:t>
      </w:r>
      <w:r>
        <w:rPr>
          <w:sz w:val="22"/>
          <w:szCs w:val="22"/>
          <w:color w:val="231F20"/>
          <w:spacing w:val="-1"/>
        </w:rPr>
        <w:t>孙健宇</w:t>
      </w:r>
    </w:p>
    <w:p>
      <w:pPr>
        <w:pStyle w:val="BodyText"/>
        <w:ind w:left="628"/>
        <w:spacing w:before="9" w:line="213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10"/>
        </w:rPr>
        <w:t>皖南医学院第一附属医院弋矶山医院美容整形科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0"/>
        </w:rPr>
        <w:t>，安徽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10"/>
        </w:rPr>
        <w:t>芜湖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7"/>
          <w:szCs w:val="17"/>
          <w:color w:val="231F20"/>
          <w:spacing w:val="10"/>
          <w:position w:val="-1"/>
        </w:rPr>
        <w:t>241000</w:t>
      </w:r>
    </w:p>
    <w:p>
      <w:pPr>
        <w:pStyle w:val="BodyText"/>
        <w:ind w:left="619"/>
        <w:spacing w:before="267" w:line="199" w:lineRule="auto"/>
        <w:rPr>
          <w:sz w:val="16"/>
          <w:szCs w:val="16"/>
        </w:rPr>
      </w:pPr>
      <w:r>
        <w:rPr>
          <w:sz w:val="17"/>
          <w:szCs w:val="17"/>
          <w:color w:val="231F20"/>
          <w:spacing w:val="11"/>
        </w:rPr>
        <w:t>[</w:t>
      </w:r>
      <w:r>
        <w:rPr>
          <w:sz w:val="16"/>
          <w:szCs w:val="16"/>
          <w:color w:val="231F20"/>
          <w:spacing w:val="11"/>
        </w:rPr>
        <w:t>关键词</w:t>
      </w:r>
      <w:r>
        <w:rPr>
          <w:sz w:val="17"/>
          <w:szCs w:val="17"/>
          <w:color w:val="231F20"/>
          <w:spacing w:val="11"/>
        </w:rPr>
        <w:t>]   </w:t>
      </w:r>
      <w:r>
        <w:rPr>
          <w:sz w:val="16"/>
          <w:szCs w:val="16"/>
          <w:color w:val="231F20"/>
          <w:spacing w:val="11"/>
        </w:rPr>
        <w:t>过敏性紫癜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；成人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11"/>
        </w:rPr>
        <w:t>；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11"/>
        </w:rPr>
        <w:t>中性粒细胞与淋巴细胞比率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11"/>
        </w:rPr>
        <w:t>；血液学指标</w:t>
      </w:r>
    </w:p>
    <w:p>
      <w:pPr>
        <w:pStyle w:val="BodyText"/>
        <w:ind w:left="619"/>
        <w:spacing w:before="24" w:line="19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</w:t>
      </w:r>
      <w:r>
        <w:rPr>
          <w:sz w:val="16"/>
          <w:szCs w:val="16"/>
          <w:color w:val="231F20"/>
          <w:spacing w:val="-2"/>
        </w:rPr>
        <w:t>中图分类号</w:t>
      </w:r>
      <w:r>
        <w:rPr>
          <w:sz w:val="17"/>
          <w:szCs w:val="17"/>
          <w:color w:val="231F20"/>
          <w:spacing w:val="-2"/>
        </w:rPr>
        <w:t>]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-2"/>
        </w:rPr>
        <w:t>R249              [</w:t>
      </w:r>
      <w:r>
        <w:rPr>
          <w:sz w:val="16"/>
          <w:szCs w:val="16"/>
          <w:color w:val="231F20"/>
          <w:spacing w:val="-2"/>
        </w:rPr>
        <w:t>文献标识码</w:t>
      </w:r>
      <w:r>
        <w:rPr>
          <w:sz w:val="17"/>
          <w:szCs w:val="17"/>
          <w:color w:val="231F20"/>
          <w:spacing w:val="-2"/>
        </w:rPr>
        <w:t>]    B               [</w:t>
      </w:r>
      <w:r>
        <w:rPr>
          <w:sz w:val="16"/>
          <w:szCs w:val="16"/>
          <w:color w:val="231F20"/>
          <w:spacing w:val="-2"/>
        </w:rPr>
        <w:t>文章编号</w:t>
      </w:r>
      <w:r>
        <w:rPr>
          <w:sz w:val="17"/>
          <w:szCs w:val="17"/>
          <w:color w:val="231F20"/>
          <w:spacing w:val="-2"/>
        </w:rPr>
        <w:t>]    1000-4963</w:t>
      </w:r>
      <w:r>
        <w:rPr>
          <w:sz w:val="16"/>
          <w:szCs w:val="16"/>
          <w:color w:val="231F20"/>
          <w:spacing w:val="-2"/>
        </w:rPr>
        <w:t>（</w:t>
      </w:r>
      <w:r>
        <w:rPr>
          <w:sz w:val="17"/>
          <w:szCs w:val="17"/>
          <w:color w:val="231F20"/>
          <w:spacing w:val="-2"/>
        </w:rPr>
        <w:t>2024</w:t>
      </w:r>
      <w:r>
        <w:rPr>
          <w:sz w:val="16"/>
          <w:szCs w:val="16"/>
          <w:color w:val="231F20"/>
          <w:spacing w:val="-2"/>
        </w:rPr>
        <w:t>）</w:t>
      </w:r>
      <w:r>
        <w:rPr>
          <w:sz w:val="17"/>
          <w:szCs w:val="17"/>
          <w:color w:val="231F20"/>
          <w:spacing w:val="-2"/>
        </w:rPr>
        <w:t>07-0405-04</w:t>
      </w:r>
    </w:p>
    <w:p>
      <w:pPr>
        <w:pStyle w:val="BodyText"/>
        <w:ind w:left="616"/>
        <w:spacing w:before="49" w:line="16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doi</w:t>
      </w:r>
      <w:r>
        <w:rPr>
          <w:sz w:val="16"/>
          <w:szCs w:val="16"/>
          <w:color w:val="231F20"/>
          <w:spacing w:val="-9"/>
        </w:rPr>
        <w:t>：</w:t>
      </w:r>
      <w:r>
        <w:rPr>
          <w:sz w:val="17"/>
          <w:szCs w:val="17"/>
          <w:color w:val="231F20"/>
          <w:spacing w:val="-9"/>
        </w:rPr>
        <w:t>10.16761/j.cnki.1000-4963.2024.07.006</w:t>
      </w:r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headerReference w:type="default" r:id="rId1"/>
          <w:pgSz w:w="12245" w:h="16496"/>
          <w:pgMar w:top="400" w:right="1115" w:bottom="0" w:left="407" w:header="0" w:footer="0" w:gutter="0"/>
          <w:cols w:equalWidth="0" w:num="1">
            <w:col w:w="10721" w:space="0"/>
          </w:cols>
        </w:sectPr>
        <w:rPr/>
      </w:pPr>
    </w:p>
    <w:p>
      <w:pPr>
        <w:pStyle w:val="BodyText"/>
        <w:ind w:left="619" w:right="187" w:firstLine="431"/>
        <w:spacing w:before="51" w:line="211" w:lineRule="auto"/>
        <w:jc w:val="both"/>
        <w:rPr/>
      </w:pPr>
      <w:r>
        <w:rPr>
          <w:color w:val="231F20"/>
          <w:spacing w:val="1"/>
        </w:rPr>
        <w:t>过敏性紫癜（</w:t>
      </w:r>
      <w:r>
        <w:rPr>
          <w:sz w:val="20"/>
          <w:szCs w:val="20"/>
          <w:color w:val="231F20"/>
        </w:rPr>
        <w:t>HSP</w:t>
      </w:r>
      <w:r>
        <w:rPr>
          <w:color w:val="231F20"/>
          <w:spacing w:val="1"/>
        </w:rPr>
        <w:t>）又称为</w:t>
      </w:r>
      <w:r>
        <w:rPr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IgA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血管炎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，是一种 自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身免疫性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、全身性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、非肉芽肿性血管炎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，其特征是自限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性临床病程和小血管的白细胞碎裂性血管炎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7"/>
        </w:rPr>
        <w:t>，其中含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有 </w:t>
      </w:r>
      <w:r>
        <w:rPr>
          <w:sz w:val="20"/>
          <w:szCs w:val="20"/>
          <w:color w:val="231F20"/>
        </w:rPr>
        <w:t>IgA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12"/>
        </w:rPr>
        <w:t>免疫复合物的沉积是血管受累的标志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。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12"/>
        </w:rPr>
        <w:t>主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要影响儿童，而成人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13"/>
        </w:rPr>
        <w:t>患者出现脏器损害和死亡的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发生率更高</w:t>
      </w:r>
      <w:r>
        <w:rPr>
          <w:sz w:val="11"/>
          <w:szCs w:val="11"/>
          <w:color w:val="231F20"/>
          <w:spacing w:val="11"/>
          <w:position w:val="6"/>
        </w:rPr>
        <w:t>[1]</w:t>
      </w:r>
      <w:r>
        <w:rPr>
          <w:color w:val="231F20"/>
          <w:spacing w:val="11"/>
          <w:position w:val="-1"/>
        </w:rPr>
        <w:t>，</w:t>
      </w:r>
      <w:r>
        <w:rPr>
          <w:color w:val="231F20"/>
          <w:spacing w:val="11"/>
        </w:rPr>
        <w:t>且与更具有侵袭性的病程有关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  <w:position w:val="-1"/>
        </w:rPr>
        <w:t>，</w:t>
      </w:r>
      <w:r>
        <w:rPr>
          <w:color w:val="231F20"/>
          <w:spacing w:val="10"/>
        </w:rPr>
        <w:t>其中大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多数成人患者的特征性症状除了双下肢紫癜外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常伴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有腹痛、关节痛和肾脏损害等，因此需要相关血液学指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标诊断及预测成人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color w:val="231F20"/>
          <w:spacing w:val="9"/>
        </w:rPr>
        <w:t>的严重程度</w:t>
      </w:r>
      <w:r>
        <w:rPr>
          <w:sz w:val="11"/>
          <w:szCs w:val="11"/>
          <w:color w:val="231F20"/>
          <w:spacing w:val="9"/>
          <w:position w:val="6"/>
        </w:rPr>
        <w:t>[2-3]</w:t>
      </w:r>
      <w:r>
        <w:rPr>
          <w:color w:val="231F20"/>
          <w:spacing w:val="9"/>
          <w:position w:val="-1"/>
        </w:rPr>
        <w:t>。</w:t>
      </w:r>
      <w:r>
        <w:rPr>
          <w:color w:val="231F20"/>
          <w:spacing w:val="9"/>
        </w:rPr>
        <w:t>中性粒细胞与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淋巴细胞比率（</w:t>
      </w:r>
      <w:r>
        <w:rPr>
          <w:sz w:val="20"/>
          <w:szCs w:val="20"/>
          <w:color w:val="231F20"/>
        </w:rPr>
        <w:t>NLR</w:t>
      </w:r>
      <w:r>
        <w:rPr>
          <w:color w:val="231F20"/>
          <w:spacing w:val="9"/>
        </w:rPr>
        <w:t>）是一种全身炎症参数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，很容易从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血液学检查中获得，已被用于预测成人多种恶性</w:t>
      </w:r>
      <w:r>
        <w:rPr>
          <w:color w:val="231F20"/>
          <w:spacing w:val="12"/>
        </w:rPr>
        <w:t>肿瘤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冠心病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  <w:position w:val="-1"/>
        </w:rPr>
        <w:t>、</w:t>
      </w:r>
      <w:r>
        <w:rPr>
          <w:color w:val="231F20"/>
          <w:spacing w:val="12"/>
        </w:rPr>
        <w:t>脑卒中等疾病的研究</w:t>
      </w:r>
      <w:r>
        <w:rPr>
          <w:sz w:val="11"/>
          <w:szCs w:val="11"/>
          <w:color w:val="231F20"/>
          <w:spacing w:val="12"/>
          <w:position w:val="6"/>
        </w:rPr>
        <w:t>[4-5]</w:t>
      </w:r>
      <w:r>
        <w:rPr>
          <w:sz w:val="11"/>
          <w:szCs w:val="11"/>
          <w:color w:val="231F20"/>
          <w:spacing w:val="-7"/>
          <w:position w:val="6"/>
        </w:rPr>
        <w:t xml:space="preserve"> </w:t>
      </w:r>
      <w:r>
        <w:rPr>
          <w:color w:val="231F20"/>
          <w:spacing w:val="12"/>
          <w:position w:val="-1"/>
        </w:rPr>
        <w:t>。</w:t>
      </w:r>
      <w:r>
        <w:rPr>
          <w:color w:val="231F20"/>
          <w:spacing w:val="12"/>
        </w:rPr>
        <w:t>本研究回顾性分析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患者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值等血液学指标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4"/>
        </w:rPr>
        <w:t>，探讨其对于伴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脏器损害的成人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13"/>
        </w:rPr>
        <w:t>诊断及预后的临床价值，现将结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7"/>
        </w:rPr>
        <w:t>果报告如下。</w:t>
      </w:r>
    </w:p>
    <w:p>
      <w:pPr>
        <w:pStyle w:val="BodyText"/>
        <w:ind w:left="632"/>
        <w:spacing w:before="129" w:line="184" w:lineRule="auto"/>
        <w:outlineLvl w:val="0"/>
        <w:rPr/>
      </w:pPr>
      <w:r>
        <w:rPr>
          <w:sz w:val="20"/>
          <w:szCs w:val="20"/>
          <w:color w:val="231F20"/>
          <w:spacing w:val="9"/>
          <w:position w:val="-1"/>
        </w:rPr>
        <w:t>1</w:t>
      </w:r>
      <w:r>
        <w:rPr>
          <w:sz w:val="20"/>
          <w:szCs w:val="20"/>
          <w:color w:val="231F20"/>
          <w:spacing w:val="15"/>
          <w:position w:val="-1"/>
        </w:rPr>
        <w:t xml:space="preserve">   </w:t>
      </w:r>
      <w:r>
        <w:rPr>
          <w:color w:val="231F20"/>
          <w:spacing w:val="9"/>
        </w:rPr>
        <w:t>对象与方法</w:t>
      </w:r>
    </w:p>
    <w:p>
      <w:pPr>
        <w:pStyle w:val="BodyText"/>
        <w:ind w:left="634"/>
        <w:spacing w:before="155" w:line="213" w:lineRule="auto"/>
        <w:rPr/>
      </w:pPr>
      <w:r>
        <w:rPr>
          <w:sz w:val="20"/>
          <w:szCs w:val="20"/>
          <w:color w:val="231F20"/>
          <w:spacing w:val="-4"/>
        </w:rPr>
        <w:t>1.1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color w:val="231F20"/>
          <w:spacing w:val="-4"/>
        </w:rPr>
        <w:t>对象</w:t>
      </w:r>
    </w:p>
    <w:p>
      <w:pPr>
        <w:pStyle w:val="BodyText"/>
        <w:ind w:left="617" w:right="189" w:firstLine="431"/>
        <w:spacing w:before="14" w:line="204" w:lineRule="auto"/>
        <w:jc w:val="both"/>
        <w:rPr/>
      </w:pPr>
      <w:r>
        <w:rPr>
          <w:color w:val="231F20"/>
          <w:spacing w:val="3"/>
        </w:rPr>
        <w:t>选择</w:t>
      </w:r>
      <w:r>
        <w:rPr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3"/>
        </w:rPr>
        <w:t>2016 </w:t>
      </w:r>
      <w:r>
        <w:rPr>
          <w:color w:val="231F20"/>
          <w:spacing w:val="3"/>
        </w:rPr>
        <w:t>年</w:t>
      </w:r>
      <w:r>
        <w:rPr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月—</w:t>
      </w:r>
      <w:r>
        <w:rPr>
          <w:sz w:val="20"/>
          <w:szCs w:val="20"/>
          <w:color w:val="231F20"/>
          <w:spacing w:val="3"/>
        </w:rPr>
        <w:t>2020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3"/>
        </w:rPr>
        <w:t>12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月来我院治疗并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确诊为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34"/>
          <w:w w:val="101"/>
          <w:position w:val="-1"/>
        </w:rPr>
        <w:t xml:space="preserve"> </w:t>
      </w:r>
      <w:r>
        <w:rPr>
          <w:color w:val="231F20"/>
          <w:spacing w:val="7"/>
        </w:rPr>
        <w:t>的</w:t>
      </w:r>
      <w:r>
        <w:rPr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101 </w:t>
      </w:r>
      <w:r>
        <w:rPr>
          <w:color w:val="231F20"/>
          <w:spacing w:val="7"/>
        </w:rPr>
        <w:t>例成人患者作为研究对象，其中男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54 </w:t>
      </w:r>
      <w:r>
        <w:rPr>
          <w:color w:val="231F20"/>
          <w:spacing w:val="-10"/>
        </w:rPr>
        <w:t>例，女 </w:t>
      </w:r>
      <w:r>
        <w:rPr>
          <w:sz w:val="20"/>
          <w:szCs w:val="20"/>
          <w:color w:val="231F20"/>
          <w:spacing w:val="-10"/>
        </w:rPr>
        <w:t>47 </w:t>
      </w:r>
      <w:r>
        <w:rPr>
          <w:color w:val="231F20"/>
          <w:spacing w:val="-10"/>
        </w:rPr>
        <w:t>例，平均年龄（</w:t>
      </w:r>
      <w:r>
        <w:rPr>
          <w:sz w:val="20"/>
          <w:szCs w:val="20"/>
          <w:color w:val="231F20"/>
          <w:spacing w:val="-10"/>
        </w:rPr>
        <w:t>37.58±16.22 </w:t>
      </w:r>
      <w:r>
        <w:rPr>
          <w:color w:val="231F20"/>
          <w:spacing w:val="-10"/>
        </w:rPr>
        <w:t>岁）。 本组患者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诊断为单纯型 </w:t>
      </w:r>
      <w:r>
        <w:rPr>
          <w:sz w:val="20"/>
          <w:szCs w:val="20"/>
          <w:color w:val="231F20"/>
          <w:spacing w:val="4"/>
        </w:rPr>
        <w:t>43 </w:t>
      </w:r>
      <w:r>
        <w:rPr>
          <w:color w:val="231F20"/>
          <w:spacing w:val="4"/>
        </w:rPr>
        <w:t>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；脏器损害型</w:t>
      </w:r>
      <w:r>
        <w:rPr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4"/>
        </w:rPr>
        <w:t>58 </w:t>
      </w:r>
      <w:r>
        <w:rPr>
          <w:color w:val="231F20"/>
          <w:spacing w:val="4"/>
        </w:rPr>
        <w:t>例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，包括腹型</w:t>
      </w:r>
      <w:r>
        <w:rPr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15</w:t>
      </w:r>
      <w:r>
        <w:rPr>
          <w:sz w:val="20"/>
          <w:szCs w:val="20"/>
          <w:color w:val="231F20"/>
        </w:rPr>
        <w:t xml:space="preserve">  </w:t>
      </w:r>
      <w:r>
        <w:rPr>
          <w:color w:val="231F20"/>
          <w:spacing w:val="-6"/>
        </w:rPr>
        <w:t>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、肾型</w:t>
      </w:r>
      <w:r>
        <w:rPr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21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-6"/>
        </w:rPr>
        <w:t>例及混合型（腹型</w:t>
      </w:r>
      <w:r>
        <w:rPr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+</w:t>
      </w:r>
      <w:r>
        <w:rPr>
          <w:color w:val="231F20"/>
          <w:spacing w:val="-6"/>
        </w:rPr>
        <w:t>肾型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）</w:t>
      </w:r>
      <w:r>
        <w:rPr>
          <w:sz w:val="20"/>
          <w:szCs w:val="20"/>
          <w:color w:val="231F20"/>
          <w:spacing w:val="-6"/>
        </w:rPr>
        <w:t>22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。</w:t>
      </w:r>
      <w:r>
        <w:rPr>
          <w:sz w:val="20"/>
          <w:szCs w:val="20"/>
          <w:color w:val="231F20"/>
          <w:spacing w:val="-6"/>
        </w:rPr>
        <w:t>HSP</w:t>
      </w:r>
      <w:r>
        <w:rPr>
          <w:color w:val="231F20"/>
          <w:spacing w:val="-6"/>
        </w:rPr>
        <w:t>（腹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型）的诊断标准</w:t>
      </w:r>
      <w:r>
        <w:rPr>
          <w:sz w:val="11"/>
          <w:szCs w:val="11"/>
          <w:color w:val="231F20"/>
          <w:spacing w:val="2"/>
          <w:position w:val="6"/>
        </w:rPr>
        <w:t>[6]</w:t>
      </w:r>
      <w:r>
        <w:rPr>
          <w:color w:val="231F20"/>
          <w:spacing w:val="2"/>
        </w:rPr>
        <w:t>：</w:t>
      </w:r>
      <w:r>
        <w:rPr>
          <w:sz w:val="20"/>
          <w:szCs w:val="20"/>
          <w:color w:val="231F20"/>
          <w:spacing w:val="2"/>
        </w:rPr>
        <w:t>①</w:t>
      </w:r>
      <w:r>
        <w:rPr>
          <w:color w:val="231F20"/>
          <w:spacing w:val="2"/>
        </w:rPr>
        <w:t>有明确的皮肤紫癜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；</w:t>
      </w:r>
      <w:r>
        <w:rPr>
          <w:sz w:val="20"/>
          <w:szCs w:val="20"/>
          <w:color w:val="231F20"/>
          <w:spacing w:val="2"/>
        </w:rPr>
        <w:t>②</w:t>
      </w:r>
      <w:r>
        <w:rPr>
          <w:color w:val="231F20"/>
          <w:spacing w:val="2"/>
        </w:rPr>
        <w:t>腹痛；</w:t>
      </w:r>
      <w:r>
        <w:rPr>
          <w:sz w:val="20"/>
          <w:szCs w:val="20"/>
          <w:color w:val="231F20"/>
          <w:spacing w:val="2"/>
        </w:rPr>
        <w:t>③</w:t>
      </w:r>
      <w:r>
        <w:rPr>
          <w:color w:val="231F20"/>
          <w:spacing w:val="2"/>
        </w:rPr>
        <w:t>消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化道出血（呕血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8"/>
        </w:rPr>
        <w:t>、黑便或便血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6"/>
          <w:w w:val="58"/>
        </w:rPr>
        <w:t>）；</w:t>
      </w:r>
      <w:r>
        <w:rPr>
          <w:sz w:val="20"/>
          <w:szCs w:val="20"/>
          <w:color w:val="231F20"/>
          <w:spacing w:val="18"/>
        </w:rPr>
        <w:t>④</w:t>
      </w:r>
      <w:r>
        <w:rPr>
          <w:color w:val="231F20"/>
          <w:spacing w:val="18"/>
        </w:rPr>
        <w:t>否认近期特殊用药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史；排除其他因素导致的腹痛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，满足</w:t>
      </w:r>
      <w:r>
        <w:rPr>
          <w:sz w:val="20"/>
          <w:szCs w:val="20"/>
          <w:color w:val="231F20"/>
          <w:spacing w:val="13"/>
          <w:position w:val="-1"/>
        </w:rPr>
        <w:t>≥3 </w:t>
      </w:r>
      <w:r>
        <w:rPr>
          <w:color w:val="231F20"/>
          <w:spacing w:val="13"/>
        </w:rPr>
        <w:t>点即可诊断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HSP</w:t>
      </w:r>
      <w:r>
        <w:rPr>
          <w:color w:val="231F20"/>
          <w:spacing w:val="-6"/>
        </w:rPr>
        <w:t>（肾型）诊断标准</w:t>
      </w:r>
      <w:r>
        <w:rPr>
          <w:sz w:val="11"/>
          <w:szCs w:val="11"/>
          <w:color w:val="231F20"/>
          <w:spacing w:val="-6"/>
          <w:position w:val="6"/>
        </w:rPr>
        <w:t>[7]</w:t>
      </w:r>
      <w:r>
        <w:rPr>
          <w:color w:val="231F20"/>
          <w:spacing w:val="-3"/>
        </w:rPr>
        <w:t>：在</w:t>
      </w:r>
      <w:r>
        <w:rPr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HSP </w:t>
      </w:r>
      <w:r>
        <w:rPr>
          <w:color w:val="231F20"/>
          <w:spacing w:val="-3"/>
        </w:rPr>
        <w:t>病程的</w:t>
      </w:r>
      <w:r>
        <w:rPr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6 </w:t>
      </w:r>
      <w:r>
        <w:rPr>
          <w:color w:val="231F20"/>
          <w:spacing w:val="-3"/>
        </w:rPr>
        <w:t>个月内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，出现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血尿和（或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）蛋白尿者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。伴有脏器损害型</w:t>
      </w:r>
      <w:r>
        <w:rPr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10"/>
          <w:position w:val="-1"/>
        </w:rPr>
        <w:t xml:space="preserve"> </w:t>
      </w:r>
      <w:r>
        <w:rPr>
          <w:color w:val="231F20"/>
          <w:spacing w:val="10"/>
        </w:rPr>
        <w:t>包括腹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型</w:t>
      </w:r>
      <w:r>
        <w:rPr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4"/>
        </w:rPr>
        <w:t>HSP</w:t>
      </w:r>
      <w:r>
        <w:rPr>
          <w:color w:val="231F20"/>
          <w:spacing w:val="-4"/>
        </w:rPr>
        <w:t>、肾型 </w:t>
      </w:r>
      <w:r>
        <w:rPr>
          <w:sz w:val="20"/>
          <w:szCs w:val="20"/>
          <w:color w:val="231F20"/>
          <w:spacing w:val="-4"/>
        </w:rPr>
        <w:t>HSP </w:t>
      </w:r>
      <w:r>
        <w:rPr>
          <w:color w:val="231F20"/>
          <w:spacing w:val="-4"/>
        </w:rPr>
        <w:t>和混合型（腹型</w:t>
      </w:r>
      <w:r>
        <w:rPr>
          <w:sz w:val="20"/>
          <w:szCs w:val="20"/>
          <w:color w:val="231F20"/>
          <w:spacing w:val="-4"/>
        </w:rPr>
        <w:t>+</w:t>
      </w:r>
      <w:r>
        <w:rPr>
          <w:color w:val="231F20"/>
          <w:spacing w:val="-4"/>
        </w:rPr>
        <w:t>肾型）</w:t>
      </w:r>
      <w:r>
        <w:rPr>
          <w:sz w:val="20"/>
          <w:szCs w:val="20"/>
          <w:color w:val="231F20"/>
          <w:spacing w:val="-4"/>
        </w:rPr>
        <w:t>HSP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color w:val="231F20"/>
          <w:spacing w:val="-4"/>
        </w:rPr>
        <w:t>。本研究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已排除关节型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12"/>
        </w:rPr>
        <w:t>患者。</w:t>
      </w:r>
    </w:p>
    <w:p>
      <w:pPr>
        <w:pStyle w:val="BodyText"/>
        <w:ind w:left="622" w:right="267" w:firstLine="420"/>
        <w:spacing w:before="3" w:line="207" w:lineRule="auto"/>
        <w:rPr/>
      </w:pPr>
      <w:r>
        <w:rPr>
          <w:color w:val="231F20"/>
          <w:spacing w:val="-2"/>
        </w:rPr>
        <w:t>纳入标准：符合腹型 </w:t>
      </w:r>
      <w:r>
        <w:rPr>
          <w:sz w:val="20"/>
          <w:szCs w:val="20"/>
          <w:color w:val="231F20"/>
          <w:spacing w:val="-2"/>
        </w:rPr>
        <w:t>HSP </w:t>
      </w:r>
      <w:r>
        <w:rPr>
          <w:color w:val="231F20"/>
          <w:spacing w:val="-2"/>
        </w:rPr>
        <w:t>和肾型 </w:t>
      </w:r>
      <w:r>
        <w:rPr>
          <w:sz w:val="20"/>
          <w:szCs w:val="20"/>
          <w:color w:val="231F20"/>
          <w:spacing w:val="-2"/>
        </w:rPr>
        <w:t>HSP </w:t>
      </w:r>
      <w:r>
        <w:rPr>
          <w:color w:val="231F20"/>
          <w:spacing w:val="-2"/>
        </w:rPr>
        <w:t>诊断标准的患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。排除标准：</w:t>
      </w:r>
      <w:r>
        <w:rPr>
          <w:sz w:val="20"/>
          <w:szCs w:val="20"/>
          <w:color w:val="231F20"/>
          <w:spacing w:val="1"/>
        </w:rPr>
        <w:t>①</w:t>
      </w:r>
      <w:r>
        <w:rPr>
          <w:color w:val="231F20"/>
          <w:spacing w:val="1"/>
        </w:rPr>
        <w:t>合并自身免疫系统疾病、恶性</w:t>
      </w:r>
      <w:r>
        <w:rPr>
          <w:color w:val="231F20"/>
        </w:rPr>
        <w:t>肿瘤、原</w:t>
      </w:r>
    </w:p>
    <w:p>
      <w:pPr>
        <w:spacing w:line="29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387350</wp:posOffset>
            </wp:positionH>
            <wp:positionV relativeFrom="paragraph">
              <wp:posOffset>125508</wp:posOffset>
            </wp:positionV>
            <wp:extent cx="143891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9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26"/>
        <w:spacing w:before="74" w:line="211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6"/>
        </w:rPr>
        <w:t>收稿日期：</w:t>
      </w:r>
      <w:r>
        <w:rPr>
          <w:sz w:val="17"/>
          <w:szCs w:val="17"/>
          <w:color w:val="231F20"/>
          <w:spacing w:val="-6"/>
        </w:rPr>
        <w:t>2023-04-05</w:t>
      </w:r>
      <w:r>
        <w:rPr>
          <w:sz w:val="16"/>
          <w:szCs w:val="16"/>
          <w:color w:val="231F20"/>
          <w:spacing w:val="-6"/>
        </w:rPr>
        <w:t>；修回 日期：</w:t>
      </w:r>
      <w:r>
        <w:rPr>
          <w:sz w:val="17"/>
          <w:szCs w:val="17"/>
          <w:color w:val="231F20"/>
          <w:spacing w:val="-6"/>
        </w:rPr>
        <w:t>2023-12-17</w:t>
      </w:r>
    </w:p>
    <w:p>
      <w:pPr>
        <w:pStyle w:val="BodyText"/>
        <w:ind w:left="621"/>
        <w:spacing w:before="7" w:line="165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11"/>
        </w:rPr>
        <w:t>通信作者：林渊，</w:t>
      </w:r>
      <w:r>
        <w:rPr>
          <w:sz w:val="17"/>
          <w:szCs w:val="17"/>
          <w:color w:val="231F20"/>
          <w:spacing w:val="-11"/>
        </w:rPr>
        <w:t>Email</w:t>
      </w:r>
      <w:r>
        <w:rPr>
          <w:sz w:val="16"/>
          <w:szCs w:val="16"/>
          <w:color w:val="231F20"/>
          <w:spacing w:val="-11"/>
        </w:rPr>
        <w:t>：</w:t>
      </w:r>
      <w:r>
        <w:rPr>
          <w:sz w:val="17"/>
          <w:szCs w:val="17"/>
          <w:color w:val="231F20"/>
          <w:spacing w:val="-11"/>
        </w:rPr>
        <w:t>13855339673@126.com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5" w:right="73" w:firstLine="1"/>
        <w:spacing w:before="47" w:line="203" w:lineRule="auto"/>
        <w:rPr/>
      </w:pPr>
      <w:r>
        <w:rPr>
          <w:color w:val="231F20"/>
          <w:spacing w:val="11"/>
        </w:rPr>
        <w:t>发性或其他继发性肾炎及消化系统疾病患者；</w:t>
      </w:r>
      <w:r>
        <w:rPr>
          <w:sz w:val="20"/>
          <w:szCs w:val="20"/>
          <w:color w:val="231F20"/>
          <w:spacing w:val="11"/>
        </w:rPr>
        <w:t>②</w:t>
      </w:r>
      <w:r>
        <w:rPr>
          <w:color w:val="231F20"/>
          <w:spacing w:val="11"/>
        </w:rPr>
        <w:t>排除</w:t>
      </w:r>
      <w:r>
        <w:rPr>
          <w:sz w:val="20"/>
          <w:szCs w:val="20"/>
          <w:color w:val="231F20"/>
          <w:spacing w:val="11"/>
          <w:position w:val="-1"/>
        </w:rPr>
        <w:t>4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color w:val="231F20"/>
          <w:spacing w:val="9"/>
        </w:rPr>
        <w:t>周内使用过糖皮质激素和（或）免疫抑制剂的</w:t>
      </w:r>
      <w:r>
        <w:rPr>
          <w:color w:val="231F20"/>
          <w:spacing w:val="8"/>
        </w:rPr>
        <w:t>患者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。</w:t>
      </w:r>
    </w:p>
    <w:p>
      <w:pPr>
        <w:pStyle w:val="BodyText"/>
        <w:ind w:left="88"/>
        <w:spacing w:before="6" w:line="192" w:lineRule="auto"/>
        <w:rPr/>
      </w:pPr>
      <w:r>
        <w:rPr>
          <w:sz w:val="20"/>
          <w:szCs w:val="20"/>
          <w:color w:val="231F20"/>
          <w:spacing w:val="-5"/>
        </w:rPr>
        <w:t>1.2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color w:val="231F20"/>
          <w:spacing w:val="-5"/>
        </w:rPr>
        <w:t>方法</w:t>
      </w:r>
    </w:p>
    <w:p>
      <w:pPr>
        <w:pStyle w:val="BodyText"/>
        <w:ind w:firstLine="523"/>
        <w:spacing w:before="7" w:line="202" w:lineRule="auto"/>
        <w:jc w:val="both"/>
        <w:rPr/>
      </w:pPr>
      <w:r>
        <w:rPr>
          <w:color w:val="231F20"/>
          <w:spacing w:val="12"/>
        </w:rPr>
        <w:t>回顾性分析我院</w:t>
      </w:r>
      <w:r>
        <w:rPr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101 </w:t>
      </w:r>
      <w:r>
        <w:rPr>
          <w:color w:val="231F20"/>
          <w:spacing w:val="12"/>
        </w:rPr>
        <w:t>例成人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12"/>
        </w:rPr>
        <w:t>患者的临床资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料，根据有无脏器损害将其分为单纯型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组和脏器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损害型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组；其中伴有脏器损害的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患者分为腹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型 </w:t>
      </w:r>
      <w:r>
        <w:rPr>
          <w:sz w:val="20"/>
          <w:szCs w:val="20"/>
          <w:color w:val="231F20"/>
          <w:spacing w:val="-3"/>
        </w:rPr>
        <w:t>HSP </w:t>
      </w:r>
      <w:r>
        <w:rPr>
          <w:color w:val="231F20"/>
          <w:spacing w:val="-3"/>
        </w:rPr>
        <w:t>组、肾型 </w:t>
      </w:r>
      <w:r>
        <w:rPr>
          <w:sz w:val="20"/>
          <w:szCs w:val="20"/>
          <w:color w:val="231F20"/>
          <w:spacing w:val="-3"/>
        </w:rPr>
        <w:t>HSP </w:t>
      </w:r>
      <w:r>
        <w:rPr>
          <w:color w:val="231F20"/>
          <w:spacing w:val="-3"/>
        </w:rPr>
        <w:t>组和混合型（腹型</w:t>
      </w:r>
      <w:r>
        <w:rPr>
          <w:sz w:val="20"/>
          <w:szCs w:val="20"/>
          <w:color w:val="231F20"/>
          <w:spacing w:val="-3"/>
        </w:rPr>
        <w:t>+</w:t>
      </w:r>
      <w:r>
        <w:rPr>
          <w:color w:val="231F20"/>
          <w:spacing w:val="-3"/>
        </w:rPr>
        <w:t>肾型）</w:t>
      </w:r>
      <w:r>
        <w:rPr>
          <w:sz w:val="20"/>
          <w:szCs w:val="20"/>
          <w:color w:val="231F20"/>
          <w:spacing w:val="-3"/>
        </w:rPr>
        <w:t>HSP</w:t>
      </w:r>
      <w:r>
        <w:rPr>
          <w:color w:val="231F20"/>
          <w:spacing w:val="-3"/>
        </w:rPr>
        <w:t>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采用 </w:t>
      </w:r>
      <w:r>
        <w:rPr>
          <w:sz w:val="20"/>
          <w:szCs w:val="20"/>
          <w:color w:val="231F20"/>
          <w:position w:val="-1"/>
        </w:rPr>
        <w:t>Excel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color w:val="231F20"/>
          <w:spacing w:val="11"/>
        </w:rPr>
        <w:t>表记录</w:t>
      </w:r>
      <w:r>
        <w:rPr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患者的性别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、年龄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、临床症状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（皮肤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、关节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、消化系统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、肾脏累及和其他器官受累情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况）、血液学实验室指标及疗效。所有患者均为初次发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病就诊，且未经相关药物治疗，入院后治疗前采集空腹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静脉血进行实验室指标检查，结果包括</w:t>
      </w:r>
      <w:r>
        <w:rPr>
          <w:sz w:val="20"/>
          <w:szCs w:val="20"/>
          <w:color w:val="231F20"/>
        </w:rPr>
        <w:t>WBC</w:t>
      </w:r>
      <w:r>
        <w:rPr>
          <w:color w:val="231F20"/>
          <w:spacing w:val="7"/>
        </w:rPr>
        <w:t>计数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、中性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粒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胞（</w:t>
      </w:r>
      <w:r>
        <w:rPr>
          <w:sz w:val="20"/>
          <w:szCs w:val="20"/>
          <w:color w:val="231F20"/>
          <w:spacing w:val="-13"/>
        </w:rPr>
        <w:t>NEU</w:t>
      </w:r>
      <w:r>
        <w:rPr>
          <w:color w:val="231F20"/>
          <w:spacing w:val="-13"/>
        </w:rPr>
        <w:t>）计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、淋 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胞（</w:t>
      </w:r>
      <w:r>
        <w:rPr>
          <w:sz w:val="20"/>
          <w:szCs w:val="20"/>
          <w:color w:val="231F20"/>
          <w:spacing w:val="-13"/>
        </w:rPr>
        <w:t>LYMP</w:t>
      </w:r>
      <w:r>
        <w:rPr>
          <w:color w:val="231F20"/>
          <w:spacing w:val="-13"/>
        </w:rPr>
        <w:t>）计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NLR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color w:val="231F20"/>
          <w:spacing w:val="-13"/>
        </w:rPr>
        <w:t>比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值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、血小板计数（</w:t>
      </w:r>
      <w:r>
        <w:rPr>
          <w:sz w:val="20"/>
          <w:szCs w:val="20"/>
          <w:color w:val="231F20"/>
          <w:spacing w:val="-6"/>
        </w:rPr>
        <w:t>PLT</w:t>
      </w:r>
      <w:r>
        <w:rPr>
          <w:color w:val="231F20"/>
          <w:spacing w:val="-6"/>
        </w:rPr>
        <w:t>）、血小板与淋巴细胞比值（</w:t>
      </w:r>
      <w:r>
        <w:rPr>
          <w:sz w:val="20"/>
          <w:szCs w:val="20"/>
          <w:color w:val="231F20"/>
          <w:spacing w:val="-6"/>
        </w:rPr>
        <w:t>PLR</w:t>
      </w:r>
      <w:r>
        <w:rPr>
          <w:color w:val="231F20"/>
          <w:spacing w:val="-6"/>
        </w:rPr>
        <w:t>）、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红细胞沉降率（</w:t>
      </w:r>
      <w:r>
        <w:rPr>
          <w:sz w:val="20"/>
          <w:szCs w:val="20"/>
          <w:color w:val="231F20"/>
          <w:spacing w:val="-9"/>
        </w:rPr>
        <w:t>ESR</w:t>
      </w:r>
      <w:r>
        <w:rPr>
          <w:color w:val="231F20"/>
          <w:spacing w:val="-9"/>
        </w:rPr>
        <w:t>）、</w:t>
      </w:r>
      <w:r>
        <w:rPr>
          <w:sz w:val="20"/>
          <w:szCs w:val="20"/>
          <w:color w:val="231F20"/>
          <w:spacing w:val="-9"/>
        </w:rPr>
        <w:t>C </w:t>
      </w:r>
      <w:r>
        <w:rPr>
          <w:color w:val="231F20"/>
          <w:spacing w:val="-9"/>
        </w:rPr>
        <w:t>反应蛋白（</w:t>
      </w:r>
      <w:r>
        <w:rPr>
          <w:sz w:val="20"/>
          <w:szCs w:val="20"/>
          <w:color w:val="231F20"/>
          <w:spacing w:val="-9"/>
        </w:rPr>
        <w:t>CRP</w:t>
      </w:r>
      <w:r>
        <w:rPr>
          <w:color w:val="231F20"/>
          <w:spacing w:val="-10"/>
        </w:rPr>
        <w:t>）、抗链球菌溶血</w:t>
      </w:r>
      <w:r>
        <w:rPr>
          <w:color w:val="231F20"/>
        </w:rPr>
        <w:t xml:space="preserve">  </w:t>
      </w:r>
      <w:r>
        <w:rPr>
          <w:color w:val="231F20"/>
          <w:spacing w:val="-16"/>
          <w:w w:val="97"/>
        </w:rPr>
        <w:t>素（</w:t>
      </w:r>
      <w:r>
        <w:rPr>
          <w:sz w:val="20"/>
          <w:szCs w:val="20"/>
          <w:color w:val="231F20"/>
          <w:spacing w:val="-16"/>
          <w:w w:val="97"/>
        </w:rPr>
        <w:t>ASO</w:t>
      </w:r>
      <w:r>
        <w:rPr>
          <w:color w:val="231F20"/>
          <w:spacing w:val="-16"/>
          <w:w w:val="97"/>
        </w:rPr>
        <w:t>）、</w:t>
      </w:r>
      <w:r>
        <w:rPr>
          <w:sz w:val="20"/>
          <w:szCs w:val="20"/>
          <w:color w:val="231F20"/>
          <w:spacing w:val="-16"/>
          <w:w w:val="97"/>
        </w:rPr>
        <w:t>D-</w:t>
      </w:r>
      <w:r>
        <w:rPr>
          <w:color w:val="231F20"/>
          <w:spacing w:val="-16"/>
          <w:w w:val="97"/>
        </w:rPr>
        <w:t>二聚体（</w:t>
      </w:r>
      <w:r>
        <w:rPr>
          <w:sz w:val="20"/>
          <w:szCs w:val="20"/>
          <w:color w:val="231F20"/>
          <w:spacing w:val="-16"/>
          <w:w w:val="97"/>
        </w:rPr>
        <w:t>D-D</w:t>
      </w:r>
      <w:r>
        <w:rPr>
          <w:color w:val="231F20"/>
          <w:spacing w:val="-16"/>
          <w:w w:val="97"/>
        </w:rPr>
        <w:t>）及纤维蛋白原降解物（</w:t>
      </w:r>
      <w:r>
        <w:rPr>
          <w:sz w:val="20"/>
          <w:szCs w:val="20"/>
          <w:color w:val="231F20"/>
          <w:spacing w:val="-16"/>
          <w:w w:val="97"/>
        </w:rPr>
        <w:t>FDP</w:t>
      </w:r>
      <w:r>
        <w:rPr>
          <w:color w:val="231F20"/>
          <w:spacing w:val="-16"/>
          <w:w w:val="97"/>
        </w:rPr>
        <w:t>）</w:t>
      </w:r>
      <w:r>
        <w:rPr>
          <w:color w:val="231F20"/>
          <w:spacing w:val="-17"/>
          <w:w w:val="97"/>
        </w:rPr>
        <w:t>等。</w:t>
      </w:r>
    </w:p>
    <w:p>
      <w:pPr>
        <w:pStyle w:val="BodyText"/>
        <w:ind w:left="88"/>
        <w:spacing w:before="1" w:line="193" w:lineRule="auto"/>
        <w:rPr/>
      </w:pPr>
      <w:r>
        <w:rPr>
          <w:sz w:val="20"/>
          <w:szCs w:val="20"/>
          <w:color w:val="231F20"/>
          <w:spacing w:val="4"/>
        </w:rPr>
        <w:t>1.3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color w:val="231F20"/>
          <w:spacing w:val="4"/>
        </w:rPr>
        <w:t>统计学方法</w:t>
      </w:r>
    </w:p>
    <w:p>
      <w:pPr>
        <w:pStyle w:val="BodyText"/>
        <w:ind w:left="75" w:right="79" w:firstLine="423"/>
        <w:spacing w:before="6" w:line="201" w:lineRule="auto"/>
        <w:jc w:val="both"/>
        <w:rPr/>
      </w:pPr>
      <w:r>
        <w:pict>
          <v:shape id="_x0000_s4" style="position:absolute;margin-left:111.267pt;margin-top:16.9975pt;mso-position-vertical-relative:text;mso-position-horizontal-relative:text;width:3.7pt;height:0.3pt;z-index:-251658240;" filled="false" strokecolor="#231F20" strokeweight="0.28pt" coordsize="74,6" coordorigin="0,0" path="m0,2l73,2e">
            <v:stroke joinstyle="miter" miterlimit="10"/>
          </v:shape>
        </w:pict>
      </w:r>
      <w:r>
        <w:rPr>
          <w:color w:val="231F20"/>
          <w:spacing w:val="9"/>
        </w:rPr>
        <w:t>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9"/>
        </w:rPr>
        <w:t xml:space="preserve"> 20.0 </w:t>
      </w:r>
      <w:r>
        <w:rPr>
          <w:color w:val="231F20"/>
          <w:spacing w:val="9"/>
        </w:rPr>
        <w:t>统计软件进行数据分析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。符合正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态分布的计量资料采用 </w:t>
      </w:r>
      <w:r>
        <w:rPr>
          <w:sz w:val="20"/>
          <w:szCs w:val="20"/>
          <w:color w:val="231F20"/>
          <w:spacing w:val="10"/>
          <w:position w:val="-1"/>
        </w:rPr>
        <w:t>x</w:t>
      </w:r>
      <w:r>
        <w:rPr>
          <w:sz w:val="20"/>
          <w:szCs w:val="20"/>
          <w:color w:val="231F20"/>
          <w:spacing w:val="10"/>
          <w:position w:val="-1"/>
        </w:rPr>
        <w:t>±s </w:t>
      </w:r>
      <w:r>
        <w:rPr>
          <w:color w:val="231F20"/>
          <w:spacing w:val="10"/>
        </w:rPr>
        <w:t>表示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0"/>
        </w:rPr>
        <w:t>，组间均值比较采用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独立 </w:t>
      </w:r>
      <w:r>
        <w:rPr>
          <w:sz w:val="20"/>
          <w:szCs w:val="20"/>
          <w:color w:val="231F20"/>
          <w:spacing w:val="1"/>
        </w:rPr>
        <w:t>t </w:t>
      </w:r>
      <w:r>
        <w:rPr>
          <w:color w:val="231F20"/>
          <w:spacing w:val="1"/>
        </w:rPr>
        <w:t>检验或方差分析；计数资料用率（</w:t>
      </w:r>
      <w:r>
        <w:rPr>
          <w:sz w:val="20"/>
          <w:szCs w:val="20"/>
          <w:color w:val="231F20"/>
          <w:spacing w:val="1"/>
        </w:rPr>
        <w:t>%</w:t>
      </w:r>
      <w:r>
        <w:rPr>
          <w:color w:val="231F20"/>
          <w:spacing w:val="1"/>
        </w:rPr>
        <w:t>）表示，</w:t>
      </w:r>
      <w:r>
        <w:rPr>
          <w:color w:val="231F20"/>
        </w:rPr>
        <w:t>组间 </w:t>
      </w:r>
      <w:r>
        <w:rPr>
          <w:color w:val="231F20"/>
          <w:spacing w:val="1"/>
        </w:rPr>
        <w:t>比较采用</w:t>
      </w:r>
      <w:r>
        <w:rPr>
          <w:sz w:val="20"/>
          <w:szCs w:val="20"/>
          <w:color w:val="231F20"/>
          <w:spacing w:val="1"/>
        </w:rPr>
        <w:t>χ</w:t>
      </w:r>
      <w:r>
        <w:rPr>
          <w:sz w:val="11"/>
          <w:szCs w:val="11"/>
          <w:color w:val="231F20"/>
          <w:spacing w:val="1"/>
          <w:position w:val="6"/>
        </w:rPr>
        <w:t>2</w:t>
      </w:r>
      <w:r>
        <w:rPr>
          <w:sz w:val="11"/>
          <w:szCs w:val="11"/>
          <w:color w:val="231F20"/>
          <w:spacing w:val="35"/>
          <w:w w:val="101"/>
          <w:position w:val="6"/>
        </w:rPr>
        <w:t xml:space="preserve"> </w:t>
      </w:r>
      <w:r>
        <w:rPr>
          <w:color w:val="231F20"/>
          <w:spacing w:val="1"/>
        </w:rPr>
        <w:t>检验；连续变量的相关性采用 </w:t>
      </w:r>
      <w:r>
        <w:rPr>
          <w:sz w:val="20"/>
          <w:szCs w:val="20"/>
          <w:color w:val="231F20"/>
        </w:rPr>
        <w:t>Pearson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相关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分析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。</w:t>
      </w:r>
      <w:r>
        <w:rPr>
          <w:sz w:val="20"/>
          <w:szCs w:val="20"/>
          <w:color w:val="231F20"/>
          <w:spacing w:val="6"/>
          <w:position w:val="-1"/>
        </w:rPr>
        <w:t>P&lt;0.05 </w:t>
      </w:r>
      <w:r>
        <w:rPr>
          <w:color w:val="231F20"/>
          <w:spacing w:val="6"/>
        </w:rPr>
        <w:t>为差异有统计学意义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。绘制受试者工作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特征（</w:t>
      </w:r>
      <w:r>
        <w:rPr>
          <w:sz w:val="20"/>
          <w:szCs w:val="20"/>
          <w:color w:val="231F20"/>
          <w:spacing w:val="-16"/>
        </w:rPr>
        <w:t>ROC</w:t>
      </w:r>
      <w:r>
        <w:rPr>
          <w:color w:val="231F20"/>
          <w:spacing w:val="-16"/>
        </w:rPr>
        <w:t>）曲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，评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估</w:t>
      </w:r>
      <w:r>
        <w:rPr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NLR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WBC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NEU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CRP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-17"/>
        </w:rPr>
        <w:t>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对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伴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脏器损害的成人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13"/>
        </w:rPr>
        <w:t>患者的临床诊断价值。</w:t>
      </w:r>
    </w:p>
    <w:p>
      <w:pPr>
        <w:pStyle w:val="BodyText"/>
        <w:ind w:left="70"/>
        <w:spacing w:before="108" w:line="185" w:lineRule="auto"/>
        <w:outlineLvl w:val="0"/>
        <w:rPr/>
      </w:pPr>
      <w:r>
        <w:rPr>
          <w:sz w:val="20"/>
          <w:szCs w:val="20"/>
          <w:color w:val="231F20"/>
          <w:spacing w:val="-5"/>
          <w:position w:val="-1"/>
        </w:rPr>
        <w:t>2</w:t>
      </w:r>
      <w:r>
        <w:rPr>
          <w:sz w:val="20"/>
          <w:szCs w:val="20"/>
          <w:color w:val="231F20"/>
          <w:spacing w:val="17"/>
          <w:position w:val="-1"/>
        </w:rPr>
        <w:t xml:space="preserve">   </w:t>
      </w:r>
      <w:r>
        <w:rPr>
          <w:color w:val="231F20"/>
          <w:spacing w:val="-5"/>
        </w:rPr>
        <w:t>结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-5"/>
        </w:rPr>
        <w:t>果</w:t>
      </w:r>
    </w:p>
    <w:p>
      <w:pPr>
        <w:pStyle w:val="BodyText"/>
        <w:ind w:left="75" w:right="79" w:hanging="4"/>
        <w:spacing w:before="120" w:line="205" w:lineRule="auto"/>
        <w:rPr/>
      </w:pPr>
      <w:r>
        <w:rPr>
          <w:sz w:val="20"/>
          <w:szCs w:val="20"/>
          <w:color w:val="231F20"/>
          <w:spacing w:val="9"/>
        </w:rPr>
        <w:t>2.1   </w:t>
      </w:r>
      <w:r>
        <w:rPr>
          <w:color w:val="231F20"/>
          <w:spacing w:val="9"/>
        </w:rPr>
        <w:t>单纯型</w:t>
      </w:r>
      <w:r>
        <w:rPr>
          <w:color w:val="231F20"/>
          <w:spacing w:val="24"/>
        </w:rPr>
        <w:t xml:space="preserve">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组和脏器损害型</w:t>
      </w:r>
      <w:r>
        <w:rPr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组患者一般情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况比较</w:t>
      </w:r>
    </w:p>
    <w:p>
      <w:pPr>
        <w:pStyle w:val="BodyText"/>
        <w:ind w:left="75" w:right="73" w:firstLine="426"/>
        <w:spacing w:before="4" w:line="201" w:lineRule="auto"/>
        <w:jc w:val="both"/>
        <w:rPr/>
      </w:pPr>
      <w:r>
        <w:rPr>
          <w:color w:val="231F20"/>
          <w:spacing w:val="-10"/>
        </w:rPr>
        <w:t>单纯型</w:t>
      </w:r>
      <w:r>
        <w:rPr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HSP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-10"/>
        </w:rPr>
        <w:t>组中男</w:t>
      </w:r>
      <w:r>
        <w:rPr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22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-10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，女</w:t>
      </w:r>
      <w:r>
        <w:rPr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21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-10"/>
        </w:rPr>
        <w:t>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，年龄</w:t>
      </w:r>
      <w:r>
        <w:rPr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18～88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-9"/>
        </w:rPr>
        <w:t>岁，平均（</w:t>
      </w:r>
      <w:r>
        <w:rPr>
          <w:sz w:val="20"/>
          <w:szCs w:val="20"/>
          <w:color w:val="231F20"/>
          <w:spacing w:val="-9"/>
        </w:rPr>
        <w:t>36.37±18.15</w:t>
      </w:r>
      <w:r>
        <w:rPr>
          <w:color w:val="231F20"/>
          <w:spacing w:val="-9"/>
        </w:rPr>
        <w:t>）岁；脏器损害型</w:t>
      </w:r>
      <w:r>
        <w:rPr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HSP </w:t>
      </w:r>
      <w:r>
        <w:rPr>
          <w:color w:val="231F20"/>
          <w:spacing w:val="-9"/>
        </w:rPr>
        <w:t>组中男</w:t>
      </w:r>
      <w:r>
        <w:rPr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32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-17"/>
        </w:rPr>
        <w:t>例，女</w:t>
      </w:r>
      <w:r>
        <w:rPr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7"/>
        </w:rPr>
        <w:t>26 </w:t>
      </w:r>
      <w:r>
        <w:rPr>
          <w:color w:val="231F20"/>
          <w:spacing w:val="-17"/>
        </w:rPr>
        <w:t>例，年龄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7"/>
        </w:rPr>
        <w:t>18～71 </w:t>
      </w:r>
      <w:r>
        <w:rPr>
          <w:color w:val="231F20"/>
          <w:spacing w:val="-17"/>
        </w:rPr>
        <w:t>岁，平均（</w:t>
      </w:r>
      <w:r>
        <w:rPr>
          <w:sz w:val="20"/>
          <w:szCs w:val="20"/>
          <w:color w:val="231F20"/>
          <w:spacing w:val="-17"/>
        </w:rPr>
        <w:t>3</w:t>
      </w:r>
      <w:r>
        <w:rPr>
          <w:sz w:val="20"/>
          <w:szCs w:val="20"/>
          <w:color w:val="231F20"/>
          <w:spacing w:val="-18"/>
        </w:rPr>
        <w:t>8.48±14.73</w:t>
      </w:r>
      <w:r>
        <w:rPr>
          <w:color w:val="231F20"/>
          <w:spacing w:val="-18"/>
        </w:rPr>
        <w:t>）岁。两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组患者年龄比较，差异无统计学意义（</w:t>
      </w:r>
      <w:r>
        <w:rPr>
          <w:sz w:val="20"/>
          <w:szCs w:val="20"/>
          <w:color w:val="231F20"/>
          <w:spacing w:val="-5"/>
        </w:rPr>
        <w:t>P＞0.05</w:t>
      </w:r>
      <w:r>
        <w:rPr>
          <w:color w:val="231F20"/>
          <w:spacing w:val="-5"/>
        </w:rPr>
        <w:t>）。</w:t>
      </w:r>
    </w:p>
    <w:p>
      <w:pPr>
        <w:pStyle w:val="BodyText"/>
        <w:ind w:left="71"/>
        <w:spacing w:before="2" w:line="194" w:lineRule="auto"/>
        <w:rPr/>
      </w:pPr>
      <w:r>
        <w:rPr>
          <w:sz w:val="20"/>
          <w:szCs w:val="20"/>
          <w:color w:val="231F20"/>
          <w:spacing w:val="13"/>
          <w:position w:val="-1"/>
        </w:rPr>
        <w:t>2.2</w:t>
      </w:r>
      <w:r>
        <w:rPr>
          <w:sz w:val="20"/>
          <w:szCs w:val="20"/>
          <w:color w:val="231F20"/>
          <w:spacing w:val="14"/>
          <w:w w:val="101"/>
          <w:position w:val="-1"/>
        </w:rPr>
        <w:t xml:space="preserve">   </w:t>
      </w:r>
      <w:r>
        <w:rPr>
          <w:color w:val="231F20"/>
          <w:spacing w:val="13"/>
        </w:rPr>
        <w:t>两组患者相关血液学指标比较</w:t>
      </w:r>
    </w:p>
    <w:p>
      <w:pPr>
        <w:pStyle w:val="BodyText"/>
        <w:ind w:left="74" w:right="74" w:firstLine="419"/>
        <w:spacing w:line="201" w:lineRule="auto"/>
        <w:jc w:val="both"/>
        <w:rPr>
          <w:sz w:val="20"/>
          <w:szCs w:val="20"/>
        </w:rPr>
      </w:pPr>
      <w:r>
        <w:rPr>
          <w:color w:val="231F20"/>
          <w:spacing w:val="1"/>
        </w:rPr>
        <w:t>本研究结果显示，与单纯型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组比较，脏器损害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型 </w:t>
      </w:r>
      <w:r>
        <w:rPr>
          <w:sz w:val="20"/>
          <w:szCs w:val="20"/>
          <w:color w:val="231F20"/>
          <w:spacing w:val="-16"/>
        </w:rPr>
        <w:t>HSP </w:t>
      </w:r>
      <w:r>
        <w:rPr>
          <w:color w:val="231F20"/>
          <w:spacing w:val="-16"/>
        </w:rPr>
        <w:t>组患者 </w:t>
      </w:r>
      <w:r>
        <w:rPr>
          <w:sz w:val="20"/>
          <w:szCs w:val="20"/>
          <w:color w:val="231F20"/>
          <w:spacing w:val="-16"/>
        </w:rPr>
        <w:t>NLR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NEU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WBC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CRP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ESR</w:t>
      </w:r>
      <w:r>
        <w:rPr>
          <w:color w:val="231F20"/>
          <w:spacing w:val="-16"/>
        </w:rPr>
        <w:t>、</w:t>
      </w:r>
      <w:r>
        <w:rPr>
          <w:sz w:val="20"/>
          <w:szCs w:val="20"/>
          <w:color w:val="231F20"/>
          <w:spacing w:val="-16"/>
        </w:rPr>
        <w:t>FDP </w:t>
      </w:r>
      <w:r>
        <w:rPr>
          <w:color w:val="231F20"/>
          <w:spacing w:val="-16"/>
        </w:rPr>
        <w:t>和 </w:t>
      </w:r>
      <w:r>
        <w:rPr>
          <w:sz w:val="20"/>
          <w:szCs w:val="20"/>
          <w:color w:val="231F20"/>
          <w:spacing w:val="-16"/>
        </w:rPr>
        <w:t>D-D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-2"/>
        </w:rPr>
        <w:t>水平均较高，差异均有统计学意义（</w:t>
      </w:r>
      <w:r>
        <w:rPr>
          <w:sz w:val="20"/>
          <w:szCs w:val="20"/>
          <w:color w:val="231F20"/>
          <w:spacing w:val="-2"/>
        </w:rPr>
        <w:t>P&lt;0.05</w:t>
      </w:r>
      <w:r>
        <w:rPr>
          <w:color w:val="231F20"/>
          <w:spacing w:val="-25"/>
          <w:w w:val="57"/>
        </w:rPr>
        <w:t>）；</w:t>
      </w:r>
      <w:r>
        <w:rPr>
          <w:color w:val="231F20"/>
          <w:spacing w:val="-2"/>
        </w:rPr>
        <w:t>而 </w:t>
      </w:r>
      <w:r>
        <w:rPr>
          <w:sz w:val="20"/>
          <w:szCs w:val="20"/>
          <w:color w:val="231F20"/>
          <w:spacing w:val="-2"/>
        </w:rPr>
        <w:t>2 </w:t>
      </w:r>
      <w:r>
        <w:rPr>
          <w:color w:val="231F20"/>
          <w:spacing w:val="-2"/>
        </w:rPr>
        <w:t>组</w:t>
      </w:r>
      <w:r>
        <w:rPr>
          <w:sz w:val="20"/>
          <w:szCs w:val="20"/>
          <w:color w:val="231F20"/>
          <w:spacing w:val="-2"/>
        </w:rPr>
        <w:t>PLT</w:t>
      </w:r>
    </w:p>
    <w:p>
      <w:pPr>
        <w:spacing w:line="201" w:lineRule="auto"/>
        <w:sectPr>
          <w:type w:val="continuous"/>
          <w:pgSz w:w="12245" w:h="16496"/>
          <w:pgMar w:top="400" w:right="1115" w:bottom="0" w:left="407" w:header="0" w:footer="0" w:gutter="0"/>
          <w:cols w:equalWidth="0" w:num="2">
            <w:col w:w="5702" w:space="100"/>
            <w:col w:w="4920" w:space="0"/>
          </w:cols>
        </w:sectPr>
        <w:rPr>
          <w:sz w:val="20"/>
          <w:szCs w:val="20"/>
        </w:rPr>
      </w:pPr>
    </w:p>
    <w:p>
      <w:pPr>
        <w:spacing w:before="53"/>
        <w:rPr/>
      </w:pPr>
      <w:r/>
    </w:p>
    <w:p>
      <w:pPr>
        <w:sectPr>
          <w:headerReference w:type="default" r:id="rId3"/>
          <w:pgSz w:w="12245" w:h="16496"/>
          <w:pgMar w:top="1513" w:right="732" w:bottom="0" w:left="407" w:header="1190" w:footer="0" w:gutter="0"/>
          <w:cols w:equalWidth="0" w:num="1">
            <w:col w:w="11104" w:space="0"/>
          </w:cols>
        </w:sectPr>
        <w:rPr/>
      </w:pPr>
    </w:p>
    <w:p>
      <w:pPr>
        <w:pStyle w:val="BodyText"/>
        <w:ind w:left="789"/>
        <w:spacing w:before="47" w:line="206" w:lineRule="auto"/>
        <w:rPr/>
      </w:pPr>
      <w:r>
        <w:rPr>
          <w:color w:val="231F20"/>
          <w:spacing w:val="-4"/>
        </w:rPr>
        <w:t>及 </w:t>
      </w:r>
      <w:r>
        <w:rPr>
          <w:sz w:val="20"/>
          <w:szCs w:val="20"/>
          <w:color w:val="231F20"/>
          <w:spacing w:val="-4"/>
        </w:rPr>
        <w:t>PLR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比较，差异均无统计学意义（</w:t>
      </w:r>
      <w:r>
        <w:rPr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4"/>
        </w:rPr>
        <w:t>P＞0.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4"/>
        </w:rPr>
        <w:t>0</w:t>
      </w:r>
      <w:r>
        <w:rPr>
          <w:sz w:val="20"/>
          <w:szCs w:val="20"/>
          <w:color w:val="231F20"/>
          <w:spacing w:val="-5"/>
        </w:rPr>
        <w:t>5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color w:val="231F20"/>
          <w:spacing w:val="-21"/>
          <w:w w:val="61"/>
        </w:rPr>
        <w:t>）（</w:t>
      </w:r>
      <w:r>
        <w:rPr>
          <w:color w:val="231F20"/>
          <w:spacing w:val="-5"/>
        </w:rPr>
        <w:t>表</w:t>
      </w:r>
      <w:r>
        <w:rPr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</w:t>
      </w:r>
      <w:r>
        <w:rPr>
          <w:color w:val="231F20"/>
          <w:spacing w:val="-5"/>
        </w:rPr>
        <w:t>）。</w:t>
      </w:r>
    </w:p>
    <w:p>
      <w:pPr>
        <w:pStyle w:val="BodyText"/>
        <w:ind w:left="792" w:right="276" w:hanging="5"/>
        <w:spacing w:before="1" w:line="211" w:lineRule="auto"/>
        <w:rPr/>
      </w:pPr>
      <w:r>
        <w:rPr>
          <w:sz w:val="20"/>
          <w:szCs w:val="20"/>
          <w:color w:val="231F20"/>
          <w:spacing w:val="-2"/>
        </w:rPr>
        <w:t>2.3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color w:val="231F20"/>
          <w:spacing w:val="-2"/>
        </w:rPr>
        <w:t>腹型 </w:t>
      </w:r>
      <w:r>
        <w:rPr>
          <w:sz w:val="20"/>
          <w:szCs w:val="20"/>
          <w:color w:val="231F20"/>
          <w:spacing w:val="-2"/>
        </w:rPr>
        <w:t>HSP </w:t>
      </w:r>
      <w:r>
        <w:rPr>
          <w:color w:val="231F20"/>
          <w:spacing w:val="-2"/>
        </w:rPr>
        <w:t>组、肾型 </w:t>
      </w:r>
      <w:r>
        <w:rPr>
          <w:sz w:val="20"/>
          <w:szCs w:val="20"/>
          <w:color w:val="231F20"/>
          <w:spacing w:val="-2"/>
        </w:rPr>
        <w:t>HSP </w:t>
      </w:r>
      <w:r>
        <w:rPr>
          <w:color w:val="231F20"/>
          <w:spacing w:val="-2"/>
        </w:rPr>
        <w:t>组和混合型 </w:t>
      </w:r>
      <w:r>
        <w:rPr>
          <w:sz w:val="20"/>
          <w:szCs w:val="20"/>
          <w:color w:val="231F20"/>
          <w:spacing w:val="-2"/>
        </w:rPr>
        <w:t>HSP </w:t>
      </w:r>
      <w:r>
        <w:rPr>
          <w:color w:val="231F20"/>
          <w:spacing w:val="-2"/>
        </w:rPr>
        <w:t>组患者血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液学指标比较</w:t>
      </w:r>
    </w:p>
    <w:p>
      <w:pPr>
        <w:pStyle w:val="BodyText"/>
        <w:ind w:left="790" w:right="275" w:firstLine="431"/>
        <w:spacing w:before="5" w:line="205" w:lineRule="auto"/>
        <w:jc w:val="both"/>
        <w:rPr/>
      </w:pPr>
      <w:r>
        <w:rPr>
          <w:color w:val="231F20"/>
          <w:spacing w:val="24"/>
        </w:rPr>
        <w:t>经方差分析结果显示 </w:t>
      </w:r>
      <w:r>
        <w:rPr>
          <w:sz w:val="20"/>
          <w:szCs w:val="20"/>
          <w:color w:val="231F20"/>
          <w:spacing w:val="24"/>
          <w:position w:val="-1"/>
        </w:rPr>
        <w:t>3 </w:t>
      </w:r>
      <w:r>
        <w:rPr>
          <w:color w:val="231F20"/>
          <w:spacing w:val="24"/>
        </w:rPr>
        <w:t>组患者年龄差异无统计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0"/>
        </w:rPr>
        <w:t>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义（</w:t>
      </w:r>
      <w:r>
        <w:rPr>
          <w:sz w:val="20"/>
          <w:szCs w:val="20"/>
          <w:color w:val="231F20"/>
          <w:spacing w:val="10"/>
        </w:rPr>
        <w:t>P＞0.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0"/>
        </w:rPr>
        <w:t>05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color w:val="231F20"/>
          <w:spacing w:val="-38"/>
          <w:w w:val="85"/>
        </w:rPr>
        <w:t>），</w:t>
      </w:r>
      <w:r>
        <w:rPr>
          <w:color w:val="231F20"/>
          <w:spacing w:val="10"/>
        </w:rPr>
        <w:t>具有可比性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。三组患者血液学指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标比较，结果显示 </w:t>
      </w:r>
      <w:r>
        <w:rPr>
          <w:sz w:val="20"/>
          <w:szCs w:val="20"/>
          <w:color w:val="231F20"/>
          <w:spacing w:val="-7"/>
        </w:rPr>
        <w:t>NLR</w:t>
      </w:r>
      <w:r>
        <w:rPr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NEU</w:t>
      </w:r>
      <w:r>
        <w:rPr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PLT </w:t>
      </w:r>
      <w:r>
        <w:rPr>
          <w:color w:val="231F20"/>
          <w:spacing w:val="-7"/>
        </w:rPr>
        <w:t>及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LR </w:t>
      </w:r>
      <w:r>
        <w:rPr>
          <w:color w:val="231F20"/>
          <w:spacing w:val="-8"/>
        </w:rPr>
        <w:t>等差异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义（</w:t>
      </w:r>
      <w:r>
        <w:rPr>
          <w:sz w:val="20"/>
          <w:szCs w:val="20"/>
          <w:color w:val="231F20"/>
          <w:spacing w:val="-8"/>
        </w:rPr>
        <w:t>P＞0.05</w:t>
      </w:r>
      <w:r>
        <w:rPr>
          <w:color w:val="231F20"/>
          <w:spacing w:val="-8"/>
        </w:rPr>
        <w:t>）。</w:t>
      </w:r>
    </w:p>
    <w:p>
      <w:pPr>
        <w:pStyle w:val="BodyText"/>
        <w:ind w:left="787"/>
        <w:spacing w:before="1" w:line="199" w:lineRule="auto"/>
        <w:rPr/>
      </w:pPr>
      <w:r>
        <w:rPr>
          <w:sz w:val="20"/>
          <w:szCs w:val="20"/>
          <w:color w:val="231F20"/>
          <w:spacing w:val="8"/>
          <w:position w:val="-1"/>
        </w:rPr>
        <w:t>2.4   </w:t>
      </w:r>
      <w:r>
        <w:rPr>
          <w:color w:val="231F20"/>
          <w:spacing w:val="8"/>
        </w:rPr>
        <w:t>血液学指标对成人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合并脏器损害诊断的评价</w:t>
      </w:r>
    </w:p>
    <w:p>
      <w:pPr>
        <w:pStyle w:val="BodyText"/>
        <w:ind w:left="785" w:right="196" w:firstLine="432"/>
        <w:spacing w:before="7" w:line="204" w:lineRule="auto"/>
        <w:jc w:val="both"/>
        <w:rPr/>
      </w:pPr>
      <w:r>
        <w:rPr>
          <w:color w:val="231F20"/>
          <w:spacing w:val="8"/>
        </w:rPr>
        <w:t>采用</w:t>
      </w:r>
      <w:r>
        <w:rPr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position w:val="-1"/>
        </w:rPr>
        <w:t>ROC</w:t>
      </w:r>
      <w:r>
        <w:rPr>
          <w:sz w:val="20"/>
          <w:szCs w:val="20"/>
          <w:color w:val="231F20"/>
          <w:spacing w:val="30"/>
          <w:position w:val="-1"/>
        </w:rPr>
        <w:t xml:space="preserve"> </w:t>
      </w:r>
      <w:r>
        <w:rPr>
          <w:color w:val="231F20"/>
          <w:spacing w:val="8"/>
        </w:rPr>
        <w:t>曲线下面积（</w:t>
      </w:r>
      <w:r>
        <w:rPr>
          <w:sz w:val="20"/>
          <w:szCs w:val="20"/>
          <w:color w:val="231F20"/>
        </w:rPr>
        <w:t>AUC</w:t>
      </w:r>
      <w:r>
        <w:rPr>
          <w:color w:val="231F20"/>
          <w:spacing w:val="8"/>
        </w:rPr>
        <w:t>）评估血液学指标诊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断成人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合并脏器损害的意义，结果示 </w:t>
      </w:r>
      <w:r>
        <w:rPr>
          <w:sz w:val="20"/>
          <w:szCs w:val="20"/>
          <w:color w:val="231F20"/>
          <w:position w:val="-1"/>
        </w:rPr>
        <w:t>NLR</w:t>
      </w:r>
      <w:r>
        <w:rPr>
          <w:color w:val="231F20"/>
          <w:spacing w:val="4"/>
        </w:rPr>
        <w:t>、</w:t>
      </w:r>
      <w:r>
        <w:rPr>
          <w:sz w:val="20"/>
          <w:szCs w:val="20"/>
          <w:color w:val="231F20"/>
          <w:position w:val="-1"/>
        </w:rPr>
        <w:t>NEU</w:t>
      </w:r>
      <w:r>
        <w:rPr>
          <w:color w:val="231F20"/>
          <w:spacing w:val="4"/>
        </w:rPr>
        <w:t>、</w:t>
      </w:r>
      <w:r>
        <w:rPr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WBC</w:t>
      </w:r>
      <w:r>
        <w:rPr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CRP</w:t>
      </w:r>
      <w:r>
        <w:rPr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FDP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-10"/>
        </w:rPr>
        <w:t>和</w:t>
      </w:r>
      <w:r>
        <w:rPr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D-D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color w:val="231F20"/>
          <w:spacing w:val="-10"/>
        </w:rPr>
        <w:t>的 </w:t>
      </w:r>
      <w:r>
        <w:rPr>
          <w:sz w:val="20"/>
          <w:szCs w:val="20"/>
          <w:color w:val="231F20"/>
          <w:spacing w:val="-10"/>
        </w:rPr>
        <w:t>AUC </w:t>
      </w:r>
      <w:r>
        <w:rPr>
          <w:color w:val="231F20"/>
          <w:spacing w:val="-10"/>
        </w:rPr>
        <w:t>均</w:t>
      </w:r>
      <w:r>
        <w:rPr>
          <w:sz w:val="20"/>
          <w:szCs w:val="20"/>
          <w:color w:val="231F20"/>
          <w:spacing w:val="-10"/>
        </w:rPr>
        <w:t>＞0.5</w:t>
      </w:r>
      <w:r>
        <w:rPr>
          <w:color w:val="231F20"/>
          <w:spacing w:val="-10"/>
        </w:rPr>
        <w:t>，差异均有统计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学意义（</w:t>
      </w:r>
      <w:r>
        <w:rPr>
          <w:sz w:val="20"/>
          <w:szCs w:val="20"/>
          <w:color w:val="231F20"/>
          <w:spacing w:val="14"/>
        </w:rPr>
        <w:t>P&lt;0.05</w:t>
      </w:r>
      <w:r>
        <w:rPr>
          <w:color w:val="231F20"/>
          <w:spacing w:val="-26"/>
          <w:w w:val="65"/>
        </w:rPr>
        <w:t>）（</w:t>
      </w:r>
      <w:r>
        <w:rPr>
          <w:color w:val="231F20"/>
          <w:spacing w:val="14"/>
        </w:rPr>
        <w:t>表 </w:t>
      </w:r>
      <w:r>
        <w:rPr>
          <w:sz w:val="20"/>
          <w:szCs w:val="20"/>
          <w:color w:val="231F20"/>
          <w:spacing w:val="14"/>
        </w:rPr>
        <w:t>2</w:t>
      </w:r>
      <w:r>
        <w:rPr>
          <w:color w:val="231F20"/>
          <w:spacing w:val="-26"/>
          <w:w w:val="65"/>
        </w:rPr>
        <w:t>），</w:t>
      </w:r>
      <w:r>
        <w:rPr>
          <w:color w:val="231F20"/>
          <w:spacing w:val="14"/>
        </w:rPr>
        <w:t>提示其对伴脏器损害的成人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患者有一定的临床诊断价值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。</w:t>
      </w:r>
      <w:r>
        <w:rPr>
          <w:sz w:val="20"/>
          <w:szCs w:val="20"/>
          <w:color w:val="231F20"/>
        </w:rPr>
        <w:t>PLT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和 </w:t>
      </w:r>
      <w:r>
        <w:rPr>
          <w:sz w:val="20"/>
          <w:szCs w:val="20"/>
          <w:color w:val="231F20"/>
        </w:rPr>
        <w:t>PLR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color w:val="231F20"/>
          <w:spacing w:val="9"/>
        </w:rPr>
        <w:t>的</w:t>
      </w:r>
      <w:r>
        <w:rPr>
          <w:sz w:val="20"/>
          <w:szCs w:val="20"/>
          <w:color w:val="231F20"/>
        </w:rPr>
        <w:t>AUC  </w:t>
      </w:r>
      <w:r>
        <w:rPr>
          <w:color w:val="231F20"/>
          <w:spacing w:val="8"/>
        </w:rPr>
        <w:t>均</w:t>
      </w:r>
      <w:r>
        <w:rPr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8"/>
        </w:rPr>
        <w:t>&lt;0.5</w:t>
      </w:r>
      <w:r>
        <w:rPr>
          <w:color w:val="231F20"/>
          <w:spacing w:val="8"/>
        </w:rPr>
        <w:t>，且差异均无统计学意义（</w:t>
      </w:r>
      <w:r>
        <w:rPr>
          <w:sz w:val="20"/>
          <w:szCs w:val="20"/>
          <w:color w:val="231F20"/>
          <w:spacing w:val="8"/>
        </w:rPr>
        <w:t>P＞0.</w:t>
      </w:r>
      <w:r>
        <w:rPr>
          <w:sz w:val="20"/>
          <w:szCs w:val="20"/>
          <w:color w:val="231F20"/>
          <w:spacing w:val="7"/>
        </w:rPr>
        <w:t>05</w:t>
      </w:r>
      <w:r>
        <w:rPr>
          <w:color w:val="231F20"/>
          <w:spacing w:val="-31"/>
          <w:w w:val="68"/>
        </w:rPr>
        <w:t>），</w:t>
      </w:r>
      <w:r>
        <w:rPr>
          <w:color w:val="231F20"/>
          <w:spacing w:val="7"/>
        </w:rPr>
        <w:t>提示二者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对伴脏器损害的成人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color w:val="231F20"/>
          <w:spacing w:val="16"/>
        </w:rPr>
        <w:t>患者无临床诊断价值。</w:t>
      </w:r>
    </w:p>
    <w:p>
      <w:pPr>
        <w:pStyle w:val="BodyText"/>
        <w:ind w:left="787"/>
        <w:spacing w:before="1" w:line="200" w:lineRule="auto"/>
        <w:rPr/>
      </w:pPr>
      <w:r>
        <w:rPr>
          <w:sz w:val="20"/>
          <w:szCs w:val="20"/>
          <w:color w:val="231F20"/>
          <w:spacing w:val="12"/>
        </w:rPr>
        <w:t>2.5  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color w:val="231F20"/>
          <w:spacing w:val="12"/>
        </w:rPr>
        <w:t>与其他血液学指标之间的相关性</w:t>
      </w:r>
    </w:p>
    <w:p>
      <w:pPr>
        <w:pStyle w:val="BodyText"/>
        <w:ind w:left="789" w:right="270" w:firstLine="420"/>
        <w:spacing w:before="1" w:line="213" w:lineRule="auto"/>
        <w:jc w:val="both"/>
        <w:rPr/>
      </w:pPr>
      <w:r>
        <w:rPr>
          <w:sz w:val="20"/>
          <w:szCs w:val="20"/>
          <w:color w:val="231F20"/>
        </w:rPr>
        <w:t>Pearson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6"/>
        </w:rPr>
        <w:t>相关分析结果显示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所有成人</w:t>
      </w:r>
      <w:r>
        <w:rPr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6"/>
        </w:rPr>
        <w:t>患者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NLR </w:t>
      </w:r>
      <w:r>
        <w:rPr>
          <w:color w:val="231F20"/>
          <w:spacing w:val="-10"/>
        </w:rPr>
        <w:t>与 </w:t>
      </w:r>
      <w:r>
        <w:rPr>
          <w:sz w:val="20"/>
          <w:szCs w:val="20"/>
          <w:color w:val="231F20"/>
          <w:spacing w:val="-10"/>
        </w:rPr>
        <w:t>WBC </w:t>
      </w:r>
      <w:r>
        <w:rPr>
          <w:color w:val="231F20"/>
          <w:spacing w:val="-10"/>
        </w:rPr>
        <w:t>计数呈正相关（</w:t>
      </w:r>
      <w:r>
        <w:rPr>
          <w:sz w:val="20"/>
          <w:szCs w:val="20"/>
          <w:color w:val="231F20"/>
          <w:spacing w:val="-10"/>
        </w:rPr>
        <w:t>r=0.62</w:t>
      </w:r>
      <w:r>
        <w:rPr>
          <w:color w:val="231F20"/>
          <w:spacing w:val="-10"/>
        </w:rPr>
        <w:t>，</w:t>
      </w:r>
      <w:r>
        <w:rPr>
          <w:sz w:val="20"/>
          <w:szCs w:val="20"/>
          <w:color w:val="231F20"/>
          <w:spacing w:val="-10"/>
        </w:rPr>
        <w:t>P&lt;0.05</w:t>
      </w:r>
      <w:r>
        <w:rPr>
          <w:color w:val="231F20"/>
          <w:spacing w:val="-10"/>
        </w:rPr>
        <w:t>）。 将 </w:t>
      </w:r>
      <w:r>
        <w:rPr>
          <w:sz w:val="20"/>
          <w:szCs w:val="20"/>
          <w:color w:val="231F20"/>
          <w:spacing w:val="-10"/>
        </w:rPr>
        <w:t>WBC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2"/>
        </w:rPr>
        <w:t>与</w:t>
      </w:r>
      <w:r>
        <w:rPr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position w:val="-1"/>
        </w:rPr>
        <w:t>NLR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12"/>
        </w:rPr>
        <w:t>绘制成散点图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可见二者呈线性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正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，且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1671"/>
        <w:spacing w:before="73" w:line="202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表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5"/>
          <w:position w:val="-1"/>
        </w:rPr>
        <w:t>1   </w:t>
      </w:r>
      <w:r>
        <w:rPr>
          <w:sz w:val="16"/>
          <w:szCs w:val="16"/>
          <w:color w:val="231F20"/>
          <w:spacing w:val="5"/>
        </w:rPr>
        <w:t>过敏性紫癜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5"/>
        </w:rPr>
        <w:t>2 </w:t>
      </w:r>
      <w:r>
        <w:rPr>
          <w:sz w:val="16"/>
          <w:szCs w:val="16"/>
          <w:color w:val="231F20"/>
          <w:spacing w:val="5"/>
        </w:rPr>
        <w:t>组成人患者治疗前</w:t>
      </w:r>
    </w:p>
    <w:p>
      <w:pPr>
        <w:pStyle w:val="BodyText"/>
        <w:ind w:left="2154"/>
        <w:spacing w:before="8" w:line="191" w:lineRule="auto"/>
        <w:rPr>
          <w:sz w:val="14"/>
          <w:szCs w:val="14"/>
        </w:rPr>
      </w:pPr>
      <w:r>
        <w:rPr>
          <w:sz w:val="16"/>
          <w:szCs w:val="16"/>
          <w:color w:val="231F20"/>
          <w:spacing w:val="1"/>
        </w:rPr>
        <w:t>血液学指标比较                             </w:t>
      </w:r>
      <w:r>
        <w:rPr>
          <w:sz w:val="16"/>
          <w:szCs w:val="16"/>
          <w:color w:val="231F20"/>
        </w:rPr>
        <w:t xml:space="preserve">     </w:t>
      </w:r>
      <w:r>
        <w:rPr>
          <w:sz w:val="14"/>
          <w:szCs w:val="14"/>
          <w:color w:val="231F20"/>
        </w:rPr>
        <w:t>（</w:t>
      </w:r>
      <w:r>
        <w:rPr>
          <w:sz w:val="15"/>
          <w:szCs w:val="15"/>
          <w:strike/>
          <w:color w:val="231F20"/>
          <w:position w:val="-1"/>
        </w:rPr>
        <w:t>x</w:t>
      </w:r>
      <w:r>
        <w:rPr>
          <w:sz w:val="15"/>
          <w:szCs w:val="15"/>
          <w:color w:val="231F20"/>
          <w:position w:val="-1"/>
        </w:rPr>
        <w:t>±s</w:t>
      </w:r>
      <w:r>
        <w:rPr>
          <w:sz w:val="14"/>
          <w:szCs w:val="14"/>
          <w:color w:val="231F20"/>
          <w:position w:val="-1"/>
        </w:rPr>
        <w:t>）</w:t>
      </w:r>
    </w:p>
    <w:p>
      <w:pPr>
        <w:spacing w:line="42" w:lineRule="exact"/>
        <w:rPr/>
      </w:pPr>
      <w:r/>
    </w:p>
    <w:tbl>
      <w:tblPr>
        <w:tblStyle w:val="TableNormal"/>
        <w:tblW w:w="4669" w:type="dxa"/>
        <w:tblInd w:w="7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4"/>
        <w:gridCol w:w="302"/>
        <w:gridCol w:w="1111"/>
        <w:gridCol w:w="408"/>
        <w:gridCol w:w="1180"/>
        <w:gridCol w:w="564"/>
      </w:tblGrid>
      <w:tr>
        <w:trPr>
          <w:trHeight w:val="268" w:hRule="atLeast"/>
        </w:trPr>
        <w:tc>
          <w:tcPr>
            <w:tcW w:w="11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4"/>
              <w:spacing w:before="19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项目</w:t>
            </w:r>
          </w:p>
        </w:tc>
        <w:tc>
          <w:tcPr>
            <w:tcW w:w="1413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75"/>
              <w:spacing w:before="4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单纯型</w:t>
            </w:r>
          </w:p>
        </w:tc>
        <w:tc>
          <w:tcPr>
            <w:tcW w:w="1588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49"/>
              <w:spacing w:before="49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脏器损害型</w:t>
            </w:r>
          </w:p>
        </w:tc>
        <w:tc>
          <w:tcPr>
            <w:tcW w:w="56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01"/>
              <w:spacing w:before="177" w:line="181" w:lineRule="auto"/>
              <w:rPr>
                <w:sz w:val="14"/>
                <w:szCs w:val="14"/>
              </w:rPr>
            </w:pPr>
            <w:r>
              <w:rPr>
                <w:color w:val="231F20"/>
                <w:spacing w:val="4"/>
              </w:rPr>
              <w:t>P</w:t>
            </w:r>
            <w:r>
              <w:rPr>
                <w:sz w:val="14"/>
                <w:szCs w:val="14"/>
                <w:color w:val="231F20"/>
                <w:spacing w:val="4"/>
              </w:rPr>
              <w:t>值</w:t>
            </w:r>
          </w:p>
        </w:tc>
      </w:tr>
      <w:tr>
        <w:trPr>
          <w:trHeight w:val="200" w:hRule="atLeast"/>
        </w:trPr>
        <w:tc>
          <w:tcPr>
            <w:tcW w:w="110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2"/>
              <w:spacing w:before="55" w:line="135" w:lineRule="exact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11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8"/>
              <w:spacing w:before="27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实验室指标</w:t>
            </w:r>
          </w:p>
        </w:tc>
        <w:tc>
          <w:tcPr>
            <w:tcW w:w="40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76"/>
              <w:spacing w:before="55" w:line="135" w:lineRule="exact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1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9"/>
              <w:spacing w:before="27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实验室指标</w:t>
            </w:r>
          </w:p>
        </w:tc>
        <w:tc>
          <w:tcPr>
            <w:tcW w:w="56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4" w:hRule="atLeast"/>
        </w:trPr>
        <w:tc>
          <w:tcPr>
            <w:tcW w:w="11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"/>
              <w:spacing w:before="97" w:line="157" w:lineRule="exact"/>
              <w:rPr/>
            </w:pPr>
            <w:r>
              <w:rPr>
                <w:color w:val="231F20"/>
                <w:spacing w:val="-2"/>
                <w:position w:val="-3"/>
              </w:rPr>
              <w:t>NLR</w:t>
            </w:r>
          </w:p>
        </w:tc>
        <w:tc>
          <w:tcPr>
            <w:tcW w:w="3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"/>
              <w:spacing w:before="93" w:line="161" w:lineRule="exact"/>
              <w:rPr/>
            </w:pPr>
            <w:r>
              <w:rPr>
                <w:color w:val="231F20"/>
                <w:spacing w:val="-5"/>
                <w:position w:val="-1"/>
              </w:rPr>
              <w:t>43</w:t>
            </w:r>
          </w:p>
        </w:tc>
        <w:tc>
          <w:tcPr>
            <w:tcW w:w="11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5"/>
              <w:spacing w:before="93" w:line="161" w:lineRule="exact"/>
              <w:rPr/>
            </w:pPr>
            <w:r>
              <w:rPr>
                <w:color w:val="231F20"/>
                <w:spacing w:val="-8"/>
                <w:position w:val="-1"/>
              </w:rPr>
              <w:t>4.01±2.71</w:t>
            </w:r>
          </w:p>
        </w:tc>
        <w:tc>
          <w:tcPr>
            <w:tcW w:w="4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9"/>
              <w:spacing w:before="93" w:line="161" w:lineRule="exact"/>
              <w:rPr/>
            </w:pPr>
            <w:r>
              <w:rPr>
                <w:color w:val="231F20"/>
                <w:spacing w:val="-6"/>
                <w:position w:val="-1"/>
              </w:rPr>
              <w:t>58</w:t>
            </w:r>
          </w:p>
        </w:tc>
        <w:tc>
          <w:tcPr>
            <w:tcW w:w="11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9"/>
              <w:spacing w:before="93" w:line="161" w:lineRule="exact"/>
              <w:rPr/>
            </w:pPr>
            <w:r>
              <w:rPr>
                <w:color w:val="231F20"/>
                <w:spacing w:val="-8"/>
                <w:position w:val="-1"/>
              </w:rPr>
              <w:t>6.12±4.58</w:t>
            </w:r>
          </w:p>
        </w:tc>
        <w:tc>
          <w:tcPr>
            <w:tcW w:w="5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9"/>
              <w:spacing w:before="91" w:line="163" w:lineRule="exact"/>
              <w:rPr/>
            </w:pPr>
            <w:r>
              <w:rPr>
                <w:color w:val="231F20"/>
                <w:spacing w:val="-10"/>
                <w:position w:val="-1"/>
              </w:rPr>
              <w:t>&lt;0.05</w:t>
            </w:r>
          </w:p>
        </w:tc>
      </w:tr>
      <w:tr>
        <w:trPr>
          <w:trHeight w:val="255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5"/>
              <w:spacing w:before="62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6"/>
              </w:rPr>
              <w:t>NEU/</w:t>
            </w:r>
            <w:r>
              <w:rPr>
                <w:sz w:val="14"/>
                <w:szCs w:val="14"/>
                <w:color w:val="231F20"/>
                <w:spacing w:val="-6"/>
              </w:rPr>
              <w:t>(</w:t>
            </w:r>
            <w:r>
              <w:rPr>
                <w:color w:val="231F20"/>
                <w:spacing w:val="-6"/>
              </w:rPr>
              <w:t>×10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9</w:t>
            </w:r>
            <w:r>
              <w:rPr>
                <w:color w:val="231F20"/>
                <w:spacing w:val="-6"/>
              </w:rPr>
              <w:t>/L</w:t>
            </w:r>
            <w:r>
              <w:rPr>
                <w:sz w:val="14"/>
                <w:szCs w:val="14"/>
                <w:color w:val="231F20"/>
                <w:spacing w:val="-6"/>
              </w:rPr>
              <w:t>）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ind w:left="50"/>
              <w:spacing w:before="73" w:line="160" w:lineRule="auto"/>
              <w:rPr/>
            </w:pPr>
            <w:r>
              <w:rPr>
                <w:color w:val="231F20"/>
                <w:spacing w:val="-5"/>
              </w:rPr>
              <w:t>43</w:t>
            </w:r>
          </w:p>
        </w:tc>
        <w:tc>
          <w:tcPr>
            <w:tcW w:w="1111" w:type="dxa"/>
            <w:vAlign w:val="top"/>
          </w:tcPr>
          <w:p>
            <w:pPr>
              <w:pStyle w:val="TableText"/>
              <w:ind w:left="259"/>
              <w:spacing w:before="73" w:line="160" w:lineRule="auto"/>
              <w:rPr/>
            </w:pPr>
            <w:r>
              <w:rPr>
                <w:color w:val="231F20"/>
                <w:spacing w:val="-8"/>
              </w:rPr>
              <w:t>6.48±3.54</w:t>
            </w:r>
          </w:p>
        </w:tc>
        <w:tc>
          <w:tcPr>
            <w:tcW w:w="408" w:type="dxa"/>
            <w:vAlign w:val="top"/>
          </w:tcPr>
          <w:p>
            <w:pPr>
              <w:pStyle w:val="TableText"/>
              <w:ind w:left="139"/>
              <w:spacing w:before="73" w:line="160" w:lineRule="auto"/>
              <w:rPr/>
            </w:pPr>
            <w:r>
              <w:rPr>
                <w:color w:val="231F20"/>
                <w:spacing w:val="-6"/>
              </w:rPr>
              <w:t>58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83"/>
              <w:spacing w:before="73" w:line="160" w:lineRule="auto"/>
              <w:rPr/>
            </w:pPr>
            <w:r>
              <w:rPr>
                <w:color w:val="231F20"/>
                <w:spacing w:val="-8"/>
              </w:rPr>
              <w:t>8.96±4.26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49"/>
              <w:spacing w:before="71" w:line="162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</w:tr>
      <w:tr>
        <w:trPr>
          <w:trHeight w:val="247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2"/>
              <w:spacing w:before="51" w:line="173" w:lineRule="auto"/>
              <w:rPr>
                <w:sz w:val="14"/>
                <w:szCs w:val="14"/>
              </w:rPr>
            </w:pPr>
            <w:r>
              <w:rPr>
                <w:color w:val="231F20"/>
                <w:spacing w:val="-8"/>
              </w:rPr>
              <w:t>WBC/</w:t>
            </w:r>
            <w:r>
              <w:rPr>
                <w:sz w:val="14"/>
                <w:szCs w:val="14"/>
                <w:color w:val="231F20"/>
                <w:spacing w:val="-8"/>
              </w:rPr>
              <w:t>(</w:t>
            </w:r>
            <w:r>
              <w:rPr>
                <w:color w:val="231F20"/>
                <w:spacing w:val="-8"/>
              </w:rPr>
              <w:t>×10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9</w:t>
            </w:r>
            <w:r>
              <w:rPr>
                <w:color w:val="231F20"/>
                <w:spacing w:val="-8"/>
                <w:w w:val="98"/>
              </w:rPr>
              <w:t>/L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）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ind w:left="50"/>
              <w:spacing w:before="63" w:line="162" w:lineRule="auto"/>
              <w:rPr/>
            </w:pPr>
            <w:r>
              <w:rPr>
                <w:color w:val="231F20"/>
                <w:spacing w:val="-5"/>
              </w:rPr>
              <w:t>43</w:t>
            </w:r>
          </w:p>
        </w:tc>
        <w:tc>
          <w:tcPr>
            <w:tcW w:w="1111" w:type="dxa"/>
            <w:vAlign w:val="top"/>
          </w:tcPr>
          <w:p>
            <w:pPr>
              <w:pStyle w:val="TableText"/>
              <w:ind w:left="262"/>
              <w:spacing w:before="63" w:line="162" w:lineRule="auto"/>
              <w:rPr/>
            </w:pPr>
            <w:r>
              <w:rPr>
                <w:color w:val="231F20"/>
                <w:spacing w:val="-8"/>
              </w:rPr>
              <w:t>8.91±3.71</w:t>
            </w:r>
          </w:p>
        </w:tc>
        <w:tc>
          <w:tcPr>
            <w:tcW w:w="408" w:type="dxa"/>
            <w:vAlign w:val="top"/>
          </w:tcPr>
          <w:p>
            <w:pPr>
              <w:pStyle w:val="TableText"/>
              <w:ind w:left="139"/>
              <w:spacing w:before="63" w:line="162" w:lineRule="auto"/>
              <w:rPr/>
            </w:pPr>
            <w:r>
              <w:rPr>
                <w:color w:val="231F20"/>
                <w:spacing w:val="-6"/>
              </w:rPr>
              <w:t>58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12"/>
              <w:spacing w:before="63" w:line="162" w:lineRule="auto"/>
              <w:rPr/>
            </w:pPr>
            <w:r>
              <w:rPr>
                <w:color w:val="231F20"/>
                <w:spacing w:val="-9"/>
              </w:rPr>
              <w:t>11.41±4.42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49"/>
              <w:spacing w:before="61" w:line="164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</w:tr>
      <w:tr>
        <w:trPr>
          <w:trHeight w:val="248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6"/>
              <w:spacing w:before="57" w:line="167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CRP/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mg/L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ind w:left="50"/>
              <w:spacing w:before="61" w:line="165" w:lineRule="auto"/>
              <w:rPr/>
            </w:pPr>
            <w:r>
              <w:rPr>
                <w:color w:val="231F20"/>
                <w:spacing w:val="-5"/>
              </w:rPr>
              <w:t>41</w:t>
            </w:r>
          </w:p>
        </w:tc>
        <w:tc>
          <w:tcPr>
            <w:tcW w:w="1111" w:type="dxa"/>
            <w:vAlign w:val="top"/>
          </w:tcPr>
          <w:p>
            <w:pPr>
              <w:pStyle w:val="TableText"/>
              <w:ind w:left="262"/>
              <w:spacing w:before="61" w:line="165" w:lineRule="auto"/>
              <w:rPr/>
            </w:pPr>
            <w:r>
              <w:rPr>
                <w:color w:val="231F20"/>
                <w:spacing w:val="-8"/>
              </w:rPr>
              <w:t>8.40±10.37</w:t>
            </w:r>
          </w:p>
        </w:tc>
        <w:tc>
          <w:tcPr>
            <w:tcW w:w="408" w:type="dxa"/>
            <w:vAlign w:val="top"/>
          </w:tcPr>
          <w:p>
            <w:pPr>
              <w:pStyle w:val="TableText"/>
              <w:ind w:left="139"/>
              <w:spacing w:before="61" w:line="165" w:lineRule="auto"/>
              <w:rPr/>
            </w:pPr>
            <w:r>
              <w:rPr>
                <w:color w:val="231F20"/>
                <w:spacing w:val="-6"/>
              </w:rPr>
              <w:t>52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12"/>
              <w:spacing w:before="61" w:line="165" w:lineRule="auto"/>
              <w:rPr/>
            </w:pPr>
            <w:r>
              <w:rPr>
                <w:color w:val="231F20"/>
                <w:spacing w:val="-9"/>
              </w:rPr>
              <w:t>18.92±22.42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49"/>
              <w:spacing w:before="56" w:line="169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</w:tr>
      <w:tr>
        <w:trPr>
          <w:trHeight w:val="238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4"/>
              <w:spacing w:before="54" w:line="162" w:lineRule="auto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ESR/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mm/1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5"/>
              </w:rPr>
              <w:t>h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ind w:left="55"/>
              <w:spacing w:before="55" w:line="161" w:lineRule="auto"/>
              <w:rPr/>
            </w:pPr>
            <w:r>
              <w:rPr>
                <w:color w:val="231F20"/>
                <w:spacing w:val="-6"/>
              </w:rPr>
              <w:t>36</w:t>
            </w:r>
          </w:p>
        </w:tc>
        <w:tc>
          <w:tcPr>
            <w:tcW w:w="1111" w:type="dxa"/>
            <w:vAlign w:val="top"/>
          </w:tcPr>
          <w:p>
            <w:pPr>
              <w:pStyle w:val="TableText"/>
              <w:ind w:left="191"/>
              <w:spacing w:before="55" w:line="161" w:lineRule="auto"/>
              <w:rPr/>
            </w:pPr>
            <w:r>
              <w:rPr>
                <w:color w:val="231F20"/>
                <w:spacing w:val="-9"/>
              </w:rPr>
              <w:t>10.55±8.32</w:t>
            </w:r>
          </w:p>
        </w:tc>
        <w:tc>
          <w:tcPr>
            <w:tcW w:w="408" w:type="dxa"/>
            <w:vAlign w:val="top"/>
          </w:tcPr>
          <w:p>
            <w:pPr>
              <w:pStyle w:val="TableText"/>
              <w:ind w:left="139"/>
              <w:spacing w:before="55" w:line="161" w:lineRule="auto"/>
              <w:rPr/>
            </w:pPr>
            <w:r>
              <w:rPr>
                <w:color w:val="231F20"/>
                <w:spacing w:val="-6"/>
              </w:rPr>
              <w:t>53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12"/>
              <w:spacing w:before="55" w:line="161" w:lineRule="auto"/>
              <w:rPr/>
            </w:pPr>
            <w:r>
              <w:rPr>
                <w:color w:val="231F20"/>
                <w:spacing w:val="-9"/>
              </w:rPr>
              <w:t>16.56±19.12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49"/>
              <w:spacing w:before="53" w:line="163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</w:tr>
      <w:tr>
        <w:trPr>
          <w:trHeight w:val="249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5"/>
              <w:spacing w:before="59" w:line="167" w:lineRule="auto"/>
              <w:rPr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FDP/</w:t>
            </w:r>
            <w:r>
              <w:rPr>
                <w:sz w:val="14"/>
                <w:szCs w:val="14"/>
                <w:color w:val="231F20"/>
                <w:spacing w:val="-1"/>
              </w:rPr>
              <w:t>(</w:t>
            </w:r>
            <w:r>
              <w:rPr>
                <w:color w:val="231F20"/>
                <w:spacing w:val="-1"/>
              </w:rPr>
              <w:t>μg/L</w:t>
            </w:r>
            <w:r>
              <w:rPr>
                <w:sz w:val="14"/>
                <w:szCs w:val="14"/>
                <w:color w:val="231F20"/>
                <w:spacing w:val="-1"/>
              </w:rPr>
              <w:t>）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ind w:left="53"/>
              <w:spacing w:before="62" w:line="165" w:lineRule="auto"/>
              <w:rPr/>
            </w:pPr>
            <w:r>
              <w:rPr>
                <w:color w:val="231F20"/>
                <w:spacing w:val="-6"/>
              </w:rPr>
              <w:t>26</w:t>
            </w:r>
          </w:p>
        </w:tc>
        <w:tc>
          <w:tcPr>
            <w:tcW w:w="1111" w:type="dxa"/>
            <w:vAlign w:val="top"/>
          </w:tcPr>
          <w:p>
            <w:pPr>
              <w:pStyle w:val="TableText"/>
              <w:ind w:left="271"/>
              <w:spacing w:before="62" w:line="165" w:lineRule="auto"/>
              <w:rPr/>
            </w:pPr>
            <w:r>
              <w:rPr>
                <w:color w:val="231F20"/>
                <w:spacing w:val="-9"/>
              </w:rPr>
              <w:t>1.94±1.67</w:t>
            </w:r>
          </w:p>
        </w:tc>
        <w:tc>
          <w:tcPr>
            <w:tcW w:w="408" w:type="dxa"/>
            <w:vAlign w:val="top"/>
          </w:tcPr>
          <w:p>
            <w:pPr>
              <w:pStyle w:val="TableText"/>
              <w:ind w:left="136"/>
              <w:spacing w:before="62" w:line="165" w:lineRule="auto"/>
              <w:rPr/>
            </w:pPr>
            <w:r>
              <w:rPr>
                <w:color w:val="231F20"/>
                <w:spacing w:val="-5"/>
              </w:rPr>
              <w:t>43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83"/>
              <w:spacing w:before="62" w:line="165" w:lineRule="auto"/>
              <w:rPr/>
            </w:pPr>
            <w:r>
              <w:rPr>
                <w:color w:val="231F20"/>
                <w:spacing w:val="-8"/>
              </w:rPr>
              <w:t>8.87±13.71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49"/>
              <w:spacing w:before="59" w:line="167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</w:tr>
      <w:tr>
        <w:trPr>
          <w:trHeight w:val="240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6"/>
              <w:spacing w:before="56" w:line="162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D-D/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mg/L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ind w:left="53"/>
              <w:spacing w:before="57" w:line="161" w:lineRule="auto"/>
              <w:rPr/>
            </w:pPr>
            <w:r>
              <w:rPr>
                <w:color w:val="231F20"/>
                <w:spacing w:val="-6"/>
              </w:rPr>
              <w:t>26</w:t>
            </w:r>
          </w:p>
        </w:tc>
        <w:tc>
          <w:tcPr>
            <w:tcW w:w="1111" w:type="dxa"/>
            <w:vAlign w:val="top"/>
          </w:tcPr>
          <w:p>
            <w:pPr>
              <w:pStyle w:val="TableText"/>
              <w:ind w:left="257"/>
              <w:spacing w:before="57" w:line="161" w:lineRule="auto"/>
              <w:rPr/>
            </w:pPr>
            <w:r>
              <w:rPr>
                <w:color w:val="231F20"/>
                <w:spacing w:val="-8"/>
              </w:rPr>
              <w:t>0.52±0.67</w:t>
            </w:r>
          </w:p>
        </w:tc>
        <w:tc>
          <w:tcPr>
            <w:tcW w:w="408" w:type="dxa"/>
            <w:vAlign w:val="top"/>
          </w:tcPr>
          <w:p>
            <w:pPr>
              <w:pStyle w:val="TableText"/>
              <w:ind w:left="136"/>
              <w:spacing w:before="57" w:line="161" w:lineRule="auto"/>
              <w:rPr/>
            </w:pPr>
            <w:r>
              <w:rPr>
                <w:color w:val="231F20"/>
                <w:spacing w:val="-5"/>
              </w:rPr>
              <w:t>43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279"/>
              <w:spacing w:before="57" w:line="161" w:lineRule="auto"/>
              <w:rPr/>
            </w:pPr>
            <w:r>
              <w:rPr>
                <w:color w:val="231F20"/>
                <w:spacing w:val="-8"/>
              </w:rPr>
              <w:t>2.51±4.20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49"/>
              <w:spacing w:before="55" w:line="163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</w:tr>
      <w:tr>
        <w:trPr>
          <w:trHeight w:val="243" w:hRule="atLeast"/>
        </w:trPr>
        <w:tc>
          <w:tcPr>
            <w:tcW w:w="1104" w:type="dxa"/>
            <w:vAlign w:val="top"/>
          </w:tcPr>
          <w:p>
            <w:pPr>
              <w:pStyle w:val="TableText"/>
              <w:ind w:left="3"/>
              <w:spacing w:before="50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5"/>
              </w:rPr>
              <w:t>PLT/</w:t>
            </w:r>
            <w:r>
              <w:rPr>
                <w:sz w:val="14"/>
                <w:szCs w:val="14"/>
                <w:color w:val="231F20"/>
                <w:spacing w:val="-5"/>
              </w:rPr>
              <w:t>(</w:t>
            </w:r>
            <w:r>
              <w:rPr>
                <w:color w:val="231F20"/>
                <w:spacing w:val="-5"/>
              </w:rPr>
              <w:t>×10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9</w:t>
            </w:r>
            <w:r>
              <w:rPr>
                <w:color w:val="231F20"/>
                <w:spacing w:val="-7"/>
                <w:w w:val="97"/>
              </w:rPr>
              <w:t>/L</w:t>
            </w:r>
            <w:r>
              <w:rPr>
                <w:sz w:val="14"/>
                <w:szCs w:val="14"/>
                <w:color w:val="231F20"/>
                <w:spacing w:val="-7"/>
                <w:w w:val="97"/>
              </w:rPr>
              <w:t>）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ind w:left="50"/>
              <w:spacing w:before="61" w:line="160" w:lineRule="auto"/>
              <w:rPr/>
            </w:pPr>
            <w:r>
              <w:rPr>
                <w:color w:val="231F20"/>
                <w:spacing w:val="-5"/>
              </w:rPr>
              <w:t>43</w:t>
            </w:r>
          </w:p>
        </w:tc>
        <w:tc>
          <w:tcPr>
            <w:tcW w:w="1111" w:type="dxa"/>
            <w:vAlign w:val="top"/>
          </w:tcPr>
          <w:p>
            <w:pPr>
              <w:pStyle w:val="TableText"/>
              <w:ind w:left="99"/>
              <w:spacing w:before="61" w:line="160" w:lineRule="auto"/>
              <w:rPr/>
            </w:pPr>
            <w:r>
              <w:rPr>
                <w:color w:val="231F20"/>
                <w:spacing w:val="-8"/>
              </w:rPr>
              <w:t>222.39±68.01</w:t>
            </w:r>
          </w:p>
        </w:tc>
        <w:tc>
          <w:tcPr>
            <w:tcW w:w="408" w:type="dxa"/>
            <w:vAlign w:val="top"/>
          </w:tcPr>
          <w:p>
            <w:pPr>
              <w:pStyle w:val="TableText"/>
              <w:ind w:left="139"/>
              <w:spacing w:before="61" w:line="160" w:lineRule="auto"/>
              <w:rPr/>
            </w:pPr>
            <w:r>
              <w:rPr>
                <w:color w:val="231F20"/>
                <w:spacing w:val="-6"/>
              </w:rPr>
              <w:t>58</w:t>
            </w:r>
          </w:p>
        </w:tc>
        <w:tc>
          <w:tcPr>
            <w:tcW w:w="1180" w:type="dxa"/>
            <w:vAlign w:val="top"/>
          </w:tcPr>
          <w:p>
            <w:pPr>
              <w:pStyle w:val="TableText"/>
              <w:ind w:left="120"/>
              <w:spacing w:before="61" w:line="160" w:lineRule="auto"/>
              <w:rPr/>
            </w:pPr>
            <w:r>
              <w:rPr>
                <w:color w:val="231F20"/>
                <w:spacing w:val="-8"/>
              </w:rPr>
              <w:t>251.34±86.07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149"/>
              <w:spacing w:before="60" w:line="161" w:lineRule="auto"/>
              <w:rPr/>
            </w:pPr>
            <w:r>
              <w:rPr>
                <w:color w:val="231F20"/>
                <w:spacing w:val="-10"/>
              </w:rPr>
              <w:t>&gt;0.05</w:t>
            </w:r>
          </w:p>
        </w:tc>
      </w:tr>
      <w:tr>
        <w:trPr>
          <w:trHeight w:val="258" w:hRule="atLeast"/>
        </w:trPr>
        <w:tc>
          <w:tcPr>
            <w:tcW w:w="11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"/>
              <w:spacing w:before="68" w:line="165" w:lineRule="auto"/>
              <w:rPr/>
            </w:pPr>
            <w:r>
              <w:rPr>
                <w:color w:val="231F20"/>
                <w:spacing w:val="3"/>
              </w:rPr>
              <w:t>PLR</w:t>
            </w:r>
          </w:p>
        </w:tc>
        <w:tc>
          <w:tcPr>
            <w:tcW w:w="3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"/>
              <w:spacing w:before="63" w:line="172" w:lineRule="auto"/>
              <w:rPr/>
            </w:pPr>
            <w:r>
              <w:rPr>
                <w:color w:val="231F20"/>
                <w:spacing w:val="-5"/>
              </w:rPr>
              <w:t>43</w:t>
            </w:r>
          </w:p>
        </w:tc>
        <w:tc>
          <w:tcPr>
            <w:tcW w:w="11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2"/>
              <w:spacing w:before="63" w:line="172" w:lineRule="auto"/>
              <w:rPr/>
            </w:pPr>
            <w:r>
              <w:rPr>
                <w:color w:val="231F20"/>
                <w:spacing w:val="-9"/>
              </w:rPr>
              <w:t>136.74±70.67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9"/>
              <w:spacing w:before="63" w:line="172" w:lineRule="auto"/>
              <w:rPr/>
            </w:pPr>
            <w:r>
              <w:rPr>
                <w:color w:val="231F20"/>
                <w:spacing w:val="-6"/>
              </w:rPr>
              <w:t>58</w:t>
            </w:r>
          </w:p>
        </w:tc>
        <w:tc>
          <w:tcPr>
            <w:tcW w:w="11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2"/>
              <w:spacing w:before="63" w:line="172" w:lineRule="auto"/>
              <w:rPr/>
            </w:pPr>
            <w:r>
              <w:rPr>
                <w:color w:val="231F20"/>
                <w:spacing w:val="-9"/>
              </w:rPr>
              <w:t>163.13±87.46</w:t>
            </w:r>
          </w:p>
        </w:tc>
        <w:tc>
          <w:tcPr>
            <w:tcW w:w="5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9"/>
              <w:spacing w:before="61" w:line="174" w:lineRule="auto"/>
              <w:rPr/>
            </w:pPr>
            <w:r>
              <w:rPr>
                <w:color w:val="231F20"/>
                <w:spacing w:val="-10"/>
              </w:rPr>
              <w:t>&gt;0.05</w:t>
            </w:r>
          </w:p>
        </w:tc>
      </w:tr>
    </w:tbl>
    <w:p>
      <w:pPr>
        <w:pStyle w:val="BodyText"/>
        <w:ind w:left="788" w:right="434" w:firstLine="146"/>
        <w:spacing w:before="92" w:line="216" w:lineRule="auto"/>
        <w:jc w:val="both"/>
        <w:rPr>
          <w:sz w:val="13"/>
          <w:szCs w:val="13"/>
        </w:rPr>
      </w:pPr>
      <w:r>
        <w:rPr>
          <w:sz w:val="13"/>
          <w:szCs w:val="13"/>
          <w:color w:val="231F20"/>
        </w:rPr>
        <w:t>注：NLR（中性粒细胞与淋巴细胞比率</w:t>
      </w:r>
      <w:r>
        <w:rPr>
          <w:sz w:val="13"/>
          <w:szCs w:val="13"/>
          <w:color w:val="231F20"/>
          <w:spacing w:val="-22"/>
          <w:w w:val="71"/>
        </w:rPr>
        <w:t>）；</w:t>
      </w:r>
      <w:r>
        <w:rPr>
          <w:sz w:val="13"/>
          <w:szCs w:val="13"/>
          <w:color w:val="231F20"/>
        </w:rPr>
        <w:t>NEU（中性粒细胞</w:t>
      </w:r>
      <w:r>
        <w:rPr>
          <w:sz w:val="13"/>
          <w:szCs w:val="13"/>
          <w:color w:val="231F20"/>
          <w:spacing w:val="-22"/>
          <w:w w:val="71"/>
        </w:rPr>
        <w:t>）；</w:t>
      </w:r>
      <w:r>
        <w:rPr>
          <w:sz w:val="13"/>
          <w:szCs w:val="13"/>
          <w:color w:val="231F20"/>
        </w:rPr>
        <w:t>WBC（白细胞</w:t>
      </w:r>
      <w:r>
        <w:rPr>
          <w:sz w:val="13"/>
          <w:szCs w:val="13"/>
          <w:color w:val="231F20"/>
          <w:spacing w:val="-22"/>
          <w:w w:val="71"/>
        </w:rPr>
        <w:t>）；</w:t>
      </w:r>
      <w:r>
        <w:rPr>
          <w:sz w:val="13"/>
          <w:szCs w:val="13"/>
          <w:color w:val="231F20"/>
          <w:spacing w:val="4"/>
        </w:rPr>
        <w:t xml:space="preserve"> </w:t>
      </w:r>
      <w:r>
        <w:rPr>
          <w:sz w:val="13"/>
          <w:szCs w:val="13"/>
          <w:color w:val="231F20"/>
        </w:rPr>
        <w:t>CRP</w:t>
      </w:r>
      <w:r>
        <w:rPr>
          <w:sz w:val="13"/>
          <w:szCs w:val="13"/>
          <w:color w:val="231F20"/>
          <w:spacing w:val="4"/>
        </w:rPr>
        <w:t>（C 反应蛋白</w:t>
      </w:r>
      <w:r>
        <w:rPr>
          <w:sz w:val="13"/>
          <w:szCs w:val="13"/>
          <w:color w:val="231F20"/>
          <w:spacing w:val="-19"/>
          <w:w w:val="63"/>
        </w:rPr>
        <w:t>）；</w:t>
      </w:r>
      <w:r>
        <w:rPr>
          <w:sz w:val="13"/>
          <w:szCs w:val="13"/>
          <w:color w:val="231F20"/>
        </w:rPr>
        <w:t>ESR</w:t>
      </w:r>
      <w:r>
        <w:rPr>
          <w:sz w:val="13"/>
          <w:szCs w:val="13"/>
          <w:color w:val="231F20"/>
          <w:spacing w:val="4"/>
        </w:rPr>
        <w:t>（红细胞沉降率</w:t>
      </w:r>
      <w:r>
        <w:rPr>
          <w:sz w:val="13"/>
          <w:szCs w:val="13"/>
          <w:color w:val="231F20"/>
          <w:spacing w:val="-19"/>
          <w:w w:val="63"/>
        </w:rPr>
        <w:t>）；</w:t>
      </w:r>
      <w:r>
        <w:rPr>
          <w:sz w:val="13"/>
          <w:szCs w:val="13"/>
          <w:color w:val="231F20"/>
        </w:rPr>
        <w:t>FDP</w:t>
      </w:r>
      <w:r>
        <w:rPr>
          <w:sz w:val="13"/>
          <w:szCs w:val="13"/>
          <w:color w:val="231F20"/>
          <w:spacing w:val="4"/>
        </w:rPr>
        <w:t>（纤维蛋白</w:t>
      </w:r>
      <w:r>
        <w:rPr>
          <w:sz w:val="13"/>
          <w:szCs w:val="13"/>
          <w:color w:val="231F20"/>
          <w:spacing w:val="3"/>
        </w:rPr>
        <w:t>原降解物</w:t>
      </w:r>
      <w:r>
        <w:rPr>
          <w:sz w:val="13"/>
          <w:szCs w:val="13"/>
          <w:color w:val="231F20"/>
          <w:spacing w:val="-19"/>
          <w:w w:val="63"/>
        </w:rPr>
        <w:t>）；</w:t>
      </w:r>
      <w:r>
        <w:rPr>
          <w:sz w:val="13"/>
          <w:szCs w:val="13"/>
          <w:color w:val="231F20"/>
          <w:spacing w:val="3"/>
        </w:rPr>
        <w:t>D-D（D-</w:t>
      </w:r>
      <w:r>
        <w:rPr>
          <w:sz w:val="13"/>
          <w:szCs w:val="13"/>
          <w:color w:val="231F20"/>
          <w:spacing w:val="2"/>
        </w:rPr>
        <w:t xml:space="preserve">  </w:t>
      </w:r>
      <w:r>
        <w:rPr>
          <w:sz w:val="13"/>
          <w:szCs w:val="13"/>
          <w:color w:val="231F20"/>
          <w:spacing w:val="-2"/>
        </w:rPr>
        <w:t>二聚体</w:t>
      </w:r>
      <w:r>
        <w:rPr>
          <w:sz w:val="13"/>
          <w:szCs w:val="13"/>
          <w:color w:val="231F20"/>
          <w:spacing w:val="-19"/>
          <w:w w:val="61"/>
        </w:rPr>
        <w:t>）；</w:t>
      </w:r>
      <w:r>
        <w:rPr>
          <w:sz w:val="13"/>
          <w:szCs w:val="13"/>
          <w:color w:val="231F20"/>
          <w:spacing w:val="-2"/>
        </w:rPr>
        <w:t>PLT（血小板计数</w:t>
      </w:r>
      <w:r>
        <w:rPr>
          <w:sz w:val="13"/>
          <w:szCs w:val="13"/>
          <w:color w:val="231F20"/>
          <w:spacing w:val="-19"/>
          <w:w w:val="61"/>
        </w:rPr>
        <w:t>）；</w:t>
      </w:r>
      <w:r>
        <w:rPr>
          <w:sz w:val="13"/>
          <w:szCs w:val="13"/>
          <w:color w:val="231F20"/>
          <w:spacing w:val="-2"/>
        </w:rPr>
        <w:t>PLR（血小板与淋巴细胞比值）。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552"/>
        <w:spacing w:before="73" w:line="183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14"/>
        </w:rPr>
        <w:t>表 </w:t>
      </w:r>
      <w:r>
        <w:rPr>
          <w:sz w:val="17"/>
          <w:szCs w:val="17"/>
          <w:color w:val="231F20"/>
          <w:spacing w:val="14"/>
          <w:position w:val="-1"/>
        </w:rPr>
        <w:t>2</w:t>
      </w:r>
      <w:r>
        <w:rPr>
          <w:sz w:val="17"/>
          <w:szCs w:val="17"/>
          <w:color w:val="231F20"/>
          <w:spacing w:val="15"/>
          <w:w w:val="101"/>
          <w:position w:val="-1"/>
        </w:rPr>
        <w:t xml:space="preserve">   </w:t>
      </w:r>
      <w:r>
        <w:rPr>
          <w:sz w:val="16"/>
          <w:szCs w:val="16"/>
          <w:color w:val="231F20"/>
          <w:spacing w:val="14"/>
        </w:rPr>
        <w:t>血液学指标对成人过敏性紫癜合并</w:t>
      </w:r>
    </w:p>
    <w:p>
      <w:pPr>
        <w:pStyle w:val="BodyText"/>
        <w:ind w:left="2050"/>
        <w:spacing w:before="25" w:line="18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6"/>
        </w:rPr>
        <w:t>脏器损害患者的诊断评价</w:t>
      </w:r>
    </w:p>
    <w:p>
      <w:pPr>
        <w:spacing w:line="90" w:lineRule="exact"/>
        <w:rPr/>
      </w:pPr>
      <w:r/>
    </w:p>
    <w:tbl>
      <w:tblPr>
        <w:tblStyle w:val="TableNormal"/>
        <w:tblW w:w="4699" w:type="dxa"/>
        <w:tblInd w:w="7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5"/>
        <w:gridCol w:w="851"/>
        <w:gridCol w:w="954"/>
        <w:gridCol w:w="1065"/>
        <w:gridCol w:w="623"/>
        <w:gridCol w:w="631"/>
      </w:tblGrid>
      <w:tr>
        <w:trPr>
          <w:trHeight w:val="266" w:hRule="atLeast"/>
        </w:trPr>
        <w:tc>
          <w:tcPr>
            <w:tcW w:w="57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9"/>
              <w:spacing w:before="184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项目</w:t>
            </w:r>
          </w:p>
        </w:tc>
        <w:tc>
          <w:tcPr>
            <w:tcW w:w="851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68"/>
              <w:spacing w:before="211" w:line="166" w:lineRule="auto"/>
              <w:rPr/>
            </w:pPr>
            <w:r>
              <w:rPr>
                <w:color w:val="231F20"/>
                <w:spacing w:val="-4"/>
              </w:rPr>
              <w:t>AUC</w:t>
            </w:r>
          </w:p>
        </w:tc>
        <w:tc>
          <w:tcPr>
            <w:tcW w:w="95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54"/>
              <w:spacing w:before="176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临界值</w:t>
            </w:r>
          </w:p>
        </w:tc>
        <w:tc>
          <w:tcPr>
            <w:tcW w:w="106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93"/>
              <w:spacing w:before="184" w:line="181" w:lineRule="auto"/>
              <w:rPr>
                <w:sz w:val="14"/>
                <w:szCs w:val="14"/>
              </w:rPr>
            </w:pPr>
            <w:r>
              <w:rPr>
                <w:color w:val="231F20"/>
                <w:spacing w:val="4"/>
              </w:rPr>
              <w:t>P</w:t>
            </w:r>
            <w:r>
              <w:rPr>
                <w:sz w:val="14"/>
                <w:szCs w:val="14"/>
                <w:color w:val="231F20"/>
                <w:spacing w:val="4"/>
              </w:rPr>
              <w:t>值</w:t>
            </w:r>
          </w:p>
        </w:tc>
        <w:tc>
          <w:tcPr>
            <w:tcW w:w="1254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8"/>
              <w:spacing w:before="95" w:line="161" w:lineRule="exact"/>
              <w:rPr/>
            </w:pPr>
            <w:r>
              <w:rPr>
                <w:color w:val="231F20"/>
                <w:spacing w:val="-2"/>
                <w:position w:val="-1"/>
              </w:rPr>
              <w:t>95%CI</w:t>
            </w:r>
          </w:p>
        </w:tc>
      </w:tr>
      <w:tr>
        <w:trPr>
          <w:trHeight w:val="218" w:hRule="atLeast"/>
        </w:trPr>
        <w:tc>
          <w:tcPr>
            <w:tcW w:w="57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"/>
              <w:spacing w:before="26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下限</w:t>
            </w:r>
          </w:p>
        </w:tc>
        <w:tc>
          <w:tcPr>
            <w:tcW w:w="63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53"/>
              <w:spacing w:before="35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上限</w:t>
            </w:r>
          </w:p>
        </w:tc>
      </w:tr>
      <w:tr>
        <w:trPr>
          <w:trHeight w:val="254" w:hRule="atLeast"/>
        </w:trPr>
        <w:tc>
          <w:tcPr>
            <w:tcW w:w="5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"/>
              <w:spacing w:before="77" w:line="166" w:lineRule="exact"/>
              <w:rPr/>
            </w:pPr>
            <w:r>
              <w:rPr>
                <w:color w:val="231F20"/>
                <w:spacing w:val="-2"/>
                <w:position w:val="-3"/>
              </w:rPr>
              <w:t>NLR</w:t>
            </w:r>
          </w:p>
        </w:tc>
        <w:tc>
          <w:tcPr>
            <w:tcW w:w="8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9"/>
              <w:spacing w:before="73" w:line="159" w:lineRule="auto"/>
              <w:rPr/>
            </w:pPr>
            <w:r>
              <w:rPr>
                <w:color w:val="231F20"/>
                <w:spacing w:val="-6"/>
              </w:rPr>
              <w:t>0.654</w:t>
            </w:r>
          </w:p>
        </w:tc>
        <w:tc>
          <w:tcPr>
            <w:tcW w:w="9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3"/>
              <w:spacing w:before="80" w:line="163" w:lineRule="exact"/>
              <w:rPr/>
            </w:pPr>
            <w:r>
              <w:rPr>
                <w:color w:val="231F20"/>
                <w:spacing w:val="-5"/>
                <w:position w:val="-1"/>
              </w:rPr>
              <w:t>2.35</w:t>
            </w:r>
          </w:p>
        </w:tc>
        <w:tc>
          <w:tcPr>
            <w:tcW w:w="10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0"/>
              <w:spacing w:before="80" w:line="163" w:lineRule="exact"/>
              <w:rPr/>
            </w:pPr>
            <w:r>
              <w:rPr>
                <w:color w:val="231F20"/>
                <w:spacing w:val="-6"/>
                <w:position w:val="-1"/>
              </w:rPr>
              <w:t>0.009</w:t>
            </w:r>
          </w:p>
        </w:tc>
        <w:tc>
          <w:tcPr>
            <w:tcW w:w="6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"/>
              <w:spacing w:before="80" w:line="163" w:lineRule="exact"/>
              <w:rPr/>
            </w:pPr>
            <w:r>
              <w:rPr>
                <w:color w:val="231F20"/>
                <w:spacing w:val="-6"/>
                <w:position w:val="-1"/>
              </w:rPr>
              <w:t>0.546</w:t>
            </w:r>
          </w:p>
        </w:tc>
        <w:tc>
          <w:tcPr>
            <w:tcW w:w="6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22"/>
              <w:spacing w:before="80" w:line="163" w:lineRule="exact"/>
              <w:jc w:val="right"/>
              <w:rPr/>
            </w:pPr>
            <w:r>
              <w:rPr>
                <w:color w:val="231F20"/>
                <w:spacing w:val="-6"/>
                <w:position w:val="-1"/>
              </w:rPr>
              <w:t>0.761</w:t>
            </w:r>
          </w:p>
        </w:tc>
      </w:tr>
      <w:tr>
        <w:trPr>
          <w:trHeight w:val="243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7"/>
              <w:spacing w:before="68" w:line="164" w:lineRule="exact"/>
              <w:rPr/>
            </w:pPr>
            <w:r>
              <w:rPr>
                <w:color w:val="231F20"/>
                <w:spacing w:val="-3"/>
                <w:position w:val="2"/>
              </w:rPr>
              <w:t>NEU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49"/>
              <w:spacing w:before="63" w:line="158" w:lineRule="auto"/>
              <w:rPr/>
            </w:pPr>
            <w:r>
              <w:rPr>
                <w:color w:val="231F20"/>
                <w:spacing w:val="-6"/>
              </w:rPr>
              <w:t>0.696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43"/>
              <w:spacing w:before="71" w:line="161" w:lineRule="exact"/>
              <w:rPr/>
            </w:pPr>
            <w:r>
              <w:rPr>
                <w:color w:val="231F20"/>
                <w:spacing w:val="-5"/>
                <w:position w:val="-1"/>
              </w:rPr>
              <w:t>5.95</w:t>
            </w:r>
          </w:p>
        </w:tc>
        <w:tc>
          <w:tcPr>
            <w:tcW w:w="1065" w:type="dxa"/>
            <w:vAlign w:val="top"/>
          </w:tcPr>
          <w:p>
            <w:pPr>
              <w:pStyle w:val="TableText"/>
              <w:ind w:left="250"/>
              <w:spacing w:before="71" w:line="161" w:lineRule="exact"/>
              <w:rPr/>
            </w:pPr>
            <w:r>
              <w:rPr>
                <w:color w:val="231F20"/>
                <w:spacing w:val="-6"/>
                <w:position w:val="-1"/>
              </w:rPr>
              <w:t>0.001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8"/>
              <w:spacing w:before="71" w:line="161" w:lineRule="exact"/>
              <w:rPr/>
            </w:pPr>
            <w:r>
              <w:rPr>
                <w:color w:val="231F20"/>
                <w:spacing w:val="-6"/>
                <w:position w:val="-1"/>
              </w:rPr>
              <w:t>0.591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right="22"/>
              <w:spacing w:before="71" w:line="161" w:lineRule="exact"/>
              <w:jc w:val="right"/>
              <w:rPr/>
            </w:pPr>
            <w:r>
              <w:rPr>
                <w:color w:val="231F20"/>
                <w:spacing w:val="-6"/>
                <w:position w:val="-1"/>
              </w:rPr>
              <w:t>0.802</w:t>
            </w:r>
          </w:p>
        </w:tc>
      </w:tr>
      <w:tr>
        <w:trPr>
          <w:trHeight w:val="242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4"/>
              <w:spacing w:before="67" w:line="164" w:lineRule="exact"/>
              <w:rPr/>
            </w:pPr>
            <w:r>
              <w:rPr>
                <w:color w:val="231F20"/>
                <w:spacing w:val="-5"/>
                <w:position w:val="-3"/>
              </w:rPr>
              <w:t>WBC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49"/>
              <w:spacing w:before="65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0.681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42"/>
              <w:spacing w:before="72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9.45</w:t>
            </w:r>
          </w:p>
        </w:tc>
        <w:tc>
          <w:tcPr>
            <w:tcW w:w="1065" w:type="dxa"/>
            <w:vAlign w:val="top"/>
          </w:tcPr>
          <w:p>
            <w:pPr>
              <w:pStyle w:val="TableText"/>
              <w:ind w:left="250"/>
              <w:spacing w:before="72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0.002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8"/>
              <w:spacing w:before="72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0.575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right="22"/>
              <w:spacing w:before="72" w:line="159" w:lineRule="exact"/>
              <w:jc w:val="right"/>
              <w:rPr/>
            </w:pPr>
            <w:r>
              <w:rPr>
                <w:color w:val="231F20"/>
                <w:spacing w:val="-6"/>
                <w:position w:val="-1"/>
              </w:rPr>
              <w:t>0.788</w:t>
            </w:r>
          </w:p>
        </w:tc>
      </w:tr>
      <w:tr>
        <w:trPr>
          <w:trHeight w:val="243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"/>
              <w:spacing w:before="68" w:line="165" w:lineRule="exact"/>
              <w:rPr/>
            </w:pPr>
            <w:r>
              <w:rPr>
                <w:color w:val="231F20"/>
                <w:spacing w:val="-1"/>
                <w:position w:val="-3"/>
              </w:rPr>
              <w:t>CRP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49"/>
              <w:spacing w:before="65" w:line="168" w:lineRule="exact"/>
              <w:rPr/>
            </w:pPr>
            <w:r>
              <w:rPr>
                <w:color w:val="231F20"/>
                <w:spacing w:val="-6"/>
                <w:position w:val="-1"/>
              </w:rPr>
              <w:t>0.641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43"/>
              <w:spacing w:before="73" w:line="160" w:lineRule="exact"/>
              <w:rPr/>
            </w:pPr>
            <w:r>
              <w:rPr>
                <w:color w:val="231F20"/>
                <w:spacing w:val="-6"/>
                <w:position w:val="-1"/>
              </w:rPr>
              <w:t>6.51</w:t>
            </w:r>
          </w:p>
        </w:tc>
        <w:tc>
          <w:tcPr>
            <w:tcW w:w="1065" w:type="dxa"/>
            <w:vAlign w:val="top"/>
          </w:tcPr>
          <w:p>
            <w:pPr>
              <w:pStyle w:val="TableText"/>
              <w:ind w:left="250"/>
              <w:spacing w:before="73" w:line="160" w:lineRule="exact"/>
              <w:rPr/>
            </w:pPr>
            <w:r>
              <w:rPr>
                <w:color w:val="231F20"/>
                <w:spacing w:val="-6"/>
                <w:position w:val="-1"/>
              </w:rPr>
              <w:t>0.020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8"/>
              <w:spacing w:before="75" w:line="158" w:lineRule="exact"/>
              <w:rPr/>
            </w:pPr>
            <w:r>
              <w:rPr>
                <w:color w:val="231F20"/>
                <w:spacing w:val="-6"/>
                <w:position w:val="-1"/>
              </w:rPr>
              <w:t>0.530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right="22"/>
              <w:spacing w:before="75" w:line="158" w:lineRule="exact"/>
              <w:jc w:val="right"/>
              <w:rPr/>
            </w:pPr>
            <w:r>
              <w:rPr>
                <w:color w:val="231F20"/>
                <w:spacing w:val="-6"/>
                <w:position w:val="-1"/>
              </w:rPr>
              <w:t>0.753</w:t>
            </w:r>
          </w:p>
        </w:tc>
      </w:tr>
      <w:tr>
        <w:trPr>
          <w:trHeight w:val="243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7"/>
              <w:spacing w:before="71" w:line="162" w:lineRule="exact"/>
              <w:rPr/>
            </w:pPr>
            <w:r>
              <w:rPr>
                <w:color w:val="231F20"/>
                <w:spacing w:val="-3"/>
                <w:position w:val="-3"/>
              </w:rPr>
              <w:t>FDP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49"/>
              <w:spacing w:before="67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0.683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43"/>
              <w:spacing w:before="74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2.05</w:t>
            </w:r>
          </w:p>
        </w:tc>
        <w:tc>
          <w:tcPr>
            <w:tcW w:w="1065" w:type="dxa"/>
            <w:vAlign w:val="top"/>
          </w:tcPr>
          <w:p>
            <w:pPr>
              <w:pStyle w:val="TableText"/>
              <w:ind w:left="250"/>
              <w:spacing w:before="74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0.011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8"/>
              <w:spacing w:before="74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0.559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right="22"/>
              <w:spacing w:before="74" w:line="159" w:lineRule="exact"/>
              <w:jc w:val="right"/>
              <w:rPr/>
            </w:pPr>
            <w:r>
              <w:rPr>
                <w:color w:val="231F20"/>
                <w:spacing w:val="-6"/>
                <w:position w:val="-1"/>
              </w:rPr>
              <w:t>0.808</w:t>
            </w:r>
          </w:p>
        </w:tc>
      </w:tr>
      <w:tr>
        <w:trPr>
          <w:trHeight w:val="263" w:hRule="atLeast"/>
        </w:trPr>
        <w:tc>
          <w:tcPr>
            <w:tcW w:w="5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"/>
              <w:spacing w:before="73" w:line="163" w:lineRule="auto"/>
              <w:rPr/>
            </w:pPr>
            <w:r>
              <w:rPr>
                <w:color w:val="231F20"/>
                <w:spacing w:val="1"/>
              </w:rPr>
              <w:t>D-D</w:t>
            </w:r>
          </w:p>
        </w:tc>
        <w:tc>
          <w:tcPr>
            <w:tcW w:w="8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9"/>
              <w:spacing w:before="68" w:line="172" w:lineRule="auto"/>
              <w:rPr/>
            </w:pPr>
            <w:r>
              <w:rPr>
                <w:color w:val="231F20"/>
                <w:spacing w:val="-6"/>
              </w:rPr>
              <w:t>0.743</w:t>
            </w:r>
          </w:p>
        </w:tc>
        <w:tc>
          <w:tcPr>
            <w:tcW w:w="9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2"/>
              <w:spacing w:before="76" w:line="165" w:lineRule="auto"/>
              <w:rPr/>
            </w:pPr>
            <w:r>
              <w:rPr>
                <w:color w:val="231F20"/>
                <w:spacing w:val="-5"/>
              </w:rPr>
              <w:t>0.38</w:t>
            </w:r>
          </w:p>
        </w:tc>
        <w:tc>
          <w:tcPr>
            <w:tcW w:w="10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0"/>
              <w:spacing w:before="76" w:line="165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6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"/>
              <w:spacing w:before="76" w:line="165" w:lineRule="auto"/>
              <w:rPr/>
            </w:pPr>
            <w:r>
              <w:rPr>
                <w:color w:val="231F20"/>
                <w:spacing w:val="-6"/>
              </w:rPr>
              <w:t>0.627</w:t>
            </w:r>
          </w:p>
        </w:tc>
        <w:tc>
          <w:tcPr>
            <w:tcW w:w="6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right="22"/>
              <w:spacing w:before="76" w:line="165" w:lineRule="auto"/>
              <w:jc w:val="right"/>
              <w:rPr/>
            </w:pPr>
            <w:r>
              <w:rPr>
                <w:color w:val="231F20"/>
                <w:spacing w:val="-6"/>
              </w:rPr>
              <w:t>0.859</w:t>
            </w:r>
          </w:p>
        </w:tc>
      </w:tr>
    </w:tbl>
    <w:p>
      <w:pPr>
        <w:pStyle w:val="BodyText"/>
        <w:ind w:left="736" w:right="453" w:firstLine="196"/>
        <w:spacing w:before="56" w:line="195" w:lineRule="auto"/>
        <w:jc w:val="both"/>
        <w:rPr>
          <w:sz w:val="13"/>
          <w:szCs w:val="13"/>
        </w:rPr>
      </w:pPr>
      <w:r>
        <w:rPr>
          <w:sz w:val="13"/>
          <w:szCs w:val="13"/>
          <w:color w:val="231F20"/>
          <w:spacing w:val="2"/>
        </w:rPr>
        <w:t>注：</w:t>
      </w:r>
      <w:r>
        <w:rPr>
          <w:sz w:val="13"/>
          <w:szCs w:val="13"/>
          <w:color w:val="231F20"/>
        </w:rPr>
        <w:t>AUC</w:t>
      </w:r>
      <w:r>
        <w:rPr>
          <w:sz w:val="13"/>
          <w:szCs w:val="13"/>
          <w:color w:val="231F20"/>
          <w:spacing w:val="2"/>
        </w:rPr>
        <w:t>（受试者工作特征曲线下面积</w:t>
      </w:r>
      <w:r>
        <w:rPr>
          <w:sz w:val="13"/>
          <w:szCs w:val="13"/>
          <w:color w:val="231F20"/>
          <w:spacing w:val="-20"/>
          <w:w w:val="66"/>
        </w:rPr>
        <w:t>）；</w:t>
      </w:r>
      <w:r>
        <w:rPr>
          <w:sz w:val="13"/>
          <w:szCs w:val="13"/>
          <w:color w:val="231F20"/>
        </w:rPr>
        <w:t>CI</w:t>
      </w:r>
      <w:r>
        <w:rPr>
          <w:sz w:val="13"/>
          <w:szCs w:val="13"/>
          <w:color w:val="231F20"/>
          <w:spacing w:val="2"/>
        </w:rPr>
        <w:t>（置信区间</w:t>
      </w:r>
      <w:r>
        <w:rPr>
          <w:sz w:val="13"/>
          <w:szCs w:val="13"/>
          <w:color w:val="231F20"/>
          <w:spacing w:val="-20"/>
          <w:w w:val="66"/>
        </w:rPr>
        <w:t>）；</w:t>
      </w:r>
      <w:r>
        <w:rPr>
          <w:sz w:val="13"/>
          <w:szCs w:val="13"/>
          <w:color w:val="231F20"/>
        </w:rPr>
        <w:t>NLR</w:t>
      </w:r>
      <w:r>
        <w:rPr>
          <w:sz w:val="13"/>
          <w:szCs w:val="13"/>
          <w:color w:val="231F20"/>
          <w:spacing w:val="2"/>
        </w:rPr>
        <w:t>（中性粒细胞与</w:t>
      </w:r>
      <w:r>
        <w:rPr>
          <w:sz w:val="13"/>
          <w:szCs w:val="13"/>
          <w:color w:val="231F20"/>
        </w:rPr>
        <w:t xml:space="preserve"> </w:t>
      </w:r>
      <w:r>
        <w:rPr>
          <w:sz w:val="13"/>
          <w:szCs w:val="13"/>
          <w:color w:val="231F20"/>
          <w:spacing w:val="1"/>
        </w:rPr>
        <w:t>淋巴细胞比率</w:t>
      </w:r>
      <w:r>
        <w:rPr>
          <w:sz w:val="13"/>
          <w:szCs w:val="13"/>
          <w:color w:val="231F20"/>
          <w:spacing w:val="-17"/>
        </w:rPr>
        <w:t xml:space="preserve"> </w:t>
      </w:r>
      <w:r>
        <w:rPr>
          <w:sz w:val="13"/>
          <w:szCs w:val="13"/>
          <w:color w:val="231F20"/>
          <w:spacing w:val="-17"/>
          <w:w w:val="57"/>
        </w:rPr>
        <w:t>）；</w:t>
      </w:r>
      <w:r>
        <w:rPr>
          <w:sz w:val="13"/>
          <w:szCs w:val="13"/>
          <w:color w:val="231F20"/>
        </w:rPr>
        <w:t>NEU</w:t>
      </w:r>
      <w:r>
        <w:rPr>
          <w:sz w:val="13"/>
          <w:szCs w:val="13"/>
          <w:color w:val="231F20"/>
          <w:spacing w:val="1"/>
        </w:rPr>
        <w:t>（中</w:t>
      </w:r>
      <w:r>
        <w:rPr>
          <w:sz w:val="13"/>
          <w:szCs w:val="13"/>
          <w:color w:val="231F20"/>
          <w:spacing w:val="-19"/>
        </w:rPr>
        <w:t xml:space="preserve"> </w:t>
      </w:r>
      <w:r>
        <w:rPr>
          <w:sz w:val="13"/>
          <w:szCs w:val="13"/>
          <w:color w:val="231F20"/>
          <w:spacing w:val="1"/>
        </w:rPr>
        <w:t>性</w:t>
      </w:r>
      <w:r>
        <w:rPr>
          <w:sz w:val="13"/>
          <w:szCs w:val="13"/>
          <w:color w:val="231F20"/>
          <w:spacing w:val="-18"/>
        </w:rPr>
        <w:t xml:space="preserve"> </w:t>
      </w:r>
      <w:r>
        <w:rPr>
          <w:sz w:val="13"/>
          <w:szCs w:val="13"/>
          <w:color w:val="231F20"/>
          <w:spacing w:val="1"/>
        </w:rPr>
        <w:t>粒</w:t>
      </w:r>
      <w:r>
        <w:rPr>
          <w:sz w:val="13"/>
          <w:szCs w:val="13"/>
          <w:color w:val="231F20"/>
          <w:spacing w:val="-15"/>
        </w:rPr>
        <w:t xml:space="preserve"> </w:t>
      </w:r>
      <w:r>
        <w:rPr>
          <w:sz w:val="13"/>
          <w:szCs w:val="13"/>
          <w:color w:val="231F20"/>
          <w:spacing w:val="1"/>
        </w:rPr>
        <w:t>细</w:t>
      </w:r>
      <w:r>
        <w:rPr>
          <w:sz w:val="13"/>
          <w:szCs w:val="13"/>
          <w:color w:val="231F20"/>
          <w:spacing w:val="-19"/>
        </w:rPr>
        <w:t xml:space="preserve"> </w:t>
      </w:r>
      <w:r>
        <w:rPr>
          <w:sz w:val="13"/>
          <w:szCs w:val="13"/>
          <w:color w:val="231F20"/>
          <w:spacing w:val="1"/>
        </w:rPr>
        <w:t>胞</w:t>
      </w:r>
      <w:r>
        <w:rPr>
          <w:sz w:val="13"/>
          <w:szCs w:val="13"/>
          <w:color w:val="231F20"/>
          <w:spacing w:val="-17"/>
        </w:rPr>
        <w:t xml:space="preserve"> </w:t>
      </w:r>
      <w:r>
        <w:rPr>
          <w:sz w:val="13"/>
          <w:szCs w:val="13"/>
          <w:color w:val="231F20"/>
          <w:spacing w:val="-17"/>
          <w:w w:val="57"/>
        </w:rPr>
        <w:t>）；</w:t>
      </w:r>
      <w:r>
        <w:rPr>
          <w:sz w:val="13"/>
          <w:szCs w:val="13"/>
          <w:color w:val="231F20"/>
        </w:rPr>
        <w:t>WBC</w:t>
      </w:r>
      <w:r>
        <w:rPr>
          <w:sz w:val="13"/>
          <w:szCs w:val="13"/>
          <w:color w:val="231F20"/>
          <w:spacing w:val="1"/>
        </w:rPr>
        <w:t>（白</w:t>
      </w:r>
      <w:r>
        <w:rPr>
          <w:sz w:val="13"/>
          <w:szCs w:val="13"/>
          <w:color w:val="231F20"/>
          <w:spacing w:val="-15"/>
        </w:rPr>
        <w:t xml:space="preserve"> </w:t>
      </w:r>
      <w:r>
        <w:rPr>
          <w:sz w:val="13"/>
          <w:szCs w:val="13"/>
          <w:color w:val="231F20"/>
          <w:spacing w:val="1"/>
        </w:rPr>
        <w:t>细</w:t>
      </w:r>
      <w:r>
        <w:rPr>
          <w:sz w:val="13"/>
          <w:szCs w:val="13"/>
          <w:color w:val="231F20"/>
          <w:spacing w:val="-19"/>
        </w:rPr>
        <w:t xml:space="preserve"> </w:t>
      </w:r>
      <w:r>
        <w:rPr>
          <w:sz w:val="13"/>
          <w:szCs w:val="13"/>
          <w:color w:val="231F20"/>
          <w:spacing w:val="1"/>
        </w:rPr>
        <w:t>胞</w:t>
      </w:r>
      <w:r>
        <w:rPr>
          <w:sz w:val="13"/>
          <w:szCs w:val="13"/>
          <w:color w:val="231F20"/>
          <w:spacing w:val="-17"/>
        </w:rPr>
        <w:t xml:space="preserve"> </w:t>
      </w:r>
      <w:r>
        <w:rPr>
          <w:sz w:val="13"/>
          <w:szCs w:val="13"/>
          <w:color w:val="231F20"/>
          <w:spacing w:val="-17"/>
          <w:w w:val="57"/>
        </w:rPr>
        <w:t>）；</w:t>
      </w:r>
      <w:r>
        <w:rPr>
          <w:sz w:val="13"/>
          <w:szCs w:val="13"/>
          <w:color w:val="231F20"/>
        </w:rPr>
        <w:t>CRP</w:t>
      </w:r>
      <w:r>
        <w:rPr>
          <w:sz w:val="13"/>
          <w:szCs w:val="13"/>
          <w:color w:val="231F20"/>
          <w:spacing w:val="1"/>
        </w:rPr>
        <w:t>（C</w:t>
      </w:r>
      <w:r>
        <w:rPr>
          <w:sz w:val="13"/>
          <w:szCs w:val="13"/>
          <w:color w:val="231F20"/>
          <w:spacing w:val="12"/>
        </w:rPr>
        <w:t xml:space="preserve"> </w:t>
      </w:r>
      <w:r>
        <w:rPr>
          <w:sz w:val="13"/>
          <w:szCs w:val="13"/>
          <w:color w:val="231F20"/>
          <w:spacing w:val="1"/>
        </w:rPr>
        <w:t>反</w:t>
      </w:r>
      <w:r>
        <w:rPr>
          <w:sz w:val="13"/>
          <w:szCs w:val="13"/>
          <w:color w:val="231F20"/>
          <w:spacing w:val="-19"/>
        </w:rPr>
        <w:t xml:space="preserve"> </w:t>
      </w:r>
      <w:r>
        <w:rPr>
          <w:sz w:val="13"/>
          <w:szCs w:val="13"/>
          <w:color w:val="231F20"/>
          <w:spacing w:val="1"/>
        </w:rPr>
        <w:t>应</w:t>
      </w:r>
      <w:r>
        <w:rPr>
          <w:sz w:val="13"/>
          <w:szCs w:val="13"/>
          <w:color w:val="231F20"/>
          <w:spacing w:val="-18"/>
        </w:rPr>
        <w:t xml:space="preserve"> </w:t>
      </w:r>
      <w:r>
        <w:rPr>
          <w:sz w:val="13"/>
          <w:szCs w:val="13"/>
          <w:color w:val="231F20"/>
          <w:spacing w:val="1"/>
        </w:rPr>
        <w:t>蛋</w:t>
      </w:r>
      <w:r>
        <w:rPr>
          <w:sz w:val="13"/>
          <w:szCs w:val="13"/>
          <w:color w:val="231F20"/>
        </w:rPr>
        <w:t xml:space="preserve"> 白</w:t>
      </w:r>
      <w:r>
        <w:rPr>
          <w:sz w:val="13"/>
          <w:szCs w:val="13"/>
          <w:color w:val="231F20"/>
          <w:spacing w:val="-17"/>
          <w:w w:val="57"/>
        </w:rPr>
        <w:t>）；</w:t>
      </w:r>
      <w:r>
        <w:rPr>
          <w:sz w:val="13"/>
          <w:szCs w:val="13"/>
          <w:color w:val="231F20"/>
        </w:rPr>
        <w:t>FDP </w:t>
      </w:r>
      <w:r>
        <w:rPr>
          <w:sz w:val="13"/>
          <w:szCs w:val="13"/>
          <w:color w:val="231F20"/>
          <w:spacing w:val="-1"/>
        </w:rPr>
        <w:t>（纤维蛋白原降解物</w:t>
      </w:r>
      <w:r>
        <w:rPr>
          <w:sz w:val="13"/>
          <w:szCs w:val="13"/>
          <w:color w:val="231F20"/>
          <w:spacing w:val="-22"/>
          <w:w w:val="71"/>
        </w:rPr>
        <w:t>）；</w:t>
      </w:r>
      <w:r>
        <w:rPr>
          <w:sz w:val="13"/>
          <w:szCs w:val="13"/>
          <w:color w:val="231F20"/>
          <w:spacing w:val="-1"/>
        </w:rPr>
        <w:t>D-D（D-二聚体）。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4"/>
        <w:spacing w:before="46" w:line="207" w:lineRule="auto"/>
        <w:rPr/>
      </w:pPr>
      <w:r>
        <w:rPr>
          <w:sz w:val="20"/>
          <w:szCs w:val="20"/>
          <w:color w:val="231F20"/>
          <w:spacing w:val="-4"/>
        </w:rPr>
        <w:t>NLR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比值随 </w:t>
      </w:r>
      <w:r>
        <w:rPr>
          <w:sz w:val="20"/>
          <w:szCs w:val="20"/>
          <w:color w:val="231F20"/>
          <w:spacing w:val="-4"/>
        </w:rPr>
        <w:t>WBC </w:t>
      </w:r>
      <w:r>
        <w:rPr>
          <w:color w:val="231F20"/>
          <w:spacing w:val="-4"/>
        </w:rPr>
        <w:t>计数增加而增加（图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1</w:t>
      </w:r>
      <w:r>
        <w:rPr>
          <w:color w:val="231F20"/>
          <w:spacing w:val="-4"/>
        </w:rPr>
        <w:t>）。</w:t>
      </w:r>
    </w:p>
    <w:p>
      <w:pPr>
        <w:spacing w:before="44" w:line="34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-446237</wp:posOffset>
                </wp:positionH>
                <wp:positionV relativeFrom="paragraph">
                  <wp:posOffset>1033691</wp:posOffset>
                </wp:positionV>
                <wp:extent cx="1219835" cy="17526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-446237" y="1033691"/>
                          <a:ext cx="1219835" cy="1752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5" w:line="190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6"/>
                              </w:rPr>
                              <w:t>中性粒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6"/>
                              </w:rPr>
                              <w:t>细胞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6"/>
                              </w:rPr>
                              <w:t>与淋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6"/>
                              </w:rPr>
                              <w:t>巴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6"/>
                              </w:rPr>
                              <w:t>细胞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6"/>
                              </w:rPr>
                              <w:t>比率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35.1368pt;margin-top:81.393pt;mso-position-vertical-relative:text;mso-position-horizontal-relative:text;width:96.05pt;height:13.8pt;z-index:-2516561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5" w:line="190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231F20"/>
                          <w:spacing w:val="6"/>
                        </w:rPr>
                        <w:t>中性粒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6"/>
                        </w:rPr>
                        <w:t>细胞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23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6"/>
                        </w:rPr>
                        <w:t>与淋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6"/>
                        </w:rPr>
                        <w:t>巴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23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6"/>
                        </w:rPr>
                        <w:t>细胞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6"/>
                        </w:rPr>
                        <w:t>比率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9"/>
        </w:rPr>
        <w:drawing>
          <wp:inline distT="0" distB="0" distL="0" distR="0">
            <wp:extent cx="3253612" cy="219862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3612" cy="219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16" w:right="508" w:firstLine="1"/>
        <w:spacing w:before="56" w:line="21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1"/>
        </w:rPr>
        <w:t>成人过敏性紫癜患者中性粒细胞与淋巴细胞比率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1"/>
        </w:rPr>
        <w:t>随 </w:t>
      </w:r>
      <w:r>
        <w:rPr>
          <w:sz w:val="15"/>
          <w:szCs w:val="15"/>
          <w:color w:val="231F20"/>
          <w:position w:val="-1"/>
        </w:rPr>
        <w:t>WBC </w:t>
      </w:r>
      <w:r>
        <w:rPr>
          <w:sz w:val="14"/>
          <w:szCs w:val="14"/>
          <w:color w:val="231F20"/>
          <w:spacing w:val="12"/>
        </w:rPr>
        <w:t>计数增加而增加，二者呈线性正相关。</w:t>
      </w:r>
    </w:p>
    <w:p>
      <w:pPr>
        <w:pStyle w:val="BodyText"/>
        <w:ind w:left="631"/>
        <w:spacing w:line="182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17"/>
        </w:rPr>
        <w:t>图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17"/>
          <w:position w:val="-1"/>
        </w:rPr>
        <w:t>1   </w:t>
      </w:r>
      <w:r>
        <w:rPr>
          <w:sz w:val="16"/>
          <w:szCs w:val="16"/>
          <w:color w:val="231F20"/>
          <w:spacing w:val="17"/>
        </w:rPr>
        <w:t>成人过敏性紫癜患者白细胞计数和中性粒</w:t>
      </w:r>
    </w:p>
    <w:p>
      <w:pPr>
        <w:pStyle w:val="BodyText"/>
        <w:ind w:left="1122"/>
        <w:spacing w:before="18" w:line="1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7"/>
        </w:rPr>
        <w:t>细胞与淋巴细胞比率的相关性分析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86" w:line="186" w:lineRule="auto"/>
        <w:rPr/>
      </w:pPr>
      <w:r>
        <w:rPr>
          <w:sz w:val="20"/>
          <w:szCs w:val="20"/>
          <w:color w:val="231F20"/>
          <w:spacing w:val="-3"/>
          <w:position w:val="-1"/>
        </w:rPr>
        <w:t>3</w:t>
      </w:r>
      <w:r>
        <w:rPr>
          <w:sz w:val="20"/>
          <w:szCs w:val="20"/>
          <w:color w:val="231F20"/>
          <w:spacing w:val="14"/>
          <w:position w:val="-1"/>
        </w:rPr>
        <w:t xml:space="preserve">   </w:t>
      </w:r>
      <w:r>
        <w:rPr>
          <w:color w:val="231F20"/>
          <w:spacing w:val="-3"/>
        </w:rPr>
        <w:t>讨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-3"/>
        </w:rPr>
        <w:t>论</w:t>
      </w:r>
    </w:p>
    <w:p>
      <w:pPr>
        <w:pStyle w:val="BodyText"/>
        <w:ind w:left="64" w:right="226" w:firstLine="421"/>
        <w:spacing w:before="109" w:line="208" w:lineRule="auto"/>
        <w:jc w:val="both"/>
        <w:rPr/>
      </w:pP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是一种多因素疾病，皮肤、胃肠道和肾脏等均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可受累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。虽然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的确切致病机制尚未完全清楚，但此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前多认为它是一种免疫复合物介导的小血管炎</w:t>
      </w:r>
      <w:r>
        <w:rPr>
          <w:sz w:val="11"/>
          <w:szCs w:val="11"/>
          <w:color w:val="231F20"/>
          <w:spacing w:val="10"/>
          <w:position w:val="6"/>
        </w:rPr>
        <w:t>[8</w:t>
      </w:r>
      <w:r>
        <w:rPr>
          <w:sz w:val="11"/>
          <w:szCs w:val="11"/>
          <w:color w:val="231F20"/>
          <w:spacing w:val="9"/>
          <w:position w:val="6"/>
        </w:rPr>
        <w:t>]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其中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含 </w:t>
      </w:r>
      <w:r>
        <w:rPr>
          <w:sz w:val="20"/>
          <w:szCs w:val="20"/>
          <w:color w:val="231F20"/>
          <w:spacing w:val="-3"/>
        </w:rPr>
        <w:t>IgA1 </w:t>
      </w:r>
      <w:r>
        <w:rPr>
          <w:color w:val="231F20"/>
          <w:spacing w:val="-3"/>
        </w:rPr>
        <w:t>免疫聚合物在 </w:t>
      </w:r>
      <w:r>
        <w:rPr>
          <w:sz w:val="20"/>
          <w:szCs w:val="20"/>
          <w:color w:val="231F20"/>
          <w:spacing w:val="-3"/>
        </w:rPr>
        <w:t>HSP </w:t>
      </w:r>
      <w:r>
        <w:rPr>
          <w:color w:val="231F20"/>
          <w:spacing w:val="-3"/>
        </w:rPr>
        <w:t>患者</w:t>
      </w:r>
      <w:r>
        <w:rPr>
          <w:color w:val="231F20"/>
          <w:spacing w:val="-4"/>
        </w:rPr>
        <w:t>的皮肤、胃肠道毛细血管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和肾小球中显性沉积，从而激活补体，促进中性粒细胞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的浸润</w:t>
      </w:r>
      <w:r>
        <w:rPr>
          <w:sz w:val="11"/>
          <w:szCs w:val="11"/>
          <w:color w:val="231F20"/>
          <w:spacing w:val="-4"/>
          <w:position w:val="6"/>
        </w:rPr>
        <w:t>[9]</w:t>
      </w:r>
      <w:r>
        <w:rPr>
          <w:color w:val="231F20"/>
          <w:spacing w:val="-2"/>
          <w:position w:val="-1"/>
        </w:rPr>
        <w:t>。</w:t>
      </w:r>
      <w:r>
        <w:rPr>
          <w:color w:val="231F20"/>
          <w:spacing w:val="-2"/>
        </w:rPr>
        <w:t>尽管 </w:t>
      </w:r>
      <w:r>
        <w:rPr>
          <w:sz w:val="20"/>
          <w:szCs w:val="20"/>
          <w:color w:val="231F20"/>
          <w:spacing w:val="-2"/>
        </w:rPr>
        <w:t>HSP </w:t>
      </w:r>
      <w:r>
        <w:rPr>
          <w:color w:val="231F20"/>
          <w:spacing w:val="-2"/>
        </w:rPr>
        <w:t>的临床病程是自限性的</w:t>
      </w:r>
      <w:r>
        <w:rPr>
          <w:color w:val="231F20"/>
          <w:spacing w:val="-2"/>
          <w:position w:val="-1"/>
        </w:rPr>
        <w:t>，</w:t>
      </w:r>
      <w:r>
        <w:rPr>
          <w:color w:val="231F20"/>
          <w:spacing w:val="-2"/>
        </w:rPr>
        <w:t>但一些成人</w:t>
      </w:r>
      <w:r>
        <w:rPr>
          <w:color w:val="231F20"/>
          <w:spacing w:val="5"/>
        </w:rPr>
        <w:t xml:space="preserve"> 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5"/>
        </w:rPr>
        <w:t>患者可能表现出更严重的临床表现和脏器损害，统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计约 </w:t>
      </w:r>
      <w:r>
        <w:rPr>
          <w:sz w:val="20"/>
          <w:szCs w:val="20"/>
          <w:color w:val="231F20"/>
          <w:spacing w:val="-9"/>
        </w:rPr>
        <w:t>51%~65%</w:t>
      </w:r>
      <w:r>
        <w:rPr>
          <w:color w:val="231F20"/>
          <w:spacing w:val="-9"/>
        </w:rPr>
        <w:t>的成人患者存在脏器受累，其中</w:t>
      </w:r>
      <w:r>
        <w:rPr>
          <w:sz w:val="20"/>
          <w:szCs w:val="20"/>
          <w:color w:val="231F20"/>
          <w:spacing w:val="-9"/>
        </w:rPr>
        <w:t>57%~84%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color w:val="231F20"/>
          <w:spacing w:val="2"/>
        </w:rPr>
        <w:t>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患者合并胃肠道受累，</w:t>
      </w:r>
      <w:r>
        <w:rPr>
          <w:sz w:val="20"/>
          <w:szCs w:val="20"/>
          <w:color w:val="231F20"/>
          <w:spacing w:val="2"/>
        </w:rPr>
        <w:t>58%~84%</w:t>
      </w:r>
      <w:r>
        <w:rPr>
          <w:color w:val="231F20"/>
          <w:spacing w:val="2"/>
        </w:rPr>
        <w:t>合并肾脏受</w:t>
      </w:r>
      <w:r>
        <w:rPr>
          <w:color w:val="231F20"/>
        </w:rPr>
        <w:t xml:space="preserve">  </w:t>
      </w:r>
      <w:r>
        <w:rPr>
          <w:color w:val="231F20"/>
        </w:rPr>
        <w:t>累</w:t>
      </w:r>
      <w:r>
        <w:rPr>
          <w:color w:val="231F20"/>
          <w:position w:val="-1"/>
        </w:rPr>
        <w:t>，</w:t>
      </w:r>
      <w:r>
        <w:rPr>
          <w:color w:val="231F20"/>
        </w:rPr>
        <w:t>病情较儿童更严重</w:t>
      </w:r>
      <w:r>
        <w:rPr>
          <w:color w:val="231F20"/>
          <w:position w:val="-1"/>
        </w:rPr>
        <w:t>，</w:t>
      </w:r>
      <w:r>
        <w:rPr>
          <w:color w:val="231F20"/>
        </w:rPr>
        <w:t>长期肾脏结局更差</w:t>
      </w:r>
      <w:r>
        <w:rPr>
          <w:sz w:val="11"/>
          <w:szCs w:val="11"/>
          <w:color w:val="231F20"/>
          <w:position w:val="6"/>
        </w:rPr>
        <w:t>[10]</w:t>
      </w:r>
      <w:r>
        <w:rPr>
          <w:color w:val="231F20"/>
          <w:position w:val="-1"/>
        </w:rPr>
        <w:t>。</w:t>
      </w:r>
      <w:r>
        <w:rPr>
          <w:color w:val="231F20"/>
        </w:rPr>
        <w:t>为了诊断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和预测是否会发生严重的脏器损害，一些研究已经对成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4"/>
        </w:rPr>
        <w:t>人和儿童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进行了一些实验室生物标志物的检测，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故继续探索血液学指标与成人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是否伴有脏器损害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  <w:position w:val="-1"/>
        </w:rPr>
        <w:t>的相关性有一定的临床价值</w:t>
      </w:r>
      <w:r>
        <w:rPr>
          <w:sz w:val="11"/>
          <w:szCs w:val="11"/>
          <w:color w:val="231F20"/>
          <w:spacing w:val="2"/>
          <w:position w:val="5"/>
        </w:rPr>
        <w:t>[2,11-12]</w:t>
      </w:r>
      <w:r>
        <w:rPr>
          <w:color w:val="231F20"/>
          <w:spacing w:val="2"/>
          <w:position w:val="-2"/>
        </w:rPr>
        <w:t>。</w:t>
      </w:r>
    </w:p>
    <w:p>
      <w:pPr>
        <w:pStyle w:val="BodyText"/>
        <w:ind w:left="64" w:right="287" w:firstLine="436"/>
        <w:spacing w:before="10" w:line="203" w:lineRule="auto"/>
        <w:jc w:val="both"/>
        <w:rPr/>
      </w:pPr>
      <w:r>
        <w:rPr>
          <w:color w:val="231F20"/>
          <w:spacing w:val="-5"/>
        </w:rPr>
        <w:t>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研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型</w:t>
      </w:r>
      <w:r>
        <w:rPr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HSP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color w:val="231F20"/>
          <w:spacing w:val="-5"/>
        </w:rPr>
        <w:t>组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NLR</w:t>
      </w:r>
      <w:r>
        <w:rPr>
          <w:color w:val="231F20"/>
          <w:spacing w:val="-5"/>
        </w:rPr>
        <w:t>、</w:t>
      </w:r>
      <w:r>
        <w:rPr>
          <w:sz w:val="20"/>
          <w:szCs w:val="20"/>
          <w:color w:val="231F20"/>
          <w:spacing w:val="-5"/>
        </w:rPr>
        <w:t>NEU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-9"/>
        </w:rPr>
        <w:t>计数、</w:t>
      </w:r>
      <w:r>
        <w:rPr>
          <w:sz w:val="20"/>
          <w:szCs w:val="20"/>
          <w:color w:val="231F20"/>
          <w:spacing w:val="-9"/>
        </w:rPr>
        <w:t>WBC </w:t>
      </w:r>
      <w:r>
        <w:rPr>
          <w:color w:val="231F20"/>
          <w:spacing w:val="-9"/>
        </w:rPr>
        <w:t>计数、</w:t>
      </w:r>
      <w:r>
        <w:rPr>
          <w:sz w:val="20"/>
          <w:szCs w:val="20"/>
          <w:color w:val="231F20"/>
          <w:spacing w:val="-9"/>
        </w:rPr>
        <w:t>CRP</w:t>
      </w:r>
      <w:r>
        <w:rPr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ESR</w:t>
      </w:r>
      <w:r>
        <w:rPr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FDP </w:t>
      </w:r>
      <w:r>
        <w:rPr>
          <w:color w:val="231F20"/>
          <w:spacing w:val="-9"/>
        </w:rPr>
        <w:t>和 </w:t>
      </w:r>
      <w:r>
        <w:rPr>
          <w:sz w:val="20"/>
          <w:szCs w:val="20"/>
          <w:color w:val="231F20"/>
          <w:spacing w:val="-9"/>
        </w:rPr>
        <w:t>D-D </w:t>
      </w:r>
      <w:r>
        <w:rPr>
          <w:color w:val="231F20"/>
          <w:spacing w:val="-9"/>
        </w:rPr>
        <w:t>较单纯型</w:t>
      </w:r>
      <w:r>
        <w:rPr>
          <w:sz w:val="20"/>
          <w:szCs w:val="20"/>
          <w:color w:val="231F20"/>
          <w:spacing w:val="-9"/>
        </w:rPr>
        <w:t>HSP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组均明显升高；其中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是一种易于获得的实验室标 </w:t>
      </w:r>
      <w:r>
        <w:rPr>
          <w:color w:val="231F20"/>
          <w:spacing w:val="8"/>
        </w:rPr>
        <w:t>志物，并已被引入作为多种疾病的系统炎症指标。近年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，有研究显示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NLR</w:t>
      </w:r>
      <w:r>
        <w:rPr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color w:val="231F20"/>
          <w:spacing w:val="6"/>
        </w:rPr>
        <w:t>与心血管疾病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、恶性肿瘤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、肝硬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化</w:t>
      </w:r>
      <w:r>
        <w:rPr>
          <w:color w:val="231F20"/>
          <w:spacing w:val="3"/>
          <w:position w:val="-1"/>
        </w:rPr>
        <w:t>、</w:t>
      </w:r>
      <w:r>
        <w:rPr>
          <w:color w:val="231F20"/>
          <w:spacing w:val="3"/>
        </w:rPr>
        <w:t>终末期肾病等临床预后呈负相关</w:t>
      </w:r>
      <w:r>
        <w:rPr>
          <w:sz w:val="11"/>
          <w:szCs w:val="11"/>
          <w:color w:val="231F20"/>
          <w:spacing w:val="3"/>
          <w:position w:val="5"/>
        </w:rPr>
        <w:t>[4-5,13]</w:t>
      </w:r>
      <w:r>
        <w:rPr>
          <w:color w:val="231F20"/>
          <w:spacing w:val="3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NLR</w:t>
      </w:r>
      <w:r>
        <w:rPr>
          <w:sz w:val="20"/>
          <w:szCs w:val="20"/>
          <w:color w:val="231F20"/>
          <w:spacing w:val="3"/>
          <w:position w:val="-1"/>
        </w:rPr>
        <w:t xml:space="preserve"> </w:t>
      </w:r>
      <w:r>
        <w:rPr>
          <w:color w:val="231F20"/>
          <w:spacing w:val="3"/>
          <w:position w:val="-1"/>
        </w:rPr>
        <w:t>可能反</w:t>
      </w:r>
      <w:r>
        <w:rPr>
          <w:color w:val="231F20"/>
          <w:spacing w:val="18"/>
          <w:position w:val="-1"/>
        </w:rPr>
        <w:t xml:space="preserve"> </w:t>
      </w:r>
      <w:r>
        <w:rPr>
          <w:color w:val="231F20"/>
        </w:rPr>
        <w:t>映了先天性（中性粒细胞）和适应性（淋巴细胞）免疫反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1"/>
        </w:rPr>
        <w:t>应之间的平衡，而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25"/>
          <w:w w:val="101"/>
          <w:position w:val="-1"/>
        </w:rPr>
        <w:t xml:space="preserve"> </w:t>
      </w:r>
      <w:r>
        <w:rPr>
          <w:color w:val="231F20"/>
          <w:spacing w:val="11"/>
        </w:rPr>
        <w:t>的急性期总是伴随着促炎症细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胞因子的释放增加</w:t>
      </w:r>
      <w:r>
        <w:rPr>
          <w:sz w:val="11"/>
          <w:szCs w:val="11"/>
          <w:color w:val="231F20"/>
          <w:spacing w:val="9"/>
          <w:position w:val="6"/>
        </w:rPr>
        <w:t>[14]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且 </w:t>
      </w:r>
      <w:r>
        <w:rPr>
          <w:sz w:val="20"/>
          <w:szCs w:val="20"/>
          <w:color w:val="231F20"/>
          <w:position w:val="-1"/>
        </w:rPr>
        <w:t>NLR</w:t>
      </w:r>
      <w:r>
        <w:rPr>
          <w:sz w:val="20"/>
          <w:szCs w:val="20"/>
          <w:color w:val="231F20"/>
          <w:spacing w:val="26"/>
          <w:w w:val="101"/>
          <w:position w:val="-1"/>
        </w:rPr>
        <w:t xml:space="preserve"> </w:t>
      </w:r>
      <w:r>
        <w:rPr>
          <w:color w:val="231F20"/>
          <w:spacing w:val="9"/>
        </w:rPr>
        <w:t>的升高与各种促炎症细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胞因子浓度的增加有关</w:t>
      </w:r>
      <w:r>
        <w:rPr>
          <w:sz w:val="11"/>
          <w:szCs w:val="11"/>
          <w:color w:val="231F20"/>
          <w:spacing w:val="10"/>
          <w:position w:val="6"/>
        </w:rPr>
        <w:t>[15]</w:t>
      </w:r>
      <w:r>
        <w:rPr>
          <w:color w:val="231F20"/>
          <w:spacing w:val="10"/>
          <w:position w:val="-1"/>
        </w:rPr>
        <w:t>，</w:t>
      </w:r>
      <w:r>
        <w:rPr>
          <w:color w:val="231F20"/>
          <w:spacing w:val="10"/>
        </w:rPr>
        <w:t>故证实了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参与了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1"/>
        </w:rPr>
        <w:t>的发病机制</w:t>
      </w:r>
      <w:r>
        <w:rPr>
          <w:color w:val="231F20"/>
          <w:spacing w:val="1"/>
          <w:position w:val="-1"/>
        </w:rPr>
        <w:t>，</w:t>
      </w:r>
      <w:r>
        <w:rPr>
          <w:color w:val="231F20"/>
          <w:spacing w:val="1"/>
        </w:rPr>
        <w:t>且与更严重的炎症及病程相关</w:t>
      </w:r>
      <w:r>
        <w:rPr>
          <w:sz w:val="11"/>
          <w:szCs w:val="11"/>
          <w:color w:val="231F20"/>
          <w:spacing w:val="1"/>
          <w:position w:val="6"/>
        </w:rPr>
        <w:t>[16]</w:t>
      </w:r>
      <w:r>
        <w:rPr>
          <w:sz w:val="11"/>
          <w:szCs w:val="11"/>
          <w:color w:val="231F20"/>
          <w:spacing w:val="-13"/>
          <w:position w:val="6"/>
        </w:rPr>
        <w:t xml:space="preserve"> </w:t>
      </w:r>
      <w:r>
        <w:rPr>
          <w:color w:val="231F20"/>
          <w:spacing w:val="1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MAKAY </w:t>
      </w:r>
      <w:r>
        <w:rPr>
          <w:color w:val="231F20"/>
          <w:spacing w:val="6"/>
        </w:rPr>
        <w:t>等</w:t>
      </w:r>
      <w:r>
        <w:rPr>
          <w:sz w:val="11"/>
          <w:szCs w:val="11"/>
          <w:color w:val="231F20"/>
          <w:spacing w:val="6"/>
          <w:position w:val="6"/>
        </w:rPr>
        <w:t>[17]</w:t>
      </w:r>
      <w:r>
        <w:rPr>
          <w:sz w:val="11"/>
          <w:szCs w:val="11"/>
          <w:color w:val="231F20"/>
          <w:spacing w:val="-1"/>
          <w:position w:val="6"/>
        </w:rPr>
        <w:t xml:space="preserve"> </w:t>
      </w:r>
      <w:r>
        <w:rPr>
          <w:color w:val="231F20"/>
          <w:spacing w:val="6"/>
        </w:rPr>
        <w:t>首次提出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  <w:position w:val="-1"/>
        </w:rPr>
        <w:t>，</w:t>
      </w:r>
      <w:r>
        <w:rPr>
          <w:color w:val="231F20"/>
          <w:spacing w:val="6"/>
        </w:rPr>
        <w:t>与健康对照组相比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  <w:position w:val="-1"/>
        </w:rPr>
        <w:t>，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color w:val="231F20"/>
          <w:spacing w:val="6"/>
        </w:rPr>
        <w:t>儿童的</w:t>
      </w:r>
      <w:r>
        <w:rPr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position w:val="-1"/>
        </w:rPr>
        <w:t>NLR </w:t>
      </w:r>
      <w:r>
        <w:rPr>
          <w:color w:val="231F20"/>
          <w:spacing w:val="10"/>
        </w:rPr>
        <w:t>和 </w:t>
      </w:r>
      <w:r>
        <w:rPr>
          <w:sz w:val="20"/>
          <w:szCs w:val="20"/>
          <w:color w:val="231F20"/>
        </w:rPr>
        <w:t>NEU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计数均增加，提示其可能是共同或单独预测胃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8"/>
        </w:rPr>
        <w:t>肠道出血的标志物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随后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8"/>
        </w:rPr>
        <w:t>多项研究进一步证实了</w:t>
      </w:r>
    </w:p>
    <w:p>
      <w:pPr>
        <w:spacing w:line="203" w:lineRule="auto"/>
        <w:sectPr>
          <w:type w:val="continuous"/>
          <w:pgSz w:w="12245" w:h="16496"/>
          <w:pgMar w:top="1513" w:right="732" w:bottom="0" w:left="407" w:header="1190" w:footer="0" w:gutter="0"/>
          <w:cols w:equalWidth="0" w:num="2">
            <w:col w:w="5881" w:space="100"/>
            <w:col w:w="5124" w:space="0"/>
          </w:cols>
        </w:sectPr>
        <w:rPr/>
      </w:pPr>
    </w:p>
    <w:p>
      <w:pPr>
        <w:spacing w:before="66"/>
        <w:rPr/>
      </w:pPr>
      <w:r/>
    </w:p>
    <w:p>
      <w:pPr>
        <w:sectPr>
          <w:headerReference w:type="default" r:id="rId5"/>
          <w:pgSz w:w="12245" w:h="16496"/>
          <w:pgMar w:top="1513" w:right="1152" w:bottom="0" w:left="407" w:header="1190" w:footer="0" w:gutter="0"/>
          <w:cols w:equalWidth="0" w:num="1">
            <w:col w:w="10684" w:space="0"/>
          </w:cols>
        </w:sectPr>
        <w:rPr/>
      </w:pPr>
    </w:p>
    <w:p>
      <w:pPr>
        <w:pStyle w:val="BodyText"/>
        <w:ind w:left="619" w:right="262"/>
        <w:spacing w:before="42" w:line="196" w:lineRule="auto"/>
        <w:jc w:val="both"/>
        <w:rPr/>
      </w:pPr>
      <w:r>
        <w:rPr>
          <w:sz w:val="20"/>
          <w:szCs w:val="20"/>
          <w:color w:val="231F20"/>
        </w:rPr>
        <w:t>NLR</w:t>
      </w:r>
      <w:r>
        <w:rPr>
          <w:color w:val="231F20"/>
          <w:spacing w:val="9"/>
        </w:rPr>
        <w:t>和 </w:t>
      </w:r>
      <w:r>
        <w:rPr>
          <w:sz w:val="20"/>
          <w:szCs w:val="20"/>
          <w:color w:val="231F20"/>
        </w:rPr>
        <w:t>NEU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计数与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40"/>
          <w:position w:val="-1"/>
        </w:rPr>
        <w:t xml:space="preserve"> </w:t>
      </w:r>
      <w:r>
        <w:rPr>
          <w:color w:val="231F20"/>
          <w:spacing w:val="9"/>
        </w:rPr>
        <w:t>中胃肠道出血之间的相关性，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提示其可能作为预测或诊断胃肠道受累严重程度的有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益标志物</w:t>
      </w:r>
      <w:r>
        <w:rPr>
          <w:sz w:val="11"/>
          <w:szCs w:val="11"/>
          <w:color w:val="231F20"/>
          <w:spacing w:val="7"/>
          <w:position w:val="5"/>
        </w:rPr>
        <w:t>[9,12,18]</w:t>
      </w:r>
      <w:r>
        <w:rPr>
          <w:color w:val="231F20"/>
          <w:spacing w:val="7"/>
          <w:position w:val="-1"/>
        </w:rPr>
        <w:t>；</w:t>
      </w:r>
      <w:r>
        <w:rPr>
          <w:color w:val="231F20"/>
          <w:spacing w:val="7"/>
        </w:rPr>
        <w:t>并且 </w:t>
      </w:r>
      <w:r>
        <w:rPr>
          <w:sz w:val="20"/>
          <w:szCs w:val="20"/>
          <w:color w:val="231F20"/>
          <w:position w:val="-2"/>
        </w:rPr>
        <w:t>EKINCI</w:t>
      </w:r>
      <w:r>
        <w:rPr>
          <w:sz w:val="20"/>
          <w:szCs w:val="20"/>
          <w:color w:val="231F20"/>
          <w:spacing w:val="7"/>
          <w:position w:val="-2"/>
        </w:rPr>
        <w:t xml:space="preserve"> </w:t>
      </w:r>
      <w:r>
        <w:rPr>
          <w:color w:val="231F20"/>
          <w:spacing w:val="7"/>
        </w:rPr>
        <w:t>等</w:t>
      </w:r>
      <w:r>
        <w:rPr>
          <w:sz w:val="11"/>
          <w:szCs w:val="11"/>
          <w:color w:val="231F20"/>
          <w:spacing w:val="7"/>
          <w:position w:val="5"/>
        </w:rPr>
        <w:t>[9]</w:t>
      </w:r>
      <w:r>
        <w:rPr>
          <w:sz w:val="11"/>
          <w:szCs w:val="11"/>
          <w:color w:val="231F20"/>
          <w:spacing w:val="-17"/>
          <w:position w:val="5"/>
        </w:rPr>
        <w:t xml:space="preserve"> </w:t>
      </w:r>
      <w:r>
        <w:rPr>
          <w:color w:val="231F20"/>
          <w:spacing w:val="7"/>
        </w:rPr>
        <w:t>经皮损组织病</w:t>
      </w:r>
      <w:r>
        <w:rPr>
          <w:color w:val="231F20"/>
          <w:spacing w:val="6"/>
        </w:rPr>
        <w:t>理检查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证实了伴有肾损害的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患者，其 </w:t>
      </w:r>
      <w:r>
        <w:rPr>
          <w:sz w:val="20"/>
          <w:szCs w:val="20"/>
          <w:color w:val="231F20"/>
        </w:rPr>
        <w:t>NLR</w:t>
      </w:r>
      <w:r>
        <w:rPr>
          <w:color w:val="231F20"/>
          <w:spacing w:val="4"/>
        </w:rPr>
        <w:t>和 </w:t>
      </w:r>
      <w:r>
        <w:rPr>
          <w:sz w:val="20"/>
          <w:szCs w:val="20"/>
          <w:color w:val="231F20"/>
        </w:rPr>
        <w:t>NEU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计</w:t>
      </w:r>
      <w:r>
        <w:rPr>
          <w:color w:val="231F20"/>
          <w:spacing w:val="3"/>
        </w:rPr>
        <w:t>数均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高于单纯型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患者，也提示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和 </w:t>
      </w:r>
      <w:r>
        <w:rPr>
          <w:sz w:val="20"/>
          <w:szCs w:val="20"/>
          <w:color w:val="231F20"/>
        </w:rPr>
        <w:t>NEU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计数对于伴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有肾损害的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12"/>
        </w:rPr>
        <w:t>患者有一定的诊断价值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。本研究结果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显示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是成人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全身受累的最佳预测因子之一，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最佳临界值为 </w:t>
      </w:r>
      <w:r>
        <w:rPr>
          <w:sz w:val="20"/>
          <w:szCs w:val="20"/>
          <w:color w:val="231F20"/>
          <w:spacing w:val="1"/>
        </w:rPr>
        <w:t>2.35</w:t>
      </w:r>
      <w:r>
        <w:rPr>
          <w:color w:val="231F20"/>
          <w:spacing w:val="1"/>
        </w:rPr>
        <w:t>（敏感度</w:t>
      </w:r>
      <w:r>
        <w:rPr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84.5%</w:t>
      </w:r>
      <w:r>
        <w:rPr>
          <w:color w:val="231F20"/>
          <w:spacing w:val="1"/>
        </w:rPr>
        <w:t>，特异度 </w:t>
      </w:r>
      <w:r>
        <w:rPr>
          <w:sz w:val="20"/>
          <w:szCs w:val="20"/>
          <w:color w:val="231F20"/>
          <w:spacing w:val="1"/>
        </w:rPr>
        <w:t>41.9%</w:t>
      </w:r>
      <w:r>
        <w:rPr>
          <w:color w:val="231F20"/>
          <w:spacing w:val="-29"/>
          <w:w w:val="64"/>
        </w:rPr>
        <w:t>），</w:t>
      </w:r>
      <w:r>
        <w:rPr>
          <w:color w:val="231F20"/>
          <w:spacing w:val="1"/>
        </w:rPr>
        <w:t>与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国内姜启海等</w:t>
      </w:r>
      <w:r>
        <w:rPr>
          <w:sz w:val="11"/>
          <w:szCs w:val="11"/>
          <w:color w:val="231F20"/>
          <w:spacing w:val="8"/>
          <w:position w:val="5"/>
        </w:rPr>
        <w:t>[3]</w:t>
      </w:r>
      <w:r>
        <w:rPr>
          <w:color w:val="231F20"/>
          <w:spacing w:val="8"/>
        </w:rPr>
        <w:t>和李小平等</w:t>
      </w:r>
      <w:r>
        <w:rPr>
          <w:sz w:val="11"/>
          <w:szCs w:val="11"/>
          <w:color w:val="231F20"/>
          <w:spacing w:val="8"/>
          <w:position w:val="5"/>
        </w:rPr>
        <w:t>[19]</w:t>
      </w:r>
      <w:r>
        <w:rPr>
          <w:color w:val="231F20"/>
          <w:spacing w:val="8"/>
        </w:rPr>
        <w:t>研究结</w:t>
      </w:r>
      <w:r>
        <w:rPr>
          <w:color w:val="231F20"/>
          <w:spacing w:val="7"/>
        </w:rPr>
        <w:t>果较一致（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预测脏器损害的最佳临界值为 </w:t>
      </w:r>
      <w:r>
        <w:rPr>
          <w:sz w:val="20"/>
          <w:szCs w:val="20"/>
          <w:color w:val="231F20"/>
          <w:spacing w:val="6"/>
        </w:rPr>
        <w:t>2.40</w:t>
      </w:r>
      <w:r>
        <w:rPr>
          <w:color w:val="231F20"/>
          <w:spacing w:val="6"/>
        </w:rPr>
        <w:t>；对预测胃肠道出血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的最佳临界值为 </w:t>
      </w:r>
      <w:r>
        <w:rPr>
          <w:sz w:val="20"/>
          <w:szCs w:val="20"/>
          <w:color w:val="231F20"/>
          <w:spacing w:val="5"/>
        </w:rPr>
        <w:t>2.34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color w:val="231F20"/>
          <w:spacing w:val="5"/>
        </w:rPr>
        <w:t>，对预测肾炎的临</w:t>
      </w:r>
      <w:r>
        <w:rPr>
          <w:color w:val="231F20"/>
          <w:spacing w:val="4"/>
        </w:rPr>
        <w:t>界值是 </w:t>
      </w:r>
      <w:r>
        <w:rPr>
          <w:sz w:val="20"/>
          <w:szCs w:val="20"/>
          <w:color w:val="231F20"/>
          <w:spacing w:val="4"/>
        </w:rPr>
        <w:t>2.28</w:t>
      </w:r>
      <w:r>
        <w:rPr>
          <w:color w:val="231F20"/>
          <w:spacing w:val="4"/>
        </w:rPr>
        <w:t>）。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本研究结果也证实了 </w:t>
      </w:r>
      <w:r>
        <w:rPr>
          <w:sz w:val="20"/>
          <w:szCs w:val="20"/>
          <w:color w:val="231F20"/>
          <w:position w:val="-1"/>
        </w:rPr>
        <w:t>NLR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color w:val="231F20"/>
          <w:spacing w:val="15"/>
        </w:rPr>
        <w:t>与 </w:t>
      </w:r>
      <w:r>
        <w:rPr>
          <w:sz w:val="20"/>
          <w:szCs w:val="20"/>
          <w:color w:val="231F20"/>
        </w:rPr>
        <w:t>NEU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计数在疾病病情严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重和（或）伴脏器损害的成人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患者中更高。</w:t>
      </w:r>
    </w:p>
    <w:p>
      <w:pPr>
        <w:pStyle w:val="BodyText"/>
        <w:ind w:left="618" w:right="274" w:firstLine="420"/>
        <w:spacing w:before="2" w:line="204" w:lineRule="auto"/>
        <w:jc w:val="both"/>
        <w:rPr/>
      </w:pPr>
      <w:r>
        <w:rPr>
          <w:sz w:val="20"/>
          <w:szCs w:val="20"/>
          <w:color w:val="231F20"/>
        </w:rPr>
        <w:t>HSP </w:t>
      </w:r>
      <w:r>
        <w:rPr>
          <w:color w:val="231F20"/>
        </w:rPr>
        <w:t>以秋冬季节为发病高峰，通常与感染因素有关，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本研究也证实了这点（其中约</w:t>
      </w:r>
      <w:r>
        <w:rPr>
          <w:sz w:val="20"/>
          <w:szCs w:val="20"/>
          <w:color w:val="231F20"/>
          <w:spacing w:val="4"/>
        </w:rPr>
        <w:t>63.4%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患者发病于秋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冬季节；约 </w:t>
      </w:r>
      <w:r>
        <w:rPr>
          <w:sz w:val="20"/>
          <w:szCs w:val="20"/>
          <w:color w:val="231F20"/>
          <w:spacing w:val="7"/>
        </w:rPr>
        <w:t>42.6%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患者伴呼吸道感染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7"/>
          <w:w w:val="60"/>
        </w:rPr>
        <w:t>），</w:t>
      </w:r>
      <w:r>
        <w:rPr>
          <w:color w:val="231F20"/>
          <w:spacing w:val="7"/>
        </w:rPr>
        <w:t>提示</w:t>
      </w:r>
      <w:r>
        <w:rPr>
          <w:sz w:val="20"/>
          <w:szCs w:val="20"/>
          <w:color w:val="231F20"/>
        </w:rPr>
        <w:t>WBC  </w:t>
      </w:r>
      <w:r>
        <w:rPr>
          <w:color w:val="231F20"/>
          <w:spacing w:val="11"/>
        </w:rPr>
        <w:t>计数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</w:t>
      </w:r>
      <w:r>
        <w:rPr>
          <w:sz w:val="20"/>
          <w:szCs w:val="20"/>
          <w:color w:val="231F20"/>
          <w:position w:val="-1"/>
        </w:rPr>
        <w:t>CRP</w:t>
      </w:r>
      <w:r>
        <w:rPr>
          <w:sz w:val="20"/>
          <w:szCs w:val="20"/>
          <w:color w:val="231F20"/>
          <w:spacing w:val="11"/>
          <w:position w:val="-1"/>
        </w:rPr>
        <w:t xml:space="preserve"> </w:t>
      </w:r>
      <w:r>
        <w:rPr>
          <w:color w:val="231F20"/>
          <w:spacing w:val="11"/>
        </w:rPr>
        <w:t>和 </w:t>
      </w:r>
      <w:r>
        <w:rPr>
          <w:sz w:val="20"/>
          <w:szCs w:val="20"/>
          <w:color w:val="231F20"/>
          <w:position w:val="-1"/>
        </w:rPr>
        <w:t>ESR</w:t>
      </w:r>
      <w:r>
        <w:rPr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color w:val="231F20"/>
          <w:spacing w:val="11"/>
        </w:rPr>
        <w:t>的变化均为身体对一个持续炎症过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程本身的反应。本研究亦发现 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计数、</w:t>
      </w:r>
      <w:r>
        <w:rPr>
          <w:sz w:val="20"/>
          <w:szCs w:val="20"/>
          <w:color w:val="231F20"/>
          <w:position w:val="-1"/>
        </w:rPr>
        <w:t>CRP</w:t>
      </w:r>
      <w:r>
        <w:rPr>
          <w:sz w:val="20"/>
          <w:szCs w:val="20"/>
          <w:color w:val="231F20"/>
          <w:spacing w:val="7"/>
          <w:position w:val="-1"/>
        </w:rPr>
        <w:t xml:space="preserve"> </w:t>
      </w:r>
      <w:r>
        <w:rPr>
          <w:color w:val="231F20"/>
          <w:spacing w:val="7"/>
        </w:rPr>
        <w:t>和 </w:t>
      </w:r>
      <w:r>
        <w:rPr>
          <w:sz w:val="20"/>
          <w:szCs w:val="20"/>
          <w:color w:val="231F20"/>
          <w:position w:val="-1"/>
        </w:rPr>
        <w:t>ESR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color w:val="231F20"/>
          <w:spacing w:val="10"/>
        </w:rPr>
        <w:t>与胃肠道和肾脏受累均相关，与既往研究结果相似，考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虑可能与脏器损害的</w:t>
      </w:r>
      <w:r>
        <w:rPr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14"/>
          <w:position w:val="-1"/>
        </w:rPr>
        <w:t xml:space="preserve"> </w:t>
      </w:r>
      <w:r>
        <w:rPr>
          <w:color w:val="231F20"/>
          <w:spacing w:val="14"/>
        </w:rPr>
        <w:t>患者急性期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4"/>
        </w:rPr>
        <w:t>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4"/>
        </w:rPr>
        <w:t>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较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强</w:t>
      </w:r>
      <w:r>
        <w:rPr>
          <w:color w:val="231F20"/>
        </w:rPr>
        <w:t xml:space="preserve">  </w:t>
      </w:r>
      <w:r>
        <w:rPr>
          <w:color w:val="231F20"/>
          <w:spacing w:val="4"/>
          <w:position w:val="-2"/>
        </w:rPr>
        <w:t>有关</w:t>
      </w:r>
      <w:r>
        <w:rPr>
          <w:sz w:val="11"/>
          <w:szCs w:val="11"/>
          <w:color w:val="231F20"/>
          <w:spacing w:val="4"/>
          <w:position w:val="4"/>
        </w:rPr>
        <w:t>[20-22]</w:t>
      </w:r>
      <w:r>
        <w:rPr>
          <w:sz w:val="11"/>
          <w:szCs w:val="11"/>
          <w:color w:val="231F20"/>
          <w:spacing w:val="7"/>
          <w:position w:val="4"/>
        </w:rPr>
        <w:t xml:space="preserve"> </w:t>
      </w:r>
      <w:r>
        <w:rPr>
          <w:color w:val="231F20"/>
          <w:spacing w:val="4"/>
          <w:position w:val="-3"/>
        </w:rPr>
        <w:t>。但</w:t>
      </w:r>
      <w:r>
        <w:rPr>
          <w:color w:val="231F20"/>
          <w:spacing w:val="-22"/>
          <w:position w:val="-3"/>
        </w:rPr>
        <w:t xml:space="preserve"> </w:t>
      </w:r>
      <w:r>
        <w:rPr>
          <w:sz w:val="20"/>
          <w:szCs w:val="20"/>
          <w:color w:val="231F20"/>
          <w:position w:val="-3"/>
        </w:rPr>
        <w:t>KARADA</w:t>
      </w:r>
      <w:r>
        <w:rPr>
          <w:sz w:val="20"/>
          <w:szCs w:val="20"/>
          <w:position w:val="-2"/>
        </w:rPr>
        <w:drawing>
          <wp:inline distT="0" distB="0" distL="0" distR="0">
            <wp:extent cx="75985" cy="9398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85" cy="9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4"/>
        </w:rPr>
        <w:t>等</w:t>
      </w:r>
      <w:r>
        <w:rPr>
          <w:sz w:val="11"/>
          <w:szCs w:val="11"/>
          <w:color w:val="231F20"/>
          <w:spacing w:val="4"/>
          <w:position w:val="6"/>
        </w:rPr>
        <w:t>[12]</w:t>
      </w:r>
      <w:r>
        <w:rPr>
          <w:color w:val="231F20"/>
          <w:spacing w:val="4"/>
        </w:rPr>
        <w:t>研究结果显示单纯型 </w:t>
      </w:r>
      <w:r>
        <w:rPr>
          <w:sz w:val="20"/>
          <w:szCs w:val="20"/>
          <w:color w:val="231F20"/>
        </w:rPr>
        <w:t>HSP  </w:t>
      </w:r>
      <w:r>
        <w:rPr>
          <w:color w:val="231F20"/>
        </w:rPr>
        <w:t>患者 </w:t>
      </w:r>
      <w:r>
        <w:rPr>
          <w:sz w:val="20"/>
          <w:szCs w:val="20"/>
          <w:color w:val="231F20"/>
        </w:rPr>
        <w:t>WBC </w:t>
      </w:r>
      <w:r>
        <w:rPr>
          <w:color w:val="231F20"/>
        </w:rPr>
        <w:t>计数、</w:t>
      </w:r>
      <w:r>
        <w:rPr>
          <w:sz w:val="20"/>
          <w:szCs w:val="20"/>
          <w:color w:val="231F20"/>
          <w:position w:val="-1"/>
        </w:rPr>
        <w:t>CRP</w:t>
      </w:r>
      <w:r>
        <w:rPr>
          <w:color w:val="231F20"/>
        </w:rPr>
        <w:t>、</w:t>
      </w:r>
      <w:r>
        <w:rPr>
          <w:sz w:val="20"/>
          <w:szCs w:val="20"/>
          <w:color w:val="231F20"/>
        </w:rPr>
        <w:t>ESR </w:t>
      </w:r>
      <w:r>
        <w:rPr>
          <w:color w:val="231F20"/>
        </w:rPr>
        <w:t>水平均高于健康对照组，但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3"/>
        </w:rPr>
        <w:t>与脏器受累的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13"/>
        </w:rPr>
        <w:t>患者指标比较，差异均无统计学意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义。可能由于本研究是回顾性研究，与样本数量较小或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7"/>
        </w:rPr>
        <w:t>临床资料不全有关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7"/>
        </w:rPr>
        <w:t>，故仍需行大样本的前瞻性研究探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讨炎症指标与成人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伴脏器损害的相关性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619" w:right="262" w:firstLine="428"/>
        <w:spacing w:before="2" w:line="215" w:lineRule="auto"/>
        <w:jc w:val="both"/>
        <w:rPr/>
      </w:pPr>
      <w:r>
        <w:rPr>
          <w:color w:val="231F20"/>
          <w:spacing w:val="17"/>
        </w:rPr>
        <w:t>本研究结果显示脏器损害型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17"/>
        </w:rPr>
        <w:t>组患者 </w:t>
      </w:r>
      <w:r>
        <w:rPr>
          <w:sz w:val="20"/>
          <w:szCs w:val="20"/>
          <w:color w:val="231F20"/>
          <w:position w:val="-1"/>
        </w:rPr>
        <w:t>FDP</w:t>
      </w:r>
      <w:r>
        <w:rPr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color w:val="231F20"/>
          <w:spacing w:val="17"/>
        </w:rPr>
        <w:t>和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D-D </w:t>
      </w:r>
      <w:r>
        <w:rPr>
          <w:color w:val="231F20"/>
          <w:spacing w:val="-2"/>
        </w:rPr>
        <w:t>水平较单纯型 </w:t>
      </w:r>
      <w:r>
        <w:rPr>
          <w:sz w:val="20"/>
          <w:szCs w:val="20"/>
          <w:color w:val="231F20"/>
          <w:spacing w:val="-2"/>
        </w:rPr>
        <w:t>HSP </w:t>
      </w:r>
      <w:r>
        <w:rPr>
          <w:color w:val="231F20"/>
          <w:spacing w:val="-2"/>
        </w:rPr>
        <w:t>组高</w:t>
      </w:r>
      <w:r>
        <w:rPr>
          <w:color w:val="231F20"/>
          <w:spacing w:val="-2"/>
          <w:position w:val="-1"/>
        </w:rPr>
        <w:t>，</w:t>
      </w:r>
      <w:r>
        <w:rPr>
          <w:color w:val="231F20"/>
          <w:spacing w:val="-2"/>
        </w:rPr>
        <w:t>与国内研究结果一致</w:t>
      </w:r>
      <w:r>
        <w:rPr>
          <w:sz w:val="11"/>
          <w:szCs w:val="11"/>
          <w:color w:val="231F20"/>
          <w:spacing w:val="-2"/>
          <w:position w:val="6"/>
        </w:rPr>
        <w:t>[23-24]</w:t>
      </w:r>
      <w:r>
        <w:rPr>
          <w:color w:val="231F20"/>
          <w:spacing w:val="-2"/>
          <w:position w:val="-1"/>
        </w:rPr>
        <w:t>。</w:t>
      </w:r>
      <w:r>
        <w:rPr>
          <w:color w:val="231F20"/>
          <w:spacing w:val="14"/>
          <w:w w:val="101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FDP</w:t>
      </w:r>
      <w:r>
        <w:rPr>
          <w:sz w:val="20"/>
          <w:szCs w:val="20"/>
          <w:color w:val="231F20"/>
          <w:spacing w:val="8"/>
          <w:position w:val="-1"/>
        </w:rPr>
        <w:t xml:space="preserve"> </w:t>
      </w:r>
      <w:r>
        <w:rPr>
          <w:color w:val="231F20"/>
          <w:spacing w:val="8"/>
        </w:rPr>
        <w:t>和 </w:t>
      </w:r>
      <w:r>
        <w:rPr>
          <w:sz w:val="20"/>
          <w:szCs w:val="20"/>
          <w:color w:val="231F20"/>
          <w:spacing w:val="8"/>
        </w:rPr>
        <w:t>D-D </w:t>
      </w:r>
      <w:r>
        <w:rPr>
          <w:color w:val="231F20"/>
          <w:spacing w:val="8"/>
        </w:rPr>
        <w:t>参与凝血机制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，水平显著升高时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8"/>
        </w:rPr>
        <w:t>，考虑可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能与免疫复合物沉积激活凝血途径有关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7"/>
        </w:rPr>
        <w:t>，然而血液高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凝促进微血栓的形成，从而阻塞血管，加重胃肠道和肾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脏的受累，提示成人 </w:t>
      </w:r>
      <w:r>
        <w:rPr>
          <w:sz w:val="20"/>
          <w:szCs w:val="20"/>
          <w:color w:val="231F20"/>
          <w:spacing w:val="-4"/>
        </w:rPr>
        <w:t>HSP </w:t>
      </w:r>
      <w:r>
        <w:rPr>
          <w:color w:val="231F20"/>
          <w:spacing w:val="-4"/>
        </w:rPr>
        <w:t>患者更易出现脏器损害，即 </w:t>
      </w:r>
      <w:r>
        <w:rPr>
          <w:sz w:val="20"/>
          <w:szCs w:val="20"/>
          <w:color w:val="231F20"/>
          <w:spacing w:val="-4"/>
          <w:position w:val="-1"/>
        </w:rPr>
        <w:t>FDP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color w:val="231F20"/>
          <w:spacing w:val="15"/>
        </w:rPr>
        <w:t>和 </w:t>
      </w:r>
      <w:r>
        <w:rPr>
          <w:sz w:val="20"/>
          <w:szCs w:val="20"/>
          <w:color w:val="231F20"/>
          <w:spacing w:val="15"/>
          <w:position w:val="-1"/>
        </w:rPr>
        <w:t>D-D </w:t>
      </w:r>
      <w:r>
        <w:rPr>
          <w:color w:val="231F20"/>
          <w:spacing w:val="15"/>
        </w:rPr>
        <w:t>水平可用于诊断和预测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患者是否伴有脏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5"/>
        </w:rPr>
        <w:t>器损害。</w:t>
      </w:r>
    </w:p>
    <w:p>
      <w:pPr>
        <w:pStyle w:val="BodyText"/>
        <w:ind w:left="621" w:right="274" w:firstLine="419"/>
        <w:spacing w:before="6" w:line="212" w:lineRule="auto"/>
        <w:jc w:val="both"/>
        <w:rPr/>
      </w:pPr>
      <w:r>
        <w:rPr>
          <w:color w:val="231F20"/>
          <w:spacing w:val="3"/>
        </w:rPr>
        <w:t>此外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，本研究结果示腹型</w:t>
      </w:r>
      <w:r>
        <w:rPr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、肾型</w:t>
      </w:r>
      <w:r>
        <w:rPr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HSP</w:t>
      </w:r>
      <w:r>
        <w:rPr>
          <w:sz w:val="20"/>
          <w:szCs w:val="20"/>
          <w:color w:val="231F20"/>
          <w:spacing w:val="3"/>
          <w:position w:val="-1"/>
        </w:rPr>
        <w:t xml:space="preserve"> </w:t>
      </w:r>
      <w:r>
        <w:rPr>
          <w:color w:val="231F20"/>
          <w:spacing w:val="3"/>
        </w:rPr>
        <w:t>组和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混合型（腹型</w:t>
      </w:r>
      <w:r>
        <w:rPr>
          <w:sz w:val="20"/>
          <w:szCs w:val="20"/>
          <w:color w:val="231F20"/>
          <w:spacing w:val="-11"/>
        </w:rPr>
        <w:t>+</w:t>
      </w:r>
      <w:r>
        <w:rPr>
          <w:color w:val="231F20"/>
          <w:spacing w:val="-11"/>
        </w:rPr>
        <w:t>肾型）</w:t>
      </w:r>
      <w:r>
        <w:rPr>
          <w:sz w:val="20"/>
          <w:szCs w:val="20"/>
          <w:color w:val="231F20"/>
          <w:spacing w:val="-11"/>
        </w:rPr>
        <w:t>HSP </w:t>
      </w:r>
      <w:r>
        <w:rPr>
          <w:color w:val="231F20"/>
          <w:spacing w:val="-11"/>
        </w:rPr>
        <w:t>组 </w:t>
      </w:r>
      <w:r>
        <w:rPr>
          <w:sz w:val="20"/>
          <w:szCs w:val="20"/>
          <w:color w:val="231F20"/>
          <w:spacing w:val="-11"/>
        </w:rPr>
        <w:t>NLR</w:t>
      </w:r>
      <w:r>
        <w:rPr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NEU</w:t>
      </w:r>
      <w:r>
        <w:rPr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WBC </w:t>
      </w:r>
      <w:r>
        <w:rPr>
          <w:color w:val="231F20"/>
          <w:spacing w:val="-11"/>
        </w:rPr>
        <w:t>计数比较，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差异均无统计学意义，表明 </w:t>
      </w:r>
      <w:r>
        <w:rPr>
          <w:sz w:val="20"/>
          <w:szCs w:val="20"/>
          <w:color w:val="231F20"/>
          <w:position w:val="-1"/>
        </w:rPr>
        <w:t>NLR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color w:val="231F20"/>
          <w:spacing w:val="6"/>
        </w:rPr>
        <w:t>和 </w:t>
      </w:r>
      <w:r>
        <w:rPr>
          <w:sz w:val="20"/>
          <w:szCs w:val="20"/>
          <w:color w:val="231F20"/>
        </w:rPr>
        <w:t>NEU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6"/>
        </w:rPr>
        <w:t>等标志物并不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3"/>
        </w:rPr>
        <w:t>能作为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13"/>
        </w:rPr>
        <w:t>患者不同脏器损害特异性的预测指标，与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姜启海等</w:t>
      </w:r>
      <w:r>
        <w:rPr>
          <w:sz w:val="11"/>
          <w:szCs w:val="11"/>
          <w:color w:val="231F20"/>
          <w:spacing w:val="12"/>
          <w:position w:val="5"/>
        </w:rPr>
        <w:t>[3]</w:t>
      </w:r>
      <w:r>
        <w:rPr>
          <w:color w:val="231F20"/>
          <w:spacing w:val="12"/>
        </w:rPr>
        <w:t>研究结果一致</w:t>
      </w:r>
      <w:r>
        <w:rPr>
          <w:color w:val="231F20"/>
          <w:spacing w:val="12"/>
          <w:position w:val="-1"/>
        </w:rPr>
        <w:t>。</w:t>
      </w:r>
    </w:p>
    <w:p>
      <w:pPr>
        <w:pStyle w:val="BodyText"/>
        <w:ind w:left="615" w:right="260" w:firstLine="424"/>
        <w:spacing w:before="3" w:line="211" w:lineRule="auto"/>
        <w:jc w:val="both"/>
        <w:rPr/>
      </w:pPr>
      <w:r>
        <w:rPr>
          <w:color w:val="231F20"/>
          <w:spacing w:val="2"/>
        </w:rPr>
        <w:t>综上所述，成人脏器损害型</w:t>
      </w:r>
      <w:r>
        <w:rPr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患者 </w:t>
      </w:r>
      <w:r>
        <w:rPr>
          <w:sz w:val="20"/>
          <w:szCs w:val="20"/>
          <w:color w:val="231F20"/>
        </w:rPr>
        <w:t>NLR</w:t>
      </w:r>
      <w:r>
        <w:rPr>
          <w:color w:val="231F20"/>
          <w:spacing w:val="2"/>
        </w:rPr>
        <w:t>、</w:t>
      </w:r>
      <w:r>
        <w:rPr>
          <w:sz w:val="20"/>
          <w:szCs w:val="20"/>
          <w:color w:val="231F20"/>
        </w:rPr>
        <w:t>NEU</w:t>
      </w:r>
      <w:r>
        <w:rPr>
          <w:color w:val="231F20"/>
          <w:spacing w:val="2"/>
        </w:rPr>
        <w:t>、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WBC </w:t>
      </w:r>
      <w:r>
        <w:rPr>
          <w:color w:val="231F20"/>
          <w:spacing w:val="-2"/>
        </w:rPr>
        <w:t>计数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CRP</w:t>
      </w:r>
      <w:r>
        <w:rPr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ESR</w:t>
      </w:r>
      <w:r>
        <w:rPr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FDP </w:t>
      </w:r>
      <w:r>
        <w:rPr>
          <w:color w:val="231F20"/>
          <w:spacing w:val="-2"/>
        </w:rPr>
        <w:t>和 </w:t>
      </w:r>
      <w:r>
        <w:rPr>
          <w:sz w:val="20"/>
          <w:szCs w:val="20"/>
          <w:color w:val="231F20"/>
          <w:spacing w:val="-3"/>
        </w:rPr>
        <w:t>D-D </w:t>
      </w:r>
      <w:r>
        <w:rPr>
          <w:color w:val="231F20"/>
          <w:spacing w:val="-3"/>
        </w:rPr>
        <w:t>水平均高于单纯型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患者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，提示上述指标均可作为诊断和预测伴有脏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器损害的成人 </w:t>
      </w:r>
      <w:r>
        <w:rPr>
          <w:sz w:val="20"/>
          <w:szCs w:val="20"/>
          <w:color w:val="231F20"/>
        </w:rPr>
        <w:t>HSP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color w:val="231F20"/>
          <w:spacing w:val="13"/>
        </w:rPr>
        <w:t>的简易血液学指标，具有一定的临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床价值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。然而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，仍需要进一步的前瞻性和多中心性研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究，分析上述参数对预测疾病严重程度的有效性，并探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索新的临界值，以供临床参考。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75"/>
        <w:spacing w:before="44" w:line="183" w:lineRule="auto"/>
        <w:outlineLvl w:val="1"/>
        <w:rPr/>
      </w:pPr>
      <w:r>
        <w:rPr>
          <w:color w:val="231F20"/>
          <w:spacing w:val="14"/>
        </w:rPr>
        <w:t>参考文献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21" w:right="48" w:hanging="421"/>
        <w:spacing w:before="64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[1]      CATAL  O,   OZER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5"/>
        </w:rPr>
        <w:t>B,   SIT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5"/>
        </w:rPr>
        <w:t>M.   Henoch-Schönlein  purpura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5"/>
        </w:rPr>
        <w:t>pre-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senting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with  acute  abdomen[J].  J  Coll  Physicians  Surg  Pak,  20</w:t>
      </w:r>
      <w:r>
        <w:rPr>
          <w:sz w:val="15"/>
          <w:szCs w:val="15"/>
          <w:color w:val="231F20"/>
          <w:spacing w:val="-10"/>
        </w:rPr>
        <w:t>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31(3)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350-352.</w:t>
      </w:r>
    </w:p>
    <w:p>
      <w:pPr>
        <w:pStyle w:val="BodyText"/>
        <w:ind w:left="417" w:right="33" w:hanging="418"/>
        <w:spacing w:before="76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[2]      PARK  C  H,  HAN  D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S,  JEONG  J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5"/>
        </w:rPr>
        <w:t>Y,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Th</w:t>
      </w:r>
      <w:r>
        <w:rPr>
          <w:sz w:val="15"/>
          <w:szCs w:val="15"/>
          <w:color w:val="231F20"/>
          <w:spacing w:val="-6"/>
        </w:rPr>
        <w:t>e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optimal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cut-off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value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  neutrophil-to-lymphocyte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ratio  for   predicting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prognosis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in  adult  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with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Henoch-</w:t>
      </w:r>
      <w:r>
        <w:rPr>
          <w:sz w:val="15"/>
          <w:szCs w:val="15"/>
          <w:color w:val="231F20"/>
          <w:spacing w:val="-9"/>
        </w:rPr>
        <w:t>Schönlein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purpura[J].   PLoS   One,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2016,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11(4)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e0153238.</w:t>
      </w:r>
    </w:p>
    <w:p>
      <w:pPr>
        <w:pStyle w:val="BodyText"/>
        <w:ind w:left="422" w:hanging="422"/>
        <w:spacing w:before="43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[3]     </w:t>
      </w:r>
      <w:r>
        <w:rPr>
          <w:sz w:val="14"/>
          <w:szCs w:val="14"/>
          <w:color w:val="231F20"/>
          <w:spacing w:val="10"/>
        </w:rPr>
        <w:t>姜启海 ，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0"/>
        </w:rPr>
        <w:t>薛晓彤 ，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0"/>
        </w:rPr>
        <w:t>党宁宁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9"/>
        </w:rPr>
        <w:t>中性粒细胞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4"/>
          <w:szCs w:val="14"/>
          <w:color w:val="231F20"/>
          <w:spacing w:val="9"/>
        </w:rPr>
        <w:t>淋巴细胞比值对伴脏器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2"/>
        </w:rPr>
        <w:t>损害过敏性紫癜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2"/>
        </w:rPr>
        <w:t>的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2"/>
        </w:rPr>
        <w:t>临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2"/>
        </w:rPr>
        <w:t>床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2"/>
        </w:rPr>
        <w:t>意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义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2"/>
        </w:rPr>
        <w:t>中 国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2"/>
        </w:rPr>
        <w:t>麻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风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2"/>
        </w:rPr>
        <w:t>皮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2"/>
        </w:rPr>
        <w:t>肤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2"/>
        </w:rPr>
        <w:t>病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志 ，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2018</w:t>
      </w:r>
      <w:r>
        <w:rPr>
          <w:sz w:val="14"/>
          <w:szCs w:val="14"/>
          <w:color w:val="231F20"/>
          <w:spacing w:val="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34(7)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391-395.</w:t>
      </w:r>
    </w:p>
    <w:p>
      <w:pPr>
        <w:pStyle w:val="BodyText"/>
        <w:ind w:left="417" w:right="7" w:hanging="418"/>
        <w:spacing w:before="7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[4]      CHEN  C  J,   YANG  H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T,   CAI  D,   et  al.   Preoperative  peripheral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blood  neutrophil-to-</w:t>
      </w:r>
      <w:r>
        <w:rPr>
          <w:sz w:val="15"/>
          <w:szCs w:val="15"/>
          <w:color w:val="231F20"/>
          <w:spacing w:val="-8"/>
        </w:rPr>
        <w:t>lymphocyte  ratios(NLR)   and  platelet-to-lym-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phocyte  ratio(PLR)  related</w:t>
      </w:r>
      <w:r>
        <w:rPr>
          <w:sz w:val="15"/>
          <w:szCs w:val="15"/>
          <w:color w:val="231F20"/>
          <w:spacing w:val="-10"/>
        </w:rPr>
        <w:t xml:space="preserve">  nomograms  predict  the  survival  of  pa-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tients  with  limited-stage  small-cell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lung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cancer[J].   Transl   Lung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Cancer  Res,  2021,  10(2)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866-8</w:t>
      </w:r>
      <w:r>
        <w:rPr>
          <w:sz w:val="15"/>
          <w:szCs w:val="15"/>
          <w:color w:val="231F20"/>
          <w:spacing w:val="-7"/>
        </w:rPr>
        <w:t>77.</w:t>
      </w:r>
    </w:p>
    <w:p>
      <w:pPr>
        <w:pStyle w:val="BodyText"/>
        <w:ind w:left="420" w:right="43" w:hanging="420"/>
        <w:spacing w:before="74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[5]      HOU  P,  XUE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H  P,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MAO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7"/>
        </w:rPr>
        <w:t>X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7"/>
        </w:rPr>
        <w:t>E,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Inflamma</w:t>
      </w:r>
      <w:r>
        <w:rPr>
          <w:sz w:val="15"/>
          <w:szCs w:val="15"/>
          <w:color w:val="231F20"/>
          <w:spacing w:val="-8"/>
        </w:rPr>
        <w:t>tion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markers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associated   with   frailty   in   elderly   patients   with   coronary   heart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disease[J].  Aging(</w:t>
      </w:r>
      <w:r>
        <w:rPr>
          <w:sz w:val="15"/>
          <w:szCs w:val="15"/>
          <w:color w:val="231F20"/>
          <w:spacing w:val="-7"/>
        </w:rPr>
        <w:t>Albany  NY),  2018,  10(10) 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2636-2645.</w:t>
      </w:r>
    </w:p>
    <w:p>
      <w:pPr>
        <w:pStyle w:val="BodyText"/>
        <w:ind w:left="418" w:right="25" w:hanging="418"/>
        <w:spacing w:before="9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[6]      OZEN  S,   PISTORIO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4"/>
        </w:rPr>
        <w:t>A,   IUSAN  S</w:t>
      </w:r>
      <w:r>
        <w:rPr>
          <w:sz w:val="15"/>
          <w:szCs w:val="15"/>
          <w:color w:val="231F20"/>
          <w:spacing w:val="-5"/>
        </w:rPr>
        <w:t xml:space="preserve">   M,   et  al.   EULAR/PIUNTO/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PRES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criteria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Henoch-Schönlein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purpura,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10"/>
        </w:rPr>
        <w:t>hildhood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polyarteritis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nodosa, childhood  Wegener  granulomatosis  and  childhood  Takaya-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su  arteritis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Ankara  2008.  Part   Ⅱ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final  classification  cfitefia[J].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Ann  Rheum  Dis,  2010,  69(5) 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798-806．</w:t>
      </w:r>
    </w:p>
    <w:p>
      <w:pPr>
        <w:pStyle w:val="BodyText"/>
        <w:ind w:left="422" w:right="42" w:hanging="422"/>
        <w:spacing w:before="49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[7]     </w:t>
      </w:r>
      <w:r>
        <w:rPr>
          <w:sz w:val="14"/>
          <w:szCs w:val="14"/>
          <w:color w:val="231F20"/>
          <w:spacing w:val="5"/>
        </w:rPr>
        <w:t>朱春华 ，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5"/>
        </w:rPr>
        <w:t>黄松明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4"/>
          <w:szCs w:val="14"/>
          <w:color w:val="231F20"/>
          <w:spacing w:val="5"/>
        </w:rPr>
        <w:t>紫癜性肾炎诊治循证指南（</w:t>
      </w:r>
      <w:r>
        <w:rPr>
          <w:sz w:val="15"/>
          <w:szCs w:val="15"/>
          <w:color w:val="231F20"/>
          <w:spacing w:val="5"/>
        </w:rPr>
        <w:t>2016</w:t>
      </w:r>
      <w:r>
        <w:rPr>
          <w:sz w:val="14"/>
          <w:szCs w:val="14"/>
          <w:color w:val="231F20"/>
          <w:spacing w:val="5"/>
        </w:rPr>
        <w:t>）</w:t>
      </w:r>
      <w:r>
        <w:rPr>
          <w:sz w:val="15"/>
          <w:szCs w:val="15"/>
          <w:color w:val="231F20"/>
          <w:spacing w:val="5"/>
        </w:rPr>
        <w:t>[J</w:t>
      </w:r>
      <w:r>
        <w:rPr>
          <w:sz w:val="15"/>
          <w:szCs w:val="15"/>
          <w:color w:val="231F20"/>
          <w:spacing w:val="4"/>
        </w:rPr>
        <w:t>].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4"/>
        </w:rPr>
        <w:t>中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华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儿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科杂志 ，</w:t>
      </w:r>
      <w:r>
        <w:rPr>
          <w:sz w:val="15"/>
          <w:szCs w:val="15"/>
          <w:color w:val="231F20"/>
          <w:spacing w:val="-4"/>
        </w:rPr>
        <w:t>2017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55(9)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647-651.</w:t>
      </w:r>
    </w:p>
    <w:p>
      <w:pPr>
        <w:pStyle w:val="BodyText"/>
        <w:ind w:left="420" w:right="43" w:hanging="420"/>
        <w:spacing w:before="77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[8]      KAWASAKI  Y. The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pathogenesis  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treatment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pediatric  Heno-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ch-Schönlein  purpu</w:t>
      </w:r>
      <w:r>
        <w:rPr>
          <w:sz w:val="15"/>
          <w:szCs w:val="15"/>
          <w:color w:val="231F20"/>
          <w:spacing w:val="-7"/>
        </w:rPr>
        <w:t>ra  nephritis[J].   Clin  Exp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Nephrol,   2011,   15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(5)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648-657.</w:t>
      </w:r>
    </w:p>
    <w:p>
      <w:pPr>
        <w:pStyle w:val="BodyText"/>
        <w:ind w:left="417" w:hanging="418"/>
        <w:spacing w:before="72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[9]      EKINCI  R  M  K,  BALCI  S,  SARI  G</w:t>
      </w:r>
      <w:r>
        <w:rPr>
          <w:sz w:val="15"/>
          <w:szCs w:val="15"/>
          <w:color w:val="231F20"/>
          <w:spacing w:val="60"/>
        </w:rPr>
        <w:t xml:space="preserve"> </w:t>
      </w:r>
      <w:r>
        <w:rPr>
          <w:sz w:val="15"/>
          <w:szCs w:val="15"/>
          <w:color w:val="231F20"/>
          <w:spacing w:val="-4"/>
        </w:rPr>
        <w:t>S,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4"/>
        </w:rPr>
        <w:t>et  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Do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practical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labo-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ratory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indices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predict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child</w:t>
      </w:r>
      <w:r>
        <w:rPr>
          <w:sz w:val="15"/>
          <w:szCs w:val="15"/>
          <w:color w:val="231F20"/>
          <w:spacing w:val="-12"/>
        </w:rPr>
        <w:t>ren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2"/>
        </w:rPr>
        <w:t>Henoch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Schönlein  purpura?[J].  Postgrad  M</w:t>
      </w:r>
      <w:r>
        <w:rPr>
          <w:sz w:val="15"/>
          <w:szCs w:val="15"/>
          <w:color w:val="231F20"/>
          <w:spacing w:val="-9"/>
        </w:rPr>
        <w:t>ed,  2019,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131(4) 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295-298.</w:t>
      </w:r>
    </w:p>
    <w:p>
      <w:pPr>
        <w:pStyle w:val="BodyText"/>
        <w:ind w:left="420" w:right="39" w:hanging="420"/>
        <w:spacing w:before="90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[10]    SELEWSKI  D  T,</w:t>
      </w:r>
      <w:r>
        <w:rPr>
          <w:sz w:val="15"/>
          <w:szCs w:val="15"/>
          <w:color w:val="231F20"/>
          <w:spacing w:val="-3"/>
        </w:rPr>
        <w:t xml:space="preserve">  AMBRUZS  J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3"/>
        </w:rPr>
        <w:t>M,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3"/>
        </w:rPr>
        <w:t>APPEL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3"/>
        </w:rPr>
        <w:t>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3"/>
        </w:rPr>
        <w:t>B,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3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characteristics  and  treatment  patterns  of  children  and</w:t>
      </w:r>
      <w:r>
        <w:rPr>
          <w:sz w:val="15"/>
          <w:szCs w:val="15"/>
          <w:color w:val="231F20"/>
          <w:spacing w:val="51"/>
        </w:rPr>
        <w:t xml:space="preserve"> </w:t>
      </w:r>
      <w:r>
        <w:rPr>
          <w:sz w:val="15"/>
          <w:szCs w:val="15"/>
          <w:color w:val="231F20"/>
          <w:spacing w:val="-10"/>
        </w:rPr>
        <w:t>adults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IgA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2"/>
        </w:rPr>
        <w:t>nephropathy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IgA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vasculitis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findings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CureGN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[J].  Kidney  Int  Rep,  2018,  3(</w:t>
      </w:r>
      <w:r>
        <w:rPr>
          <w:sz w:val="15"/>
          <w:szCs w:val="15"/>
          <w:color w:val="231F20"/>
          <w:spacing w:val="-6"/>
        </w:rPr>
        <w:t>6)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1373-1384.</w:t>
      </w:r>
    </w:p>
    <w:p>
      <w:pPr>
        <w:pStyle w:val="BodyText"/>
        <w:ind w:left="417" w:right="15" w:hanging="418"/>
        <w:spacing w:before="9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[11]</w:t>
      </w:r>
      <w:r>
        <w:rPr>
          <w:sz w:val="15"/>
          <w:szCs w:val="15"/>
          <w:color w:val="231F20"/>
          <w:spacing w:val="18"/>
        </w:rPr>
        <w:t xml:space="preserve">   </w:t>
      </w:r>
      <w:r>
        <w:rPr>
          <w:sz w:val="15"/>
          <w:szCs w:val="15"/>
          <w:color w:val="231F20"/>
          <w:spacing w:val="-1"/>
        </w:rPr>
        <w:t>AUDENARD-VERGER  A,  PILLEBOUT  E,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"/>
        </w:rPr>
        <w:t>AMOURA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"/>
        </w:rPr>
        <w:t>Z,   et  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Gastrointestinal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involvement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adult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IgA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vasculiti</w:t>
      </w:r>
      <w:r>
        <w:rPr>
          <w:sz w:val="15"/>
          <w:szCs w:val="15"/>
          <w:color w:val="231F20"/>
          <w:spacing w:val="-10"/>
        </w:rPr>
        <w:t>s(Henoch-Schön-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lein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purpura)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updated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picture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from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French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multicentre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ret-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rospective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series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of  260   cases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[J].   Rheumatology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(Oxford),  </w:t>
      </w:r>
      <w:r>
        <w:rPr>
          <w:sz w:val="15"/>
          <w:szCs w:val="15"/>
          <w:color w:val="231F20"/>
          <w:spacing w:val="-11"/>
        </w:rPr>
        <w:t xml:space="preserve">  2020,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59(10)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3050-3057.</w:t>
      </w:r>
    </w:p>
    <w:p>
      <w:pPr>
        <w:pStyle w:val="BodyText"/>
        <w:ind w:left="417" w:hanging="418"/>
        <w:spacing w:before="65" w:line="21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  <w:position w:val="2"/>
        </w:rPr>
        <w:t>[12]    KARADA</w:t>
      </w:r>
      <w:r>
        <w:rPr>
          <w:sz w:val="15"/>
          <w:szCs w:val="15"/>
          <w:position w:val="2"/>
        </w:rPr>
        <w:drawing>
          <wp:inline distT="0" distB="0" distL="0" distR="0">
            <wp:extent cx="44951" cy="6985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1" cy="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"/>
        </w:rPr>
        <w:drawing>
          <wp:inline distT="0" distB="0" distL="0" distR="0">
            <wp:extent cx="96453" cy="11938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53" cy="1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color w:val="231F20"/>
          <w:spacing w:val="34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-6"/>
        </w:rPr>
        <w:t>G,  ÇAKMAK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6"/>
        </w:rPr>
        <w:t>F,  ÇIL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B,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6"/>
        </w:rPr>
        <w:t>relevance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prac-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tical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laboratory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marker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predicting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gastrointestinal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renal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involvement  in  children  w</w:t>
      </w:r>
      <w:r>
        <w:rPr>
          <w:sz w:val="15"/>
          <w:szCs w:val="15"/>
          <w:color w:val="231F20"/>
          <w:spacing w:val="-9"/>
        </w:rPr>
        <w:t>ith  Henoch-Schönlein  purpura[J].  Post-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9"/>
        </w:rPr>
        <w:t>grad  Med,  2021,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133(3) 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272-277.</w:t>
      </w:r>
    </w:p>
    <w:p>
      <w:pPr>
        <w:pStyle w:val="BodyText"/>
        <w:ind w:left="418" w:right="6" w:hanging="418"/>
        <w:spacing w:before="61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[13]    PENG  Y,  LI  Y,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5"/>
        </w:rPr>
        <w:t>HE  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5"/>
        </w:rPr>
        <w:t>H,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5"/>
        </w:rPr>
        <w:t>rol</w:t>
      </w:r>
      <w:r>
        <w:rPr>
          <w:sz w:val="15"/>
          <w:szCs w:val="15"/>
          <w:color w:val="231F20"/>
          <w:spacing w:val="-6"/>
        </w:rPr>
        <w:t>e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of  neutrophil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6"/>
        </w:rPr>
        <w:t>to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lym-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phocyte  ratio  for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the   assessment   of  liver  fibrosis   and   cirrhosis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  systematic  review[J].   Expert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Rev   Gastroenterol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H</w:t>
      </w:r>
      <w:r>
        <w:rPr>
          <w:sz w:val="15"/>
          <w:szCs w:val="15"/>
          <w:color w:val="231F20"/>
          <w:spacing w:val="-10"/>
        </w:rPr>
        <w:t>epatol,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2018,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12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503-513.</w:t>
      </w:r>
    </w:p>
    <w:p>
      <w:pPr>
        <w:pStyle w:val="BodyText"/>
        <w:ind w:left="420" w:right="41" w:hanging="420"/>
        <w:spacing w:before="23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[14]    BESBAS  N,  SAATCI  U,  RUACAN  S,  et  al.  The  role  o</w:t>
      </w:r>
      <w:r>
        <w:rPr>
          <w:sz w:val="15"/>
          <w:szCs w:val="15"/>
          <w:color w:val="231F20"/>
          <w:spacing w:val="-7"/>
        </w:rPr>
        <w:t>f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7"/>
        </w:rPr>
        <w:t>cytokines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  Henoch-Schönlein  purpura[J].   Scand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Rheumatol,   1997,   26</w:t>
      </w:r>
    </w:p>
    <w:p>
      <w:pPr>
        <w:spacing w:line="195" w:lineRule="auto"/>
        <w:sectPr>
          <w:type w:val="continuous"/>
          <w:pgSz w:w="12245" w:h="16496"/>
          <w:pgMar w:top="1513" w:right="1152" w:bottom="0" w:left="407" w:header="1190" w:footer="0" w:gutter="0"/>
          <w:cols w:equalWidth="0" w:num="2">
            <w:col w:w="5775" w:space="100"/>
            <w:col w:w="4809" w:space="0"/>
          </w:cols>
        </w:sectPr>
        <w:rPr>
          <w:sz w:val="15"/>
          <w:szCs w:val="15"/>
        </w:rPr>
      </w:pPr>
    </w:p>
    <w:p>
      <w:pPr>
        <w:spacing w:before="85"/>
        <w:rPr/>
      </w:pPr>
      <w:r/>
    </w:p>
    <w:p>
      <w:pPr>
        <w:sectPr>
          <w:headerReference w:type="default" r:id="rId9"/>
          <w:pgSz w:w="12245" w:h="16496"/>
          <w:pgMar w:top="1513" w:right="977" w:bottom="0" w:left="407" w:header="1190" w:footer="0" w:gutter="0"/>
          <w:cols w:equalWidth="0" w:num="1">
            <w:col w:w="10859" w:space="0"/>
          </w:cols>
        </w:sectPr>
        <w:rPr/>
      </w:pPr>
    </w:p>
    <w:p>
      <w:pPr>
        <w:pStyle w:val="BodyText"/>
        <w:ind w:left="1214"/>
        <w:spacing w:before="50" w:line="1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(6)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456-460.</w:t>
      </w:r>
    </w:p>
    <w:p>
      <w:pPr>
        <w:pStyle w:val="BodyText"/>
        <w:ind w:left="1209" w:right="333" w:hanging="420"/>
        <w:spacing w:before="45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[15]    NEUEN  B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6"/>
        </w:rPr>
        <w:t>L,  LEATHER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N,  GREENWOOD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  M,  et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al.  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to  lymphocyte  ratio  predicts  cardiovascula</w:t>
      </w:r>
      <w:r>
        <w:rPr>
          <w:sz w:val="15"/>
          <w:szCs w:val="15"/>
          <w:color w:val="231F20"/>
          <w:spacing w:val="-10"/>
        </w:rPr>
        <w:t>r  and  all-cause  mortality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in  hemodialysis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7"/>
        </w:rPr>
        <w:t>patients[J].  Ren  Fail,  2016,  38(1</w:t>
      </w:r>
      <w:r>
        <w:rPr>
          <w:sz w:val="15"/>
          <w:szCs w:val="15"/>
          <w:color w:val="231F20"/>
          <w:spacing w:val="-8"/>
        </w:rPr>
        <w:t>) 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70-76.</w:t>
      </w:r>
    </w:p>
    <w:p>
      <w:pPr>
        <w:pStyle w:val="BodyText"/>
        <w:ind w:left="1209" w:right="306" w:hanging="420"/>
        <w:spacing w:before="36" w:line="21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[16]    JASZCZURA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M,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4"/>
        </w:rPr>
        <w:t>GÓRA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4"/>
        </w:rPr>
        <w:t>GRZYWNA-ROZENEK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E,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4"/>
        </w:rPr>
        <w:t>Anal</w:t>
      </w:r>
      <w:r>
        <w:rPr>
          <w:sz w:val="15"/>
          <w:szCs w:val="15"/>
          <w:color w:val="231F20"/>
          <w:spacing w:val="-5"/>
        </w:rPr>
        <w:t>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sis  of  neutrophil  to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11"/>
        </w:rPr>
        <w:t>lymphocyte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ratio,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platelet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lymphocyte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ratio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and  mean  platelet  volume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platelet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count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ratio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children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acute   stage   of   immunoglobulin   A   vasculitis   and   </w:t>
      </w:r>
      <w:r>
        <w:rPr>
          <w:sz w:val="15"/>
          <w:szCs w:val="15"/>
          <w:color w:val="231F20"/>
          <w:spacing w:val="-11"/>
        </w:rPr>
        <w:t>assessment   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their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uitability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predicting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the  cou</w:t>
      </w:r>
      <w:r>
        <w:rPr>
          <w:sz w:val="15"/>
          <w:szCs w:val="15"/>
          <w:color w:val="231F20"/>
          <w:spacing w:val="-10"/>
        </w:rPr>
        <w:t>rse  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  disease[J].  Rheuma-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tol  Int,  2019,  39(5)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869-878.</w:t>
      </w:r>
    </w:p>
    <w:p>
      <w:pPr>
        <w:pStyle w:val="BodyText"/>
        <w:ind w:left="1210" w:right="322" w:hanging="421"/>
        <w:spacing w:before="23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[17]    MAKAY  B,  GÜCENMEZ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9"/>
        </w:rPr>
        <w:t>魻A,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DUMAN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relationship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neutrophil -to -lymphocyte   ratio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with   gastrointestinal   bleeding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Henoch-Schonlein  purpura[J].  Rheumatol  Int,  2014,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34(9)</w:t>
      </w:r>
      <w:r>
        <w:rPr>
          <w:sz w:val="14"/>
          <w:szCs w:val="14"/>
          <w:color w:val="231F20"/>
          <w:spacing w:val="-8"/>
        </w:rPr>
        <w:t>： </w:t>
      </w:r>
      <w:r>
        <w:rPr>
          <w:sz w:val="15"/>
          <w:szCs w:val="15"/>
          <w:color w:val="231F20"/>
          <w:spacing w:val="-8"/>
        </w:rPr>
        <w:t>1323-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1327.</w:t>
      </w:r>
    </w:p>
    <w:p>
      <w:pPr>
        <w:pStyle w:val="BodyText"/>
        <w:ind w:left="1209" w:right="343" w:hanging="420"/>
        <w:spacing w:before="19" w:line="1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[18]    LI  B,  REN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Q,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6"/>
        </w:rPr>
        <w:t>LING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Z,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7"/>
        </w:rPr>
        <w:t>Clinical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relevance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neutrophil-to-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lymphocyte  ratio  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mean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platelet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volume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pediatric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Henoch-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 w:firstLine="1"/>
        <w:spacing w:before="30" w:line="21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Schönlein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purpura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meta-analysis[J]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Bioengineered,  2021,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12(1)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286-295.</w:t>
      </w:r>
    </w:p>
    <w:p>
      <w:pPr>
        <w:pStyle w:val="BodyText"/>
        <w:ind w:left="432" w:right="47" w:hanging="432"/>
        <w:spacing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[19]   </w:t>
      </w:r>
      <w:r>
        <w:rPr>
          <w:sz w:val="14"/>
          <w:szCs w:val="14"/>
          <w:color w:val="231F20"/>
          <w:spacing w:val="9"/>
        </w:rPr>
        <w:t>李小平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9"/>
        </w:rPr>
        <w:t>，赵位昆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9"/>
        </w:rPr>
        <w:t>，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9"/>
        </w:rPr>
        <w:t>申小平</w:t>
      </w:r>
      <w:r>
        <w:rPr>
          <w:sz w:val="15"/>
          <w:szCs w:val="15"/>
          <w:color w:val="231F20"/>
          <w:spacing w:val="9"/>
        </w:rPr>
        <w:t>.  </w:t>
      </w:r>
      <w:r>
        <w:rPr>
          <w:sz w:val="14"/>
          <w:szCs w:val="14"/>
          <w:color w:val="231F20"/>
          <w:spacing w:val="9"/>
        </w:rPr>
        <w:t>过敏性紫癜患儿发生紫癜性肾炎的危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险因素及 </w:t>
      </w:r>
      <w:r>
        <w:rPr>
          <w:sz w:val="15"/>
          <w:szCs w:val="15"/>
          <w:color w:val="231F20"/>
          <w:spacing w:val="-6"/>
        </w:rPr>
        <w:t>NLR</w:t>
      </w:r>
      <w:r>
        <w:rPr>
          <w:sz w:val="14"/>
          <w:szCs w:val="14"/>
          <w:color w:val="231F20"/>
          <w:spacing w:val="-6"/>
        </w:rPr>
        <w:t>、</w:t>
      </w:r>
      <w:r>
        <w:rPr>
          <w:sz w:val="15"/>
          <w:szCs w:val="15"/>
          <w:color w:val="231F20"/>
          <w:spacing w:val="-6"/>
        </w:rPr>
        <w:t>PLR </w:t>
      </w:r>
      <w:r>
        <w:rPr>
          <w:sz w:val="14"/>
          <w:szCs w:val="14"/>
          <w:color w:val="231F20"/>
          <w:spacing w:val="-6"/>
        </w:rPr>
        <w:t>变化分析</w:t>
      </w:r>
      <w:r>
        <w:rPr>
          <w:sz w:val="15"/>
          <w:szCs w:val="15"/>
          <w:color w:val="231F20"/>
          <w:spacing w:val="-6"/>
        </w:rPr>
        <w:t>[J].  </w:t>
      </w:r>
      <w:r>
        <w:rPr>
          <w:sz w:val="14"/>
          <w:szCs w:val="14"/>
          <w:color w:val="231F20"/>
          <w:spacing w:val="-6"/>
        </w:rPr>
        <w:t>内科，</w:t>
      </w:r>
      <w:r>
        <w:rPr>
          <w:sz w:val="15"/>
          <w:szCs w:val="15"/>
          <w:color w:val="231F20"/>
          <w:spacing w:val="-6"/>
        </w:rPr>
        <w:t>2020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15(4)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387</w:t>
      </w:r>
      <w:r>
        <w:rPr>
          <w:sz w:val="15"/>
          <w:szCs w:val="15"/>
          <w:color w:val="231F20"/>
          <w:spacing w:val="-7"/>
        </w:rPr>
        <w:t>-391,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395.</w:t>
      </w:r>
    </w:p>
    <w:p>
      <w:pPr>
        <w:pStyle w:val="BodyText"/>
        <w:ind w:left="425" w:right="47" w:hanging="425"/>
        <w:spacing w:before="11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[20]</w:t>
      </w:r>
      <w:r>
        <w:rPr>
          <w:sz w:val="15"/>
          <w:szCs w:val="15"/>
          <w:color w:val="231F20"/>
        </w:rPr>
        <w:t xml:space="preserve">    </w:t>
      </w:r>
      <w:r>
        <w:rPr>
          <w:sz w:val="14"/>
          <w:szCs w:val="14"/>
          <w:color w:val="231F20"/>
          <w:spacing w:val="6"/>
        </w:rPr>
        <w:t>朱建建 ，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6"/>
        </w:rPr>
        <w:t>易著文 ，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6"/>
        </w:rPr>
        <w:t>黄进华 ，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6"/>
        </w:rPr>
        <w:t>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4"/>
          <w:szCs w:val="14"/>
          <w:color w:val="231F20"/>
          <w:spacing w:val="6"/>
        </w:rPr>
        <w:t>儿童过敏性紫癜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118 </w:t>
      </w:r>
      <w:r>
        <w:rPr>
          <w:sz w:val="14"/>
          <w:szCs w:val="14"/>
          <w:color w:val="231F20"/>
          <w:spacing w:val="6"/>
        </w:rPr>
        <w:t>例</w:t>
      </w:r>
      <w:r>
        <w:rPr>
          <w:sz w:val="14"/>
          <w:szCs w:val="14"/>
          <w:color w:val="231F20"/>
          <w:spacing w:val="5"/>
        </w:rPr>
        <w:t>临床分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析</w:t>
      </w:r>
      <w:r>
        <w:rPr>
          <w:sz w:val="15"/>
          <w:szCs w:val="15"/>
          <w:color w:val="231F20"/>
          <w:spacing w:val="-1"/>
        </w:rPr>
        <w:t>[J].  </w:t>
      </w:r>
      <w:r>
        <w:rPr>
          <w:sz w:val="14"/>
          <w:szCs w:val="14"/>
          <w:color w:val="231F20"/>
          <w:spacing w:val="-1"/>
        </w:rPr>
        <w:t>临床皮肤科杂志 ，</w:t>
      </w:r>
      <w:r>
        <w:rPr>
          <w:sz w:val="15"/>
          <w:szCs w:val="15"/>
          <w:color w:val="231F20"/>
          <w:spacing w:val="-1"/>
        </w:rPr>
        <w:t>2014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43(6)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336-339.</w:t>
      </w:r>
    </w:p>
    <w:p>
      <w:pPr>
        <w:pStyle w:val="BodyText"/>
        <w:ind w:left="416" w:hanging="416"/>
        <w:spacing w:before="24" w:line="21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[21]    魻ZDEMIR  Z  C,  ÇETIN  N,  KAR  Y  D,</w:t>
      </w:r>
      <w:r>
        <w:rPr>
          <w:sz w:val="15"/>
          <w:szCs w:val="15"/>
          <w:color w:val="231F20"/>
          <w:spacing w:val="-7"/>
        </w:rPr>
        <w:t xml:space="preserve">  et  al.  Hemotologic  indices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11"/>
        </w:rPr>
        <w:t>predicting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internal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organ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involvement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Henoch -Schönlein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purpura(IgA  vasculitis)[J].  J  Pediatr  </w:t>
      </w:r>
      <w:r>
        <w:rPr>
          <w:sz w:val="15"/>
          <w:szCs w:val="15"/>
          <w:color w:val="231F20"/>
          <w:spacing w:val="-8"/>
        </w:rPr>
        <w:t>Hematol  Oncol,  2020,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8"/>
        </w:rPr>
        <w:t>42(1)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e46-e49.</w:t>
      </w:r>
    </w:p>
    <w:p>
      <w:pPr>
        <w:pStyle w:val="BodyText"/>
        <w:ind w:left="426" w:right="46" w:hanging="426"/>
        <w:spacing w:before="1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[22]   </w:t>
      </w:r>
      <w:r>
        <w:rPr>
          <w:sz w:val="14"/>
          <w:szCs w:val="14"/>
          <w:color w:val="231F20"/>
          <w:spacing w:val="8"/>
        </w:rPr>
        <w:t>谢雪兰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8"/>
        </w:rPr>
        <w:t>，王欣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4"/>
          <w:szCs w:val="14"/>
          <w:color w:val="231F20"/>
          <w:spacing w:val="8"/>
        </w:rPr>
        <w:t>儿童过敏性紫癜 </w:t>
      </w:r>
      <w:r>
        <w:rPr>
          <w:sz w:val="15"/>
          <w:szCs w:val="15"/>
          <w:color w:val="231F20"/>
          <w:spacing w:val="8"/>
        </w:rPr>
        <w:t>261 </w:t>
      </w:r>
      <w:r>
        <w:rPr>
          <w:sz w:val="14"/>
          <w:szCs w:val="14"/>
          <w:color w:val="231F20"/>
          <w:spacing w:val="8"/>
        </w:rPr>
        <w:t>例临床分析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8"/>
        </w:rPr>
        <w:t>临</w:t>
      </w:r>
      <w:r>
        <w:rPr>
          <w:sz w:val="14"/>
          <w:szCs w:val="14"/>
          <w:color w:val="231F20"/>
          <w:spacing w:val="7"/>
        </w:rPr>
        <w:t>床皮肤科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杂志 </w:t>
      </w:r>
      <w:r>
        <w:rPr>
          <w:sz w:val="14"/>
          <w:szCs w:val="14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2007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36(9)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5"/>
        </w:rPr>
        <w:t>561-</w:t>
      </w:r>
      <w:r>
        <w:rPr>
          <w:sz w:val="15"/>
          <w:szCs w:val="15"/>
          <w:color w:val="231F20"/>
          <w:spacing w:val="-6"/>
        </w:rPr>
        <w:t>562.</w:t>
      </w:r>
    </w:p>
    <w:p>
      <w:pPr>
        <w:pStyle w:val="BodyText"/>
        <w:ind w:left="423" w:right="47" w:hanging="423"/>
        <w:spacing w:before="17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[23]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4"/>
          <w:szCs w:val="14"/>
          <w:color w:val="231F20"/>
          <w:spacing w:val="10"/>
        </w:rPr>
        <w:t>张琼方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47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成人过敏性紫癜伴肾脏损害患者血浆 </w:t>
      </w:r>
      <w:r>
        <w:rPr>
          <w:sz w:val="15"/>
          <w:szCs w:val="15"/>
          <w:color w:val="231F20"/>
          <w:spacing w:val="9"/>
        </w:rPr>
        <w:t>D-</w:t>
      </w:r>
      <w:r>
        <w:rPr>
          <w:sz w:val="14"/>
          <w:szCs w:val="14"/>
          <w:color w:val="231F20"/>
          <w:spacing w:val="9"/>
        </w:rPr>
        <w:t>二聚体、</w:t>
      </w:r>
      <w:r>
        <w:rPr>
          <w:sz w:val="15"/>
          <w:szCs w:val="15"/>
          <w:color w:val="231F20"/>
        </w:rPr>
        <w:t>FDP</w:t>
      </w:r>
      <w:r>
        <w:rPr>
          <w:sz w:val="14"/>
          <w:szCs w:val="14"/>
          <w:color w:val="231F20"/>
          <w:spacing w:val="9"/>
        </w:rPr>
        <w:t>测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定及临床意义</w:t>
      </w:r>
      <w:r>
        <w:rPr>
          <w:sz w:val="15"/>
          <w:szCs w:val="15"/>
          <w:color w:val="231F20"/>
          <w:spacing w:val="4"/>
        </w:rPr>
        <w:t>[D].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4"/>
        </w:rPr>
        <w:t>河北北方学院 ，</w:t>
      </w:r>
      <w:r>
        <w:rPr>
          <w:sz w:val="15"/>
          <w:szCs w:val="15"/>
          <w:color w:val="231F20"/>
          <w:spacing w:val="4"/>
        </w:rPr>
        <w:t>2018</w:t>
      </w:r>
      <w:r>
        <w:rPr>
          <w:sz w:val="14"/>
          <w:szCs w:val="14"/>
          <w:color w:val="231F20"/>
          <w:spacing w:val="4"/>
        </w:rPr>
        <w:t>：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1-42.</w:t>
      </w:r>
    </w:p>
    <w:p>
      <w:pPr>
        <w:pStyle w:val="BodyText"/>
        <w:ind w:left="424" w:right="47" w:hanging="424"/>
        <w:spacing w:before="10" w:line="1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[24]   </w:t>
      </w:r>
      <w:r>
        <w:rPr>
          <w:sz w:val="14"/>
          <w:szCs w:val="14"/>
          <w:color w:val="231F20"/>
          <w:spacing w:val="12"/>
        </w:rPr>
        <w:t>黄婷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12"/>
        </w:rPr>
        <w:t>，王静</w:t>
      </w:r>
      <w:r>
        <w:rPr>
          <w:sz w:val="15"/>
          <w:szCs w:val="15"/>
          <w:color w:val="231F20"/>
          <w:spacing w:val="12"/>
        </w:rPr>
        <w:t>.  </w:t>
      </w:r>
      <w:r>
        <w:rPr>
          <w:sz w:val="14"/>
          <w:szCs w:val="14"/>
          <w:color w:val="231F20"/>
          <w:spacing w:val="12"/>
        </w:rPr>
        <w:t>小儿过敏性紫癜外周血 </w:t>
      </w:r>
      <w:r>
        <w:rPr>
          <w:sz w:val="15"/>
          <w:szCs w:val="15"/>
          <w:color w:val="231F20"/>
          <w:spacing w:val="12"/>
        </w:rPr>
        <w:t>D-</w:t>
      </w:r>
      <w:r>
        <w:rPr>
          <w:sz w:val="14"/>
          <w:szCs w:val="14"/>
          <w:color w:val="231F20"/>
          <w:spacing w:val="12"/>
        </w:rPr>
        <w:t>二聚体与各器官损伤程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度的关联性研究</w:t>
      </w:r>
      <w:r>
        <w:rPr>
          <w:sz w:val="15"/>
          <w:szCs w:val="15"/>
          <w:color w:val="231F20"/>
          <w:spacing w:val="2"/>
        </w:rPr>
        <w:t>[J].  </w:t>
      </w:r>
      <w:r>
        <w:rPr>
          <w:sz w:val="14"/>
          <w:szCs w:val="14"/>
          <w:color w:val="231F20"/>
          <w:spacing w:val="2"/>
        </w:rPr>
        <w:t>系统医学 ，</w:t>
      </w:r>
      <w:r>
        <w:rPr>
          <w:sz w:val="15"/>
          <w:szCs w:val="15"/>
          <w:color w:val="231F20"/>
          <w:spacing w:val="2"/>
        </w:rPr>
        <w:t>2</w:t>
      </w:r>
      <w:r>
        <w:rPr>
          <w:sz w:val="15"/>
          <w:szCs w:val="15"/>
          <w:color w:val="231F20"/>
          <w:spacing w:val="1"/>
        </w:rPr>
        <w:t>018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"/>
        </w:rPr>
        <w:t>，</w:t>
      </w:r>
      <w:r>
        <w:rPr>
          <w:sz w:val="15"/>
          <w:szCs w:val="15"/>
          <w:color w:val="231F20"/>
          <w:spacing w:val="1"/>
        </w:rPr>
        <w:t>3(10)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：</w:t>
      </w:r>
      <w:r>
        <w:rPr>
          <w:sz w:val="15"/>
          <w:szCs w:val="15"/>
          <w:color w:val="231F20"/>
          <w:spacing w:val="1"/>
        </w:rPr>
        <w:t>80-82.</w:t>
      </w:r>
    </w:p>
    <w:sectPr>
      <w:type w:val="continuous"/>
      <w:pgSz w:w="12245" w:h="16496"/>
      <w:pgMar w:top="1513" w:right="977" w:bottom="0" w:left="407" w:header="1190" w:footer="0" w:gutter="0"/>
      <w:cols w:equalWidth="0" w:num="2">
        <w:col w:w="5945" w:space="100"/>
        <w:col w:w="48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97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8"/>
      <w:spacing w:before="65" w:line="173" w:lineRule="auto"/>
      <w:rPr>
        <w:sz w:val="20"/>
        <w:szCs w:val="20"/>
      </w:rPr>
    </w:pPr>
    <w:r>
      <w:pict>
        <v:shape id="WordPictureWatermark6" style="position:absolute;margin-left:20.4pt;margin-top:797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340.375pt;margin-top:118.93pt;mso-position-vertical-relative:page;mso-position-horizontal-relative:page;width:9.85pt;height:146.2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6"/>
                  </w:rPr>
                  <w:t>25</w:t>
                </w:r>
              </w:p>
              <w:p>
                <w:pPr>
                  <w:spacing w:line="257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1"/>
                  <w:spacing w:before="64" w:line="20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6"/>
                  </w:rPr>
                  <w:t>20</w:t>
                </w:r>
              </w:p>
              <w:p>
                <w:pPr>
                  <w:spacing w:line="26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right="4"/>
                  <w:spacing w:before="65" w:line="200" w:lineRule="auto"/>
                  <w:jc w:val="righ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9"/>
                  </w:rPr>
                  <w:t>15</w:t>
                </w:r>
              </w:p>
              <w:p>
                <w:pPr>
                  <w:spacing w:line="259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right="2"/>
                  <w:spacing w:before="64" w:line="200" w:lineRule="auto"/>
                  <w:jc w:val="righ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9"/>
                  </w:rPr>
                  <w:t>10</w:t>
                </w:r>
              </w:p>
              <w:p>
                <w:pPr>
                  <w:spacing w:line="274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right="8"/>
                  <w:spacing w:before="64" w:line="200" w:lineRule="auto"/>
                  <w:jc w:val="righ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</w:rPr>
                  <w:t>5</w:t>
                </w:r>
              </w:p>
              <w:p>
                <w:pPr>
                  <w:spacing w:line="265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right="7"/>
                  <w:spacing w:before="65" w:line="165" w:lineRule="exact"/>
                  <w:jc w:val="righ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-1"/>
                  </w:rPr>
                  <w:t>0</w:t>
                </w:r>
              </w:p>
            </w:txbxContent>
          </v:textbox>
        </v:shape>
      </w:pict>
    </w:r>
    <w:r>
      <w:pict>
        <v:shape id="_x0000_s10" style="position:absolute;margin-left:424.238pt;margin-top:263.124pt;mso-position-vertical-relative:page;mso-position-horizontal-relative:page;width:68.1pt;height:22.2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6"/>
                  <w:spacing w:before="20" w:line="173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8"/>
                  </w:rPr>
                  <w:t>10                  15</w:t>
                </w:r>
              </w:p>
              <w:p>
                <w:pPr>
                  <w:pStyle w:val="BodyText"/>
                  <w:ind w:left="20"/>
                  <w:spacing w:line="202" w:lineRule="auto"/>
                  <w:rPr>
                    <w:sz w:val="14"/>
                    <w:szCs w:val="14"/>
                  </w:rPr>
                </w:pPr>
                <w:r>
                  <w:rPr>
                    <w:sz w:val="15"/>
                    <w:szCs w:val="15"/>
                    <w:color w:val="231F20"/>
                    <w:spacing w:val="-2"/>
                  </w:rPr>
                  <w:t>WBC</w:t>
                </w:r>
                <w:r>
                  <w:rPr>
                    <w:sz w:val="14"/>
                    <w:szCs w:val="14"/>
                    <w:color w:val="231F20"/>
                    <w:spacing w:val="-2"/>
                  </w:rPr>
                  <w:t>计数</w:t>
                </w:r>
                <w:r>
                  <w:rPr>
                    <w:sz w:val="15"/>
                    <w:szCs w:val="15"/>
                    <w:color w:val="231F20"/>
                    <w:spacing w:val="-2"/>
                  </w:rPr>
                  <w:t>/</w:t>
                </w:r>
                <w:r>
                  <w:rPr>
                    <w:sz w:val="14"/>
                    <w:szCs w:val="14"/>
                    <w:color w:val="231F20"/>
                    <w:spacing w:val="-2"/>
                  </w:rPr>
                  <w:t>(</w:t>
                </w:r>
                <w:r>
                  <w:rPr>
                    <w:sz w:val="15"/>
                    <w:szCs w:val="15"/>
                    <w:color w:val="231F20"/>
                    <w:spacing w:val="-2"/>
                  </w:rPr>
                  <w:t>×10</w:t>
                </w:r>
                <w:r>
                  <w:rPr>
                    <w:sz w:val="8"/>
                    <w:szCs w:val="8"/>
                    <w:color w:val="231F20"/>
                    <w:spacing w:val="-2"/>
                    <w:position w:val="5"/>
                  </w:rPr>
                  <w:t>9</w:t>
                </w:r>
                <w:r>
                  <w:rPr>
                    <w:sz w:val="15"/>
                    <w:szCs w:val="15"/>
                    <w:color w:val="231F20"/>
                    <w:spacing w:val="-2"/>
                  </w:rPr>
                  <w:t>/L</w:t>
                </w:r>
                <w:r>
                  <w:rPr>
                    <w:sz w:val="14"/>
                    <w:szCs w:val="14"/>
                    <w:color w:val="231F20"/>
                    <w:spacing w:val="-2"/>
                  </w:rPr>
                  <w:t>）</w:t>
                </w:r>
              </w:p>
            </w:txbxContent>
          </v:textbox>
        </v:shape>
      </w:pict>
    </w:r>
    <w:r>
      <w:pict>
        <v:shape id="_x0000_s12" style="position:absolute;margin-left:511.295pt;margin-top:263.124pt;mso-position-vertical-relative:page;mso-position-horizontal-relative:page;width:9.75pt;height:12.7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6"/>
                  </w:rPr>
                  <w:t>20</w:t>
                </w:r>
              </w:p>
            </w:txbxContent>
          </v:textbox>
        </v:shape>
      </w:pict>
    </w:r>
    <w:r>
      <w:pict>
        <v:shape id="_x0000_s14" style="position:absolute;margin-left:351.187pt;margin-top:263.124pt;mso-position-vertical-relative:page;mso-position-horizontal-relative:page;width:5.8pt;height:12.7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</w:rPr>
                  <w:t>0</w:t>
                </w:r>
              </w:p>
            </w:txbxContent>
          </v:textbox>
        </v:shape>
      </w:pict>
    </w:r>
    <w:r>
      <w:pict>
        <v:shape id="_x0000_s16" style="position:absolute;margin-left:552.233pt;margin-top:263.124pt;mso-position-vertical-relative:page;mso-position-horizontal-relative:page;width:9.75pt;height:12.7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-6"/>
                  </w:rPr>
                  <w:t>25</w:t>
                </w:r>
              </w:p>
            </w:txbxContent>
          </v:textbox>
        </v:shape>
      </w:pict>
    </w:r>
    <w:r>
      <w:pict>
        <v:shape id="_x0000_s18" style="position:absolute;margin-left:391.703pt;margin-top:263.124pt;mso-position-vertical-relative:page;mso-position-horizontal-relative:page;width:5.75pt;height:12.75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</w:rPr>
                  <w:t>5</w:t>
                </w:r>
              </w:p>
            </w:txbxContent>
          </v:textbox>
        </v:shape>
      </w:pict>
    </w:r>
    <w:r>
      <w:rPr>
        <w:sz w:val="16"/>
        <w:szCs w:val="16"/>
        <w:u w:val="single" w:color="auto"/>
        <w:color w:val="231F20"/>
        <w:spacing w:val="-9"/>
        <w:position w:val="1"/>
      </w:rPr>
      <w:t>临床皮肤科杂志</w:t>
    </w:r>
    <w:r>
      <w:rPr>
        <w:sz w:val="16"/>
        <w:szCs w:val="16"/>
        <w:u w:val="single" w:color="auto"/>
        <w:color w:val="231F20"/>
        <w:spacing w:val="11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2024 </w:t>
    </w:r>
    <w:r>
      <w:rPr>
        <w:sz w:val="16"/>
        <w:szCs w:val="16"/>
        <w:u w:val="single" w:color="auto"/>
        <w:color w:val="231F20"/>
        <w:spacing w:val="-9"/>
        <w:position w:val="1"/>
      </w:rPr>
      <w:t>年</w:t>
    </w:r>
    <w:r>
      <w:rPr>
        <w:sz w:val="16"/>
        <w:szCs w:val="16"/>
        <w:u w:val="single" w:color="auto"/>
        <w:color w:val="231F20"/>
        <w:spacing w:val="10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53 </w:t>
    </w:r>
    <w:r>
      <w:rPr>
        <w:sz w:val="16"/>
        <w:szCs w:val="16"/>
        <w:u w:val="single" w:color="auto"/>
        <w:color w:val="231F20"/>
        <w:spacing w:val="-9"/>
        <w:position w:val="1"/>
      </w:rPr>
      <w:t>卷第</w:t>
    </w:r>
    <w:r>
      <w:rPr>
        <w:sz w:val="16"/>
        <w:szCs w:val="16"/>
        <w:u w:val="single" w:color="auto"/>
        <w:color w:val="231F20"/>
        <w:spacing w:val="9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7 </w:t>
    </w:r>
    <w:r>
      <w:rPr>
        <w:sz w:val="16"/>
        <w:szCs w:val="16"/>
        <w:u w:val="single" w:color="auto"/>
        <w:color w:val="231F20"/>
        <w:spacing w:val="-9"/>
        <w:position w:val="1"/>
      </w:rPr>
      <w:t>期    </w:t>
    </w:r>
    <w:r>
      <w:rPr>
        <w:sz w:val="17"/>
        <w:szCs w:val="17"/>
        <w:u w:val="single" w:color="auto"/>
        <w:color w:val="231F20"/>
        <w:spacing w:val="-9"/>
      </w:rPr>
      <w:t>J</w:t>
    </w:r>
    <w:r>
      <w:rPr>
        <w:sz w:val="17"/>
        <w:szCs w:val="17"/>
        <w:u w:val="single" w:color="auto"/>
        <w:color w:val="231F20"/>
        <w:spacing w:val="16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Clin</w:t>
    </w:r>
    <w:r>
      <w:rPr>
        <w:sz w:val="17"/>
        <w:szCs w:val="17"/>
        <w:u w:val="single" w:color="auto"/>
        <w:color w:val="231F20"/>
        <w:spacing w:val="15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Dermatol,</w:t>
    </w:r>
    <w:r>
      <w:rPr>
        <w:sz w:val="17"/>
        <w:szCs w:val="17"/>
        <w:u w:val="single" w:color="auto"/>
        <w:color w:val="231F20"/>
        <w:spacing w:val="10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July</w:t>
    </w:r>
    <w:r>
      <w:rPr>
        <w:sz w:val="17"/>
        <w:szCs w:val="17"/>
        <w:u w:val="single" w:color="auto"/>
        <w:color w:val="231F20"/>
        <w:spacing w:val="13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2024,</w:t>
    </w:r>
    <w:r>
      <w:rPr>
        <w:sz w:val="17"/>
        <w:szCs w:val="17"/>
        <w:u w:val="single" w:color="auto"/>
        <w:color w:val="231F20"/>
        <w:spacing w:val="12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Vol．53,</w:t>
    </w:r>
    <w:r>
      <w:rPr>
        <w:sz w:val="17"/>
        <w:szCs w:val="17"/>
        <w:u w:val="single" w:color="auto"/>
        <w:color w:val="231F20"/>
        <w:spacing w:val="15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No．7</w:t>
    </w:r>
    <w:r>
      <w:rPr>
        <w:sz w:val="17"/>
        <w:szCs w:val="17"/>
        <w:color w:val="231F20"/>
        <w:spacing w:val="1"/>
      </w:rPr>
      <w:t xml:space="preserve">                   </w:t>
    </w:r>
    <w:r>
      <w:rPr>
        <w:sz w:val="17"/>
        <w:szCs w:val="17"/>
        <w:color w:val="231F20"/>
      </w:rPr>
      <w:t xml:space="preserve">                                                        </w:t>
    </w:r>
    <w:r>
      <w:rPr>
        <w:sz w:val="20"/>
        <w:szCs w:val="20"/>
        <w:color w:val="231F20"/>
        <w:spacing w:val="-10"/>
        <w:position w:val="-1"/>
      </w:rPr>
      <w:t>406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5"/>
      <w:spacing w:before="65" w:line="173" w:lineRule="auto"/>
      <w:rPr>
        <w:sz w:val="17"/>
        <w:szCs w:val="17"/>
      </w:rPr>
    </w:pPr>
    <w:r>
      <w:pict>
        <v:shape id="WordPictureWatermark22" style="position:absolute;margin-left:20.4pt;margin-top:797.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sz w:val="20"/>
        <w:szCs w:val="20"/>
        <w:color w:val="231F20"/>
        <w:spacing w:val="-9"/>
        <w:position w:val="-1"/>
      </w:rPr>
      <w:t>407</w:t>
    </w:r>
    <w:r>
      <w:rPr>
        <w:sz w:val="20"/>
        <w:szCs w:val="20"/>
        <w:color w:val="231F20"/>
        <w:position w:val="-1"/>
      </w:rPr>
      <w:t xml:space="preserve">                                                                </w:t>
    </w:r>
    <w:r>
      <w:rPr>
        <w:sz w:val="16"/>
        <w:szCs w:val="16"/>
        <w:u w:val="single" w:color="auto"/>
        <w:color w:val="231F20"/>
        <w:spacing w:val="-33"/>
        <w:position w:val="1"/>
      </w:rPr>
      <w:t xml:space="preserve"> </w:t>
    </w:r>
    <w:r>
      <w:rPr>
        <w:sz w:val="16"/>
        <w:szCs w:val="16"/>
        <w:u w:val="single" w:color="auto"/>
        <w:color w:val="231F20"/>
        <w:spacing w:val="-9"/>
        <w:position w:val="1"/>
      </w:rPr>
      <w:t>临床皮肤科杂志</w:t>
    </w:r>
    <w:r>
      <w:rPr>
        <w:sz w:val="16"/>
        <w:szCs w:val="16"/>
        <w:u w:val="single" w:color="auto"/>
        <w:color w:val="231F20"/>
        <w:spacing w:val="11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2024 </w:t>
    </w:r>
    <w:r>
      <w:rPr>
        <w:sz w:val="16"/>
        <w:szCs w:val="16"/>
        <w:u w:val="single" w:color="auto"/>
        <w:color w:val="231F20"/>
        <w:spacing w:val="-9"/>
        <w:position w:val="1"/>
      </w:rPr>
      <w:t>年</w:t>
    </w:r>
    <w:r>
      <w:rPr>
        <w:sz w:val="16"/>
        <w:szCs w:val="16"/>
        <w:u w:val="single" w:color="auto"/>
        <w:color w:val="231F20"/>
        <w:spacing w:val="11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53 </w:t>
    </w:r>
    <w:r>
      <w:rPr>
        <w:sz w:val="16"/>
        <w:szCs w:val="16"/>
        <w:u w:val="single" w:color="auto"/>
        <w:color w:val="231F20"/>
        <w:spacing w:val="-9"/>
        <w:position w:val="1"/>
      </w:rPr>
      <w:t>卷第</w:t>
    </w:r>
    <w:r>
      <w:rPr>
        <w:sz w:val="16"/>
        <w:szCs w:val="16"/>
        <w:u w:val="single" w:color="auto"/>
        <w:color w:val="231F20"/>
        <w:spacing w:val="8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7 </w:t>
    </w:r>
    <w:r>
      <w:rPr>
        <w:sz w:val="16"/>
        <w:szCs w:val="16"/>
        <w:u w:val="single" w:color="auto"/>
        <w:color w:val="231F20"/>
        <w:spacing w:val="-9"/>
        <w:position w:val="1"/>
      </w:rPr>
      <w:t>期    </w:t>
    </w:r>
    <w:r>
      <w:rPr>
        <w:sz w:val="17"/>
        <w:szCs w:val="17"/>
        <w:u w:val="single" w:color="auto"/>
        <w:color w:val="231F20"/>
        <w:spacing w:val="-9"/>
      </w:rPr>
      <w:t>J</w:t>
    </w:r>
    <w:r>
      <w:rPr>
        <w:sz w:val="17"/>
        <w:szCs w:val="17"/>
        <w:u w:val="single" w:color="auto"/>
        <w:color w:val="231F20"/>
        <w:spacing w:val="16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Cli</w:t>
    </w:r>
    <w:r>
      <w:rPr>
        <w:sz w:val="17"/>
        <w:szCs w:val="17"/>
        <w:u w:val="single" w:color="auto"/>
        <w:color w:val="231F20"/>
        <w:spacing w:val="-10"/>
      </w:rPr>
      <w:t>n</w:t>
    </w:r>
    <w:r>
      <w:rPr>
        <w:sz w:val="17"/>
        <w:szCs w:val="17"/>
        <w:u w:val="single" w:color="auto"/>
        <w:color w:val="231F20"/>
        <w:spacing w:val="15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Dermatol,</w:t>
    </w:r>
    <w:r>
      <w:rPr>
        <w:sz w:val="17"/>
        <w:szCs w:val="17"/>
        <w:u w:val="single" w:color="auto"/>
        <w:color w:val="231F20"/>
        <w:spacing w:val="9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July</w:t>
    </w:r>
    <w:r>
      <w:rPr>
        <w:sz w:val="17"/>
        <w:szCs w:val="17"/>
        <w:u w:val="single" w:color="auto"/>
        <w:color w:val="231F20"/>
        <w:spacing w:val="14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2024,</w:t>
    </w:r>
    <w:r>
      <w:rPr>
        <w:sz w:val="17"/>
        <w:szCs w:val="17"/>
        <w:u w:val="single" w:color="auto"/>
        <w:color w:val="231F20"/>
        <w:spacing w:val="12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Vol．53,</w:t>
    </w:r>
    <w:r>
      <w:rPr>
        <w:sz w:val="17"/>
        <w:szCs w:val="17"/>
        <w:u w:val="single" w:color="auto"/>
        <w:color w:val="231F20"/>
        <w:spacing w:val="14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No．7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before="65" w:line="173" w:lineRule="auto"/>
      <w:jc w:val="right"/>
      <w:rPr>
        <w:sz w:val="20"/>
        <w:szCs w:val="20"/>
      </w:rPr>
    </w:pPr>
    <w:r>
      <w:pict>
        <v:shape id="WordPictureWatermark24" style="position:absolute;margin-left:20.4pt;margin-top:797.4pt;mso-position-vertical-relative:page;mso-position-horizontal-relative:page;width:475.5pt;height:9.7pt;z-index:-251642880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9"/>
        <w:position w:val="1"/>
      </w:rPr>
      <w:t>临床皮肤科杂志</w:t>
    </w:r>
    <w:r>
      <w:rPr>
        <w:sz w:val="16"/>
        <w:szCs w:val="16"/>
        <w:u w:val="single" w:color="auto"/>
        <w:color w:val="231F20"/>
        <w:spacing w:val="11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2024 </w:t>
    </w:r>
    <w:r>
      <w:rPr>
        <w:sz w:val="16"/>
        <w:szCs w:val="16"/>
        <w:u w:val="single" w:color="auto"/>
        <w:color w:val="231F20"/>
        <w:spacing w:val="-9"/>
        <w:position w:val="1"/>
      </w:rPr>
      <w:t>年</w:t>
    </w:r>
    <w:r>
      <w:rPr>
        <w:sz w:val="16"/>
        <w:szCs w:val="16"/>
        <w:u w:val="single" w:color="auto"/>
        <w:color w:val="231F20"/>
        <w:spacing w:val="10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53 </w:t>
    </w:r>
    <w:r>
      <w:rPr>
        <w:sz w:val="16"/>
        <w:szCs w:val="16"/>
        <w:u w:val="single" w:color="auto"/>
        <w:color w:val="231F20"/>
        <w:spacing w:val="-9"/>
        <w:position w:val="1"/>
      </w:rPr>
      <w:t>卷第</w:t>
    </w:r>
    <w:r>
      <w:rPr>
        <w:sz w:val="16"/>
        <w:szCs w:val="16"/>
        <w:u w:val="single" w:color="auto"/>
        <w:color w:val="231F20"/>
        <w:spacing w:val="9"/>
        <w:position w:val="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7 </w:t>
    </w:r>
    <w:r>
      <w:rPr>
        <w:sz w:val="16"/>
        <w:szCs w:val="16"/>
        <w:u w:val="single" w:color="auto"/>
        <w:color w:val="231F20"/>
        <w:spacing w:val="-9"/>
        <w:position w:val="1"/>
      </w:rPr>
      <w:t>期    </w:t>
    </w:r>
    <w:r>
      <w:rPr>
        <w:sz w:val="17"/>
        <w:szCs w:val="17"/>
        <w:u w:val="single" w:color="auto"/>
        <w:color w:val="231F20"/>
        <w:spacing w:val="-9"/>
      </w:rPr>
      <w:t>J</w:t>
    </w:r>
    <w:r>
      <w:rPr>
        <w:sz w:val="17"/>
        <w:szCs w:val="17"/>
        <w:u w:val="single" w:color="auto"/>
        <w:color w:val="231F20"/>
        <w:spacing w:val="16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Clin</w:t>
    </w:r>
    <w:r>
      <w:rPr>
        <w:sz w:val="17"/>
        <w:szCs w:val="17"/>
        <w:u w:val="single" w:color="auto"/>
        <w:color w:val="231F20"/>
        <w:spacing w:val="15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Dermatol,</w:t>
    </w:r>
    <w:r>
      <w:rPr>
        <w:sz w:val="17"/>
        <w:szCs w:val="17"/>
        <w:u w:val="single" w:color="auto"/>
        <w:color w:val="231F20"/>
        <w:spacing w:val="10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July</w:t>
    </w:r>
    <w:r>
      <w:rPr>
        <w:sz w:val="17"/>
        <w:szCs w:val="17"/>
        <w:u w:val="single" w:color="auto"/>
        <w:color w:val="231F20"/>
        <w:spacing w:val="13"/>
        <w:w w:val="101"/>
      </w:rPr>
      <w:t xml:space="preserve"> </w:t>
    </w:r>
    <w:r>
      <w:rPr>
        <w:sz w:val="17"/>
        <w:szCs w:val="17"/>
        <w:u w:val="single" w:color="auto"/>
        <w:color w:val="231F20"/>
        <w:spacing w:val="-9"/>
      </w:rPr>
      <w:t>2024,</w:t>
    </w:r>
    <w:r>
      <w:rPr>
        <w:sz w:val="17"/>
        <w:szCs w:val="17"/>
        <w:u w:val="single" w:color="auto"/>
        <w:color w:val="231F20"/>
        <w:spacing w:val="12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Vol．53,</w:t>
    </w:r>
    <w:r>
      <w:rPr>
        <w:sz w:val="17"/>
        <w:szCs w:val="17"/>
        <w:u w:val="single" w:color="auto"/>
        <w:color w:val="231F20"/>
        <w:spacing w:val="15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No．7</w:t>
    </w:r>
    <w:r>
      <w:rPr>
        <w:sz w:val="17"/>
        <w:szCs w:val="17"/>
        <w:color w:val="231F20"/>
        <w:spacing w:val="1"/>
      </w:rPr>
      <w:t xml:space="preserve">                   </w:t>
    </w:r>
    <w:r>
      <w:rPr>
        <w:sz w:val="17"/>
        <w:szCs w:val="17"/>
        <w:color w:val="231F20"/>
      </w:rPr>
      <w:t xml:space="preserve">                                                        </w:t>
    </w:r>
    <w:r>
      <w:rPr>
        <w:sz w:val="20"/>
        <w:szCs w:val="20"/>
        <w:color w:val="231F20"/>
        <w:spacing w:val="-10"/>
        <w:position w:val="-1"/>
      </w:rPr>
      <w:t>408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header" Target="header3.xml"/><Relationship Id="rId4" Type="http://schemas.openxmlformats.org/officeDocument/2006/relationships/image" Target="media/image4.jpe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2024-07-17T18:51:25Z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2025-10-28T21:28:09</vt:filetime>
  </property>
</Properties>
</file>