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480"/>
        <w:spacing w:before="322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4"/>
        </w:rPr>
        <w:t>传统开腹和腹腔镜手术对急性阑尾炎患者临床疗效、</w:t>
      </w:r>
    </w:p>
    <w:p>
      <w:pPr>
        <w:ind w:left="3614"/>
        <w:spacing w:before="9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10"/>
        </w:rPr>
        <w:t>胃肠功能及并发症的影响</w:t>
      </w:r>
    </w:p>
    <w:p>
      <w:pPr>
        <w:pStyle w:val="BodyText"/>
        <w:ind w:left="5184"/>
        <w:spacing w:before="17" w:line="197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王建辉</w:t>
      </w:r>
    </w:p>
    <w:p>
      <w:pPr>
        <w:pStyle w:val="BodyText"/>
        <w:ind w:left="3305"/>
        <w:spacing w:before="17" w:line="192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(铅山县中医院普外科</w:t>
      </w:r>
      <w:r>
        <w:rPr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-3"/>
        </w:rPr>
        <w:t>,江西  铅山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3"/>
        </w:rPr>
        <w:t>334500)</w:t>
      </w:r>
    </w:p>
    <w:p>
      <w:pPr>
        <w:pStyle w:val="BodyText"/>
        <w:ind w:left="713" w:firstLine="3"/>
        <w:spacing w:before="16" w:line="242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"/>
        </w:rPr>
        <w:t>摘要</w:t>
      </w:r>
      <w:r>
        <w:rPr>
          <w:sz w:val="17"/>
          <w:szCs w:val="17"/>
          <w:spacing w:val="1"/>
        </w:rPr>
        <w:t>:</w:t>
      </w:r>
      <w:r>
        <w:rPr>
          <w:rFonts w:ascii="SimHei" w:hAnsi="SimHei" w:eastAsia="SimHei" w:cs="SimHei"/>
          <w:sz w:val="17"/>
          <w:szCs w:val="17"/>
          <w:spacing w:val="1"/>
        </w:rPr>
        <w:t>目的</w:t>
      </w:r>
      <w:r>
        <w:rPr>
          <w:rFonts w:ascii="SimHei" w:hAnsi="SimHei" w:eastAsia="SimHei" w:cs="SimHei"/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1"/>
        </w:rPr>
        <w:t>分析传统开腹和腹腔镜手术对急性阑尾炎患</w:t>
      </w:r>
      <w:r>
        <w:rPr>
          <w:sz w:val="17"/>
          <w:szCs w:val="17"/>
        </w:rPr>
        <w:t>者临床疗效、胃肠功能及并发症的影响。</w:t>
      </w:r>
      <w:r>
        <w:rPr>
          <w:rFonts w:ascii="SimHei" w:hAnsi="SimHei" w:eastAsia="SimHei" w:cs="SimHei"/>
          <w:sz w:val="17"/>
          <w:szCs w:val="17"/>
        </w:rPr>
        <w:t>方法</w:t>
      </w:r>
      <w:r>
        <w:rPr>
          <w:rFonts w:ascii="SimHei" w:hAnsi="SimHei" w:eastAsia="SimHei" w:cs="SimHei"/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选取 2023 年 5 月-2024年  </w:t>
      </w:r>
      <w:r>
        <w:rPr>
          <w:sz w:val="17"/>
          <w:szCs w:val="17"/>
          <w:spacing w:val="9"/>
        </w:rPr>
        <w:t>4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9"/>
        </w:rPr>
        <w:t>月在铅山县中医院接受治疗的62 例急性阑尾炎患者作为研究对象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9"/>
        </w:rPr>
        <w:t>,按照随机</w:t>
      </w:r>
      <w:r>
        <w:rPr>
          <w:sz w:val="17"/>
          <w:szCs w:val="17"/>
          <w:spacing w:val="8"/>
        </w:rPr>
        <w:t>数字表法将其分为对照组和研究组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8"/>
        </w:rPr>
        <w:t>,各 31 例。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对照组采用开腹手术法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3"/>
        </w:rPr>
        <w:t>,研究组采用腹腔镜微创手术法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3"/>
        </w:rPr>
        <w:t>。比</w:t>
      </w:r>
      <w:r>
        <w:rPr>
          <w:sz w:val="17"/>
          <w:szCs w:val="17"/>
          <w:spacing w:val="2"/>
        </w:rPr>
        <w:t>较两组临床疗效、胃肠功能(肠蠕动恢复、肠鸣音恢复、首次排气、首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次排便)、应激反应水平[血清超氧化歧化酶(</w:t>
      </w:r>
      <w:r>
        <w:rPr>
          <w:sz w:val="17"/>
          <w:szCs w:val="17"/>
        </w:rPr>
        <w:t>SOD</w:t>
      </w:r>
      <w:r>
        <w:rPr>
          <w:sz w:val="17"/>
          <w:szCs w:val="17"/>
          <w:spacing w:val="5"/>
        </w:rPr>
        <w:t>)、丙二醛(</w:t>
      </w:r>
      <w:r>
        <w:rPr>
          <w:sz w:val="17"/>
          <w:szCs w:val="17"/>
        </w:rPr>
        <w:t>MDA</w:t>
      </w:r>
      <w:r>
        <w:rPr>
          <w:sz w:val="17"/>
          <w:szCs w:val="17"/>
          <w:spacing w:val="5"/>
        </w:rPr>
        <w:t>)、血清 C 反应蛋白(</w:t>
      </w:r>
      <w:r>
        <w:rPr>
          <w:sz w:val="17"/>
          <w:szCs w:val="17"/>
        </w:rPr>
        <w:t>CRP</w:t>
      </w:r>
      <w:r>
        <w:rPr>
          <w:sz w:val="17"/>
          <w:szCs w:val="17"/>
          <w:spacing w:val="5"/>
        </w:rPr>
        <w:t>)、白细胞介素-6(</w:t>
      </w:r>
      <w:r>
        <w:rPr>
          <w:sz w:val="17"/>
          <w:szCs w:val="17"/>
        </w:rPr>
        <w:t>IL</w:t>
      </w:r>
      <w:r>
        <w:rPr>
          <w:sz w:val="17"/>
          <w:szCs w:val="17"/>
          <w:spacing w:val="5"/>
        </w:rPr>
        <w:t>-6)、肿瘤坏死因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2"/>
        </w:rPr>
        <w:t>子-α</w:t>
      </w:r>
      <w:r>
        <w:rPr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2"/>
        </w:rPr>
        <w:t>(</w:t>
      </w:r>
      <w:r>
        <w:rPr>
          <w:sz w:val="17"/>
          <w:szCs w:val="17"/>
        </w:rPr>
        <w:t>TNF</w:t>
      </w:r>
      <w:r>
        <w:rPr>
          <w:sz w:val="17"/>
          <w:szCs w:val="17"/>
          <w:spacing w:val="2"/>
        </w:rPr>
        <w:t>-α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2"/>
        </w:rPr>
        <w:t>)]、术后并发症发生率(肠梗阻、切口感染、腹腔脓肿、排尿障碍)。</w:t>
      </w:r>
      <w:r>
        <w:rPr>
          <w:rFonts w:ascii="SimHei" w:hAnsi="SimHei" w:eastAsia="SimHei" w:cs="SimHei"/>
          <w:sz w:val="17"/>
          <w:szCs w:val="17"/>
          <w:spacing w:val="2"/>
        </w:rPr>
        <w:t>结果</w:t>
      </w:r>
      <w:r>
        <w:rPr>
          <w:rFonts w:ascii="SimHei" w:hAnsi="SimHei" w:eastAsia="SimHei" w:cs="SimHei"/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2"/>
        </w:rPr>
        <w:t>研究组治疗总有效率高于对照组(</w:t>
      </w:r>
      <w:r>
        <w:rPr>
          <w:rFonts w:ascii="Arial" w:hAnsi="Arial" w:eastAsia="Arial" w:cs="Arial"/>
          <w:sz w:val="17"/>
          <w:szCs w:val="17"/>
          <w:spacing w:val="2"/>
          <w:position w:val="2"/>
        </w:rPr>
        <w:t>P</w:t>
      </w:r>
      <w:r>
        <w:rPr>
          <w:sz w:val="17"/>
          <w:szCs w:val="17"/>
          <w:spacing w:val="2"/>
        </w:rPr>
        <w:t>&lt;0.05);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研究组胃肠功能优于对照组(</w:t>
      </w:r>
      <w:r>
        <w:rPr>
          <w:rFonts w:ascii="Arial" w:hAnsi="Arial" w:eastAsia="Arial" w:cs="Arial"/>
          <w:sz w:val="17"/>
          <w:szCs w:val="17"/>
          <w:spacing w:val="3"/>
          <w:position w:val="1"/>
        </w:rPr>
        <w:t>P</w:t>
      </w:r>
      <w:r>
        <w:rPr>
          <w:sz w:val="17"/>
          <w:szCs w:val="17"/>
          <w:spacing w:val="3"/>
        </w:rPr>
        <w:t>&lt;0.05)。术后 3 天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3"/>
        </w:rPr>
        <w:t>,研究组 </w:t>
      </w:r>
      <w:r>
        <w:rPr>
          <w:sz w:val="17"/>
          <w:szCs w:val="17"/>
        </w:rPr>
        <w:t>SOD</w:t>
      </w:r>
      <w:r>
        <w:rPr>
          <w:sz w:val="17"/>
          <w:szCs w:val="17"/>
          <w:spacing w:val="3"/>
        </w:rPr>
        <w:t xml:space="preserve"> 水平均高于对照组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3"/>
        </w:rPr>
        <w:t>,而 </w:t>
      </w:r>
      <w:r>
        <w:rPr>
          <w:sz w:val="17"/>
          <w:szCs w:val="17"/>
        </w:rPr>
        <w:t>MDA</w:t>
      </w:r>
      <w:r>
        <w:rPr>
          <w:sz w:val="17"/>
          <w:szCs w:val="17"/>
          <w:spacing w:val="3"/>
        </w:rPr>
        <w:t>、</w:t>
      </w:r>
      <w:r>
        <w:rPr>
          <w:sz w:val="17"/>
          <w:szCs w:val="17"/>
        </w:rPr>
        <w:t>CRP</w:t>
      </w:r>
      <w:r>
        <w:rPr>
          <w:sz w:val="17"/>
          <w:szCs w:val="17"/>
          <w:spacing w:val="3"/>
        </w:rPr>
        <w:t>、</w:t>
      </w:r>
      <w:r>
        <w:rPr>
          <w:sz w:val="17"/>
          <w:szCs w:val="17"/>
        </w:rPr>
        <w:t>IL</w:t>
      </w:r>
      <w:r>
        <w:rPr>
          <w:sz w:val="17"/>
          <w:szCs w:val="17"/>
          <w:spacing w:val="3"/>
        </w:rPr>
        <w:t>-6、</w:t>
      </w:r>
      <w:r>
        <w:rPr>
          <w:sz w:val="17"/>
          <w:szCs w:val="17"/>
        </w:rPr>
        <w:t>TNF</w:t>
      </w:r>
      <w:r>
        <w:rPr>
          <w:sz w:val="17"/>
          <w:szCs w:val="17"/>
          <w:spacing w:val="3"/>
        </w:rPr>
        <w:t>-α 水平均低于对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照组(</w:t>
      </w:r>
      <w:r>
        <w:rPr>
          <w:rFonts w:ascii="Arial" w:hAnsi="Arial" w:eastAsia="Arial" w:cs="Arial"/>
          <w:sz w:val="17"/>
          <w:szCs w:val="17"/>
          <w:spacing w:val="5"/>
          <w:position w:val="2"/>
        </w:rPr>
        <w:t>P</w:t>
      </w:r>
      <w:r>
        <w:rPr>
          <w:sz w:val="17"/>
          <w:szCs w:val="17"/>
          <w:spacing w:val="5"/>
        </w:rPr>
        <w:t>&lt;0.05)。研究组术后并发症发生率低于对照组(</w:t>
      </w:r>
      <w:r>
        <w:rPr>
          <w:rFonts w:ascii="Arial" w:hAnsi="Arial" w:eastAsia="Arial" w:cs="Arial"/>
          <w:sz w:val="17"/>
          <w:szCs w:val="17"/>
          <w:spacing w:val="5"/>
          <w:position w:val="2"/>
        </w:rPr>
        <w:t>P</w:t>
      </w:r>
      <w:r>
        <w:rPr>
          <w:sz w:val="17"/>
          <w:szCs w:val="17"/>
          <w:spacing w:val="5"/>
        </w:rPr>
        <w:t>&lt;0.05)。</w:t>
      </w:r>
      <w:r>
        <w:rPr>
          <w:rFonts w:ascii="SimHei" w:hAnsi="SimHei" w:eastAsia="SimHei" w:cs="SimHei"/>
          <w:sz w:val="17"/>
          <w:szCs w:val="17"/>
          <w:spacing w:val="5"/>
        </w:rPr>
        <w:t>结论</w:t>
      </w:r>
      <w:r>
        <w:rPr>
          <w:rFonts w:ascii="SimHei" w:hAnsi="SimHei" w:eastAsia="SimHei" w:cs="SimHei"/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5"/>
        </w:rPr>
        <w:t>传统开腹手术和腹腔镜手术均是治疗急性阑尾炎的有效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9"/>
        </w:rPr>
        <w:t>手段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9"/>
        </w:rPr>
        <w:t>,但腹腔镜手术优势更显著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9"/>
        </w:rPr>
        <w:t>,治疗效果和安全度更高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9"/>
        </w:rPr>
        <w:t>,对机体应激反应的影响更小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9"/>
        </w:rPr>
        <w:t>,而且术后恢复快等优势明显。</w:t>
      </w:r>
    </w:p>
    <w:p>
      <w:pPr>
        <w:pStyle w:val="BodyText"/>
        <w:ind w:left="717"/>
        <w:spacing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4"/>
        </w:rPr>
        <w:t>关键词</w:t>
      </w:r>
      <w:r>
        <w:rPr>
          <w:sz w:val="17"/>
          <w:szCs w:val="17"/>
          <w:spacing w:val="14"/>
        </w:rPr>
        <w:t>:传统开腹手术;腹腔镜手术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14"/>
        </w:rPr>
        <w:t>;急性阑尾炎;胃</w:t>
      </w:r>
      <w:r>
        <w:rPr>
          <w:sz w:val="17"/>
          <w:szCs w:val="17"/>
          <w:spacing w:val="13"/>
        </w:rPr>
        <w:t>肠功能;并发症</w:t>
      </w:r>
    </w:p>
    <w:p>
      <w:pPr>
        <w:pStyle w:val="BodyText"/>
        <w:ind w:left="732"/>
        <w:spacing w:before="39" w:line="19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中图分类号</w:t>
      </w:r>
      <w:r>
        <w:rPr>
          <w:sz w:val="17"/>
          <w:szCs w:val="17"/>
          <w:spacing w:val="-1"/>
        </w:rPr>
        <w:t>:R656.8                                         </w:t>
      </w:r>
      <w:r>
        <w:rPr>
          <w:rFonts w:ascii="SimHei" w:hAnsi="SimHei" w:eastAsia="SimHei" w:cs="SimHei"/>
          <w:sz w:val="17"/>
          <w:szCs w:val="17"/>
          <w:spacing w:val="-1"/>
        </w:rPr>
        <w:t>文献标识码</w:t>
      </w:r>
      <w:r>
        <w:rPr>
          <w:sz w:val="17"/>
          <w:szCs w:val="17"/>
          <w:spacing w:val="-1"/>
        </w:rPr>
        <w:t>:A                                     DOI:10.3969/j.issn.100</w:t>
      </w:r>
      <w:r>
        <w:rPr>
          <w:sz w:val="17"/>
          <w:szCs w:val="17"/>
          <w:spacing w:val="-2"/>
        </w:rPr>
        <w:t>6-1959.2024.24.019</w:t>
      </w:r>
    </w:p>
    <w:p>
      <w:pPr>
        <w:pStyle w:val="BodyText"/>
        <w:ind w:left="721"/>
        <w:spacing w:before="59" w:line="20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"/>
        </w:rPr>
        <w:t>文章编号</w:t>
      </w:r>
      <w:r>
        <w:rPr>
          <w:sz w:val="17"/>
          <w:szCs w:val="17"/>
          <w:spacing w:val="1"/>
        </w:rPr>
        <w:t>:1006-1959(2024)24-0069-04</w:t>
      </w:r>
    </w:p>
    <w:p>
      <w:pPr>
        <w:pStyle w:val="BodyText"/>
        <w:ind w:left="1064"/>
        <w:spacing w:before="82" w:line="16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Effect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of Traditional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Laparotomy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Laparoscopic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Surgery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Efficacy,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Gastrointesti</w:t>
      </w:r>
      <w:r>
        <w:rPr>
          <w:sz w:val="20"/>
          <w:szCs w:val="20"/>
          <w:spacing w:val="-4"/>
        </w:rPr>
        <w:t>nal</w:t>
      </w:r>
    </w:p>
    <w:p>
      <w:pPr>
        <w:pStyle w:val="BodyText"/>
        <w:ind w:left="2620"/>
        <w:spacing w:before="93" w:line="162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Function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6"/>
        </w:rPr>
        <w:t>Complications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6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6"/>
        </w:rPr>
        <w:t>with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6"/>
        </w:rPr>
        <w:t>Acute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6"/>
        </w:rPr>
        <w:t>Appendicitis</w:t>
      </w:r>
    </w:p>
    <w:p>
      <w:pPr>
        <w:pStyle w:val="BodyText"/>
        <w:ind w:left="4991"/>
        <w:spacing w:before="89" w:line="180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WANG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0"/>
        </w:rPr>
        <w:t>Jianhui</w:t>
      </w:r>
    </w:p>
    <w:p>
      <w:pPr>
        <w:pStyle w:val="BodyText"/>
        <w:ind w:left="1437"/>
        <w:spacing w:before="76" w:line="166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(Department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General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Surgery,Yanshan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Hospital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of Traditional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Chinese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Medicine,Yanshan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334500,Jiangxi,Ch</w:t>
      </w:r>
      <w:r>
        <w:rPr>
          <w:sz w:val="17"/>
          <w:szCs w:val="17"/>
          <w:spacing w:val="-12"/>
        </w:rPr>
        <w:t>ina)</w:t>
      </w:r>
    </w:p>
    <w:p>
      <w:pPr>
        <w:pStyle w:val="BodyText"/>
        <w:ind w:left="713" w:right="57" w:hanging="1"/>
        <w:spacing w:before="65" w:line="256" w:lineRule="auto"/>
        <w:rPr/>
      </w:pPr>
      <w:r>
        <w:rPr>
          <w:spacing w:val="-9"/>
        </w:rPr>
        <w:t>Abstract：Objective   To  analyze  the</w:t>
      </w:r>
      <w:r>
        <w:rPr>
          <w:spacing w:val="41"/>
          <w:w w:val="101"/>
        </w:rPr>
        <w:t xml:space="preserve"> </w:t>
      </w:r>
      <w:r>
        <w:rPr>
          <w:spacing w:val="-9"/>
        </w:rPr>
        <w:t>effects</w:t>
      </w:r>
      <w:r>
        <w:rPr>
          <w:spacing w:val="40"/>
        </w:rPr>
        <w:t xml:space="preserve"> </w:t>
      </w:r>
      <w:r>
        <w:rPr>
          <w:spacing w:val="-9"/>
        </w:rPr>
        <w:t>of  traditional</w:t>
      </w:r>
      <w:r>
        <w:rPr>
          <w:spacing w:val="39"/>
          <w:w w:val="101"/>
        </w:rPr>
        <w:t xml:space="preserve"> </w:t>
      </w:r>
      <w:r>
        <w:rPr>
          <w:spacing w:val="-9"/>
        </w:rPr>
        <w:t>lap</w:t>
      </w:r>
      <w:r>
        <w:rPr>
          <w:spacing w:val="-10"/>
        </w:rPr>
        <w:t>arotomy</w:t>
      </w:r>
      <w:r>
        <w:rPr>
          <w:spacing w:val="42"/>
        </w:rPr>
        <w:t xml:space="preserve"> </w:t>
      </w:r>
      <w:r>
        <w:rPr>
          <w:spacing w:val="-10"/>
        </w:rPr>
        <w:t>and</w:t>
      </w:r>
      <w:r>
        <w:rPr>
          <w:spacing w:val="42"/>
          <w:w w:val="101"/>
        </w:rPr>
        <w:t xml:space="preserve"> </w:t>
      </w:r>
      <w:r>
        <w:rPr>
          <w:spacing w:val="-10"/>
        </w:rPr>
        <w:t>laparoscopic</w:t>
      </w:r>
      <w:r>
        <w:rPr/>
        <w:t xml:space="preserve">  </w:t>
      </w:r>
      <w:r>
        <w:rPr>
          <w:spacing w:val="-10"/>
        </w:rPr>
        <w:t>surgery</w:t>
      </w:r>
      <w:r>
        <w:rPr>
          <w:spacing w:val="44"/>
        </w:rPr>
        <w:t xml:space="preserve"> </w:t>
      </w:r>
      <w:r>
        <w:rPr>
          <w:spacing w:val="-10"/>
        </w:rPr>
        <w:t>on</w:t>
      </w:r>
      <w:r>
        <w:rPr/>
        <w:t xml:space="preserve">  </w:t>
      </w:r>
      <w:r>
        <w:rPr>
          <w:spacing w:val="-10"/>
        </w:rPr>
        <w:t>clinical</w:t>
      </w:r>
      <w:r>
        <w:rPr>
          <w:spacing w:val="1"/>
        </w:rPr>
        <w:t xml:space="preserve">  </w:t>
      </w:r>
      <w:r>
        <w:rPr>
          <w:spacing w:val="-10"/>
        </w:rPr>
        <w:t>efficacy,</w:t>
      </w:r>
      <w:r>
        <w:rPr>
          <w:spacing w:val="43"/>
        </w:rPr>
        <w:t xml:space="preserve"> </w:t>
      </w:r>
      <w:r>
        <w:rPr>
          <w:spacing w:val="-10"/>
        </w:rPr>
        <w:t>gastrointestinal</w:t>
      </w:r>
      <w:r>
        <w:rPr>
          <w:spacing w:val="39"/>
          <w:w w:val="102"/>
        </w:rPr>
        <w:t xml:space="preserve"> </w:t>
      </w:r>
      <w:r>
        <w:rPr>
          <w:spacing w:val="-10"/>
        </w:rPr>
        <w:t>function</w:t>
      </w:r>
      <w:r>
        <w:rPr>
          <w:spacing w:val="42"/>
        </w:rPr>
        <w:t xml:space="preserve"> </w:t>
      </w:r>
      <w:r>
        <w:rPr>
          <w:spacing w:val="-10"/>
        </w:rPr>
        <w:t>and</w:t>
      </w:r>
      <w:r>
        <w:rPr/>
        <w:t xml:space="preserve"> </w:t>
      </w:r>
      <w:r>
        <w:rPr>
          <w:spacing w:val="-9"/>
        </w:rPr>
        <w:t>complications  in  patients  with  acute  appen</w:t>
      </w:r>
      <w:r>
        <w:rPr>
          <w:spacing w:val="-10"/>
        </w:rPr>
        <w:t>dicitis.Methods    A  total  of  62  patients</w:t>
      </w:r>
      <w:r>
        <w:rPr>
          <w:spacing w:val="36"/>
          <w:w w:val="101"/>
        </w:rPr>
        <w:t xml:space="preserve"> </w:t>
      </w:r>
      <w:r>
        <w:rPr>
          <w:spacing w:val="-10"/>
        </w:rPr>
        <w:t>with</w:t>
      </w:r>
      <w:r>
        <w:rPr>
          <w:spacing w:val="42"/>
          <w:w w:val="101"/>
        </w:rPr>
        <w:t xml:space="preserve"> </w:t>
      </w:r>
      <w:r>
        <w:rPr>
          <w:spacing w:val="-10"/>
        </w:rPr>
        <w:t>acute</w:t>
      </w:r>
      <w:r>
        <w:rPr>
          <w:spacing w:val="41"/>
          <w:w w:val="101"/>
        </w:rPr>
        <w:t xml:space="preserve"> </w:t>
      </w:r>
      <w:r>
        <w:rPr>
          <w:spacing w:val="-10"/>
        </w:rPr>
        <w:t>appendicitis</w:t>
      </w:r>
      <w:r>
        <w:rPr>
          <w:spacing w:val="36"/>
          <w:w w:val="101"/>
        </w:rPr>
        <w:t xml:space="preserve"> </w:t>
      </w:r>
      <w:r>
        <w:rPr>
          <w:spacing w:val="-10"/>
        </w:rPr>
        <w:t>who</w:t>
      </w:r>
      <w:r>
        <w:rPr>
          <w:spacing w:val="37"/>
          <w:w w:val="101"/>
        </w:rPr>
        <w:t xml:space="preserve"> </w:t>
      </w:r>
      <w:r>
        <w:rPr>
          <w:spacing w:val="-10"/>
        </w:rPr>
        <w:t>were</w:t>
      </w:r>
      <w:r>
        <w:rPr>
          <w:spacing w:val="39"/>
          <w:w w:val="101"/>
        </w:rPr>
        <w:t xml:space="preserve"> </w:t>
      </w:r>
      <w:r>
        <w:rPr>
          <w:spacing w:val="-10"/>
        </w:rPr>
        <w:t>treated</w:t>
      </w:r>
      <w:r>
        <w:rPr>
          <w:spacing w:val="42"/>
        </w:rPr>
        <w:t xml:space="preserve"> </w:t>
      </w:r>
      <w:r>
        <w:rPr>
          <w:spacing w:val="-10"/>
        </w:rPr>
        <w:t>in</w:t>
      </w:r>
      <w:r>
        <w:rPr>
          <w:spacing w:val="40"/>
        </w:rPr>
        <w:t xml:space="preserve"> </w:t>
      </w:r>
      <w:r>
        <w:rPr>
          <w:spacing w:val="-10"/>
        </w:rPr>
        <w:t>Yanshan</w:t>
      </w:r>
      <w:r>
        <w:rPr>
          <w:spacing w:val="44"/>
        </w:rPr>
        <w:t xml:space="preserve"> </w:t>
      </w:r>
      <w:r>
        <w:rPr>
          <w:spacing w:val="-10"/>
        </w:rPr>
        <w:t>County</w:t>
      </w:r>
      <w:r>
        <w:rPr/>
        <w:t xml:space="preserve"> </w:t>
      </w:r>
      <w:r>
        <w:rPr>
          <w:spacing w:val="-11"/>
        </w:rPr>
        <w:t>Hospital</w:t>
      </w:r>
      <w:r>
        <w:rPr>
          <w:spacing w:val="20"/>
        </w:rPr>
        <w:t xml:space="preserve"> </w:t>
      </w:r>
      <w:r>
        <w:rPr>
          <w:spacing w:val="-11"/>
        </w:rPr>
        <w:t>of</w:t>
      </w:r>
      <w:r>
        <w:rPr>
          <w:spacing w:val="5"/>
        </w:rPr>
        <w:t xml:space="preserve"> </w:t>
      </w:r>
      <w:r>
        <w:rPr>
          <w:spacing w:val="-11"/>
        </w:rPr>
        <w:t>Traditional</w:t>
      </w:r>
      <w:r>
        <w:rPr>
          <w:spacing w:val="22"/>
        </w:rPr>
        <w:t xml:space="preserve"> </w:t>
      </w:r>
      <w:r>
        <w:rPr>
          <w:spacing w:val="-11"/>
        </w:rPr>
        <w:t>Chinese</w:t>
      </w:r>
      <w:r>
        <w:rPr>
          <w:spacing w:val="19"/>
        </w:rPr>
        <w:t xml:space="preserve"> </w:t>
      </w:r>
      <w:r>
        <w:rPr>
          <w:spacing w:val="-11"/>
        </w:rPr>
        <w:t>Medicine</w:t>
      </w:r>
      <w:r>
        <w:rPr>
          <w:spacing w:val="16"/>
        </w:rPr>
        <w:t xml:space="preserve"> </w:t>
      </w:r>
      <w:r>
        <w:rPr>
          <w:spacing w:val="-11"/>
        </w:rPr>
        <w:t>from</w:t>
      </w:r>
      <w:r>
        <w:rPr>
          <w:spacing w:val="20"/>
          <w:w w:val="101"/>
        </w:rPr>
        <w:t xml:space="preserve"> </w:t>
      </w:r>
      <w:r>
        <w:rPr>
          <w:spacing w:val="-11"/>
        </w:rPr>
        <w:t>May</w:t>
      </w:r>
      <w:r>
        <w:rPr>
          <w:spacing w:val="19"/>
          <w:w w:val="101"/>
        </w:rPr>
        <w:t xml:space="preserve"> </w:t>
      </w:r>
      <w:r>
        <w:rPr>
          <w:spacing w:val="-11"/>
        </w:rPr>
        <w:t>2023</w:t>
      </w:r>
      <w:r>
        <w:rPr>
          <w:spacing w:val="18"/>
        </w:rPr>
        <w:t xml:space="preserve"> </w:t>
      </w:r>
      <w:r>
        <w:rPr>
          <w:spacing w:val="-11"/>
        </w:rPr>
        <w:t>to</w:t>
      </w:r>
      <w:r>
        <w:rPr>
          <w:spacing w:val="18"/>
          <w:w w:val="101"/>
        </w:rPr>
        <w:t xml:space="preserve"> </w:t>
      </w:r>
      <w:r>
        <w:rPr>
          <w:spacing w:val="-11"/>
        </w:rPr>
        <w:t>April</w:t>
      </w:r>
      <w:r>
        <w:rPr>
          <w:spacing w:val="19"/>
          <w:w w:val="101"/>
        </w:rPr>
        <w:t xml:space="preserve"> </w:t>
      </w:r>
      <w:r>
        <w:rPr>
          <w:spacing w:val="-11"/>
        </w:rPr>
        <w:t>2024</w:t>
      </w:r>
      <w:r>
        <w:rPr>
          <w:spacing w:val="16"/>
          <w:w w:val="101"/>
        </w:rPr>
        <w:t xml:space="preserve"> </w:t>
      </w:r>
      <w:r>
        <w:rPr>
          <w:spacing w:val="-11"/>
        </w:rPr>
        <w:t>were</w:t>
      </w:r>
      <w:r>
        <w:rPr>
          <w:spacing w:val="19"/>
        </w:rPr>
        <w:t xml:space="preserve"> </w:t>
      </w:r>
      <w:r>
        <w:rPr>
          <w:spacing w:val="-11"/>
        </w:rPr>
        <w:t>s</w:t>
      </w:r>
      <w:r>
        <w:rPr>
          <w:spacing w:val="-12"/>
        </w:rPr>
        <w:t>elected</w:t>
      </w:r>
      <w:r>
        <w:rPr>
          <w:spacing w:val="20"/>
          <w:w w:val="101"/>
        </w:rPr>
        <w:t xml:space="preserve"> </w:t>
      </w:r>
      <w:r>
        <w:rPr>
          <w:spacing w:val="-12"/>
        </w:rPr>
        <w:t>as</w:t>
      </w:r>
      <w:r>
        <w:rPr>
          <w:spacing w:val="14"/>
          <w:w w:val="101"/>
        </w:rPr>
        <w:t xml:space="preserve"> </w:t>
      </w:r>
      <w:r>
        <w:rPr>
          <w:spacing w:val="-12"/>
        </w:rPr>
        <w:t>the</w:t>
      </w:r>
      <w:r>
        <w:rPr>
          <w:spacing w:val="15"/>
          <w:w w:val="101"/>
        </w:rPr>
        <w:t xml:space="preserve"> </w:t>
      </w:r>
      <w:r>
        <w:rPr>
          <w:spacing w:val="-12"/>
        </w:rPr>
        <w:t>research</w:t>
      </w:r>
      <w:r>
        <w:rPr>
          <w:spacing w:val="20"/>
        </w:rPr>
        <w:t xml:space="preserve"> </w:t>
      </w:r>
      <w:r>
        <w:rPr>
          <w:spacing w:val="-12"/>
        </w:rPr>
        <w:t>objects.</w:t>
      </w:r>
      <w:r>
        <w:rPr>
          <w:spacing w:val="18"/>
        </w:rPr>
        <w:t xml:space="preserve"> </w:t>
      </w:r>
      <w:r>
        <w:rPr>
          <w:spacing w:val="-12"/>
        </w:rPr>
        <w:t>According</w:t>
      </w:r>
      <w:r>
        <w:rPr>
          <w:spacing w:val="17"/>
          <w:w w:val="101"/>
        </w:rPr>
        <w:t xml:space="preserve"> </w:t>
      </w:r>
      <w:r>
        <w:rPr>
          <w:spacing w:val="-12"/>
        </w:rPr>
        <w:t>to</w:t>
      </w:r>
      <w:r>
        <w:rPr>
          <w:spacing w:val="17"/>
          <w:w w:val="101"/>
        </w:rPr>
        <w:t xml:space="preserve"> </w:t>
      </w:r>
      <w:r>
        <w:rPr>
          <w:spacing w:val="-12"/>
        </w:rPr>
        <w:t>the</w:t>
      </w:r>
      <w:r>
        <w:rPr>
          <w:spacing w:val="20"/>
          <w:w w:val="101"/>
        </w:rPr>
        <w:t xml:space="preserve"> </w:t>
      </w:r>
      <w:r>
        <w:rPr>
          <w:spacing w:val="-12"/>
        </w:rPr>
        <w:t>random</w:t>
      </w:r>
      <w:r>
        <w:rPr>
          <w:spacing w:val="18"/>
          <w:w w:val="101"/>
        </w:rPr>
        <w:t xml:space="preserve"> </w:t>
      </w:r>
      <w:r>
        <w:rPr>
          <w:spacing w:val="-12"/>
        </w:rPr>
        <w:t>number</w:t>
      </w:r>
      <w:r>
        <w:rPr>
          <w:spacing w:val="17"/>
          <w:w w:val="101"/>
        </w:rPr>
        <w:t xml:space="preserve"> </w:t>
      </w:r>
      <w:r>
        <w:rPr>
          <w:spacing w:val="-12"/>
        </w:rPr>
        <w:t>table</w:t>
      </w:r>
      <w:r>
        <w:rPr/>
        <w:t xml:space="preserve"> </w:t>
      </w:r>
      <w:r>
        <w:rPr>
          <w:spacing w:val="-12"/>
        </w:rPr>
        <w:t>method,  they  were  divided</w:t>
      </w:r>
      <w:r>
        <w:rPr>
          <w:spacing w:val="44"/>
          <w:w w:val="102"/>
        </w:rPr>
        <w:t xml:space="preserve"> </w:t>
      </w:r>
      <w:r>
        <w:rPr>
          <w:spacing w:val="-12"/>
        </w:rPr>
        <w:t>into</w:t>
      </w:r>
      <w:r>
        <w:rPr>
          <w:spacing w:val="44"/>
        </w:rPr>
        <w:t xml:space="preserve"> </w:t>
      </w:r>
      <w:r>
        <w:rPr>
          <w:spacing w:val="-12"/>
        </w:rPr>
        <w:t>control</w:t>
      </w:r>
      <w:r>
        <w:rPr>
          <w:spacing w:val="43"/>
        </w:rPr>
        <w:t xml:space="preserve"> </w:t>
      </w:r>
      <w:r>
        <w:rPr>
          <w:spacing w:val="-12"/>
        </w:rPr>
        <w:t>group</w:t>
      </w:r>
      <w:r>
        <w:rPr>
          <w:spacing w:val="42"/>
          <w:w w:val="101"/>
        </w:rPr>
        <w:t xml:space="preserve"> </w:t>
      </w:r>
      <w:r>
        <w:rPr>
          <w:spacing w:val="-12"/>
        </w:rPr>
        <w:t>and</w:t>
      </w:r>
      <w:r>
        <w:rPr/>
        <w:t xml:space="preserve">  </w:t>
      </w:r>
      <w:r>
        <w:rPr>
          <w:spacing w:val="-12"/>
        </w:rPr>
        <w:t>study</w:t>
      </w:r>
      <w:r>
        <w:rPr>
          <w:spacing w:val="44"/>
          <w:w w:val="102"/>
        </w:rPr>
        <w:t xml:space="preserve"> </w:t>
      </w:r>
      <w:r>
        <w:rPr>
          <w:spacing w:val="-12"/>
        </w:rPr>
        <w:t>group,</w:t>
      </w:r>
      <w:r>
        <w:rPr>
          <w:spacing w:val="39"/>
        </w:rPr>
        <w:t xml:space="preserve"> </w:t>
      </w:r>
      <w:r>
        <w:rPr>
          <w:spacing w:val="-12"/>
        </w:rPr>
        <w:t>with</w:t>
      </w:r>
      <w:r>
        <w:rPr>
          <w:spacing w:val="44"/>
        </w:rPr>
        <w:t xml:space="preserve"> </w:t>
      </w:r>
      <w:r>
        <w:rPr>
          <w:spacing w:val="-12"/>
        </w:rPr>
        <w:t>31</w:t>
      </w:r>
      <w:r>
        <w:rPr>
          <w:spacing w:val="42"/>
          <w:w w:val="101"/>
        </w:rPr>
        <w:t xml:space="preserve"> </w:t>
      </w:r>
      <w:r>
        <w:rPr>
          <w:spacing w:val="-12"/>
        </w:rPr>
        <w:t>patients</w:t>
      </w:r>
      <w:r>
        <w:rPr>
          <w:spacing w:val="43"/>
        </w:rPr>
        <w:t xml:space="preserve"> </w:t>
      </w:r>
      <w:r>
        <w:rPr>
          <w:spacing w:val="-12"/>
        </w:rPr>
        <w:t>in</w:t>
      </w:r>
      <w:r>
        <w:rPr/>
        <w:t xml:space="preserve">  </w:t>
      </w:r>
      <w:r>
        <w:rPr>
          <w:spacing w:val="-12"/>
        </w:rPr>
        <w:t>each</w:t>
      </w:r>
      <w:r>
        <w:rPr>
          <w:spacing w:val="44"/>
        </w:rPr>
        <w:t xml:space="preserve"> </w:t>
      </w:r>
      <w:r>
        <w:rPr>
          <w:spacing w:val="-12"/>
        </w:rPr>
        <w:t>group.</w:t>
      </w:r>
      <w:r>
        <w:rPr>
          <w:spacing w:val="40"/>
        </w:rPr>
        <w:t xml:space="preserve"> </w:t>
      </w:r>
      <w:r>
        <w:rPr>
          <w:spacing w:val="-12"/>
        </w:rPr>
        <w:t>The</w:t>
      </w:r>
      <w:r>
        <w:rPr>
          <w:spacing w:val="44"/>
        </w:rPr>
        <w:t xml:space="preserve"> </w:t>
      </w:r>
      <w:r>
        <w:rPr>
          <w:spacing w:val="-12"/>
        </w:rPr>
        <w:t>control</w:t>
      </w:r>
      <w:r>
        <w:rPr/>
        <w:t xml:space="preserve">  </w:t>
      </w:r>
      <w:r>
        <w:rPr>
          <w:spacing w:val="-12"/>
        </w:rPr>
        <w:t>group</w:t>
      </w:r>
      <w:r>
        <w:rPr>
          <w:spacing w:val="41"/>
          <w:w w:val="102"/>
        </w:rPr>
        <w:t xml:space="preserve"> </w:t>
      </w:r>
      <w:r>
        <w:rPr>
          <w:spacing w:val="-12"/>
        </w:rPr>
        <w:t>was</w:t>
      </w:r>
      <w:r>
        <w:rPr>
          <w:spacing w:val="43"/>
        </w:rPr>
        <w:t xml:space="preserve"> </w:t>
      </w:r>
      <w:r>
        <w:rPr>
          <w:spacing w:val="-12"/>
        </w:rPr>
        <w:t>treated</w:t>
      </w:r>
      <w:r>
        <w:rPr>
          <w:spacing w:val="43"/>
        </w:rPr>
        <w:t xml:space="preserve"> </w:t>
      </w:r>
      <w:r>
        <w:rPr>
          <w:spacing w:val="-12"/>
        </w:rPr>
        <w:t>wit</w:t>
      </w:r>
      <w:r>
        <w:rPr>
          <w:spacing w:val="-13"/>
        </w:rPr>
        <w:t>h</w:t>
      </w:r>
      <w:r>
        <w:rPr>
          <w:spacing w:val="42"/>
        </w:rPr>
        <w:t xml:space="preserve"> </w:t>
      </w:r>
      <w:r>
        <w:rPr>
          <w:spacing w:val="-13"/>
        </w:rPr>
        <w:t>traditional</w:t>
      </w:r>
      <w:r>
        <w:rPr/>
        <w:t xml:space="preserve"> </w:t>
      </w:r>
      <w:r>
        <w:rPr>
          <w:spacing w:val="-10"/>
        </w:rPr>
        <w:t>laparotomy,</w:t>
      </w:r>
      <w:r>
        <w:rPr>
          <w:spacing w:val="15"/>
          <w:w w:val="101"/>
        </w:rPr>
        <w:t xml:space="preserve"> </w:t>
      </w:r>
      <w:r>
        <w:rPr>
          <w:spacing w:val="-10"/>
        </w:rPr>
        <w:t>and</w:t>
      </w:r>
      <w:r>
        <w:rPr>
          <w:spacing w:val="13"/>
          <w:w w:val="101"/>
        </w:rPr>
        <w:t xml:space="preserve"> </w:t>
      </w:r>
      <w:r>
        <w:rPr>
          <w:spacing w:val="-10"/>
        </w:rPr>
        <w:t>the</w:t>
      </w:r>
      <w:r>
        <w:rPr>
          <w:spacing w:val="18"/>
          <w:w w:val="102"/>
        </w:rPr>
        <w:t xml:space="preserve"> </w:t>
      </w:r>
      <w:r>
        <w:rPr>
          <w:spacing w:val="-10"/>
        </w:rPr>
        <w:t>study</w:t>
      </w:r>
      <w:r>
        <w:rPr>
          <w:spacing w:val="14"/>
          <w:w w:val="101"/>
        </w:rPr>
        <w:t xml:space="preserve"> </w:t>
      </w:r>
      <w:r>
        <w:rPr>
          <w:spacing w:val="-10"/>
        </w:rPr>
        <w:t>group</w:t>
      </w:r>
      <w:r>
        <w:rPr>
          <w:spacing w:val="14"/>
        </w:rPr>
        <w:t xml:space="preserve"> </w:t>
      </w:r>
      <w:r>
        <w:rPr>
          <w:spacing w:val="-10"/>
        </w:rPr>
        <w:t>was</w:t>
      </w:r>
      <w:r>
        <w:rPr>
          <w:spacing w:val="12"/>
        </w:rPr>
        <w:t xml:space="preserve"> </w:t>
      </w:r>
      <w:r>
        <w:rPr>
          <w:spacing w:val="-10"/>
        </w:rPr>
        <w:t>treated</w:t>
      </w:r>
      <w:r>
        <w:rPr>
          <w:spacing w:val="14"/>
        </w:rPr>
        <w:t xml:space="preserve"> </w:t>
      </w:r>
      <w:r>
        <w:rPr>
          <w:spacing w:val="-10"/>
        </w:rPr>
        <w:t>with</w:t>
      </w:r>
      <w:r>
        <w:rPr>
          <w:spacing w:val="13"/>
          <w:w w:val="101"/>
        </w:rPr>
        <w:t xml:space="preserve"> </w:t>
      </w:r>
      <w:r>
        <w:rPr>
          <w:spacing w:val="-10"/>
        </w:rPr>
        <w:t>laparoscopic</w:t>
      </w:r>
      <w:r>
        <w:rPr>
          <w:spacing w:val="19"/>
          <w:w w:val="101"/>
        </w:rPr>
        <w:t xml:space="preserve"> </w:t>
      </w:r>
      <w:r>
        <w:rPr>
          <w:spacing w:val="-10"/>
        </w:rPr>
        <w:t>minimall</w:t>
      </w:r>
      <w:r>
        <w:rPr>
          <w:spacing w:val="-11"/>
        </w:rPr>
        <w:t>y</w:t>
      </w:r>
      <w:r>
        <w:rPr>
          <w:spacing w:val="17"/>
          <w:w w:val="101"/>
        </w:rPr>
        <w:t xml:space="preserve"> </w:t>
      </w:r>
      <w:r>
        <w:rPr>
          <w:spacing w:val="-11"/>
        </w:rPr>
        <w:t>invasive</w:t>
      </w:r>
      <w:r>
        <w:rPr>
          <w:spacing w:val="21"/>
        </w:rPr>
        <w:t xml:space="preserve"> </w:t>
      </w:r>
      <w:r>
        <w:rPr>
          <w:spacing w:val="-11"/>
        </w:rPr>
        <w:t>surgery.</w:t>
      </w:r>
      <w:r>
        <w:rPr>
          <w:spacing w:val="13"/>
          <w:w w:val="102"/>
        </w:rPr>
        <w:t xml:space="preserve"> </w:t>
      </w:r>
      <w:r>
        <w:rPr>
          <w:spacing w:val="-11"/>
        </w:rPr>
        <w:t>The</w:t>
      </w:r>
      <w:r>
        <w:rPr>
          <w:spacing w:val="17"/>
          <w:w w:val="101"/>
        </w:rPr>
        <w:t xml:space="preserve"> </w:t>
      </w:r>
      <w:r>
        <w:rPr>
          <w:spacing w:val="-11"/>
        </w:rPr>
        <w:t>clinical</w:t>
      </w:r>
      <w:r>
        <w:rPr>
          <w:spacing w:val="17"/>
          <w:w w:val="101"/>
        </w:rPr>
        <w:t xml:space="preserve"> </w:t>
      </w:r>
      <w:r>
        <w:rPr>
          <w:spacing w:val="-11"/>
        </w:rPr>
        <w:t>efficacy,</w:t>
      </w:r>
      <w:r>
        <w:rPr>
          <w:spacing w:val="16"/>
          <w:w w:val="101"/>
        </w:rPr>
        <w:t xml:space="preserve"> </w:t>
      </w:r>
      <w:r>
        <w:rPr>
          <w:spacing w:val="-11"/>
        </w:rPr>
        <w:t>gastrointestinal</w:t>
      </w:r>
      <w:r>
        <w:rPr>
          <w:spacing w:val="15"/>
          <w:w w:val="102"/>
        </w:rPr>
        <w:t xml:space="preserve"> </w:t>
      </w:r>
      <w:r>
        <w:rPr>
          <w:spacing w:val="-11"/>
        </w:rPr>
        <w:t>function</w:t>
      </w:r>
      <w:r>
        <w:rPr>
          <w:spacing w:val="3"/>
        </w:rPr>
        <w:t xml:space="preserve">   </w:t>
      </w:r>
      <w:r>
        <w:rPr>
          <w:spacing w:val="-11"/>
        </w:rPr>
        <w:t>(recovery</w:t>
      </w:r>
      <w:r>
        <w:rPr>
          <w:spacing w:val="18"/>
          <w:w w:val="101"/>
        </w:rPr>
        <w:t xml:space="preserve"> </w:t>
      </w:r>
      <w:r>
        <w:rPr>
          <w:spacing w:val="-11"/>
        </w:rPr>
        <w:t>of</w:t>
      </w:r>
      <w:r>
        <w:rPr/>
        <w:t xml:space="preserve"> </w:t>
      </w:r>
      <w:r>
        <w:rPr>
          <w:spacing w:val="-9"/>
        </w:rPr>
        <w:t>intestinal   peristalsis,</w:t>
      </w:r>
      <w:r>
        <w:rPr>
          <w:spacing w:val="12"/>
        </w:rPr>
        <w:t xml:space="preserve">  </w:t>
      </w:r>
      <w:r>
        <w:rPr>
          <w:spacing w:val="-9"/>
        </w:rPr>
        <w:t>recovery   of</w:t>
      </w:r>
      <w:r>
        <w:rPr>
          <w:spacing w:val="9"/>
        </w:rPr>
        <w:t xml:space="preserve">  </w:t>
      </w:r>
      <w:r>
        <w:rPr>
          <w:spacing w:val="-9"/>
        </w:rPr>
        <w:t>bowel   sounds,   first   exhaust,   first   defecation),   stress   response   level     [serum   superoxide   dismu</w:t>
      </w:r>
      <w:r>
        <w:rPr>
          <w:spacing w:val="-10"/>
        </w:rPr>
        <w:t>tase   (SOD),</w:t>
      </w:r>
      <w:r>
        <w:rPr/>
        <w:t xml:space="preserve"> </w:t>
      </w:r>
      <w:r>
        <w:rPr>
          <w:spacing w:val="-8"/>
        </w:rPr>
        <w:t>malondialdehyde</w:t>
      </w:r>
      <w:r>
        <w:rPr>
          <w:spacing w:val="32"/>
        </w:rPr>
        <w:t xml:space="preserve"> </w:t>
      </w:r>
      <w:r>
        <w:rPr>
          <w:spacing w:val="-8"/>
        </w:rPr>
        <w:t>(MDA),</w:t>
      </w:r>
      <w:r>
        <w:rPr>
          <w:spacing w:val="28"/>
        </w:rPr>
        <w:t xml:space="preserve"> </w:t>
      </w:r>
      <w:r>
        <w:rPr>
          <w:spacing w:val="-8"/>
        </w:rPr>
        <w:t>serum</w:t>
      </w:r>
      <w:r>
        <w:rPr>
          <w:spacing w:val="28"/>
        </w:rPr>
        <w:t xml:space="preserve"> </w:t>
      </w:r>
      <w:r>
        <w:rPr>
          <w:spacing w:val="-8"/>
        </w:rPr>
        <w:t>C</w:t>
      </w:r>
      <w:r>
        <w:rPr>
          <w:spacing w:val="-22"/>
        </w:rPr>
        <w:t xml:space="preserve"> </w:t>
      </w:r>
      <w:r>
        <w:rPr>
          <w:spacing w:val="-8"/>
        </w:rPr>
        <w:t>-reactive</w:t>
      </w:r>
      <w:r>
        <w:rPr>
          <w:spacing w:val="25"/>
          <w:w w:val="102"/>
        </w:rPr>
        <w:t xml:space="preserve"> </w:t>
      </w:r>
      <w:r>
        <w:rPr>
          <w:spacing w:val="-8"/>
        </w:rPr>
        <w:t>protein</w:t>
      </w:r>
      <w:r>
        <w:rPr>
          <w:spacing w:val="32"/>
        </w:rPr>
        <w:t xml:space="preserve"> </w:t>
      </w:r>
      <w:r>
        <w:rPr>
          <w:spacing w:val="-8"/>
        </w:rPr>
        <w:t>(CRP),</w:t>
      </w:r>
      <w:r>
        <w:rPr>
          <w:spacing w:val="26"/>
          <w:w w:val="102"/>
        </w:rPr>
        <w:t xml:space="preserve"> </w:t>
      </w:r>
      <w:r>
        <w:rPr>
          <w:spacing w:val="-8"/>
        </w:rPr>
        <w:t>interleukin</w:t>
      </w:r>
      <w:r>
        <w:rPr>
          <w:spacing w:val="-22"/>
        </w:rPr>
        <w:t xml:space="preserve"> </w:t>
      </w:r>
      <w:r>
        <w:rPr>
          <w:spacing w:val="-8"/>
        </w:rPr>
        <w:t>-6</w:t>
      </w:r>
      <w:r>
        <w:rPr>
          <w:spacing w:val="30"/>
          <w:w w:val="101"/>
        </w:rPr>
        <w:t xml:space="preserve"> </w:t>
      </w:r>
      <w:r>
        <w:rPr>
          <w:spacing w:val="-8"/>
        </w:rPr>
        <w:t>(IL-6),</w:t>
      </w:r>
      <w:r>
        <w:rPr>
          <w:spacing w:val="24"/>
          <w:w w:val="101"/>
        </w:rPr>
        <w:t xml:space="preserve"> </w:t>
      </w:r>
      <w:r>
        <w:rPr>
          <w:spacing w:val="-8"/>
        </w:rPr>
        <w:t>tumor</w:t>
      </w:r>
      <w:r>
        <w:rPr>
          <w:spacing w:val="26"/>
        </w:rPr>
        <w:t xml:space="preserve"> </w:t>
      </w:r>
      <w:r>
        <w:rPr>
          <w:spacing w:val="-8"/>
        </w:rPr>
        <w:t>necrosis</w:t>
      </w:r>
      <w:r>
        <w:rPr>
          <w:spacing w:val="24"/>
          <w:w w:val="101"/>
        </w:rPr>
        <w:t xml:space="preserve"> </w:t>
      </w:r>
      <w:r>
        <w:rPr>
          <w:spacing w:val="-8"/>
        </w:rPr>
        <w:t>factor-α</w:t>
      </w:r>
      <w:r>
        <w:rPr>
          <w:spacing w:val="31"/>
          <w:w w:val="102"/>
        </w:rPr>
        <w:t xml:space="preserve"> </w:t>
      </w:r>
      <w:r>
        <w:rPr>
          <w:spacing w:val="-8"/>
        </w:rPr>
        <w:t>(TNF-α)],</w:t>
      </w:r>
      <w:r>
        <w:rPr>
          <w:spacing w:val="29"/>
        </w:rPr>
        <w:t xml:space="preserve"> </w:t>
      </w:r>
      <w:r>
        <w:rPr>
          <w:spacing w:val="-8"/>
        </w:rPr>
        <w:t>and</w:t>
      </w:r>
      <w:r>
        <w:rPr>
          <w:spacing w:val="30"/>
        </w:rPr>
        <w:t xml:space="preserve"> </w:t>
      </w:r>
      <w:r>
        <w:rPr>
          <w:spacing w:val="-8"/>
        </w:rPr>
        <w:t>incidence</w:t>
      </w:r>
      <w:r>
        <w:rPr>
          <w:spacing w:val="29"/>
        </w:rPr>
        <w:t xml:space="preserve"> </w:t>
      </w:r>
      <w:r>
        <w:rPr>
          <w:spacing w:val="-8"/>
        </w:rPr>
        <w:t>of</w:t>
      </w:r>
      <w:r>
        <w:rPr>
          <w:spacing w:val="18"/>
          <w:w w:val="102"/>
        </w:rPr>
        <w:t xml:space="preserve"> </w:t>
      </w:r>
      <w:r>
        <w:rPr>
          <w:spacing w:val="-8"/>
        </w:rPr>
        <w:t>p</w:t>
      </w:r>
      <w:r>
        <w:rPr>
          <w:spacing w:val="-9"/>
        </w:rPr>
        <w:t>ostoperative</w:t>
      </w:r>
      <w:r>
        <w:rPr/>
        <w:t xml:space="preserve"> </w:t>
      </w:r>
      <w:r>
        <w:rPr>
          <w:spacing w:val="-10"/>
        </w:rPr>
        <w:t>complications</w:t>
      </w:r>
      <w:r>
        <w:rPr>
          <w:spacing w:val="14"/>
          <w:w w:val="101"/>
        </w:rPr>
        <w:t xml:space="preserve"> </w:t>
      </w:r>
      <w:r>
        <w:rPr>
          <w:spacing w:val="-10"/>
        </w:rPr>
        <w:t>(intestinal</w:t>
      </w:r>
      <w:r>
        <w:rPr>
          <w:spacing w:val="12"/>
        </w:rPr>
        <w:t xml:space="preserve"> </w:t>
      </w:r>
      <w:r>
        <w:rPr>
          <w:spacing w:val="-10"/>
        </w:rPr>
        <w:t>ob</w:t>
      </w:r>
      <w:r>
        <w:rPr>
          <w:spacing w:val="-11"/>
        </w:rPr>
        <w:t>struction,</w:t>
      </w:r>
      <w:r>
        <w:rPr>
          <w:spacing w:val="12"/>
          <w:w w:val="101"/>
        </w:rPr>
        <w:t xml:space="preserve"> </w:t>
      </w:r>
      <w:r>
        <w:rPr>
          <w:spacing w:val="-11"/>
        </w:rPr>
        <w:t>incision</w:t>
      </w:r>
      <w:r>
        <w:rPr>
          <w:spacing w:val="13"/>
        </w:rPr>
        <w:t xml:space="preserve"> </w:t>
      </w:r>
      <w:r>
        <w:rPr>
          <w:spacing w:val="-11"/>
        </w:rPr>
        <w:t>infection,</w:t>
      </w:r>
      <w:r>
        <w:rPr>
          <w:spacing w:val="12"/>
          <w:w w:val="101"/>
        </w:rPr>
        <w:t xml:space="preserve"> </w:t>
      </w:r>
      <w:r>
        <w:rPr>
          <w:spacing w:val="-11"/>
        </w:rPr>
        <w:t>abdominal</w:t>
      </w:r>
      <w:r>
        <w:rPr>
          <w:spacing w:val="15"/>
          <w:w w:val="101"/>
        </w:rPr>
        <w:t xml:space="preserve"> </w:t>
      </w:r>
      <w:r>
        <w:rPr>
          <w:spacing w:val="-11"/>
        </w:rPr>
        <w:t>abscess,</w:t>
      </w:r>
      <w:r>
        <w:rPr>
          <w:spacing w:val="12"/>
          <w:w w:val="101"/>
        </w:rPr>
        <w:t xml:space="preserve"> </w:t>
      </w:r>
      <w:r>
        <w:rPr>
          <w:spacing w:val="-11"/>
        </w:rPr>
        <w:t>dysuria)</w:t>
      </w:r>
      <w:r>
        <w:rPr>
          <w:spacing w:val="8"/>
        </w:rPr>
        <w:t xml:space="preserve"> </w:t>
      </w:r>
      <w:r>
        <w:rPr>
          <w:spacing w:val="-11"/>
        </w:rPr>
        <w:t>were</w:t>
      </w:r>
      <w:r>
        <w:rPr>
          <w:spacing w:val="13"/>
        </w:rPr>
        <w:t xml:space="preserve"> </w:t>
      </w:r>
      <w:r>
        <w:rPr>
          <w:spacing w:val="-11"/>
        </w:rPr>
        <w:t>compared</w:t>
      </w:r>
      <w:r>
        <w:rPr>
          <w:spacing w:val="12"/>
        </w:rPr>
        <w:t xml:space="preserve"> </w:t>
      </w:r>
      <w:r>
        <w:rPr>
          <w:spacing w:val="-11"/>
        </w:rPr>
        <w:t>between</w:t>
      </w:r>
      <w:r>
        <w:rPr>
          <w:spacing w:val="11"/>
        </w:rPr>
        <w:t xml:space="preserve"> </w:t>
      </w:r>
      <w:r>
        <w:rPr>
          <w:spacing w:val="-11"/>
        </w:rPr>
        <w:t>the</w:t>
      </w:r>
      <w:r>
        <w:rPr>
          <w:spacing w:val="10"/>
        </w:rPr>
        <w:t xml:space="preserve"> </w:t>
      </w:r>
      <w:r>
        <w:rPr>
          <w:spacing w:val="-11"/>
        </w:rPr>
        <w:t>two</w:t>
      </w:r>
      <w:r>
        <w:rPr>
          <w:spacing w:val="12"/>
          <w:w w:val="101"/>
        </w:rPr>
        <w:t xml:space="preserve"> </w:t>
      </w:r>
      <w:r>
        <w:rPr>
          <w:spacing w:val="-11"/>
        </w:rPr>
        <w:t>groups.Results</w:t>
      </w:r>
      <w:r>
        <w:rPr>
          <w:spacing w:val="9"/>
        </w:rPr>
        <w:t xml:space="preserve">  </w:t>
      </w:r>
      <w:r>
        <w:rPr>
          <w:spacing w:val="-11"/>
        </w:rPr>
        <w:t>The</w:t>
      </w:r>
      <w:r>
        <w:rPr>
          <w:spacing w:val="11"/>
          <w:w w:val="102"/>
        </w:rPr>
        <w:t xml:space="preserve"> </w:t>
      </w:r>
      <w:r>
        <w:rPr>
          <w:spacing w:val="-11"/>
        </w:rPr>
        <w:t>total</w:t>
      </w:r>
      <w:r>
        <w:rPr>
          <w:spacing w:val="15"/>
        </w:rPr>
        <w:t xml:space="preserve"> </w:t>
      </w:r>
      <w:r>
        <w:rPr>
          <w:spacing w:val="-11"/>
        </w:rPr>
        <w:t>effective</w:t>
      </w:r>
      <w:r>
        <w:rPr/>
        <w:t xml:space="preserve"> </w:t>
      </w:r>
      <w:r>
        <w:rPr>
          <w:spacing w:val="-12"/>
        </w:rPr>
        <w:t>rate</w:t>
      </w:r>
      <w:r>
        <w:rPr>
          <w:spacing w:val="12"/>
        </w:rPr>
        <w:t xml:space="preserve"> </w:t>
      </w:r>
      <w:r>
        <w:rPr>
          <w:spacing w:val="-12"/>
        </w:rPr>
        <w:t>of treatment</w:t>
      </w:r>
      <w:r>
        <w:rPr>
          <w:spacing w:val="12"/>
          <w:w w:val="102"/>
        </w:rPr>
        <w:t xml:space="preserve"> </w:t>
      </w:r>
      <w:r>
        <w:rPr>
          <w:spacing w:val="-12"/>
        </w:rPr>
        <w:t>in</w:t>
      </w:r>
      <w:r>
        <w:rPr>
          <w:spacing w:val="10"/>
        </w:rPr>
        <w:t xml:space="preserve"> </w:t>
      </w:r>
      <w:r>
        <w:rPr>
          <w:spacing w:val="-12"/>
        </w:rPr>
        <w:t>the</w:t>
      </w:r>
      <w:r>
        <w:rPr>
          <w:spacing w:val="14"/>
          <w:w w:val="102"/>
        </w:rPr>
        <w:t xml:space="preserve"> </w:t>
      </w:r>
      <w:r>
        <w:rPr>
          <w:spacing w:val="-12"/>
        </w:rPr>
        <w:t>study</w:t>
      </w:r>
      <w:r>
        <w:rPr>
          <w:spacing w:val="12"/>
        </w:rPr>
        <w:t xml:space="preserve"> </w:t>
      </w:r>
      <w:r>
        <w:rPr>
          <w:spacing w:val="-12"/>
        </w:rPr>
        <w:t>group</w:t>
      </w:r>
      <w:r>
        <w:rPr>
          <w:spacing w:val="9"/>
        </w:rPr>
        <w:t xml:space="preserve"> </w:t>
      </w:r>
      <w:r>
        <w:rPr>
          <w:spacing w:val="-12"/>
        </w:rPr>
        <w:t>was</w:t>
      </w:r>
      <w:r>
        <w:rPr>
          <w:spacing w:val="10"/>
        </w:rPr>
        <w:t xml:space="preserve"> </w:t>
      </w:r>
      <w:r>
        <w:rPr>
          <w:spacing w:val="-12"/>
        </w:rPr>
        <w:t>higher</w:t>
      </w:r>
      <w:r>
        <w:rPr>
          <w:spacing w:val="10"/>
        </w:rPr>
        <w:t xml:space="preserve"> </w:t>
      </w:r>
      <w:r>
        <w:rPr>
          <w:spacing w:val="-12"/>
        </w:rPr>
        <w:t>than</w:t>
      </w:r>
      <w:r>
        <w:rPr>
          <w:spacing w:val="11"/>
          <w:w w:val="101"/>
        </w:rPr>
        <w:t xml:space="preserve"> </w:t>
      </w:r>
      <w:r>
        <w:rPr>
          <w:spacing w:val="-12"/>
        </w:rPr>
        <w:t>that</w:t>
      </w:r>
      <w:r>
        <w:rPr>
          <w:spacing w:val="15"/>
        </w:rPr>
        <w:t xml:space="preserve"> </w:t>
      </w:r>
      <w:r>
        <w:rPr>
          <w:spacing w:val="-12"/>
        </w:rPr>
        <w:t>in</w:t>
      </w:r>
      <w:r>
        <w:rPr>
          <w:spacing w:val="8"/>
        </w:rPr>
        <w:t xml:space="preserve"> </w:t>
      </w:r>
      <w:r>
        <w:rPr>
          <w:spacing w:val="-12"/>
        </w:rPr>
        <w:t>the</w:t>
      </w:r>
      <w:r>
        <w:rPr>
          <w:spacing w:val="13"/>
          <w:w w:val="101"/>
        </w:rPr>
        <w:t xml:space="preserve"> </w:t>
      </w:r>
      <w:r>
        <w:rPr>
          <w:spacing w:val="-12"/>
        </w:rPr>
        <w:t>control</w:t>
      </w:r>
      <w:r>
        <w:rPr>
          <w:spacing w:val="14"/>
          <w:w w:val="101"/>
        </w:rPr>
        <w:t xml:space="preserve"> </w:t>
      </w:r>
      <w:r>
        <w:rPr>
          <w:spacing w:val="-12"/>
        </w:rPr>
        <w:t>grou</w:t>
      </w:r>
      <w:r>
        <w:rPr>
          <w:spacing w:val="-13"/>
        </w:rPr>
        <w:t>p</w:t>
      </w:r>
      <w:r>
        <w:rPr>
          <w:spacing w:val="15"/>
          <w:w w:val="101"/>
        </w:rPr>
        <w:t xml:space="preserve"> </w:t>
      </w:r>
      <w:r>
        <w:rPr>
          <w:spacing w:val="-13"/>
        </w:rPr>
        <w:t>(</w:t>
      </w:r>
      <w:r>
        <w:rPr>
          <w:rFonts w:ascii="Arial" w:hAnsi="Arial" w:eastAsia="Arial" w:cs="Arial"/>
          <w:sz w:val="18"/>
          <w:szCs w:val="18"/>
          <w:spacing w:val="-13"/>
          <w:position w:val="1"/>
        </w:rPr>
        <w:t>p</w:t>
      </w:r>
      <w:r>
        <w:rPr>
          <w:spacing w:val="-13"/>
        </w:rPr>
        <w:t>&lt;0.05).</w:t>
      </w:r>
      <w:r>
        <w:rPr>
          <w:spacing w:val="9"/>
        </w:rPr>
        <w:t xml:space="preserve"> </w:t>
      </w:r>
      <w:r>
        <w:rPr>
          <w:spacing w:val="-13"/>
        </w:rPr>
        <w:t>The</w:t>
      </w:r>
      <w:r>
        <w:rPr>
          <w:spacing w:val="14"/>
          <w:w w:val="101"/>
        </w:rPr>
        <w:t xml:space="preserve"> </w:t>
      </w:r>
      <w:r>
        <w:rPr>
          <w:spacing w:val="-13"/>
        </w:rPr>
        <w:t>gastrointestinal</w:t>
      </w:r>
      <w:r>
        <w:rPr>
          <w:spacing w:val="11"/>
        </w:rPr>
        <w:t xml:space="preserve"> </w:t>
      </w:r>
      <w:r>
        <w:rPr>
          <w:spacing w:val="-13"/>
        </w:rPr>
        <w:t>function</w:t>
      </w:r>
      <w:r>
        <w:rPr>
          <w:spacing w:val="15"/>
        </w:rPr>
        <w:t xml:space="preserve"> </w:t>
      </w:r>
      <w:r>
        <w:rPr>
          <w:spacing w:val="-13"/>
        </w:rPr>
        <w:t>of</w:t>
      </w:r>
      <w:r>
        <w:rPr>
          <w:spacing w:val="3"/>
        </w:rPr>
        <w:t xml:space="preserve"> </w:t>
      </w:r>
      <w:r>
        <w:rPr>
          <w:spacing w:val="-13"/>
        </w:rPr>
        <w:t>the</w:t>
      </w:r>
      <w:r>
        <w:rPr>
          <w:spacing w:val="17"/>
        </w:rPr>
        <w:t xml:space="preserve"> </w:t>
      </w:r>
      <w:r>
        <w:rPr>
          <w:spacing w:val="-13"/>
        </w:rPr>
        <w:t>study</w:t>
      </w:r>
      <w:r>
        <w:rPr>
          <w:spacing w:val="14"/>
          <w:w w:val="101"/>
        </w:rPr>
        <w:t xml:space="preserve"> </w:t>
      </w:r>
      <w:r>
        <w:rPr>
          <w:spacing w:val="-13"/>
        </w:rPr>
        <w:t>group</w:t>
      </w:r>
      <w:r>
        <w:rPr>
          <w:spacing w:val="12"/>
        </w:rPr>
        <w:t xml:space="preserve"> </w:t>
      </w:r>
      <w:r>
        <w:rPr>
          <w:spacing w:val="-13"/>
        </w:rPr>
        <w:t>was</w:t>
      </w:r>
      <w:r>
        <w:rPr>
          <w:spacing w:val="12"/>
          <w:w w:val="102"/>
        </w:rPr>
        <w:t xml:space="preserve"> </w:t>
      </w:r>
      <w:r>
        <w:rPr>
          <w:spacing w:val="-13"/>
        </w:rPr>
        <w:t>better</w:t>
      </w:r>
      <w:r>
        <w:rPr>
          <w:spacing w:val="12"/>
        </w:rPr>
        <w:t xml:space="preserve"> </w:t>
      </w:r>
      <w:r>
        <w:rPr>
          <w:spacing w:val="-13"/>
        </w:rPr>
        <w:t>than</w:t>
      </w:r>
      <w:r>
        <w:rPr/>
        <w:t xml:space="preserve"> </w:t>
      </w:r>
      <w:r>
        <w:rPr>
          <w:spacing w:val="-12"/>
        </w:rPr>
        <w:t>that</w:t>
      </w:r>
      <w:r>
        <w:rPr>
          <w:spacing w:val="17"/>
          <w:w w:val="101"/>
        </w:rPr>
        <w:t xml:space="preserve"> </w:t>
      </w:r>
      <w:r>
        <w:rPr>
          <w:spacing w:val="-12"/>
        </w:rPr>
        <w:t>of</w:t>
      </w:r>
      <w:r>
        <w:rPr>
          <w:spacing w:val="6"/>
        </w:rPr>
        <w:t xml:space="preserve"> </w:t>
      </w:r>
      <w:r>
        <w:rPr>
          <w:spacing w:val="-12"/>
        </w:rPr>
        <w:t>the</w:t>
      </w:r>
      <w:r>
        <w:rPr>
          <w:spacing w:val="18"/>
        </w:rPr>
        <w:t xml:space="preserve"> </w:t>
      </w:r>
      <w:r>
        <w:rPr>
          <w:spacing w:val="-12"/>
        </w:rPr>
        <w:t>control</w:t>
      </w:r>
      <w:r>
        <w:rPr>
          <w:spacing w:val="19"/>
          <w:w w:val="101"/>
        </w:rPr>
        <w:t xml:space="preserve"> </w:t>
      </w:r>
      <w:r>
        <w:rPr>
          <w:spacing w:val="-12"/>
        </w:rPr>
        <w:t>group</w:t>
      </w:r>
      <w:r>
        <w:rPr>
          <w:spacing w:val="2"/>
        </w:rPr>
        <w:t xml:space="preserve">   </w:t>
      </w:r>
      <w:r>
        <w:rPr>
          <w:spacing w:val="-12"/>
        </w:rPr>
        <w:t>(</w:t>
      </w:r>
      <w:r>
        <w:rPr>
          <w:rFonts w:ascii="Arial" w:hAnsi="Arial" w:eastAsia="Arial" w:cs="Arial"/>
          <w:sz w:val="18"/>
          <w:szCs w:val="18"/>
          <w:spacing w:val="-12"/>
          <w:position w:val="1"/>
        </w:rPr>
        <w:t>p</w:t>
      </w:r>
      <w:r>
        <w:rPr>
          <w:spacing w:val="-12"/>
        </w:rPr>
        <w:t>&lt;0.05).</w:t>
      </w:r>
      <w:r>
        <w:rPr>
          <w:spacing w:val="17"/>
          <w:w w:val="102"/>
        </w:rPr>
        <w:t xml:space="preserve"> </w:t>
      </w:r>
      <w:r>
        <w:rPr>
          <w:spacing w:val="-12"/>
        </w:rPr>
        <w:t>At</w:t>
      </w:r>
      <w:r>
        <w:rPr>
          <w:spacing w:val="19"/>
        </w:rPr>
        <w:t xml:space="preserve"> </w:t>
      </w:r>
      <w:r>
        <w:rPr>
          <w:spacing w:val="-12"/>
        </w:rPr>
        <w:t>3</w:t>
      </w:r>
      <w:r>
        <w:rPr>
          <w:spacing w:val="18"/>
        </w:rPr>
        <w:t xml:space="preserve"> </w:t>
      </w:r>
      <w:r>
        <w:rPr>
          <w:spacing w:val="-12"/>
        </w:rPr>
        <w:t>days</w:t>
      </w:r>
      <w:r>
        <w:rPr>
          <w:spacing w:val="17"/>
        </w:rPr>
        <w:t xml:space="preserve"> </w:t>
      </w:r>
      <w:r>
        <w:rPr>
          <w:spacing w:val="-12"/>
        </w:rPr>
        <w:t>after</w:t>
      </w:r>
      <w:r>
        <w:rPr>
          <w:spacing w:val="14"/>
        </w:rPr>
        <w:t xml:space="preserve"> </w:t>
      </w:r>
      <w:r>
        <w:rPr>
          <w:spacing w:val="-12"/>
        </w:rPr>
        <w:t>operation,</w:t>
      </w:r>
      <w:r>
        <w:rPr>
          <w:spacing w:val="14"/>
          <w:w w:val="102"/>
        </w:rPr>
        <w:t xml:space="preserve"> </w:t>
      </w:r>
      <w:r>
        <w:rPr>
          <w:spacing w:val="-12"/>
        </w:rPr>
        <w:t>the</w:t>
      </w:r>
      <w:r>
        <w:rPr>
          <w:spacing w:val="13"/>
        </w:rPr>
        <w:t xml:space="preserve"> </w:t>
      </w:r>
      <w:r>
        <w:rPr>
          <w:spacing w:val="-12"/>
        </w:rPr>
        <w:t>levels</w:t>
      </w:r>
      <w:r>
        <w:rPr>
          <w:spacing w:val="13"/>
          <w:w w:val="101"/>
        </w:rPr>
        <w:t xml:space="preserve"> </w:t>
      </w:r>
      <w:r>
        <w:rPr>
          <w:spacing w:val="-12"/>
        </w:rPr>
        <w:t>of</w:t>
      </w:r>
      <w:r>
        <w:rPr>
          <w:spacing w:val="9"/>
        </w:rPr>
        <w:t xml:space="preserve"> </w:t>
      </w:r>
      <w:r>
        <w:rPr>
          <w:spacing w:val="-12"/>
        </w:rPr>
        <w:t>SOD</w:t>
      </w:r>
      <w:r>
        <w:rPr>
          <w:spacing w:val="16"/>
        </w:rPr>
        <w:t xml:space="preserve"> </w:t>
      </w:r>
      <w:r>
        <w:rPr>
          <w:spacing w:val="-12"/>
        </w:rPr>
        <w:t>in</w:t>
      </w:r>
      <w:r>
        <w:rPr>
          <w:spacing w:val="16"/>
        </w:rPr>
        <w:t xml:space="preserve"> </w:t>
      </w:r>
      <w:r>
        <w:rPr>
          <w:spacing w:val="-12"/>
        </w:rPr>
        <w:t>the</w:t>
      </w:r>
      <w:r>
        <w:rPr>
          <w:spacing w:val="18"/>
          <w:w w:val="102"/>
        </w:rPr>
        <w:t xml:space="preserve"> </w:t>
      </w:r>
      <w:r>
        <w:rPr>
          <w:spacing w:val="-12"/>
        </w:rPr>
        <w:t>study</w:t>
      </w:r>
      <w:r>
        <w:rPr>
          <w:spacing w:val="17"/>
        </w:rPr>
        <w:t xml:space="preserve"> </w:t>
      </w:r>
      <w:r>
        <w:rPr>
          <w:spacing w:val="-12"/>
        </w:rPr>
        <w:t>group</w:t>
      </w:r>
      <w:r>
        <w:rPr>
          <w:spacing w:val="11"/>
          <w:w w:val="101"/>
        </w:rPr>
        <w:t xml:space="preserve"> </w:t>
      </w:r>
      <w:r>
        <w:rPr>
          <w:spacing w:val="-12"/>
        </w:rPr>
        <w:t>we</w:t>
      </w:r>
      <w:r>
        <w:rPr>
          <w:spacing w:val="-13"/>
        </w:rPr>
        <w:t>re</w:t>
      </w:r>
      <w:r>
        <w:rPr>
          <w:spacing w:val="13"/>
          <w:w w:val="101"/>
        </w:rPr>
        <w:t xml:space="preserve"> </w:t>
      </w:r>
      <w:r>
        <w:rPr>
          <w:spacing w:val="-13"/>
        </w:rPr>
        <w:t>higher</w:t>
      </w:r>
      <w:r>
        <w:rPr>
          <w:spacing w:val="15"/>
        </w:rPr>
        <w:t xml:space="preserve"> </w:t>
      </w:r>
      <w:r>
        <w:rPr>
          <w:spacing w:val="-13"/>
        </w:rPr>
        <w:t>than</w:t>
      </w:r>
      <w:r>
        <w:rPr>
          <w:spacing w:val="13"/>
          <w:w w:val="101"/>
        </w:rPr>
        <w:t xml:space="preserve"> </w:t>
      </w:r>
      <w:r>
        <w:rPr>
          <w:spacing w:val="-13"/>
        </w:rPr>
        <w:t>those</w:t>
      </w:r>
      <w:r>
        <w:rPr>
          <w:spacing w:val="17"/>
          <w:w w:val="101"/>
        </w:rPr>
        <w:t xml:space="preserve"> </w:t>
      </w:r>
      <w:r>
        <w:rPr>
          <w:spacing w:val="-13"/>
        </w:rPr>
        <w:t>in</w:t>
      </w:r>
      <w:r>
        <w:rPr>
          <w:spacing w:val="15"/>
          <w:w w:val="101"/>
        </w:rPr>
        <w:t xml:space="preserve"> </w:t>
      </w:r>
      <w:r>
        <w:rPr>
          <w:spacing w:val="-13"/>
        </w:rPr>
        <w:t>the</w:t>
      </w:r>
      <w:r>
        <w:rPr>
          <w:spacing w:val="15"/>
          <w:w w:val="101"/>
        </w:rPr>
        <w:t xml:space="preserve"> </w:t>
      </w:r>
      <w:r>
        <w:rPr>
          <w:spacing w:val="-13"/>
        </w:rPr>
        <w:t>control</w:t>
      </w:r>
      <w:r>
        <w:rPr>
          <w:spacing w:val="16"/>
          <w:w w:val="102"/>
        </w:rPr>
        <w:t xml:space="preserve"> </w:t>
      </w:r>
      <w:r>
        <w:rPr>
          <w:spacing w:val="-13"/>
        </w:rPr>
        <w:t>group,</w:t>
      </w:r>
      <w:r>
        <w:rPr>
          <w:spacing w:val="13"/>
        </w:rPr>
        <w:t xml:space="preserve"> </w:t>
      </w:r>
      <w:r>
        <w:rPr>
          <w:spacing w:val="-13"/>
        </w:rPr>
        <w:t>while</w:t>
      </w:r>
      <w:r>
        <w:rPr/>
        <w:t xml:space="preserve"> </w:t>
      </w:r>
      <w:r>
        <w:rPr>
          <w:spacing w:val="-9"/>
        </w:rPr>
        <w:t>the</w:t>
      </w:r>
      <w:r>
        <w:rPr>
          <w:spacing w:val="13"/>
        </w:rPr>
        <w:t xml:space="preserve"> </w:t>
      </w:r>
      <w:r>
        <w:rPr>
          <w:spacing w:val="-9"/>
        </w:rPr>
        <w:t>levels</w:t>
      </w:r>
      <w:r>
        <w:rPr>
          <w:spacing w:val="14"/>
        </w:rPr>
        <w:t xml:space="preserve"> </w:t>
      </w:r>
      <w:r>
        <w:rPr>
          <w:spacing w:val="-9"/>
        </w:rPr>
        <w:t>of</w:t>
      </w:r>
      <w:r>
        <w:rPr>
          <w:spacing w:val="10"/>
        </w:rPr>
        <w:t xml:space="preserve"> </w:t>
      </w:r>
      <w:r>
        <w:rPr>
          <w:spacing w:val="-9"/>
        </w:rPr>
        <w:t>MDA,</w:t>
      </w:r>
      <w:r>
        <w:rPr>
          <w:spacing w:val="16"/>
          <w:w w:val="102"/>
        </w:rPr>
        <w:t xml:space="preserve"> </w:t>
      </w:r>
      <w:r>
        <w:rPr>
          <w:spacing w:val="-9"/>
        </w:rPr>
        <w:t>CRP,</w:t>
      </w:r>
      <w:r>
        <w:rPr>
          <w:spacing w:val="16"/>
          <w:w w:val="102"/>
        </w:rPr>
        <w:t xml:space="preserve"> </w:t>
      </w:r>
      <w:r>
        <w:rPr>
          <w:spacing w:val="-9"/>
        </w:rPr>
        <w:t>IL-6</w:t>
      </w:r>
      <w:r>
        <w:rPr>
          <w:spacing w:val="15"/>
          <w:w w:val="102"/>
        </w:rPr>
        <w:t xml:space="preserve"> </w:t>
      </w:r>
      <w:r>
        <w:rPr>
          <w:spacing w:val="-9"/>
        </w:rPr>
        <w:t>and</w:t>
      </w:r>
      <w:r>
        <w:rPr>
          <w:spacing w:val="12"/>
        </w:rPr>
        <w:t xml:space="preserve"> </w:t>
      </w:r>
      <w:r>
        <w:rPr>
          <w:spacing w:val="-9"/>
        </w:rPr>
        <w:t>TNF-α</w:t>
      </w:r>
      <w:r>
        <w:rPr>
          <w:spacing w:val="13"/>
          <w:w w:val="101"/>
        </w:rPr>
        <w:t xml:space="preserve"> </w:t>
      </w:r>
      <w:r>
        <w:rPr>
          <w:spacing w:val="-9"/>
        </w:rPr>
        <w:t>were</w:t>
      </w:r>
      <w:r>
        <w:rPr>
          <w:spacing w:val="15"/>
          <w:w w:val="101"/>
        </w:rPr>
        <w:t xml:space="preserve"> </w:t>
      </w:r>
      <w:r>
        <w:rPr>
          <w:spacing w:val="-9"/>
        </w:rPr>
        <w:t>lo</w:t>
      </w:r>
      <w:r>
        <w:rPr>
          <w:spacing w:val="-10"/>
        </w:rPr>
        <w:t>wer</w:t>
      </w:r>
      <w:r>
        <w:rPr>
          <w:spacing w:val="12"/>
          <w:w w:val="101"/>
        </w:rPr>
        <w:t xml:space="preserve"> </w:t>
      </w:r>
      <w:r>
        <w:rPr>
          <w:spacing w:val="-10"/>
        </w:rPr>
        <w:t>than</w:t>
      </w:r>
      <w:r>
        <w:rPr>
          <w:spacing w:val="15"/>
          <w:w w:val="101"/>
        </w:rPr>
        <w:t xml:space="preserve"> </w:t>
      </w:r>
      <w:r>
        <w:rPr>
          <w:spacing w:val="-10"/>
        </w:rPr>
        <w:t>those</w:t>
      </w:r>
      <w:r>
        <w:rPr>
          <w:spacing w:val="20"/>
        </w:rPr>
        <w:t xml:space="preserve"> </w:t>
      </w:r>
      <w:r>
        <w:rPr>
          <w:spacing w:val="-10"/>
        </w:rPr>
        <w:t>in</w:t>
      </w:r>
      <w:r>
        <w:rPr>
          <w:spacing w:val="18"/>
        </w:rPr>
        <w:t xml:space="preserve"> </w:t>
      </w:r>
      <w:r>
        <w:rPr>
          <w:spacing w:val="-10"/>
        </w:rPr>
        <w:t>the</w:t>
      </w:r>
      <w:r>
        <w:rPr>
          <w:spacing w:val="17"/>
          <w:w w:val="101"/>
        </w:rPr>
        <w:t xml:space="preserve"> </w:t>
      </w:r>
      <w:r>
        <w:rPr>
          <w:spacing w:val="-10"/>
        </w:rPr>
        <w:t>control</w:t>
      </w:r>
      <w:r>
        <w:rPr>
          <w:spacing w:val="19"/>
          <w:w w:val="101"/>
        </w:rPr>
        <w:t xml:space="preserve"> </w:t>
      </w:r>
      <w:r>
        <w:rPr>
          <w:spacing w:val="-10"/>
        </w:rPr>
        <w:t>group   (</w:t>
      </w:r>
      <w:r>
        <w:rPr>
          <w:rFonts w:ascii="Arial" w:hAnsi="Arial" w:eastAsia="Arial" w:cs="Arial"/>
          <w:sz w:val="18"/>
          <w:szCs w:val="18"/>
          <w:spacing w:val="-10"/>
          <w:position w:val="1"/>
        </w:rPr>
        <w:t>p</w:t>
      </w:r>
      <w:r>
        <w:rPr>
          <w:spacing w:val="-10"/>
        </w:rPr>
        <w:t>&lt;0.05).</w:t>
      </w:r>
      <w:r>
        <w:rPr>
          <w:spacing w:val="13"/>
          <w:w w:val="101"/>
        </w:rPr>
        <w:t xml:space="preserve"> </w:t>
      </w:r>
      <w:r>
        <w:rPr>
          <w:spacing w:val="-10"/>
        </w:rPr>
        <w:t>The</w:t>
      </w:r>
      <w:r>
        <w:rPr>
          <w:spacing w:val="17"/>
          <w:w w:val="101"/>
        </w:rPr>
        <w:t xml:space="preserve"> </w:t>
      </w:r>
      <w:r>
        <w:rPr>
          <w:spacing w:val="-10"/>
        </w:rPr>
        <w:t>incidence</w:t>
      </w:r>
      <w:r>
        <w:rPr>
          <w:spacing w:val="19"/>
          <w:w w:val="101"/>
        </w:rPr>
        <w:t xml:space="preserve"> </w:t>
      </w:r>
      <w:r>
        <w:rPr>
          <w:spacing w:val="-10"/>
        </w:rPr>
        <w:t>of</w:t>
      </w:r>
      <w:r>
        <w:rPr>
          <w:spacing w:val="9"/>
        </w:rPr>
        <w:t xml:space="preserve"> </w:t>
      </w:r>
      <w:r>
        <w:rPr>
          <w:spacing w:val="-10"/>
        </w:rPr>
        <w:t>postoperative</w:t>
      </w:r>
      <w:r>
        <w:rPr>
          <w:spacing w:val="20"/>
        </w:rPr>
        <w:t xml:space="preserve"> </w:t>
      </w:r>
      <w:r>
        <w:rPr>
          <w:spacing w:val="-10"/>
        </w:rPr>
        <w:t>complications</w:t>
      </w:r>
      <w:r>
        <w:rPr>
          <w:spacing w:val="16"/>
          <w:w w:val="102"/>
        </w:rPr>
        <w:t xml:space="preserve"> </w:t>
      </w:r>
      <w:r>
        <w:rPr>
          <w:spacing w:val="-10"/>
        </w:rPr>
        <w:t>in</w:t>
      </w:r>
      <w:r>
        <w:rPr>
          <w:spacing w:val="15"/>
          <w:w w:val="101"/>
        </w:rPr>
        <w:t xml:space="preserve"> </w:t>
      </w:r>
      <w:r>
        <w:rPr>
          <w:spacing w:val="-10"/>
        </w:rPr>
        <w:t>the</w:t>
      </w:r>
      <w:r>
        <w:rPr/>
        <w:t xml:space="preserve"> </w:t>
      </w:r>
      <w:r>
        <w:rPr>
          <w:spacing w:val="-10"/>
        </w:rPr>
        <w:t>study  group  was</w:t>
      </w:r>
      <w:r>
        <w:rPr>
          <w:spacing w:val="29"/>
        </w:rPr>
        <w:t xml:space="preserve"> </w:t>
      </w:r>
      <w:r>
        <w:rPr>
          <w:spacing w:val="-10"/>
        </w:rPr>
        <w:t>lower</w:t>
      </w:r>
      <w:r>
        <w:rPr>
          <w:spacing w:val="29"/>
        </w:rPr>
        <w:t xml:space="preserve"> </w:t>
      </w:r>
      <w:r>
        <w:rPr>
          <w:spacing w:val="-10"/>
        </w:rPr>
        <w:t>than  that  in  the  control  group    (</w:t>
      </w:r>
      <w:r>
        <w:rPr>
          <w:rFonts w:ascii="Arial" w:hAnsi="Arial" w:eastAsia="Arial" w:cs="Arial"/>
          <w:sz w:val="18"/>
          <w:szCs w:val="18"/>
          <w:spacing w:val="-10"/>
          <w:position w:val="2"/>
        </w:rPr>
        <w:t>p</w:t>
      </w:r>
      <w:r>
        <w:rPr>
          <w:spacing w:val="-10"/>
        </w:rPr>
        <w:t>&lt;0.05).Conclusion    Both  traditional  open  surgery  and  laparoscopic</w:t>
      </w:r>
      <w:r>
        <w:rPr>
          <w:spacing w:val="38"/>
        </w:rPr>
        <w:t xml:space="preserve"> </w:t>
      </w:r>
      <w:r>
        <w:rPr>
          <w:spacing w:val="-10"/>
        </w:rPr>
        <w:t>surgery </w:t>
      </w:r>
      <w:r>
        <w:rPr>
          <w:spacing w:val="-11"/>
        </w:rPr>
        <w:t xml:space="preserve"> are</w:t>
      </w:r>
      <w:r>
        <w:rPr>
          <w:spacing w:val="37"/>
        </w:rPr>
        <w:t xml:space="preserve"> </w:t>
      </w:r>
      <w:r>
        <w:rPr>
          <w:spacing w:val="-11"/>
        </w:rPr>
        <w:t>effective</w:t>
      </w:r>
      <w:r>
        <w:rPr/>
        <w:t xml:space="preserve"> </w:t>
      </w:r>
      <w:r>
        <w:rPr>
          <w:spacing w:val="-10"/>
        </w:rPr>
        <w:t>methods</w:t>
      </w:r>
      <w:r>
        <w:rPr>
          <w:spacing w:val="29"/>
          <w:w w:val="101"/>
        </w:rPr>
        <w:t xml:space="preserve"> </w:t>
      </w:r>
      <w:r>
        <w:rPr>
          <w:spacing w:val="-10"/>
        </w:rPr>
        <w:t>for</w:t>
      </w:r>
      <w:r>
        <w:rPr>
          <w:spacing w:val="29"/>
          <w:w w:val="101"/>
        </w:rPr>
        <w:t xml:space="preserve"> </w:t>
      </w:r>
      <w:r>
        <w:rPr>
          <w:spacing w:val="-10"/>
        </w:rPr>
        <w:t>the  treatment  of  </w:t>
      </w:r>
      <w:r>
        <w:rPr>
          <w:spacing w:val="-11"/>
        </w:rPr>
        <w:t>acute  appendicitis,  but  laparoscopic  surgery  has  more  significant  advantages,  higher  treatment  effect  and</w:t>
      </w:r>
      <w:r>
        <w:rPr>
          <w:spacing w:val="38"/>
          <w:w w:val="101"/>
        </w:rPr>
        <w:t xml:space="preserve"> </w:t>
      </w:r>
      <w:r>
        <w:rPr>
          <w:spacing w:val="-11"/>
        </w:rPr>
        <w:t>safety,</w:t>
      </w:r>
      <w:r>
        <w:rPr>
          <w:spacing w:val="34"/>
          <w:w w:val="101"/>
        </w:rPr>
        <w:t xml:space="preserve"> </w:t>
      </w:r>
      <w:r>
        <w:rPr>
          <w:spacing w:val="-11"/>
        </w:rPr>
        <w:t>less</w:t>
      </w:r>
      <w:r>
        <w:rPr/>
        <w:t xml:space="preserve"> </w:t>
      </w:r>
      <w:r>
        <w:rPr>
          <w:spacing w:val="-12"/>
        </w:rPr>
        <w:t>impact</w:t>
      </w:r>
      <w:r>
        <w:rPr>
          <w:spacing w:val="12"/>
          <w:w w:val="102"/>
        </w:rPr>
        <w:t xml:space="preserve"> </w:t>
      </w:r>
      <w:r>
        <w:rPr>
          <w:spacing w:val="-12"/>
        </w:rPr>
        <w:t>on</w:t>
      </w:r>
      <w:r>
        <w:rPr>
          <w:spacing w:val="11"/>
        </w:rPr>
        <w:t xml:space="preserve"> </w:t>
      </w:r>
      <w:r>
        <w:rPr>
          <w:spacing w:val="-12"/>
        </w:rPr>
        <w:t>the</w:t>
      </w:r>
      <w:r>
        <w:rPr>
          <w:spacing w:val="11"/>
        </w:rPr>
        <w:t xml:space="preserve"> </w:t>
      </w:r>
      <w:r>
        <w:rPr>
          <w:spacing w:val="-12"/>
        </w:rPr>
        <w:t>body's</w:t>
      </w:r>
      <w:r>
        <w:rPr>
          <w:spacing w:val="13"/>
          <w:w w:val="101"/>
        </w:rPr>
        <w:t xml:space="preserve"> </w:t>
      </w:r>
      <w:r>
        <w:rPr>
          <w:spacing w:val="-12"/>
        </w:rPr>
        <w:t>stress</w:t>
      </w:r>
      <w:r>
        <w:rPr>
          <w:spacing w:val="10"/>
        </w:rPr>
        <w:t xml:space="preserve"> </w:t>
      </w:r>
      <w:r>
        <w:rPr>
          <w:spacing w:val="-12"/>
        </w:rPr>
        <w:t>response,</w:t>
      </w:r>
      <w:r>
        <w:rPr>
          <w:spacing w:val="12"/>
          <w:w w:val="101"/>
        </w:rPr>
        <w:t xml:space="preserve"> </w:t>
      </w:r>
      <w:r>
        <w:rPr>
          <w:spacing w:val="-12"/>
        </w:rPr>
        <w:t>and</w:t>
      </w:r>
      <w:r>
        <w:rPr>
          <w:spacing w:val="9"/>
        </w:rPr>
        <w:t xml:space="preserve"> </w:t>
      </w:r>
      <w:r>
        <w:rPr>
          <w:spacing w:val="-12"/>
        </w:rPr>
        <w:t>faster</w:t>
      </w:r>
      <w:r>
        <w:rPr>
          <w:spacing w:val="10"/>
        </w:rPr>
        <w:t xml:space="preserve"> </w:t>
      </w:r>
      <w:r>
        <w:rPr>
          <w:spacing w:val="-12"/>
        </w:rPr>
        <w:t>postopera</w:t>
      </w:r>
      <w:r>
        <w:rPr>
          <w:spacing w:val="-13"/>
        </w:rPr>
        <w:t>tive</w:t>
      </w:r>
      <w:r>
        <w:rPr>
          <w:spacing w:val="9"/>
        </w:rPr>
        <w:t xml:space="preserve"> </w:t>
      </w:r>
      <w:r>
        <w:rPr>
          <w:spacing w:val="-13"/>
        </w:rPr>
        <w:t>recovery.</w:t>
      </w:r>
    </w:p>
    <w:p>
      <w:pPr>
        <w:pStyle w:val="BodyText"/>
        <w:ind w:left="715"/>
        <w:spacing w:line="199" w:lineRule="auto"/>
        <w:rPr/>
      </w:pPr>
      <w:r>
        <w:rPr>
          <w:spacing w:val="-9"/>
        </w:rPr>
        <w:t>Key</w:t>
      </w:r>
      <w:r>
        <w:rPr>
          <w:spacing w:val="11"/>
          <w:w w:val="102"/>
        </w:rPr>
        <w:t xml:space="preserve"> </w:t>
      </w:r>
      <w:r>
        <w:rPr>
          <w:spacing w:val="-9"/>
        </w:rPr>
        <w:t>words：Traditional</w:t>
      </w:r>
      <w:r>
        <w:rPr>
          <w:spacing w:val="13"/>
        </w:rPr>
        <w:t xml:space="preserve"> </w:t>
      </w:r>
      <w:r>
        <w:rPr>
          <w:spacing w:val="-9"/>
        </w:rPr>
        <w:t>laparotomy;Laparoscopic</w:t>
      </w:r>
      <w:r>
        <w:rPr>
          <w:spacing w:val="11"/>
          <w:w w:val="101"/>
        </w:rPr>
        <w:t xml:space="preserve"> </w:t>
      </w:r>
      <w:r>
        <w:rPr>
          <w:spacing w:val="-9"/>
        </w:rPr>
        <w:t>surg</w:t>
      </w:r>
      <w:r>
        <w:rPr>
          <w:spacing w:val="-10"/>
        </w:rPr>
        <w:t>ery;Acute</w:t>
      </w:r>
      <w:r>
        <w:rPr>
          <w:spacing w:val="13"/>
        </w:rPr>
        <w:t xml:space="preserve"> </w:t>
      </w:r>
      <w:r>
        <w:rPr>
          <w:spacing w:val="-10"/>
        </w:rPr>
        <w:t>appendicitis;Gastrointestinal</w:t>
      </w:r>
      <w:r>
        <w:rPr>
          <w:spacing w:val="11"/>
        </w:rPr>
        <w:t xml:space="preserve"> </w:t>
      </w:r>
      <w:r>
        <w:rPr>
          <w:spacing w:val="-10"/>
        </w:rPr>
        <w:t>function;Complications</w:t>
      </w:r>
    </w:p>
    <w:p>
      <w:pPr>
        <w:spacing w:line="210" w:lineRule="exact"/>
        <w:rPr/>
      </w:pPr>
      <w:r/>
    </w:p>
    <w:p>
      <w:pPr>
        <w:spacing w:line="210" w:lineRule="exact"/>
        <w:sectPr>
          <w:headerReference w:type="default" r:id="rId1"/>
          <w:pgSz w:w="11906" w:h="16838"/>
          <w:pgMar w:top="1280" w:right="1064" w:bottom="0" w:left="424" w:header="846" w:footer="0" w:gutter="0"/>
          <w:cols w:equalWidth="0" w:num="1">
            <w:col w:w="10418" w:space="0"/>
          </w:cols>
        </w:sectPr>
        <w:rPr/>
      </w:pPr>
    </w:p>
    <w:p>
      <w:pPr>
        <w:pStyle w:val="BodyText"/>
        <w:ind w:left="714" w:right="242" w:firstLine="439"/>
        <w:spacing w:before="40" w:line="238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阑尾炎是成人和儿童急性腹痛的最常见原因之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3"/>
        </w:rPr>
        <w:t>一，也是怀孕期间最常见的非产科急症。既往病史、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19"/>
        </w:rPr>
        <w:t>体格检查和试验室检查结果可辅助诊断急性阑尾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炎。右下腹痛、腹部强直、脐周痛放射至右下腹是成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0"/>
        </w:rPr>
        <w:t>人急性阑尾炎的诊断标志</w:t>
      </w:r>
      <w:r>
        <w:rPr>
          <w:sz w:val="11"/>
          <w:szCs w:val="11"/>
          <w:spacing w:val="10"/>
          <w:position w:val="7"/>
        </w:rPr>
        <w:t>[1]</w:t>
      </w:r>
      <w:r>
        <w:rPr>
          <w:sz w:val="11"/>
          <w:szCs w:val="11"/>
          <w:spacing w:val="-7"/>
          <w:position w:val="7"/>
        </w:rPr>
        <w:t xml:space="preserve"> </w:t>
      </w:r>
      <w:r>
        <w:rPr>
          <w:sz w:val="20"/>
          <w:szCs w:val="20"/>
          <w:spacing w:val="10"/>
        </w:rPr>
        <w:t>。急性阑尾炎是由盲肠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阑尾炎症引起的一种病变，由于阑尾管腔阻塞，导致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静脉充血，最终导致阑尾壁动脉受损，导致穿孔，居</w:t>
      </w:r>
    </w:p>
    <w:p>
      <w:pPr>
        <w:spacing w:line="34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450913</wp:posOffset>
            </wp:positionH>
            <wp:positionV relativeFrom="paragraph">
              <wp:posOffset>147962</wp:posOffset>
            </wp:positionV>
            <wp:extent cx="1277111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711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13" w:right="332"/>
        <w:spacing w:before="65" w:line="262" w:lineRule="auto"/>
        <w:rPr/>
      </w:pPr>
      <w:r>
        <w:rPr>
          <w:spacing w:val="-5"/>
        </w:rPr>
        <w:t>作者简介：王建辉（1993.4-</w:t>
      </w:r>
      <w:r>
        <w:rPr>
          <w:spacing w:val="-27"/>
          <w:w w:val="76"/>
        </w:rPr>
        <w:t>），</w:t>
      </w:r>
      <w:r>
        <w:rPr>
          <w:spacing w:val="-5"/>
        </w:rPr>
        <w:t>男，江西铅山县人，本科，主治医师，主</w:t>
      </w:r>
      <w:r>
        <w:rPr/>
        <w:t xml:space="preserve"> </w:t>
      </w:r>
      <w:r>
        <w:rPr>
          <w:spacing w:val="9"/>
        </w:rPr>
        <w:t>要从事外科类疾病手术研究及治疗工作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4" w:firstLine="8"/>
        <w:spacing w:before="43" w:line="235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于各种急腹症首位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7"/>
        </w:rPr>
        <w:t>，且其发病率处于逐渐上升的趋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势</w:t>
      </w:r>
      <w:r>
        <w:rPr>
          <w:sz w:val="11"/>
          <w:szCs w:val="11"/>
          <w:spacing w:val="10"/>
          <w:position w:val="7"/>
        </w:rPr>
        <w:t>[2]</w:t>
      </w:r>
      <w:r>
        <w:rPr>
          <w:sz w:val="11"/>
          <w:szCs w:val="11"/>
          <w:spacing w:val="-2"/>
          <w:position w:val="7"/>
        </w:rPr>
        <w:t xml:space="preserve"> </w:t>
      </w:r>
      <w:r>
        <w:rPr>
          <w:sz w:val="20"/>
          <w:szCs w:val="20"/>
          <w:spacing w:val="10"/>
        </w:rPr>
        <w:t>。临床中针对急性阑尾炎治疗采取手术切除的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方式。传统的术式为开腹手术，在基层医院中应用的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概率较高，其能够及时切除阑尾，帮助患者消除炎症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反应，但是手术切口较大，对患者危害性较强，对术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3"/>
        </w:rPr>
        <w:t>后康复效果产生一定干扰</w:t>
      </w:r>
      <w:r>
        <w:rPr>
          <w:sz w:val="11"/>
          <w:szCs w:val="11"/>
          <w:spacing w:val="3"/>
          <w:position w:val="7"/>
        </w:rPr>
        <w:t>[3，4]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20"/>
          <w:szCs w:val="20"/>
          <w:spacing w:val="3"/>
        </w:rPr>
        <w:t>。随着微创理念日</w:t>
      </w:r>
      <w:r>
        <w:rPr>
          <w:sz w:val="20"/>
          <w:szCs w:val="20"/>
          <w:spacing w:val="2"/>
        </w:rPr>
        <w:t>益在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手术中落实，腹腔镜手术凭借其创伤小、安全性高等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优势在急性阑尾炎患者中取得了广泛认可，为治疗提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供了新的参考</w:t>
      </w:r>
      <w:r>
        <w:rPr>
          <w:sz w:val="11"/>
          <w:szCs w:val="11"/>
          <w:spacing w:val="-1"/>
          <w:position w:val="7"/>
        </w:rPr>
        <w:t>[5]</w:t>
      </w:r>
      <w:r>
        <w:rPr>
          <w:sz w:val="20"/>
          <w:szCs w:val="20"/>
          <w:spacing w:val="-1"/>
        </w:rPr>
        <w:t>。鉴于此，本研究选取 20</w:t>
      </w:r>
      <w:r>
        <w:rPr>
          <w:sz w:val="20"/>
          <w:szCs w:val="20"/>
          <w:spacing w:val="-2"/>
        </w:rPr>
        <w:t>23 年 5 月-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2024 年 4 月在铅山县中医院接受治疗的 62 例急性</w:t>
      </w:r>
    </w:p>
    <w:p>
      <w:pPr>
        <w:spacing w:line="235" w:lineRule="auto"/>
        <w:sectPr>
          <w:type w:val="continuous"/>
          <w:pgSz w:w="11906" w:h="16838"/>
          <w:pgMar w:top="1280" w:right="1064" w:bottom="0" w:left="424" w:header="846" w:footer="0" w:gutter="0"/>
          <w:cols w:equalWidth="0" w:num="2">
            <w:col w:w="5643" w:space="100"/>
            <w:col w:w="4675" w:space="0"/>
          </w:cols>
        </w:sectPr>
        <w:rPr>
          <w:sz w:val="20"/>
          <w:szCs w:val="20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firstLine="9939"/>
        <w:spacing w:before="1" w:line="302" w:lineRule="exact"/>
        <w:rPr/>
      </w:pPr>
      <w:r>
        <w:rPr>
          <w:position w:val="-6"/>
        </w:rPr>
        <w:pict>
          <v:group id="_x0000_s16" style="mso-position-vertical-relative:line;mso-position-horizontal-relative:char;width:20.65pt;height:15.15pt;" filled="false" stroked="false" coordsize="412,302" coordorigin="0,0">
            <v:shape id="_x0000_s18" style="position:absolute;left:0;top:0;width:412;height:302;" filled="false" stroked="false" type="#_x0000_t75">
              <v:imagedata o:title="" r:id="rId3"/>
            </v:shape>
            <v:shape id="_x0000_s20" style="position:absolute;left:-20;top:-20;width:452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8"/>
                      <w:spacing w:before="122" w:line="167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-9"/>
                      </w:rPr>
                      <w:t>69</w:t>
                    </w:r>
                  </w:p>
                </w:txbxContent>
              </v:textbox>
            </v:shape>
          </v:group>
        </w:pict>
      </w:r>
    </w:p>
    <w:p>
      <w:pPr>
        <w:spacing w:line="302" w:lineRule="exact"/>
        <w:sectPr>
          <w:type w:val="continuous"/>
          <w:pgSz w:w="11906" w:h="16838"/>
          <w:pgMar w:top="1280" w:right="1064" w:bottom="0" w:left="424" w:header="846" w:footer="0" w:gutter="0"/>
          <w:cols w:equalWidth="0" w:num="1">
            <w:col w:w="10418" w:space="0"/>
          </w:cols>
        </w:sectPr>
        <w:rPr/>
      </w:pPr>
    </w:p>
    <w:p>
      <w:pPr>
        <w:spacing w:line="227" w:lineRule="exact"/>
        <w:rPr/>
      </w:pPr>
      <w:r/>
    </w:p>
    <w:p>
      <w:pPr>
        <w:spacing w:line="227" w:lineRule="exact"/>
        <w:sectPr>
          <w:headerReference w:type="default" r:id="rId4"/>
          <w:footerReference w:type="default" r:id="rId5"/>
          <w:pgSz w:w="11906" w:h="16838"/>
          <w:pgMar w:top="1280" w:right="1051" w:bottom="834" w:left="424" w:header="846" w:footer="532" w:gutter="0"/>
          <w:cols w:equalWidth="0" w:num="1">
            <w:col w:w="10431" w:space="0"/>
          </w:cols>
        </w:sectPr>
        <w:rPr/>
      </w:pPr>
    </w:p>
    <w:p>
      <w:pPr>
        <w:pStyle w:val="BodyText"/>
        <w:ind w:left="716" w:right="238" w:firstLine="17"/>
        <w:spacing w:before="45" w:line="233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阑尾炎患者作为研究对象，探讨传统开腹和腹腔镜 </w:t>
      </w:r>
      <w:r>
        <w:rPr>
          <w:sz w:val="20"/>
          <w:szCs w:val="20"/>
          <w:spacing w:val="9"/>
        </w:rPr>
        <w:t>手术对急性阑尾炎患者临床疗效、胃肠功能以及并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发症的影响，现报道如下。</w:t>
      </w:r>
    </w:p>
    <w:p>
      <w:pPr>
        <w:pStyle w:val="BodyText"/>
        <w:ind w:left="732"/>
        <w:spacing w:before="1" w:line="213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2"/>
        </w:rPr>
        <w:t>1 </w:t>
      </w:r>
      <w:r>
        <w:rPr>
          <w:rFonts w:ascii="SimHei" w:hAnsi="SimHei" w:eastAsia="SimHei" w:cs="SimHei"/>
          <w:sz w:val="20"/>
          <w:szCs w:val="20"/>
          <w:spacing w:val="2"/>
        </w:rPr>
        <w:t>资料与方法</w:t>
      </w:r>
    </w:p>
    <w:p>
      <w:pPr>
        <w:pStyle w:val="BodyText"/>
        <w:ind w:left="713" w:right="236" w:firstLine="20"/>
        <w:spacing w:before="42" w:line="223" w:lineRule="auto"/>
        <w:rPr>
          <w:sz w:val="20"/>
          <w:szCs w:val="20"/>
        </w:rPr>
      </w:pPr>
      <w:r>
        <w:rPr>
          <w:sz w:val="20"/>
          <w:szCs w:val="20"/>
        </w:rPr>
        <w:t>1.1 一般资料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</w:rPr>
        <w:t>选取 2023 年 5 月-2024 年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4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月在铅 </w:t>
      </w:r>
      <w:r>
        <w:rPr>
          <w:sz w:val="20"/>
          <w:szCs w:val="20"/>
          <w:spacing w:val="10"/>
        </w:rPr>
        <w:t>山县中医院接受治疗的 62 例急性阑尾炎患者作为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9"/>
        </w:rPr>
        <w:t>研究对象，按照随机数字表法将其分为对照组和研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3"/>
        </w:rPr>
        <w:t>究组，各 31 例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3"/>
        </w:rPr>
        <w:t>。对照组男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3"/>
        </w:rPr>
        <w:t>18 例，女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3"/>
        </w:rPr>
        <w:t>13 例；年龄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3"/>
        </w:rPr>
        <w:t>19~</w:t>
      </w:r>
    </w:p>
    <w:p>
      <w:pPr>
        <w:pStyle w:val="BodyText"/>
        <w:ind w:left="714" w:right="176" w:firstLine="3"/>
        <w:spacing w:before="61" w:line="231" w:lineRule="auto"/>
        <w:rPr>
          <w:sz w:val="20"/>
          <w:szCs w:val="20"/>
        </w:rPr>
      </w:pPr>
      <w:r>
        <w:rPr>
          <w:sz w:val="20"/>
          <w:szCs w:val="20"/>
          <w:spacing w:val="-15"/>
        </w:rPr>
        <w:t>52 岁，平均年龄（34.12±1.34</w:t>
      </w:r>
      <w:r>
        <w:rPr>
          <w:sz w:val="20"/>
          <w:szCs w:val="20"/>
          <w:spacing w:val="-16"/>
        </w:rPr>
        <w:t>）岁；病程 4~18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6"/>
        </w:rPr>
        <w:t>h，平均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3"/>
        </w:rPr>
        <w:t>病程（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3"/>
        </w:rPr>
        <w:t>10.11±0.79）h；疾病类型：9 例急性单纯性阑尾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炎，13 例急性化脓性阑尾炎，9 例急性坏疽穿孔性急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6"/>
        </w:rPr>
        <w:t>性阑尾炎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6"/>
        </w:rPr>
        <w:t>；临床表现：9 例反跳痛，7 例腹泻，7 例高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1"/>
        </w:rPr>
        <w:t>热，8 例胃肠道反应。研究组男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1"/>
        </w:rPr>
        <w:t>19 例，女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2"/>
        </w:rPr>
        <w:t>12 例；年龄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9"/>
        </w:rPr>
        <w:t>20~53 岁，平均年龄（35.56±1.04）</w:t>
      </w:r>
      <w:r>
        <w:rPr>
          <w:sz w:val="20"/>
          <w:szCs w:val="20"/>
          <w:spacing w:val="-20"/>
        </w:rPr>
        <w:t>岁；病程 5~19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0"/>
        </w:rPr>
        <w:t>h，平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6"/>
        </w:rPr>
        <w:t>均病程（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6"/>
        </w:rPr>
        <w:t>11.56±1.23）h；疾病类型：10 例急性单纯性阑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尾炎，12 例急性化脓性阑尾炎，9 例急性坏疽穿孔性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9"/>
        </w:rPr>
        <w:t>急性阑尾炎；临床表现：10 例反跳痛，8 例腹泻，7 例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2"/>
        </w:rPr>
        <w:t>高热，6 例胃肠道反应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2"/>
        </w:rPr>
        <w:t>。两组患者一般资料相对比，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差异无统计学意义（</w:t>
      </w:r>
      <w:r>
        <w:rPr>
          <w:sz w:val="20"/>
          <w:szCs w:val="20"/>
          <w:spacing w:val="-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  <w:position w:val="2"/>
        </w:rPr>
        <w:t>P</w:t>
      </w:r>
      <w:r>
        <w:rPr>
          <w:sz w:val="20"/>
          <w:szCs w:val="20"/>
          <w:spacing w:val="-5"/>
        </w:rPr>
        <w:t>&gt;0.05</w:t>
      </w:r>
      <w:r>
        <w:rPr>
          <w:sz w:val="20"/>
          <w:szCs w:val="20"/>
          <w:spacing w:val="-35"/>
          <w:w w:val="73"/>
        </w:rPr>
        <w:t>），</w:t>
      </w:r>
      <w:r>
        <w:rPr>
          <w:sz w:val="20"/>
          <w:szCs w:val="20"/>
          <w:spacing w:val="-5"/>
        </w:rPr>
        <w:t>具有可比性。患者知情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同意，签署知情同意书。</w:t>
      </w:r>
    </w:p>
    <w:p>
      <w:pPr>
        <w:pStyle w:val="BodyText"/>
        <w:ind w:left="630" w:right="235" w:firstLine="104"/>
        <w:spacing w:before="55" w:line="22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1.2 纳入及排除标准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3"/>
        </w:rPr>
        <w:t>纳入标准：①均符合《外科学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（第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8"/>
        </w:rPr>
        <w:t>8 版）》中相关诊断标准；②年龄&gt;18 岁；③患者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影像学检查及病历等资料完整；④既往无腹部手术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史；⑤入院前未服用免疫抑制剂。排除标准：①合并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血液系统疾病、精神系统疾病、心肝肾功能不全及恶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性肿瘤者；②既往有溃疡史者；③存在腹部手术史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者；④资料不齐全者；⑤合并严重贫血者；</w:t>
      </w:r>
      <w:r>
        <w:rPr>
          <w:sz w:val="20"/>
          <w:szCs w:val="20"/>
          <w:spacing w:val="3"/>
        </w:rPr>
        <w:t>⑥中途退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出者；⑦合并气管食管瘘者；⑧存在手术禁忌证者。</w:t>
      </w:r>
    </w:p>
    <w:p>
      <w:pPr>
        <w:pStyle w:val="BodyText"/>
        <w:ind w:left="734"/>
        <w:spacing w:before="81" w:line="183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1.3 方法</w:t>
      </w:r>
    </w:p>
    <w:p>
      <w:pPr>
        <w:pStyle w:val="BodyText"/>
        <w:ind w:left="713" w:right="235" w:firstLine="20"/>
        <w:spacing w:before="68" w:line="23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1.3.1 对照组  采用开腹手术法。具体操作如下：首先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9"/>
        </w:rPr>
        <w:t>对患者进行硬膜外麻醉，接着在右下腹部麦氏点位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9"/>
        </w:rPr>
        <w:t>置作斜切或横切，清除积液，对回盲部进行阑尾探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查，并对阑尾动脉进行分离和结扎，随后切除阑尾并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8"/>
        </w:rPr>
        <w:t>进行荷包缝合处理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8"/>
        </w:rPr>
        <w:t>。对于局部渗液或脓液较少的情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况，使用纱布反复擦拭干净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。若出现穿孔，且腹膜炎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范围较大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14"/>
        </w:rPr>
        <w:t>，术中需彻底清除腹腔内脓液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4"/>
        </w:rPr>
        <w:t>，并使用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0.9%氯化钠注射液进行冲洗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。对于严重病</w:t>
      </w:r>
      <w:r>
        <w:rPr>
          <w:sz w:val="20"/>
          <w:szCs w:val="20"/>
          <w:spacing w:val="4"/>
        </w:rPr>
        <w:t>例，在盆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底放置引流管，并一期闭合手术切口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。术后进行抗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感染治疗。</w:t>
      </w:r>
    </w:p>
    <w:p>
      <w:pPr>
        <w:pStyle w:val="BodyText"/>
        <w:ind w:left="712" w:right="238" w:firstLine="21"/>
        <w:spacing w:before="67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1.3.2 研究组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3"/>
        </w:rPr>
        <w:t>采用腹腔镜微创手术法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，操作方法如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下：术前指导患者排空膀胱并留置导尿管，实施气管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插管静脉复合麻醉。患者取头低足高左斜位，通过三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4" w:right="3"/>
        <w:spacing w:before="43" w:line="235" w:lineRule="auto"/>
        <w:jc w:val="both"/>
        <w:rPr>
          <w:sz w:val="20"/>
          <w:szCs w:val="20"/>
        </w:rPr>
      </w:pPr>
      <w:r>
        <w:rPr>
          <w:sz w:val="20"/>
          <w:szCs w:val="20"/>
          <w:spacing w:val="-11"/>
        </w:rPr>
        <w:t>孔法在脐部建立人工气腹，压力维持在 13~15 mmHg。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6"/>
        </w:rPr>
        <w:t>置入 </w:t>
      </w:r>
      <w:r>
        <w:rPr>
          <w:sz w:val="20"/>
          <w:szCs w:val="20"/>
        </w:rPr>
        <w:t>Trocar</w:t>
      </w:r>
      <w:r>
        <w:rPr>
          <w:sz w:val="20"/>
          <w:szCs w:val="20"/>
          <w:spacing w:val="6"/>
        </w:rPr>
        <w:t xml:space="preserve"> 和气腹针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6"/>
        </w:rPr>
        <w:t>注入 </w:t>
      </w:r>
      <w:r>
        <w:rPr>
          <w:sz w:val="20"/>
          <w:szCs w:val="20"/>
        </w:rPr>
        <w:t>CO</w:t>
      </w:r>
      <w:r>
        <w:rPr>
          <w:sz w:val="11"/>
          <w:szCs w:val="11"/>
          <w:spacing w:val="6"/>
          <w:position w:val="-2"/>
        </w:rPr>
        <w:t>2  </w:t>
      </w:r>
      <w:r>
        <w:rPr>
          <w:sz w:val="20"/>
          <w:szCs w:val="20"/>
          <w:spacing w:val="6"/>
        </w:rPr>
        <w:t>气体后置入</w:t>
      </w:r>
      <w:r>
        <w:rPr>
          <w:sz w:val="20"/>
          <w:szCs w:val="20"/>
          <w:spacing w:val="5"/>
        </w:rPr>
        <w:t>腹腔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镜，并在双下腹部麦氏点位置置入 Trocar。通过</w:t>
      </w:r>
      <w:r>
        <w:rPr>
          <w:sz w:val="20"/>
          <w:szCs w:val="20"/>
          <w:spacing w:val="-3"/>
        </w:rPr>
        <w:t>右侧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操作孔清除腹腔积脓，探查阑尾，左侧操作孔用于分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离粘连。使用超声刀和双极电凝处理阑尾系膜，用套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扎线圈双重结扎后剪断阑尾，残端不进行包埋。将切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除的阑尾放入保护套中，并通过观察孔取出。根据具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9"/>
        </w:rPr>
        <w:t>体情况决定是否进行冲洗和放置引流管。若形成阑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3"/>
        </w:rPr>
        <w:t>尾周围脓肿，则需放置引流管，并进行全腹腔探查，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7"/>
        </w:rPr>
        <w:t>最后缝合切口。</w:t>
      </w:r>
    </w:p>
    <w:p>
      <w:pPr>
        <w:pStyle w:val="BodyText"/>
        <w:ind w:left="104"/>
        <w:spacing w:before="1" w:line="18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1.4 观察指标</w:t>
      </w:r>
    </w:p>
    <w:p>
      <w:pPr>
        <w:pStyle w:val="BodyText"/>
        <w:ind w:right="77" w:firstLine="104"/>
        <w:spacing w:before="67" w:line="228" w:lineRule="auto"/>
        <w:rPr>
          <w:sz w:val="20"/>
          <w:szCs w:val="20"/>
        </w:rPr>
      </w:pPr>
      <w:r>
        <w:rPr>
          <w:sz w:val="20"/>
          <w:szCs w:val="20"/>
          <w:spacing w:val="-11"/>
        </w:rPr>
        <w:t>1.4.1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1"/>
        </w:rPr>
        <w:t>临床疗效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1"/>
        </w:rPr>
        <w:t>评价分为显效、有效、无效。腹痛、腹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胀、恶心呕吐症状完全消失为显效，腹痛、高热症状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明显改善为有效，全部指征无变化为无效。有效率= </w:t>
      </w:r>
      <w:r>
        <w:rPr>
          <w:sz w:val="20"/>
          <w:szCs w:val="20"/>
          <w:spacing w:val="-10"/>
        </w:rPr>
        <w:t>（显效+有效）/总例数×100%</w:t>
      </w:r>
      <w:r>
        <w:rPr>
          <w:sz w:val="11"/>
          <w:szCs w:val="11"/>
          <w:spacing w:val="-10"/>
          <w:position w:val="7"/>
        </w:rPr>
        <w:t>[6]</w:t>
      </w:r>
      <w:r>
        <w:rPr>
          <w:sz w:val="20"/>
          <w:szCs w:val="20"/>
          <w:spacing w:val="-10"/>
        </w:rPr>
        <w:t>。</w:t>
      </w:r>
    </w:p>
    <w:p>
      <w:pPr>
        <w:pStyle w:val="BodyText"/>
        <w:ind w:left="90" w:right="80" w:firstLine="14"/>
        <w:spacing w:before="39" w:line="21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1.4.2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4"/>
        </w:rPr>
        <w:t>胃肠功能  术后 3 天，对肠蠕动恢复、肠鸣音恢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复、首次排气、首次排便进行记录。</w:t>
      </w:r>
    </w:p>
    <w:p>
      <w:pPr>
        <w:pStyle w:val="BodyText"/>
        <w:ind w:left="84" w:firstLine="19"/>
        <w:spacing w:before="70" w:line="229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1.4.3 应激反应水平  在术前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1"/>
        </w:rPr>
        <w:t>1 天和术后 3 天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"/>
        </w:rPr>
        <w:t>，采集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患者空腹静脉血 5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ml</w:t>
      </w:r>
      <w:r>
        <w:rPr>
          <w:sz w:val="20"/>
          <w:szCs w:val="20"/>
          <w:spacing w:val="5"/>
        </w:rPr>
        <w:t>，经离心处理后取上清液保存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于-30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6"/>
        </w:rPr>
        <w:t>℃待检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6"/>
        </w:rPr>
        <w:t>。使用 SuPerMax3100 型酶标仪（由上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海闪谱生物科技有限公司提供）通过比色法测定血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4"/>
        </w:rPr>
        <w:t>清中超氧化歧化酶（SOD）和丙二醛（MDA）水平</w:t>
      </w:r>
      <w:r>
        <w:rPr>
          <w:sz w:val="11"/>
          <w:szCs w:val="11"/>
          <w:spacing w:val="-14"/>
          <w:position w:val="7"/>
        </w:rPr>
        <w:t>[7]</w:t>
      </w:r>
      <w:r>
        <w:rPr>
          <w:sz w:val="20"/>
          <w:szCs w:val="20"/>
          <w:spacing w:val="-12"/>
          <w:w w:val="88"/>
        </w:rPr>
        <w:t>。采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2"/>
        </w:rPr>
        <w:t>用酶联免疫吸附法测定血清中 C 反应蛋白（</w:t>
      </w:r>
      <w:r>
        <w:rPr>
          <w:sz w:val="20"/>
          <w:szCs w:val="20"/>
        </w:rPr>
        <w:t>CRP</w:t>
      </w:r>
      <w:r>
        <w:rPr>
          <w:sz w:val="20"/>
          <w:szCs w:val="20"/>
          <w:spacing w:val="2"/>
        </w:rPr>
        <w:t>）、 </w:t>
      </w:r>
      <w:r>
        <w:rPr>
          <w:sz w:val="20"/>
          <w:szCs w:val="20"/>
          <w:spacing w:val="5"/>
        </w:rPr>
        <w:t>白细胞介素-6（</w:t>
      </w:r>
      <w:r>
        <w:rPr>
          <w:sz w:val="20"/>
          <w:szCs w:val="20"/>
        </w:rPr>
        <w:t>IL</w:t>
      </w:r>
      <w:r>
        <w:rPr>
          <w:sz w:val="20"/>
          <w:szCs w:val="20"/>
          <w:spacing w:val="5"/>
        </w:rPr>
        <w:t>-6）和肿瘤坏死因子-α（</w:t>
      </w:r>
      <w:r>
        <w:rPr>
          <w:sz w:val="20"/>
          <w:szCs w:val="20"/>
        </w:rPr>
        <w:t>TNF</w:t>
      </w:r>
      <w:r>
        <w:rPr>
          <w:sz w:val="20"/>
          <w:szCs w:val="20"/>
          <w:spacing w:val="5"/>
        </w:rPr>
        <w:t>-α)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水平。试剂盒由上海酶联生物科技有限公司提供，操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4"/>
        </w:rPr>
        <w:t>作严格遵循说明书</w:t>
      </w:r>
      <w:r>
        <w:rPr>
          <w:sz w:val="11"/>
          <w:szCs w:val="11"/>
          <w:spacing w:val="4"/>
          <w:position w:val="7"/>
        </w:rPr>
        <w:t>[8]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right="3" w:firstLine="104"/>
        <w:spacing w:before="71" w:line="227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1.4.4 术后并发症发生率  统计两组患者术后并发症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0"/>
        </w:rPr>
        <w:t>（肠梗阻、切口感染、腹腔脓肿、排尿障碍）发生状况。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并发症发生率=（肠梗阻+切口感染+腹腔脓肿+排尿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6"/>
        </w:rPr>
        <w:t>障碍）/总例数×100%。</w:t>
      </w:r>
    </w:p>
    <w:p>
      <w:pPr>
        <w:pStyle w:val="BodyText"/>
        <w:ind w:left="83" w:right="77" w:firstLine="20"/>
        <w:spacing w:before="42" w:line="233" w:lineRule="auto"/>
        <w:jc w:val="both"/>
        <w:rPr>
          <w:sz w:val="20"/>
          <w:szCs w:val="20"/>
        </w:rPr>
      </w:pPr>
      <w:r>
        <w:pict>
          <v:shape id="_x0000_s42" style="position:absolute;margin-left:89.4977pt;margin-top:18.8861pt;mso-position-vertical-relative:text;mso-position-horizontal-relative:text;width:3.9pt;height:0.2pt;z-index:-251657216;" filled="false" strokecolor="#000000" strokeweight="0.19pt" coordsize="78,4" coordorigin="0,0" path="m0,1l77,1e">
            <v:stroke miterlimit="10"/>
          </v:shape>
        </w:pict>
      </w:r>
      <w:r>
        <w:rPr>
          <w:sz w:val="20"/>
          <w:szCs w:val="20"/>
          <w:spacing w:val="8"/>
        </w:rPr>
        <w:t>1.5 统计学方法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8"/>
        </w:rPr>
        <w:t>采用软件 </w:t>
      </w:r>
      <w:r>
        <w:rPr>
          <w:sz w:val="20"/>
          <w:szCs w:val="20"/>
        </w:rPr>
        <w:t>SPSS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8"/>
        </w:rPr>
        <w:t>24.0 进行统计分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析，计量资料使用（</w:t>
      </w:r>
      <w:r>
        <w:rPr>
          <w:rFonts w:ascii="Arial" w:hAnsi="Arial" w:eastAsia="Arial" w:cs="Arial"/>
          <w:sz w:val="20"/>
          <w:szCs w:val="20"/>
          <w:spacing w:val="-12"/>
          <w:position w:val="1"/>
        </w:rPr>
        <w:t>x</w:t>
      </w:r>
      <w:r>
        <w:rPr>
          <w:sz w:val="20"/>
          <w:szCs w:val="20"/>
          <w:spacing w:val="-12"/>
        </w:rPr>
        <w:t>±</w:t>
      </w:r>
      <w:r>
        <w:rPr>
          <w:rFonts w:ascii="Arial" w:hAnsi="Arial" w:eastAsia="Arial" w:cs="Arial"/>
          <w:sz w:val="20"/>
          <w:szCs w:val="20"/>
          <w:spacing w:val="-12"/>
          <w:position w:val="1"/>
        </w:rPr>
        <w:t>s</w:t>
      </w:r>
      <w:r>
        <w:rPr>
          <w:sz w:val="20"/>
          <w:szCs w:val="20"/>
          <w:spacing w:val="-12"/>
        </w:rPr>
        <w:t>）表示，采用</w:t>
      </w:r>
      <w:r>
        <w:rPr>
          <w:sz w:val="20"/>
          <w:szCs w:val="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2"/>
          <w:position w:val="1"/>
        </w:rPr>
        <w:t>t</w:t>
      </w:r>
      <w:r>
        <w:rPr>
          <w:rFonts w:ascii="Arial" w:hAnsi="Arial" w:eastAsia="Arial" w:cs="Arial"/>
          <w:sz w:val="20"/>
          <w:szCs w:val="20"/>
          <w:spacing w:val="-12"/>
          <w:position w:val="1"/>
        </w:rPr>
        <w:t xml:space="preserve"> </w:t>
      </w:r>
      <w:r>
        <w:rPr>
          <w:sz w:val="20"/>
          <w:szCs w:val="20"/>
          <w:spacing w:val="-12"/>
        </w:rPr>
        <w:t>检</w:t>
      </w:r>
      <w:r>
        <w:rPr>
          <w:sz w:val="20"/>
          <w:szCs w:val="20"/>
          <w:spacing w:val="-13"/>
        </w:rPr>
        <w:t>验，计数资料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6"/>
        </w:rPr>
        <w:t>用[</w:t>
      </w:r>
      <w:r>
        <w:rPr>
          <w:rFonts w:ascii="Arial" w:hAnsi="Arial" w:eastAsia="Arial" w:cs="Arial"/>
          <w:sz w:val="20"/>
          <w:szCs w:val="20"/>
          <w:spacing w:val="-16"/>
          <w:position w:val="1"/>
        </w:rPr>
        <w:t>n</w:t>
      </w:r>
      <w:r>
        <w:rPr>
          <w:sz w:val="20"/>
          <w:szCs w:val="20"/>
          <w:spacing w:val="-16"/>
        </w:rPr>
        <w:t>（%）]表示，采用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76390" cy="8743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390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-16"/>
          <w:position w:val="7"/>
        </w:rPr>
        <w:t>2  </w:t>
      </w:r>
      <w:r>
        <w:rPr>
          <w:sz w:val="20"/>
          <w:szCs w:val="20"/>
          <w:spacing w:val="-16"/>
        </w:rPr>
        <w:t>检验，</w:t>
      </w:r>
      <w:r>
        <w:rPr>
          <w:rFonts w:ascii="Arial" w:hAnsi="Arial" w:eastAsia="Arial" w:cs="Arial"/>
          <w:sz w:val="20"/>
          <w:szCs w:val="20"/>
          <w:spacing w:val="-16"/>
          <w:position w:val="2"/>
        </w:rPr>
        <w:t>P</w:t>
      </w:r>
      <w:r>
        <w:rPr>
          <w:sz w:val="20"/>
          <w:szCs w:val="20"/>
          <w:spacing w:val="2"/>
        </w:rPr>
        <w:t>&lt;0.05 表示差异有统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计学意义。</w:t>
      </w:r>
    </w:p>
    <w:p>
      <w:pPr>
        <w:pStyle w:val="BodyText"/>
        <w:ind w:left="86"/>
        <w:spacing w:before="1" w:line="217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"/>
        </w:rPr>
        <w:t>结果</w:t>
      </w:r>
    </w:p>
    <w:p>
      <w:pPr>
        <w:pStyle w:val="BodyText"/>
        <w:ind w:left="84" w:right="78" w:firstLine="2"/>
        <w:spacing w:before="33" w:line="255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2.1 两组临床疗效比较  研究组治疗总</w:t>
      </w:r>
      <w:r>
        <w:rPr>
          <w:sz w:val="20"/>
          <w:szCs w:val="20"/>
          <w:spacing w:val="13"/>
        </w:rPr>
        <w:t>有效率高于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对照组，差异有统计学意义（</w:t>
      </w:r>
      <w:r>
        <w:rPr>
          <w:sz w:val="20"/>
          <w:szCs w:val="20"/>
          <w:spacing w:val="-34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0"/>
          <w:position w:val="2"/>
        </w:rPr>
        <w:t>P</w:t>
      </w:r>
      <w:r>
        <w:rPr>
          <w:sz w:val="20"/>
          <w:szCs w:val="20"/>
          <w:spacing w:val="-10"/>
        </w:rPr>
        <w:t>&lt;0.05</w:t>
      </w:r>
      <w:r>
        <w:rPr>
          <w:sz w:val="20"/>
          <w:szCs w:val="20"/>
          <w:spacing w:val="-35"/>
          <w:w w:val="73"/>
        </w:rPr>
        <w:t>），</w:t>
      </w:r>
      <w:r>
        <w:rPr>
          <w:sz w:val="20"/>
          <w:szCs w:val="20"/>
          <w:spacing w:val="-10"/>
        </w:rPr>
        <w:t>见表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0"/>
        </w:rPr>
        <w:t>1。</w:t>
      </w:r>
    </w:p>
    <w:p>
      <w:pPr>
        <w:pStyle w:val="BodyText"/>
        <w:ind w:left="1196"/>
        <w:spacing w:before="23" w:line="205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6"/>
        </w:rPr>
        <w:t>1</w:t>
      </w:r>
      <w:r>
        <w:rPr>
          <w:sz w:val="17"/>
          <w:szCs w:val="17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6"/>
        </w:rPr>
        <w:t>两组临床疗效比较</w:t>
      </w:r>
      <w:r>
        <w:rPr>
          <w:sz w:val="17"/>
          <w:szCs w:val="17"/>
          <w:spacing w:val="6"/>
        </w:rPr>
        <w:t>[</w:t>
      </w:r>
      <w:r>
        <w:rPr>
          <w:rFonts w:ascii="Arial" w:hAnsi="Arial" w:eastAsia="Arial" w:cs="Arial"/>
          <w:sz w:val="17"/>
          <w:szCs w:val="17"/>
          <w:spacing w:val="6"/>
          <w:position w:val="1"/>
        </w:rPr>
        <w:t>n</w:t>
      </w:r>
      <w:r>
        <w:rPr>
          <w:sz w:val="17"/>
          <w:szCs w:val="17"/>
          <w:spacing w:val="6"/>
        </w:rPr>
        <w:t>(%)]</w:t>
      </w:r>
    </w:p>
    <w:p>
      <w:pPr>
        <w:spacing w:line="101" w:lineRule="exact"/>
        <w:rPr/>
      </w:pPr>
      <w:r/>
    </w:p>
    <w:tbl>
      <w:tblPr>
        <w:tblStyle w:val="TableNormal"/>
        <w:tblW w:w="4625" w:type="dxa"/>
        <w:tblInd w:w="7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4"/>
        <w:gridCol w:w="353"/>
        <w:gridCol w:w="944"/>
        <w:gridCol w:w="937"/>
        <w:gridCol w:w="851"/>
        <w:gridCol w:w="906"/>
      </w:tblGrid>
      <w:tr>
        <w:trPr>
          <w:trHeight w:val="258" w:hRule="atLeast"/>
        </w:trPr>
        <w:tc>
          <w:tcPr>
            <w:tcW w:w="63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9"/>
              <w:spacing w:before="34" w:line="176" w:lineRule="auto"/>
              <w:rPr/>
            </w:pPr>
            <w:r>
              <w:rPr>
                <w:spacing w:val="6"/>
              </w:rPr>
              <w:t>组别</w:t>
            </w:r>
          </w:p>
        </w:tc>
        <w:tc>
          <w:tcPr>
            <w:tcW w:w="35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9"/>
              <w:spacing w:before="131" w:line="72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7"/>
                <w:position w:val="-1"/>
              </w:rPr>
              <w:t>n</w:t>
            </w:r>
          </w:p>
        </w:tc>
        <w:tc>
          <w:tcPr>
            <w:tcW w:w="94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94"/>
              <w:spacing w:before="53" w:line="160" w:lineRule="auto"/>
              <w:rPr/>
            </w:pPr>
            <w:r>
              <w:rPr>
                <w:spacing w:val="7"/>
              </w:rPr>
              <w:t>显效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93"/>
              <w:spacing w:before="53" w:line="160" w:lineRule="auto"/>
              <w:rPr/>
            </w:pPr>
            <w:r>
              <w:rPr>
                <w:spacing w:val="7"/>
              </w:rPr>
              <w:t>有效</w:t>
            </w:r>
          </w:p>
        </w:tc>
        <w:tc>
          <w:tcPr>
            <w:tcW w:w="8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2"/>
              <w:spacing w:before="53" w:line="160" w:lineRule="auto"/>
              <w:rPr/>
            </w:pPr>
            <w:r>
              <w:rPr>
                <w:spacing w:val="6"/>
              </w:rPr>
              <w:t>无效</w:t>
            </w:r>
          </w:p>
        </w:tc>
        <w:tc>
          <w:tcPr>
            <w:tcW w:w="90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3"/>
              <w:spacing w:before="52" w:line="161" w:lineRule="auto"/>
              <w:rPr/>
            </w:pPr>
            <w:r>
              <w:rPr>
                <w:spacing w:val="5"/>
              </w:rPr>
              <w:t>总有效率</w:t>
            </w:r>
          </w:p>
        </w:tc>
      </w:tr>
      <w:tr>
        <w:trPr>
          <w:trHeight w:val="297" w:hRule="atLeast"/>
        </w:trPr>
        <w:tc>
          <w:tcPr>
            <w:tcW w:w="6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"/>
              <w:spacing w:before="69" w:line="179" w:lineRule="auto"/>
              <w:rPr/>
            </w:pPr>
            <w:r>
              <w:rPr>
                <w:spacing w:val="6"/>
              </w:rPr>
              <w:t>对照组</w:t>
            </w:r>
          </w:p>
        </w:tc>
        <w:tc>
          <w:tcPr>
            <w:tcW w:w="3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2"/>
              <w:spacing w:before="112" w:line="174" w:lineRule="exact"/>
              <w:rPr/>
            </w:pPr>
            <w:r>
              <w:rPr>
                <w:spacing w:val="-10"/>
                <w:position w:val="-3"/>
              </w:rPr>
              <w:t>31</w:t>
            </w:r>
          </w:p>
        </w:tc>
        <w:tc>
          <w:tcPr>
            <w:tcW w:w="9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0"/>
              <w:spacing w:before="81" w:line="169" w:lineRule="auto"/>
              <w:rPr/>
            </w:pPr>
            <w:r>
              <w:rPr>
                <w:spacing w:val="-17"/>
              </w:rPr>
              <w:t>7（22.58）</w:t>
            </w:r>
          </w:p>
        </w:tc>
        <w:tc>
          <w:tcPr>
            <w:tcW w:w="9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right="6"/>
              <w:spacing w:before="81" w:line="169" w:lineRule="auto"/>
              <w:jc w:val="right"/>
              <w:rPr/>
            </w:pPr>
            <w:r>
              <w:rPr>
                <w:spacing w:val="-18"/>
              </w:rPr>
              <w:t>16（51.61）</w:t>
            </w:r>
          </w:p>
        </w:tc>
        <w:tc>
          <w:tcPr>
            <w:tcW w:w="8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right="5"/>
              <w:spacing w:before="81" w:line="169" w:lineRule="auto"/>
              <w:jc w:val="right"/>
              <w:rPr/>
            </w:pPr>
            <w:r>
              <w:rPr>
                <w:spacing w:val="-18"/>
              </w:rPr>
              <w:t>8（25.81）</w:t>
            </w:r>
          </w:p>
        </w:tc>
        <w:tc>
          <w:tcPr>
            <w:tcW w:w="9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81" w:line="169" w:lineRule="auto"/>
              <w:jc w:val="right"/>
              <w:rPr>
                <w:sz w:val="10"/>
                <w:szCs w:val="10"/>
              </w:rPr>
            </w:pPr>
            <w:r>
              <w:rPr>
                <w:spacing w:val="-20"/>
                <w:w w:val="95"/>
              </w:rPr>
              <w:t>23（74.19）</w:t>
            </w:r>
            <w:r>
              <w:rPr>
                <w:sz w:val="10"/>
                <w:szCs w:val="10"/>
                <w:spacing w:val="6"/>
                <w:position w:val="6"/>
              </w:rPr>
              <w:t>*</w:t>
            </w:r>
          </w:p>
        </w:tc>
      </w:tr>
      <w:tr>
        <w:trPr>
          <w:trHeight w:val="291" w:hRule="atLeast"/>
        </w:trPr>
        <w:tc>
          <w:tcPr>
            <w:tcW w:w="63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"/>
              <w:spacing w:before="62" w:line="180" w:lineRule="auto"/>
              <w:rPr/>
            </w:pPr>
            <w:r>
              <w:rPr>
                <w:spacing w:val="7"/>
              </w:rPr>
              <w:t>研究组</w:t>
            </w:r>
          </w:p>
        </w:tc>
        <w:tc>
          <w:tcPr>
            <w:tcW w:w="35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2"/>
              <w:spacing w:before="108" w:line="173" w:lineRule="exact"/>
              <w:rPr/>
            </w:pPr>
            <w:r>
              <w:rPr>
                <w:spacing w:val="-10"/>
                <w:position w:val="-3"/>
              </w:rPr>
              <w:t>31</w:t>
            </w:r>
          </w:p>
        </w:tc>
        <w:tc>
          <w:tcPr>
            <w:tcW w:w="9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right="12"/>
              <w:spacing w:before="76" w:line="168" w:lineRule="auto"/>
              <w:jc w:val="right"/>
              <w:rPr/>
            </w:pPr>
            <w:r>
              <w:rPr>
                <w:spacing w:val="-18"/>
              </w:rPr>
              <w:t>11（35.48）</w:t>
            </w:r>
          </w:p>
        </w:tc>
        <w:tc>
          <w:tcPr>
            <w:tcW w:w="9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right="6"/>
              <w:spacing w:before="76" w:line="168" w:lineRule="auto"/>
              <w:jc w:val="right"/>
              <w:rPr/>
            </w:pPr>
            <w:r>
              <w:rPr>
                <w:spacing w:val="-18"/>
              </w:rPr>
              <w:t>19（61.29）</w:t>
            </w:r>
          </w:p>
        </w:tc>
        <w:tc>
          <w:tcPr>
            <w:tcW w:w="85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9"/>
              <w:spacing w:before="76" w:line="168" w:lineRule="auto"/>
              <w:rPr/>
            </w:pPr>
            <w:r>
              <w:rPr>
                <w:spacing w:val="-20"/>
              </w:rPr>
              <w:t>1（3.23）</w:t>
            </w:r>
          </w:p>
        </w:tc>
        <w:tc>
          <w:tcPr>
            <w:tcW w:w="90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before="76" w:line="168" w:lineRule="auto"/>
              <w:jc w:val="right"/>
              <w:rPr/>
            </w:pPr>
            <w:r>
              <w:rPr>
                <w:spacing w:val="-19"/>
                <w:w w:val="97"/>
              </w:rPr>
              <w:t>30（96.77）</w:t>
            </w:r>
          </w:p>
        </w:tc>
      </w:tr>
    </w:tbl>
    <w:p>
      <w:pPr>
        <w:pStyle w:val="BodyText"/>
        <w:ind w:left="414"/>
        <w:spacing w:before="162" w:line="170" w:lineRule="auto"/>
        <w:rPr/>
      </w:pPr>
      <w:r>
        <w:rPr>
          <w:spacing w:val="-29"/>
          <w:w w:val="98"/>
        </w:rPr>
        <w:t>注：</w:t>
      </w:r>
      <w:r>
        <w:rPr>
          <w:sz w:val="8"/>
          <w:szCs w:val="8"/>
          <w:spacing w:val="-3"/>
          <w:position w:val="5"/>
        </w:rPr>
        <w:t>*</w:t>
      </w:r>
      <w:r>
        <w:rPr>
          <w:sz w:val="8"/>
          <w:szCs w:val="8"/>
          <w:spacing w:val="18"/>
          <w:position w:val="5"/>
        </w:rPr>
        <w:t xml:space="preserve"> </w:t>
      </w:r>
      <w:r>
        <w:rPr>
          <w:spacing w:val="-3"/>
        </w:rPr>
        <w:t>与研究组比较，</w:t>
      </w:r>
      <w:r>
        <w:rPr>
          <w:position w:val="-2"/>
        </w:rPr>
        <w:drawing>
          <wp:inline distT="0" distB="0" distL="0" distR="0">
            <wp:extent cx="57911" cy="6525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1" cy="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  <w:spacing w:val="-3"/>
          <w:position w:val="5"/>
        </w:rPr>
        <w:t>2</w:t>
      </w:r>
      <w:r>
        <w:rPr>
          <w:spacing w:val="-13"/>
        </w:rPr>
        <w:t>=10.968，</w:t>
      </w:r>
      <w:r>
        <w:rPr>
          <w:rFonts w:ascii="Arial" w:hAnsi="Arial" w:eastAsia="Arial" w:cs="Arial"/>
          <w:spacing w:val="-13"/>
          <w:position w:val="1"/>
        </w:rPr>
        <w:t>P</w:t>
      </w:r>
      <w:r>
        <w:rPr>
          <w:spacing w:val="-13"/>
        </w:rPr>
        <w:t>=0.000。</w:t>
      </w:r>
    </w:p>
    <w:p>
      <w:pPr>
        <w:spacing w:line="170" w:lineRule="auto"/>
        <w:sectPr>
          <w:type w:val="continuous"/>
          <w:pgSz w:w="11906" w:h="16838"/>
          <w:pgMar w:top="1280" w:right="1051" w:bottom="834" w:left="424" w:header="846" w:footer="532" w:gutter="0"/>
          <w:cols w:equalWidth="0" w:num="2">
            <w:col w:w="5559" w:space="100"/>
            <w:col w:w="4773" w:space="0"/>
          </w:cols>
        </w:sectPr>
        <w:rPr/>
      </w:pP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8"/>
          <w:footerReference w:type="default" r:id="rId9"/>
          <w:pgSz w:w="11906" w:h="16838"/>
          <w:pgMar w:top="1280" w:right="1067" w:bottom="825" w:left="424" w:header="846" w:footer="522" w:gutter="0"/>
          <w:cols w:equalWidth="0" w:num="1">
            <w:col w:w="10415" w:space="0"/>
          </w:cols>
        </w:sectPr>
        <w:rPr/>
      </w:pPr>
    </w:p>
    <w:p>
      <w:pPr>
        <w:pStyle w:val="BodyText"/>
        <w:ind w:left="715" w:right="322" w:firstLine="2"/>
        <w:spacing w:before="40" w:line="255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2.2 两组胃肠功能比较  研究组胃肠功能优于对照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0"/>
        </w:rPr>
        <w:t>组，差异有统计学意义（</w:t>
      </w:r>
      <w:r>
        <w:rPr>
          <w:sz w:val="20"/>
          <w:szCs w:val="20"/>
          <w:spacing w:val="-31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0"/>
          <w:position w:val="2"/>
        </w:rPr>
        <w:t>P</w:t>
      </w:r>
      <w:r>
        <w:rPr>
          <w:sz w:val="20"/>
          <w:szCs w:val="20"/>
          <w:spacing w:val="-10"/>
        </w:rPr>
        <w:t>&lt;0.05</w:t>
      </w:r>
      <w:r>
        <w:rPr>
          <w:sz w:val="20"/>
          <w:szCs w:val="20"/>
          <w:spacing w:val="-33"/>
          <w:w w:val="69"/>
        </w:rPr>
        <w:t>），</w:t>
      </w:r>
      <w:r>
        <w:rPr>
          <w:sz w:val="20"/>
          <w:szCs w:val="20"/>
          <w:spacing w:val="-10"/>
        </w:rPr>
        <w:t>见表</w:t>
      </w:r>
      <w:r>
        <w:rPr>
          <w:sz w:val="20"/>
          <w:szCs w:val="20"/>
          <w:spacing w:val="-11"/>
        </w:rPr>
        <w:t xml:space="preserve"> 2。</w:t>
      </w:r>
    </w:p>
    <w:p>
      <w:pPr>
        <w:pStyle w:val="BodyText"/>
        <w:ind w:left="1768"/>
        <w:spacing w:before="58" w:line="205" w:lineRule="auto"/>
        <w:rPr>
          <w:sz w:val="17"/>
          <w:szCs w:val="17"/>
        </w:rPr>
      </w:pPr>
      <w:r>
        <w:pict>
          <v:shape id="_x0000_s64" style="position:absolute;margin-left:186.277pt;margin-top:3.46409pt;mso-position-vertical-relative:text;mso-position-horizontal-relative:text;width:3.7pt;height:0.2pt;z-index:-251655168;" filled="false" strokecolor="#000000" strokeweight="0.19pt" coordsize="74,4" coordorigin="0,0" path="m0,1l73,1e">
            <v:stroke miterlimit="10"/>
          </v:shape>
        </w:pict>
      </w: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5"/>
        </w:rPr>
        <w:t>2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5"/>
        </w:rPr>
        <w:t>两组胃肠功能比较</w:t>
      </w:r>
      <w:r>
        <w:rPr>
          <w:sz w:val="17"/>
          <w:szCs w:val="17"/>
          <w:spacing w:val="5"/>
        </w:rPr>
        <w:t>(</w:t>
      </w:r>
      <w:r>
        <w:rPr>
          <w:rFonts w:ascii="Arial" w:hAnsi="Arial" w:eastAsia="Arial" w:cs="Arial"/>
          <w:sz w:val="20"/>
          <w:szCs w:val="20"/>
          <w:spacing w:val="5"/>
          <w:position w:val="1"/>
        </w:rPr>
        <w:t>x</w:t>
      </w:r>
      <w:r>
        <w:rPr>
          <w:sz w:val="17"/>
          <w:szCs w:val="17"/>
          <w:spacing w:val="5"/>
        </w:rPr>
        <w:t>±</w:t>
      </w:r>
      <w:r>
        <w:rPr>
          <w:rFonts w:ascii="Arial" w:hAnsi="Arial" w:eastAsia="Arial" w:cs="Arial"/>
          <w:sz w:val="20"/>
          <w:szCs w:val="20"/>
          <w:spacing w:val="5"/>
          <w:position w:val="1"/>
        </w:rPr>
        <w:t>s</w:t>
      </w:r>
      <w:r>
        <w:rPr>
          <w:rFonts w:ascii="Arial" w:hAnsi="Arial" w:eastAsia="Arial" w:cs="Arial"/>
          <w:sz w:val="20"/>
          <w:szCs w:val="20"/>
          <w:spacing w:val="-32"/>
          <w:position w:val="1"/>
        </w:rPr>
        <w:t xml:space="preserve"> </w:t>
      </w:r>
      <w:r>
        <w:rPr>
          <w:sz w:val="17"/>
          <w:szCs w:val="17"/>
          <w:spacing w:val="5"/>
        </w:rPr>
        <w:t>,h)</w:t>
      </w:r>
    </w:p>
    <w:p>
      <w:pPr>
        <w:spacing w:line="120" w:lineRule="exact"/>
        <w:rPr/>
      </w:pPr>
      <w:r/>
    </w:p>
    <w:tbl>
      <w:tblPr>
        <w:tblStyle w:val="TableNormal"/>
        <w:tblW w:w="4623" w:type="dxa"/>
        <w:tblInd w:w="7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1"/>
        <w:gridCol w:w="1237"/>
        <w:gridCol w:w="955"/>
        <w:gridCol w:w="908"/>
        <w:gridCol w:w="942"/>
      </w:tblGrid>
      <w:tr>
        <w:trPr>
          <w:trHeight w:val="269" w:hRule="atLeast"/>
        </w:trPr>
        <w:tc>
          <w:tcPr>
            <w:tcW w:w="581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95"/>
              <w:spacing w:before="45" w:line="176" w:lineRule="auto"/>
              <w:rPr/>
            </w:pPr>
            <w:r>
              <w:rPr>
                <w:spacing w:val="6"/>
              </w:rPr>
              <w:t>组别</w:t>
            </w:r>
          </w:p>
        </w:tc>
        <w:tc>
          <w:tcPr>
            <w:tcW w:w="3100" w:type="dxa"/>
            <w:vAlign w:val="top"/>
            <w:gridSpan w:val="3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97"/>
              <w:spacing w:before="32" w:line="186" w:lineRule="auto"/>
              <w:rPr/>
            </w:pPr>
            <w:r>
              <w:rPr>
                <w:rFonts w:ascii="Arial" w:hAnsi="Arial" w:eastAsia="Arial" w:cs="Arial"/>
                <w:spacing w:val="6"/>
                <w:position w:val="1"/>
              </w:rPr>
              <w:t>n</w:t>
            </w:r>
            <w:r>
              <w:rPr>
                <w:rFonts w:ascii="Arial" w:hAnsi="Arial" w:eastAsia="Arial" w:cs="Arial"/>
                <w:spacing w:val="18"/>
                <w:position w:val="1"/>
              </w:rPr>
              <w:t xml:space="preserve">  </w:t>
            </w:r>
            <w:r>
              <w:rPr>
                <w:spacing w:val="6"/>
              </w:rPr>
              <w:t>肠蠕动恢复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6"/>
              </w:rPr>
              <w:t>肠鸣音恢复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6"/>
              </w:rPr>
              <w:t>首次排气</w:t>
            </w:r>
          </w:p>
        </w:tc>
        <w:tc>
          <w:tcPr>
            <w:tcW w:w="942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112"/>
              <w:spacing w:before="32" w:line="186" w:lineRule="auto"/>
              <w:rPr/>
            </w:pPr>
            <w:r>
              <w:rPr>
                <w:spacing w:val="7"/>
              </w:rPr>
              <w:t>首次排便</w:t>
            </w:r>
          </w:p>
        </w:tc>
      </w:tr>
      <w:tr>
        <w:trPr>
          <w:trHeight w:val="289" w:hRule="atLeast"/>
        </w:trPr>
        <w:tc>
          <w:tcPr>
            <w:tcW w:w="5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68" w:line="173" w:lineRule="auto"/>
              <w:rPr/>
            </w:pPr>
            <w:r>
              <w:rPr>
                <w:spacing w:val="7"/>
              </w:rPr>
              <w:t>对照组</w:t>
            </w:r>
          </w:p>
        </w:tc>
        <w:tc>
          <w:tcPr>
            <w:tcW w:w="3100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pStyle w:val="TableText"/>
              <w:ind w:left="49"/>
              <w:spacing w:before="91" w:line="188" w:lineRule="exact"/>
              <w:rPr/>
            </w:pPr>
            <w:r>
              <w:rPr>
                <w:spacing w:val="-11"/>
                <w:position w:val="-4"/>
              </w:rPr>
              <w:t>31</w:t>
            </w:r>
            <w:r>
              <w:rPr>
                <w:spacing w:val="19"/>
                <w:position w:val="-4"/>
              </w:rPr>
              <w:t xml:space="preserve">  </w:t>
            </w:r>
            <w:r>
              <w:rPr>
                <w:spacing w:val="-11"/>
                <w:position w:val="-4"/>
              </w:rPr>
              <w:t>31.12±4.66</w:t>
            </w:r>
            <w:r>
              <w:rPr>
                <w:spacing w:val="5"/>
                <w:position w:val="-4"/>
              </w:rPr>
              <w:t xml:space="preserve">   </w:t>
            </w:r>
            <w:r>
              <w:rPr>
                <w:spacing w:val="-11"/>
                <w:position w:val="-4"/>
              </w:rPr>
              <w:t>29.86±2.28</w:t>
            </w:r>
            <w:r>
              <w:rPr>
                <w:spacing w:val="16"/>
                <w:w w:val="101"/>
                <w:position w:val="-4"/>
              </w:rPr>
              <w:t xml:space="preserve">  </w:t>
            </w:r>
            <w:r>
              <w:rPr>
                <w:spacing w:val="-11"/>
                <w:position w:val="-4"/>
              </w:rPr>
              <w:t>30.</w:t>
            </w:r>
            <w:r>
              <w:rPr>
                <w:spacing w:val="-29"/>
                <w:position w:val="-4"/>
              </w:rPr>
              <w:t xml:space="preserve"> </w:t>
            </w:r>
            <w:r>
              <w:rPr>
                <w:spacing w:val="-11"/>
                <w:position w:val="-4"/>
              </w:rPr>
              <w:t>13±6.55</w:t>
            </w:r>
          </w:p>
        </w:tc>
        <w:tc>
          <w:tcPr>
            <w:tcW w:w="9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91" w:line="188" w:lineRule="exact"/>
              <w:jc w:val="right"/>
              <w:rPr/>
            </w:pPr>
            <w:r>
              <w:rPr>
                <w:spacing w:val="-12"/>
                <w:position w:val="-4"/>
              </w:rPr>
              <w:t>61</w:t>
            </w:r>
            <w:r>
              <w:rPr>
                <w:spacing w:val="-11"/>
                <w:position w:val="-4"/>
              </w:rPr>
              <w:t>.29±10.6</w:t>
            </w:r>
            <w:r>
              <w:rPr>
                <w:spacing w:val="-9"/>
                <w:position w:val="-4"/>
              </w:rPr>
              <w:t>7</w:t>
            </w:r>
          </w:p>
        </w:tc>
      </w:tr>
      <w:tr>
        <w:trPr>
          <w:trHeight w:val="875" w:hRule="atLeast"/>
        </w:trPr>
        <w:tc>
          <w:tcPr>
            <w:tcW w:w="5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"/>
              <w:spacing w:before="70" w:line="184" w:lineRule="auto"/>
              <w:rPr/>
            </w:pPr>
            <w:r>
              <w:rPr>
                <w:spacing w:val="7"/>
              </w:rPr>
              <w:t>研究组</w:t>
            </w:r>
          </w:p>
          <w:p>
            <w:pPr>
              <w:ind w:left="265"/>
              <w:spacing w:before="126" w:line="95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4"/>
                <w:position w:val="-2"/>
              </w:rPr>
              <w:t>t</w:t>
            </w:r>
          </w:p>
          <w:p>
            <w:pPr>
              <w:ind w:left="232"/>
              <w:spacing w:before="172" w:line="11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-2"/>
              </w:rPr>
              <w:t>P</w:t>
            </w:r>
          </w:p>
        </w:tc>
        <w:tc>
          <w:tcPr>
            <w:tcW w:w="12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21" w:right="83" w:hanging="472"/>
              <w:spacing w:before="93" w:line="205" w:lineRule="auto"/>
              <w:rPr/>
            </w:pPr>
            <w:r>
              <w:rPr>
                <w:spacing w:val="-11"/>
              </w:rPr>
              <w:t>31</w:t>
            </w:r>
            <w:r>
              <w:rPr>
                <w:spacing w:val="14"/>
                <w:w w:val="101"/>
              </w:rPr>
              <w:t xml:space="preserve">  </w:t>
            </w:r>
            <w:r>
              <w:rPr>
                <w:spacing w:val="-11"/>
              </w:rPr>
              <w:t>21.51±3.18</w:t>
            </w:r>
            <w:r>
              <w:rPr/>
              <w:t xml:space="preserve"> </w:t>
            </w:r>
            <w:r>
              <w:rPr>
                <w:spacing w:val="-10"/>
              </w:rPr>
              <w:t>10.012</w:t>
            </w:r>
          </w:p>
          <w:p>
            <w:pPr>
              <w:pStyle w:val="TableText"/>
              <w:ind w:left="549"/>
              <w:spacing w:before="92" w:line="180" w:lineRule="exact"/>
              <w:rPr/>
            </w:pPr>
            <w:r>
              <w:rPr>
                <w:spacing w:val="-7"/>
                <w:position w:val="-3"/>
              </w:rPr>
              <w:t>0.000</w:t>
            </w:r>
          </w:p>
        </w:tc>
        <w:tc>
          <w:tcPr>
            <w:tcW w:w="9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4"/>
              <w:spacing w:before="94" w:line="167" w:lineRule="auto"/>
              <w:rPr/>
            </w:pPr>
            <w:r>
              <w:rPr>
                <w:spacing w:val="-9"/>
              </w:rPr>
              <w:t>23.15±4.58</w:t>
            </w:r>
          </w:p>
          <w:p>
            <w:pPr>
              <w:pStyle w:val="TableText"/>
              <w:ind w:left="288"/>
              <w:spacing w:before="91" w:line="168" w:lineRule="auto"/>
              <w:rPr/>
            </w:pPr>
            <w:r>
              <w:rPr>
                <w:spacing w:val="-7"/>
              </w:rPr>
              <w:t>5.639</w:t>
            </w:r>
          </w:p>
          <w:p>
            <w:pPr>
              <w:pStyle w:val="TableText"/>
              <w:ind w:left="287"/>
              <w:spacing w:before="90" w:line="181" w:lineRule="exact"/>
              <w:rPr/>
            </w:pPr>
            <w:r>
              <w:rPr>
                <w:spacing w:val="-7"/>
                <w:position w:val="-3"/>
              </w:rPr>
              <w:t>0.000</w:t>
            </w:r>
          </w:p>
        </w:tc>
        <w:tc>
          <w:tcPr>
            <w:tcW w:w="9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5"/>
              <w:spacing w:before="95" w:line="166" w:lineRule="auto"/>
              <w:rPr/>
            </w:pPr>
            <w:r>
              <w:rPr>
                <w:spacing w:val="-9"/>
              </w:rPr>
              <w:t>21.02±4.43</w:t>
            </w:r>
          </w:p>
          <w:p>
            <w:pPr>
              <w:pStyle w:val="TableText"/>
              <w:ind w:left="270"/>
              <w:spacing w:before="93" w:line="167" w:lineRule="auto"/>
              <w:rPr/>
            </w:pPr>
            <w:r>
              <w:rPr>
                <w:spacing w:val="-7"/>
              </w:rPr>
              <w:t>6.798</w:t>
            </w:r>
          </w:p>
          <w:p>
            <w:pPr>
              <w:pStyle w:val="TableText"/>
              <w:ind w:left="268"/>
              <w:spacing w:before="90" w:line="181" w:lineRule="exact"/>
              <w:rPr/>
            </w:pPr>
            <w:r>
              <w:rPr>
                <w:spacing w:val="-7"/>
                <w:position w:val="-3"/>
              </w:rPr>
              <w:t>0.000</w:t>
            </w:r>
          </w:p>
        </w:tc>
        <w:tc>
          <w:tcPr>
            <w:tcW w:w="94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"/>
              <w:spacing w:before="94" w:line="167" w:lineRule="auto"/>
              <w:rPr/>
            </w:pPr>
            <w:r>
              <w:rPr>
                <w:spacing w:val="-10"/>
              </w:rPr>
              <w:t>50.23±8.71</w:t>
            </w:r>
          </w:p>
          <w:p>
            <w:pPr>
              <w:pStyle w:val="TableText"/>
              <w:ind w:left="265"/>
              <w:spacing w:before="91" w:line="167" w:lineRule="auto"/>
              <w:rPr/>
            </w:pPr>
            <w:r>
              <w:rPr>
                <w:spacing w:val="-6"/>
              </w:rPr>
              <w:t>4.725</w:t>
            </w:r>
          </w:p>
          <w:p>
            <w:pPr>
              <w:pStyle w:val="TableText"/>
              <w:ind w:left="267"/>
              <w:spacing w:before="92" w:line="180" w:lineRule="exact"/>
              <w:rPr/>
            </w:pPr>
            <w:r>
              <w:rPr>
                <w:spacing w:val="-7"/>
                <w:position w:val="-3"/>
              </w:rPr>
              <w:t>0.000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1" w:firstLine="2"/>
        <w:spacing w:before="37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2.3 两组应激反应水平比较  术后 3 天，</w:t>
      </w:r>
      <w:r>
        <w:rPr>
          <w:sz w:val="20"/>
          <w:szCs w:val="20"/>
          <w:spacing w:val="-2"/>
        </w:rPr>
        <w:t>两组 SOD 水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平均低于术前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7"/>
        </w:rPr>
        <w:t>1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7"/>
        </w:rPr>
        <w:t>天，MDA、CRP、IL-6、TNF-α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7"/>
        </w:rPr>
        <w:t>水平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均高于术前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7"/>
        </w:rPr>
        <w:t>1 天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</w:rPr>
        <w:t>，且研究组 </w:t>
      </w:r>
      <w:r>
        <w:rPr>
          <w:sz w:val="20"/>
          <w:szCs w:val="20"/>
        </w:rPr>
        <w:t>SOD</w:t>
      </w:r>
      <w:r>
        <w:rPr>
          <w:sz w:val="20"/>
          <w:szCs w:val="20"/>
          <w:spacing w:val="7"/>
        </w:rPr>
        <w:t xml:space="preserve"> 水平均高于对照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组，MDA、CRP、IL-6、TNF-α 水平均低于对照组，差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8"/>
        </w:rPr>
        <w:t>异有统计学意义（</w:t>
      </w:r>
      <w:r>
        <w:rPr>
          <w:sz w:val="20"/>
          <w:szCs w:val="20"/>
          <w:spacing w:val="-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8"/>
          <w:position w:val="2"/>
        </w:rPr>
        <w:t>P</w:t>
      </w:r>
      <w:r>
        <w:rPr>
          <w:sz w:val="20"/>
          <w:szCs w:val="20"/>
          <w:spacing w:val="-8"/>
        </w:rPr>
        <w:t>&lt;0.05</w:t>
      </w:r>
      <w:r>
        <w:rPr>
          <w:sz w:val="20"/>
          <w:szCs w:val="20"/>
          <w:spacing w:val="-35"/>
          <w:w w:val="72"/>
        </w:rPr>
        <w:t>），</w:t>
      </w:r>
      <w:r>
        <w:rPr>
          <w:sz w:val="20"/>
          <w:szCs w:val="20"/>
          <w:spacing w:val="-8"/>
        </w:rPr>
        <w:t>见表 3。</w:t>
      </w:r>
    </w:p>
    <w:p>
      <w:pPr>
        <w:pStyle w:val="BodyText"/>
        <w:ind w:firstLine="2"/>
        <w:spacing w:before="40" w:line="218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2.4 两组术后并发症发生率比较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13"/>
        </w:rPr>
        <w:t>研究组术后并发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症发生率低于对照组，差异有统计学意义（</w:t>
      </w:r>
      <w:r>
        <w:rPr>
          <w:sz w:val="20"/>
          <w:szCs w:val="20"/>
          <w:spacing w:val="-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5"/>
          <w:position w:val="2"/>
        </w:rPr>
        <w:t>P</w:t>
      </w:r>
      <w:r>
        <w:rPr>
          <w:sz w:val="20"/>
          <w:szCs w:val="20"/>
          <w:spacing w:val="-5"/>
        </w:rPr>
        <w:t>&lt;0.05</w:t>
      </w:r>
      <w:r>
        <w:rPr>
          <w:sz w:val="20"/>
          <w:szCs w:val="20"/>
          <w:spacing w:val="-45"/>
          <w:w w:val="94"/>
        </w:rPr>
        <w:t>），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见表 4。</w:t>
      </w:r>
    </w:p>
    <w:p>
      <w:pPr>
        <w:spacing w:line="218" w:lineRule="auto"/>
        <w:sectPr>
          <w:type w:val="continuous"/>
          <w:pgSz w:w="11906" w:h="16838"/>
          <w:pgMar w:top="1280" w:right="1067" w:bottom="825" w:left="424" w:header="846" w:footer="522" w:gutter="0"/>
          <w:cols w:equalWidth="0" w:num="2">
            <w:col w:w="5643" w:space="100"/>
            <w:col w:w="4672" w:space="0"/>
          </w:cols>
        </w:sectPr>
        <w:rPr>
          <w:sz w:val="20"/>
          <w:szCs w:val="20"/>
        </w:rPr>
      </w:pP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4195"/>
        <w:spacing w:before="73" w:line="205" w:lineRule="auto"/>
        <w:rPr>
          <w:sz w:val="17"/>
          <w:szCs w:val="17"/>
        </w:rPr>
      </w:pPr>
      <w:r>
        <w:pict>
          <v:shape id="_x0000_s66" style="position:absolute;margin-left:325.537pt;margin-top:4.25463pt;mso-position-vertical-relative:text;mso-position-horizontal-relative:text;width:3.7pt;height:0.2pt;z-index:-251654144;" filled="false" strokecolor="#000000" strokeweight="0.19pt" coordsize="74,4" coordorigin="0,0" path="m0,1l73,1e">
            <v:stroke miterlimit="10"/>
          </v:shape>
        </w:pict>
      </w: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6"/>
        </w:rPr>
        <w:t>3  </w:t>
      </w:r>
      <w:r>
        <w:rPr>
          <w:rFonts w:ascii="SimHei" w:hAnsi="SimHei" w:eastAsia="SimHei" w:cs="SimHei"/>
          <w:sz w:val="17"/>
          <w:szCs w:val="17"/>
          <w:spacing w:val="6"/>
        </w:rPr>
        <w:t>两组应激反应水平比较</w:t>
      </w:r>
      <w:r>
        <w:rPr>
          <w:sz w:val="17"/>
          <w:szCs w:val="17"/>
          <w:spacing w:val="6"/>
        </w:rPr>
        <w:t>(</w:t>
      </w:r>
      <w:r>
        <w:rPr>
          <w:rFonts w:ascii="Arial" w:hAnsi="Arial" w:eastAsia="Arial" w:cs="Arial"/>
          <w:sz w:val="20"/>
          <w:szCs w:val="20"/>
          <w:spacing w:val="6"/>
          <w:position w:val="1"/>
        </w:rPr>
        <w:t>x</w:t>
      </w:r>
      <w:r>
        <w:rPr>
          <w:sz w:val="17"/>
          <w:szCs w:val="17"/>
          <w:spacing w:val="6"/>
        </w:rPr>
        <w:t>±</w:t>
      </w:r>
      <w:r>
        <w:rPr>
          <w:rFonts w:ascii="Arial" w:hAnsi="Arial" w:eastAsia="Arial" w:cs="Arial"/>
          <w:sz w:val="20"/>
          <w:szCs w:val="20"/>
          <w:spacing w:val="6"/>
          <w:position w:val="1"/>
        </w:rPr>
        <w:t>s</w:t>
      </w:r>
      <w:r>
        <w:rPr>
          <w:sz w:val="17"/>
          <w:szCs w:val="17"/>
          <w:spacing w:val="6"/>
        </w:rPr>
        <w:t>)</w:t>
      </w:r>
    </w:p>
    <w:p>
      <w:pPr>
        <w:spacing w:line="118" w:lineRule="exact"/>
        <w:rPr/>
      </w:pPr>
      <w:r/>
    </w:p>
    <w:tbl>
      <w:tblPr>
        <w:tblStyle w:val="TableNormal"/>
        <w:tblW w:w="9646" w:type="dxa"/>
        <w:tblInd w:w="7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1"/>
        <w:gridCol w:w="246"/>
        <w:gridCol w:w="893"/>
        <w:gridCol w:w="937"/>
        <w:gridCol w:w="1605"/>
        <w:gridCol w:w="1017"/>
        <w:gridCol w:w="938"/>
        <w:gridCol w:w="1782"/>
        <w:gridCol w:w="846"/>
        <w:gridCol w:w="801"/>
      </w:tblGrid>
      <w:tr>
        <w:trPr>
          <w:trHeight w:val="267" w:hRule="atLeast"/>
        </w:trPr>
        <w:tc>
          <w:tcPr>
            <w:tcW w:w="827" w:type="dxa"/>
            <w:vAlign w:val="top"/>
            <w:gridSpan w:val="2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95"/>
              <w:spacing w:before="21" w:line="18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spacing w:val="4"/>
              </w:rPr>
              <w:t>组别</w:t>
            </w:r>
            <w:r>
              <w:rPr>
                <w:spacing w:val="6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n</w:t>
            </w:r>
          </w:p>
        </w:tc>
        <w:tc>
          <w:tcPr>
            <w:tcW w:w="1830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90"/>
              <w:spacing w:before="17" w:line="197" w:lineRule="auto"/>
              <w:rPr/>
            </w:pPr>
            <w:r>
              <w:rPr>
                <w:spacing w:val="-21"/>
              </w:rPr>
              <w:t>SOD（nmol/ml）</w:t>
            </w:r>
          </w:p>
        </w:tc>
        <w:tc>
          <w:tcPr>
            <w:tcW w:w="160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80"/>
              <w:spacing w:before="17" w:line="197" w:lineRule="auto"/>
              <w:rPr/>
            </w:pPr>
            <w:r>
              <w:rPr>
                <w:spacing w:val="-22"/>
              </w:rPr>
              <w:t>MDA（U/ml）</w:t>
            </w:r>
          </w:p>
        </w:tc>
        <w:tc>
          <w:tcPr>
            <w:tcW w:w="1955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19"/>
              <w:spacing w:before="17" w:line="197" w:lineRule="auto"/>
              <w:rPr/>
            </w:pPr>
            <w:r>
              <w:rPr>
                <w:spacing w:val="-19"/>
              </w:rPr>
              <w:t>CRP（mg/L）</w:t>
            </w:r>
          </w:p>
        </w:tc>
        <w:tc>
          <w:tcPr>
            <w:tcW w:w="178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02"/>
              <w:spacing w:before="17" w:line="197" w:lineRule="auto"/>
              <w:rPr/>
            </w:pPr>
            <w:r>
              <w:rPr>
                <w:spacing w:val="-14"/>
              </w:rPr>
              <w:t>IL-6（ng/ml）</w:t>
            </w:r>
          </w:p>
        </w:tc>
        <w:tc>
          <w:tcPr>
            <w:tcW w:w="1647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32"/>
              <w:spacing w:before="17" w:line="197" w:lineRule="auto"/>
              <w:rPr/>
            </w:pPr>
            <w:r>
              <w:rPr>
                <w:spacing w:val="-14"/>
              </w:rPr>
              <w:t>TNF-α（mg/L）</w:t>
            </w:r>
          </w:p>
        </w:tc>
      </w:tr>
      <w:tr>
        <w:trPr>
          <w:trHeight w:val="267" w:hRule="atLeast"/>
        </w:trPr>
        <w:tc>
          <w:tcPr>
            <w:tcW w:w="827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6"/>
              <w:spacing w:before="45" w:line="174" w:lineRule="auto"/>
              <w:rPr/>
            </w:pPr>
            <w:r>
              <w:rPr>
                <w:spacing w:val="-3"/>
              </w:rPr>
              <w:t>术前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1 天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before="45" w:line="174" w:lineRule="auto"/>
              <w:rPr/>
            </w:pPr>
            <w:r>
              <w:rPr/>
              <w:t>术后 3 天</w:t>
            </w:r>
          </w:p>
        </w:tc>
        <w:tc>
          <w:tcPr>
            <w:tcW w:w="16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4"/>
              <w:spacing w:before="45" w:line="174" w:lineRule="auto"/>
              <w:rPr/>
            </w:pPr>
            <w:r>
              <w:rPr>
                <w:spacing w:val="-1"/>
              </w:rPr>
              <w:t>术前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1 天  术后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3 天</w:t>
            </w:r>
          </w:p>
        </w:tc>
        <w:tc>
          <w:tcPr>
            <w:tcW w:w="1955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4"/>
              <w:spacing w:before="45" w:line="174" w:lineRule="auto"/>
              <w:rPr/>
            </w:pPr>
            <w:r>
              <w:rPr>
                <w:spacing w:val="-1"/>
              </w:rPr>
              <w:t>术前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1 天     术后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天</w:t>
            </w:r>
          </w:p>
        </w:tc>
        <w:tc>
          <w:tcPr>
            <w:tcW w:w="1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2"/>
              <w:spacing w:before="45" w:line="174" w:lineRule="auto"/>
              <w:rPr/>
            </w:pPr>
            <w:r>
              <w:rPr>
                <w:spacing w:val="-1"/>
              </w:rPr>
              <w:t>术前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1 天   术后 3 天</w:t>
            </w:r>
          </w:p>
        </w:tc>
        <w:tc>
          <w:tcPr>
            <w:tcW w:w="1647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3"/>
              <w:spacing w:before="45" w:line="174" w:lineRule="auto"/>
              <w:rPr/>
            </w:pPr>
            <w:r>
              <w:rPr>
                <w:spacing w:val="-2"/>
              </w:rPr>
              <w:t>术前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1 天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术后 3 天</w:t>
            </w:r>
          </w:p>
        </w:tc>
      </w:tr>
      <w:tr>
        <w:trPr>
          <w:trHeight w:val="289" w:hRule="atLeast"/>
        </w:trPr>
        <w:tc>
          <w:tcPr>
            <w:tcW w:w="827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68" w:line="173" w:lineRule="auto"/>
              <w:rPr/>
            </w:pPr>
            <w:r>
              <w:rPr>
                <w:spacing w:val="1"/>
              </w:rPr>
              <w:t>对照组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31</w:t>
            </w:r>
          </w:p>
        </w:tc>
        <w:tc>
          <w:tcPr>
            <w:tcW w:w="8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"/>
              <w:spacing w:before="92" w:line="187" w:lineRule="exact"/>
              <w:rPr/>
            </w:pPr>
            <w:r>
              <w:rPr>
                <w:spacing w:val="-9"/>
                <w:position w:val="2"/>
              </w:rPr>
              <w:t>95.28±6.25</w:t>
            </w:r>
          </w:p>
        </w:tc>
        <w:tc>
          <w:tcPr>
            <w:tcW w:w="9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"/>
              <w:spacing w:before="84" w:line="160" w:lineRule="auto"/>
              <w:rPr>
                <w:sz w:val="10"/>
                <w:szCs w:val="10"/>
              </w:rPr>
            </w:pPr>
            <w:r>
              <w:rPr>
                <w:spacing w:val="-11"/>
              </w:rPr>
              <w:t>73.48±6.25</w:t>
            </w:r>
            <w:r>
              <w:rPr>
                <w:sz w:val="10"/>
                <w:szCs w:val="10"/>
                <w:spacing w:val="8"/>
                <w:w w:val="117"/>
                <w:position w:val="6"/>
              </w:rPr>
              <w:t>*</w:t>
            </w:r>
          </w:p>
        </w:tc>
        <w:tc>
          <w:tcPr>
            <w:tcW w:w="16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84" w:line="160" w:lineRule="auto"/>
              <w:jc w:val="right"/>
              <w:rPr>
                <w:sz w:val="10"/>
                <w:szCs w:val="10"/>
              </w:rPr>
            </w:pPr>
            <w:r>
              <w:rPr>
                <w:spacing w:val="-11"/>
              </w:rPr>
              <w:t>4.23±0.41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1"/>
              </w:rPr>
              <w:t>6.28±0.56</w:t>
            </w:r>
            <w:r>
              <w:rPr>
                <w:sz w:val="10"/>
                <w:szCs w:val="10"/>
                <w:spacing w:val="8"/>
                <w:w w:val="122"/>
                <w:position w:val="6"/>
              </w:rPr>
              <w:t>*</w:t>
            </w:r>
          </w:p>
        </w:tc>
        <w:tc>
          <w:tcPr>
            <w:tcW w:w="10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0"/>
              <w:spacing w:before="93" w:line="186" w:lineRule="exact"/>
              <w:rPr/>
            </w:pPr>
            <w:r>
              <w:rPr>
                <w:spacing w:val="-9"/>
                <w:position w:val="-3"/>
              </w:rPr>
              <w:t>46.43±10.16</w:t>
            </w:r>
          </w:p>
        </w:tc>
        <w:tc>
          <w:tcPr>
            <w:tcW w:w="9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92" w:line="187" w:lineRule="exact"/>
              <w:jc w:val="right"/>
              <w:rPr/>
            </w:pPr>
            <w:r>
              <w:rPr>
                <w:spacing w:val="-11"/>
                <w:position w:val="-3"/>
              </w:rPr>
              <w:t>90.41±12.65</w:t>
            </w:r>
          </w:p>
        </w:tc>
        <w:tc>
          <w:tcPr>
            <w:tcW w:w="17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84" w:line="160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  <w:position w:val="6"/>
              </w:rPr>
              <w:t>*</w:t>
            </w:r>
            <w:r>
              <w:rPr>
                <w:sz w:val="10"/>
                <w:szCs w:val="10"/>
                <w:spacing w:val="11"/>
                <w:w w:val="101"/>
                <w:position w:val="6"/>
              </w:rPr>
              <w:t xml:space="preserve">  </w:t>
            </w:r>
            <w:r>
              <w:rPr>
                <w:spacing w:val="-11"/>
              </w:rPr>
              <w:t>8.38±1.89</w:t>
            </w:r>
            <w:r>
              <w:rPr>
                <w:spacing w:val="32"/>
              </w:rPr>
              <w:t xml:space="preserve"> </w:t>
            </w:r>
            <w:r>
              <w:rPr>
                <w:spacing w:val="-11"/>
              </w:rPr>
              <w:t>65.21±6.22</w:t>
            </w:r>
            <w:r>
              <w:rPr>
                <w:sz w:val="10"/>
                <w:szCs w:val="10"/>
                <w:spacing w:val="8"/>
                <w:w w:val="119"/>
                <w:position w:val="6"/>
              </w:rPr>
              <w:t>*</w:t>
            </w:r>
          </w:p>
        </w:tc>
        <w:tc>
          <w:tcPr>
            <w:tcW w:w="1647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spacing w:before="84" w:line="160" w:lineRule="auto"/>
              <w:jc w:val="right"/>
              <w:rPr>
                <w:sz w:val="10"/>
                <w:szCs w:val="10"/>
              </w:rPr>
            </w:pPr>
            <w:r>
              <w:rPr>
                <w:spacing w:val="-11"/>
              </w:rPr>
              <w:t>1.08±0.21  1.95±0.32</w:t>
            </w:r>
            <w:r>
              <w:rPr>
                <w:sz w:val="10"/>
                <w:szCs w:val="10"/>
                <w:spacing w:val="8"/>
                <w:w w:val="109"/>
                <w:position w:val="6"/>
              </w:rPr>
              <w:t>*</w:t>
            </w:r>
          </w:p>
        </w:tc>
      </w:tr>
      <w:tr>
        <w:trPr>
          <w:trHeight w:val="874" w:hRule="atLeast"/>
        </w:trPr>
        <w:tc>
          <w:tcPr>
            <w:tcW w:w="5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"/>
              <w:spacing w:before="72" w:line="184" w:lineRule="auto"/>
              <w:rPr/>
            </w:pPr>
            <w:r>
              <w:rPr>
                <w:spacing w:val="7"/>
              </w:rPr>
              <w:t>研究组</w:t>
            </w:r>
          </w:p>
          <w:p>
            <w:pPr>
              <w:ind w:left="265"/>
              <w:spacing w:before="124" w:line="95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4"/>
                <w:position w:val="-2"/>
              </w:rPr>
              <w:t>t</w:t>
            </w:r>
          </w:p>
          <w:p>
            <w:pPr>
              <w:ind w:left="232"/>
              <w:spacing w:before="174" w:line="11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spacing w:val="2"/>
                <w:position w:val="-2"/>
              </w:rPr>
              <w:t>P</w:t>
            </w:r>
          </w:p>
        </w:tc>
        <w:tc>
          <w:tcPr>
            <w:tcW w:w="24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"/>
              <w:spacing w:before="98" w:line="166" w:lineRule="auto"/>
              <w:rPr/>
            </w:pPr>
            <w:r>
              <w:rPr>
                <w:spacing w:val="-10"/>
              </w:rPr>
              <w:t>31</w:t>
            </w:r>
          </w:p>
        </w:tc>
        <w:tc>
          <w:tcPr>
            <w:tcW w:w="8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"/>
              <w:spacing w:before="96" w:line="168" w:lineRule="auto"/>
              <w:rPr/>
            </w:pPr>
            <w:r>
              <w:rPr>
                <w:spacing w:val="-9"/>
              </w:rPr>
              <w:t>95.72±6.08</w:t>
            </w:r>
          </w:p>
          <w:p>
            <w:pPr>
              <w:pStyle w:val="TableText"/>
              <w:ind w:left="253"/>
              <w:spacing w:before="92" w:line="166" w:lineRule="auto"/>
              <w:rPr/>
            </w:pPr>
            <w:r>
              <w:rPr>
                <w:spacing w:val="-7"/>
              </w:rPr>
              <w:t>0.318</w:t>
            </w:r>
          </w:p>
          <w:p>
            <w:pPr>
              <w:pStyle w:val="TableText"/>
              <w:ind w:left="253"/>
              <w:spacing w:before="91" w:line="177" w:lineRule="exact"/>
              <w:rPr/>
            </w:pPr>
            <w:r>
              <w:rPr>
                <w:spacing w:val="-7"/>
                <w:position w:val="-3"/>
              </w:rPr>
              <w:t>0.748</w:t>
            </w:r>
          </w:p>
        </w:tc>
        <w:tc>
          <w:tcPr>
            <w:tcW w:w="9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2"/>
              <w:spacing w:before="88" w:line="174" w:lineRule="auto"/>
              <w:rPr>
                <w:sz w:val="10"/>
                <w:szCs w:val="10"/>
              </w:rPr>
            </w:pPr>
            <w:r>
              <w:rPr>
                <w:spacing w:val="-11"/>
              </w:rPr>
              <w:t>87.55±6.53</w:t>
            </w:r>
            <w:r>
              <w:rPr>
                <w:sz w:val="10"/>
                <w:szCs w:val="10"/>
                <w:spacing w:val="9"/>
                <w:position w:val="6"/>
              </w:rPr>
              <w:t>*</w:t>
            </w:r>
          </w:p>
          <w:p>
            <w:pPr>
              <w:pStyle w:val="TableText"/>
              <w:ind w:left="244"/>
              <w:spacing w:before="93" w:line="166" w:lineRule="auto"/>
              <w:rPr/>
            </w:pPr>
            <w:r>
              <w:rPr>
                <w:spacing w:val="-10"/>
              </w:rPr>
              <w:t>10.283</w:t>
            </w:r>
          </w:p>
          <w:p>
            <w:pPr>
              <w:pStyle w:val="TableText"/>
              <w:ind w:left="272"/>
              <w:spacing w:before="91" w:line="177" w:lineRule="exact"/>
              <w:rPr/>
            </w:pPr>
            <w:r>
              <w:rPr>
                <w:spacing w:val="-7"/>
                <w:position w:val="-3"/>
              </w:rPr>
              <w:t>0.000</w:t>
            </w:r>
          </w:p>
        </w:tc>
        <w:tc>
          <w:tcPr>
            <w:tcW w:w="160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before="87" w:line="174" w:lineRule="auto"/>
              <w:jc w:val="right"/>
              <w:rPr>
                <w:sz w:val="10"/>
                <w:szCs w:val="10"/>
              </w:rPr>
            </w:pPr>
            <w:r>
              <w:pict>
                <v:shape id="_x0000_s68" style="position:absolute;margin-left:1.07011pt;margin-top:3.91036pt;mso-position-vertical-relative:text;mso-position-horizontal-relative:text;width:37.95pt;height:41.45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66" w:lineRule="auto"/>
                          <w:rPr/>
                        </w:pPr>
                        <w:r>
                          <w:rPr>
                            <w:spacing w:val="-9"/>
                          </w:rPr>
                          <w:t>4.28±0.38</w:t>
                        </w:r>
                      </w:p>
                      <w:p>
                        <w:pPr>
                          <w:pStyle w:val="TableText"/>
                          <w:ind w:left="180"/>
                          <w:spacing w:before="94" w:line="165" w:lineRule="auto"/>
                          <w:rPr/>
                        </w:pPr>
                        <w:r>
                          <w:rPr>
                            <w:spacing w:val="-7"/>
                          </w:rPr>
                          <w:t>0.812</w:t>
                        </w:r>
                      </w:p>
                      <w:p>
                        <w:pPr>
                          <w:pStyle w:val="TableText"/>
                          <w:ind w:left="180"/>
                          <w:spacing w:before="92" w:line="165" w:lineRule="auto"/>
                          <w:rPr/>
                        </w:pPr>
                        <w:r>
                          <w:rPr>
                            <w:spacing w:val="-7"/>
                          </w:rPr>
                          <w:t>0.417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1"/>
              </w:rPr>
              <w:t>5.25±0.41</w:t>
            </w:r>
            <w:r>
              <w:rPr>
                <w:sz w:val="10"/>
                <w:szCs w:val="10"/>
                <w:spacing w:val="7"/>
                <w:position w:val="6"/>
              </w:rPr>
              <w:t>*</w:t>
            </w:r>
          </w:p>
          <w:p>
            <w:pPr>
              <w:pStyle w:val="TableText"/>
              <w:ind w:left="1025"/>
              <w:spacing w:before="93" w:line="167" w:lineRule="auto"/>
              <w:rPr/>
            </w:pPr>
            <w:r>
              <w:rPr>
                <w:spacing w:val="-7"/>
              </w:rPr>
              <w:t>9.043</w:t>
            </w:r>
          </w:p>
          <w:p>
            <w:pPr>
              <w:pStyle w:val="TableText"/>
              <w:ind w:left="1024"/>
              <w:spacing w:before="90" w:line="177" w:lineRule="exact"/>
              <w:rPr/>
            </w:pPr>
            <w:r>
              <w:rPr>
                <w:spacing w:val="-7"/>
                <w:position w:val="-3"/>
              </w:rPr>
              <w:t>0.000</w:t>
            </w:r>
          </w:p>
        </w:tc>
        <w:tc>
          <w:tcPr>
            <w:tcW w:w="10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0"/>
              <w:spacing w:before="96" w:line="167" w:lineRule="auto"/>
              <w:rPr/>
            </w:pPr>
            <w:r>
              <w:rPr>
                <w:spacing w:val="-9"/>
              </w:rPr>
              <w:t>46.26±10.38</w:t>
            </w:r>
          </w:p>
          <w:p>
            <w:pPr>
              <w:pStyle w:val="TableText"/>
              <w:ind w:left="331"/>
              <w:spacing w:before="91" w:line="167" w:lineRule="auto"/>
              <w:rPr/>
            </w:pPr>
            <w:r>
              <w:rPr>
                <w:spacing w:val="-7"/>
              </w:rPr>
              <w:t>0.085</w:t>
            </w:r>
          </w:p>
          <w:p>
            <w:pPr>
              <w:pStyle w:val="TableText"/>
              <w:ind w:left="331"/>
              <w:spacing w:before="91" w:line="178" w:lineRule="exact"/>
              <w:rPr/>
            </w:pPr>
            <w:r>
              <w:rPr>
                <w:spacing w:val="-7"/>
                <w:position w:val="-3"/>
              </w:rPr>
              <w:t>0.932</w:t>
            </w:r>
          </w:p>
        </w:tc>
        <w:tc>
          <w:tcPr>
            <w:tcW w:w="9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0"/>
              <w:spacing w:before="87" w:line="174" w:lineRule="auto"/>
              <w:rPr>
                <w:sz w:val="10"/>
                <w:szCs w:val="10"/>
              </w:rPr>
            </w:pPr>
            <w:r>
              <w:rPr>
                <w:spacing w:val="-10"/>
              </w:rPr>
              <w:t>55.15±8.25</w:t>
            </w:r>
            <w:r>
              <w:rPr>
                <w:sz w:val="10"/>
                <w:szCs w:val="10"/>
                <w:spacing w:val="4"/>
                <w:position w:val="6"/>
              </w:rPr>
              <w:t>*</w:t>
            </w:r>
          </w:p>
          <w:p>
            <w:pPr>
              <w:pStyle w:val="TableText"/>
              <w:ind w:left="257"/>
              <w:spacing w:before="92" w:line="167" w:lineRule="auto"/>
              <w:rPr/>
            </w:pPr>
            <w:r>
              <w:rPr>
                <w:spacing w:val="-10"/>
              </w:rPr>
              <w:t>15.812</w:t>
            </w:r>
          </w:p>
          <w:p>
            <w:pPr>
              <w:pStyle w:val="TableText"/>
              <w:ind w:left="286"/>
              <w:spacing w:before="92" w:line="177" w:lineRule="exact"/>
              <w:rPr/>
            </w:pPr>
            <w:r>
              <w:rPr>
                <w:spacing w:val="-7"/>
                <w:position w:val="-3"/>
              </w:rPr>
              <w:t>0.000</w:t>
            </w:r>
          </w:p>
        </w:tc>
        <w:tc>
          <w:tcPr>
            <w:tcW w:w="17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before="88" w:line="174" w:lineRule="auto"/>
              <w:jc w:val="right"/>
              <w:rPr>
                <w:sz w:val="10"/>
                <w:szCs w:val="10"/>
              </w:rPr>
            </w:pPr>
            <w:r>
              <w:pict>
                <v:shape id="_x0000_s70" style="position:absolute;margin-left:5.74289pt;margin-top:3.87472pt;mso-position-vertical-relative:text;mso-position-horizontal-relative:text;width:37.65pt;height:41.5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66" w:lineRule="auto"/>
                          <w:rPr/>
                        </w:pPr>
                        <w:r>
                          <w:rPr>
                            <w:spacing w:val="-12"/>
                          </w:rPr>
                          <w:t>8.</w:t>
                        </w:r>
                        <w:r>
                          <w:rPr>
                            <w:spacing w:val="-26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16±1.78</w:t>
                        </w:r>
                      </w:p>
                      <w:p>
                        <w:pPr>
                          <w:pStyle w:val="TableText"/>
                          <w:ind w:left="172"/>
                          <w:spacing w:before="93" w:line="167" w:lineRule="auto"/>
                          <w:rPr/>
                        </w:pPr>
                        <w:r>
                          <w:rPr>
                            <w:spacing w:val="-7"/>
                          </w:rPr>
                          <w:t>0.639</w:t>
                        </w:r>
                      </w:p>
                      <w:p>
                        <w:pPr>
                          <w:pStyle w:val="TableText"/>
                          <w:ind w:left="172"/>
                          <w:spacing w:before="88" w:line="167" w:lineRule="auto"/>
                          <w:rPr/>
                        </w:pPr>
                        <w:r>
                          <w:rPr>
                            <w:spacing w:val="-7"/>
                          </w:rPr>
                          <w:t>0.522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1"/>
              </w:rPr>
              <w:t>38.45±5.76</w:t>
            </w:r>
            <w:r>
              <w:rPr>
                <w:sz w:val="10"/>
                <w:szCs w:val="10"/>
                <w:spacing w:val="7"/>
                <w:position w:val="6"/>
              </w:rPr>
              <w:t>*</w:t>
            </w:r>
          </w:p>
          <w:p>
            <w:pPr>
              <w:pStyle w:val="TableText"/>
              <w:ind w:left="1111"/>
              <w:spacing w:before="93" w:line="167" w:lineRule="auto"/>
              <w:rPr/>
            </w:pPr>
            <w:r>
              <w:rPr>
                <w:spacing w:val="-7"/>
              </w:rPr>
              <w:t>20.998</w:t>
            </w:r>
          </w:p>
          <w:p>
            <w:pPr>
              <w:pStyle w:val="TableText"/>
              <w:ind w:left="1156"/>
              <w:spacing w:before="90" w:line="177" w:lineRule="exact"/>
              <w:rPr/>
            </w:pPr>
            <w:r>
              <w:rPr>
                <w:spacing w:val="-7"/>
                <w:position w:val="-3"/>
              </w:rPr>
              <w:t>0.000</w:t>
            </w:r>
          </w:p>
        </w:tc>
        <w:tc>
          <w:tcPr>
            <w:tcW w:w="84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5"/>
              <w:spacing w:before="96" w:line="167" w:lineRule="auto"/>
              <w:rPr/>
            </w:pPr>
            <w:r>
              <w:rPr>
                <w:spacing w:val="-11"/>
              </w:rPr>
              <w:t>1.06±0.38</w:t>
            </w:r>
          </w:p>
          <w:p>
            <w:pPr>
              <w:pStyle w:val="TableText"/>
              <w:ind w:left="240"/>
              <w:spacing w:before="94" w:line="165" w:lineRule="auto"/>
              <w:rPr/>
            </w:pPr>
            <w:r>
              <w:rPr>
                <w:spacing w:val="-7"/>
              </w:rPr>
              <w:t>0.278</w:t>
            </w:r>
          </w:p>
          <w:p>
            <w:pPr>
              <w:pStyle w:val="TableText"/>
              <w:ind w:left="240"/>
              <w:spacing w:before="92" w:line="177" w:lineRule="exact"/>
              <w:rPr/>
            </w:pPr>
            <w:r>
              <w:rPr>
                <w:spacing w:val="-7"/>
                <w:position w:val="-3"/>
              </w:rPr>
              <w:t>0.781</w:t>
            </w:r>
          </w:p>
        </w:tc>
        <w:tc>
          <w:tcPr>
            <w:tcW w:w="80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before="88" w:line="174" w:lineRule="auto"/>
              <w:jc w:val="right"/>
              <w:rPr>
                <w:sz w:val="10"/>
                <w:szCs w:val="10"/>
              </w:rPr>
            </w:pPr>
            <w:r>
              <w:rPr>
                <w:spacing w:val="-12"/>
              </w:rPr>
              <w:t>1.22±0.23</w:t>
            </w:r>
            <w:r>
              <w:rPr>
                <w:sz w:val="10"/>
                <w:szCs w:val="10"/>
                <w:spacing w:val="7"/>
                <w:position w:val="6"/>
              </w:rPr>
              <w:t>*</w:t>
            </w:r>
          </w:p>
          <w:p>
            <w:pPr>
              <w:pStyle w:val="TableText"/>
              <w:ind w:left="187"/>
              <w:spacing w:before="93" w:line="167" w:lineRule="auto"/>
              <w:rPr/>
            </w:pPr>
            <w:r>
              <w:rPr>
                <w:spacing w:val="-10"/>
              </w:rPr>
              <w:t>12.398</w:t>
            </w:r>
          </w:p>
          <w:p>
            <w:pPr>
              <w:pStyle w:val="TableText"/>
              <w:ind w:left="217"/>
              <w:spacing w:before="90" w:line="177" w:lineRule="exact"/>
              <w:rPr/>
            </w:pPr>
            <w:r>
              <w:rPr>
                <w:spacing w:val="-7"/>
                <w:position w:val="-3"/>
              </w:rPr>
              <w:t>0.000</w:t>
            </w:r>
          </w:p>
        </w:tc>
      </w:tr>
    </w:tbl>
    <w:p>
      <w:pPr>
        <w:pStyle w:val="BodyText"/>
        <w:ind w:left="1037"/>
        <w:spacing w:before="174" w:line="215" w:lineRule="auto"/>
        <w:rPr/>
      </w:pPr>
      <w:r>
        <w:rPr>
          <w:spacing w:val="-8"/>
        </w:rPr>
        <w:t>注：与同组术前</w:t>
      </w:r>
      <w:r>
        <w:rPr>
          <w:spacing w:val="16"/>
        </w:rPr>
        <w:t xml:space="preserve"> </w:t>
      </w:r>
      <w:r>
        <w:rPr>
          <w:spacing w:val="-8"/>
        </w:rPr>
        <w:t>1 天比较，</w:t>
      </w:r>
      <w:r>
        <w:rPr>
          <w:sz w:val="8"/>
          <w:szCs w:val="8"/>
          <w:spacing w:val="6"/>
          <w:w w:val="114"/>
          <w:position w:val="5"/>
        </w:rPr>
        <w:t>*</w:t>
      </w:r>
      <w:r>
        <w:rPr>
          <w:sz w:val="8"/>
          <w:szCs w:val="8"/>
          <w:position w:val="1"/>
        </w:rPr>
        <w:drawing>
          <wp:inline distT="0" distB="0" distL="0" distR="0">
            <wp:extent cx="63373" cy="6771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73" cy="6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</w:rPr>
        <w:t>&lt;0.05。</w:t>
      </w:r>
    </w:p>
    <w:p>
      <w:pPr>
        <w:pStyle w:val="BodyText"/>
        <w:ind w:left="3981"/>
        <w:spacing w:before="301" w:line="205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表</w:t>
      </w:r>
      <w:r>
        <w:rPr>
          <w:rFonts w:ascii="SimHei" w:hAnsi="SimHei" w:eastAsia="SimHei" w:cs="SimHei"/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8"/>
        </w:rPr>
        <w:t>4  </w:t>
      </w:r>
      <w:r>
        <w:rPr>
          <w:rFonts w:ascii="SimHei" w:hAnsi="SimHei" w:eastAsia="SimHei" w:cs="SimHei"/>
          <w:sz w:val="17"/>
          <w:szCs w:val="17"/>
          <w:spacing w:val="8"/>
        </w:rPr>
        <w:t>两组术后并发症发生率比较</w:t>
      </w:r>
      <w:r>
        <w:rPr>
          <w:sz w:val="17"/>
          <w:szCs w:val="17"/>
          <w:spacing w:val="8"/>
        </w:rPr>
        <w:t>[</w:t>
      </w:r>
      <w:r>
        <w:rPr>
          <w:rFonts w:ascii="Arial" w:hAnsi="Arial" w:eastAsia="Arial" w:cs="Arial"/>
          <w:sz w:val="17"/>
          <w:szCs w:val="17"/>
          <w:spacing w:val="8"/>
          <w:position w:val="1"/>
        </w:rPr>
        <w:t>n</w:t>
      </w:r>
      <w:r>
        <w:rPr>
          <w:sz w:val="17"/>
          <w:szCs w:val="17"/>
          <w:spacing w:val="8"/>
        </w:rPr>
        <w:t>(%)]</w:t>
      </w:r>
    </w:p>
    <w:p>
      <w:pPr>
        <w:spacing w:line="114" w:lineRule="exact"/>
        <w:rPr/>
      </w:pPr>
      <w:r/>
    </w:p>
    <w:tbl>
      <w:tblPr>
        <w:tblStyle w:val="TableNormal"/>
        <w:tblW w:w="9642" w:type="dxa"/>
        <w:tblInd w:w="7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9"/>
        <w:gridCol w:w="1094"/>
        <w:gridCol w:w="1504"/>
        <w:gridCol w:w="1638"/>
        <w:gridCol w:w="1635"/>
        <w:gridCol w:w="1603"/>
        <w:gridCol w:w="1169"/>
      </w:tblGrid>
      <w:tr>
        <w:trPr>
          <w:trHeight w:val="269" w:hRule="atLeast"/>
        </w:trPr>
        <w:tc>
          <w:tcPr>
            <w:tcW w:w="99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5"/>
              <w:spacing w:before="40" w:line="180" w:lineRule="auto"/>
              <w:rPr/>
            </w:pPr>
            <w:r>
              <w:rPr>
                <w:spacing w:val="6"/>
              </w:rPr>
              <w:t>组别</w:t>
            </w:r>
          </w:p>
        </w:tc>
        <w:tc>
          <w:tcPr>
            <w:tcW w:w="109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18"/>
              <w:spacing w:before="118" w:line="72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spacing w:val="7"/>
                <w:position w:val="-1"/>
              </w:rPr>
              <w:t>n</w:t>
            </w:r>
          </w:p>
        </w:tc>
        <w:tc>
          <w:tcPr>
            <w:tcW w:w="150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93"/>
              <w:spacing w:before="41" w:line="179" w:lineRule="auto"/>
              <w:rPr/>
            </w:pPr>
            <w:r>
              <w:rPr>
                <w:spacing w:val="6"/>
              </w:rPr>
              <w:t>肠梗阻</w:t>
            </w:r>
          </w:p>
        </w:tc>
        <w:tc>
          <w:tcPr>
            <w:tcW w:w="16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70"/>
              <w:spacing w:before="39" w:line="181" w:lineRule="auto"/>
              <w:rPr/>
            </w:pPr>
            <w:r>
              <w:rPr>
                <w:spacing w:val="7"/>
              </w:rPr>
              <w:t>切口感染</w:t>
            </w:r>
          </w:p>
        </w:tc>
        <w:tc>
          <w:tcPr>
            <w:tcW w:w="163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66"/>
              <w:spacing w:before="42" w:line="178" w:lineRule="auto"/>
              <w:rPr/>
            </w:pPr>
            <w:r>
              <w:rPr>
                <w:spacing w:val="8"/>
              </w:rPr>
              <w:t>腹腔脓肿</w:t>
            </w:r>
          </w:p>
        </w:tc>
        <w:tc>
          <w:tcPr>
            <w:tcW w:w="160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69"/>
              <w:spacing w:before="28" w:line="190" w:lineRule="auto"/>
              <w:rPr/>
            </w:pPr>
            <w:r>
              <w:rPr>
                <w:spacing w:val="7"/>
              </w:rPr>
              <w:t>排尿障碍</w:t>
            </w:r>
          </w:p>
        </w:tc>
        <w:tc>
          <w:tcPr>
            <w:tcW w:w="11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18"/>
              <w:spacing w:before="39" w:line="181" w:lineRule="auto"/>
              <w:rPr/>
            </w:pPr>
            <w:r>
              <w:rPr>
                <w:spacing w:val="7"/>
              </w:rPr>
              <w:t>发生率</w:t>
            </w:r>
          </w:p>
        </w:tc>
      </w:tr>
      <w:tr>
        <w:trPr>
          <w:trHeight w:val="282" w:hRule="atLeast"/>
        </w:trPr>
        <w:tc>
          <w:tcPr>
            <w:tcW w:w="9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64" w:line="171" w:lineRule="auto"/>
              <w:rPr/>
            </w:pPr>
            <w:r>
              <w:rPr>
                <w:spacing w:val="7"/>
              </w:rPr>
              <w:t>对照组</w:t>
            </w:r>
          </w:p>
        </w:tc>
        <w:tc>
          <w:tcPr>
            <w:tcW w:w="10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8"/>
              <w:spacing w:before="88" w:line="184" w:lineRule="exact"/>
              <w:rPr/>
            </w:pPr>
            <w:r>
              <w:rPr>
                <w:spacing w:val="-10"/>
                <w:position w:val="-3"/>
              </w:rPr>
              <w:t>31</w:t>
            </w:r>
          </w:p>
        </w:tc>
        <w:tc>
          <w:tcPr>
            <w:tcW w:w="15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4"/>
              <w:spacing w:before="56" w:line="177" w:lineRule="auto"/>
              <w:rPr/>
            </w:pPr>
            <w:r>
              <w:rPr>
                <w:spacing w:val="-18"/>
              </w:rPr>
              <w:t>2（6.45）</w:t>
            </w:r>
          </w:p>
        </w:tc>
        <w:tc>
          <w:tcPr>
            <w:tcW w:w="16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9"/>
              <w:spacing w:before="56" w:line="177" w:lineRule="auto"/>
              <w:rPr/>
            </w:pPr>
            <w:r>
              <w:rPr>
                <w:spacing w:val="-18"/>
              </w:rPr>
              <w:t>3（9.68）</w:t>
            </w:r>
          </w:p>
        </w:tc>
        <w:tc>
          <w:tcPr>
            <w:tcW w:w="16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6"/>
              <w:spacing w:before="56" w:line="177" w:lineRule="auto"/>
              <w:rPr/>
            </w:pPr>
            <w:r>
              <w:rPr>
                <w:spacing w:val="-18"/>
              </w:rPr>
              <w:t>2（6.45）</w:t>
            </w:r>
          </w:p>
        </w:tc>
        <w:tc>
          <w:tcPr>
            <w:tcW w:w="160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38"/>
              <w:spacing w:before="56" w:line="177" w:lineRule="auto"/>
              <w:rPr/>
            </w:pPr>
            <w:r>
              <w:rPr>
                <w:spacing w:val="-18"/>
              </w:rPr>
              <w:t>2（6.45）</w:t>
            </w:r>
          </w:p>
        </w:tc>
        <w:tc>
          <w:tcPr>
            <w:tcW w:w="11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right="22"/>
              <w:spacing w:before="56" w:line="177" w:lineRule="auto"/>
              <w:jc w:val="right"/>
              <w:rPr>
                <w:sz w:val="10"/>
                <w:szCs w:val="10"/>
              </w:rPr>
            </w:pPr>
            <w:r>
              <w:rPr>
                <w:spacing w:val="-19"/>
                <w:w w:val="93"/>
              </w:rPr>
              <w:t>9（29.03）</w:t>
            </w:r>
            <w:r>
              <w:rPr>
                <w:sz w:val="10"/>
                <w:szCs w:val="10"/>
                <w:spacing w:val="4"/>
                <w:position w:val="-2"/>
              </w:rPr>
              <w:t>*</w:t>
            </w:r>
          </w:p>
        </w:tc>
      </w:tr>
      <w:tr>
        <w:trPr>
          <w:trHeight w:val="293" w:hRule="atLeast"/>
        </w:trPr>
        <w:tc>
          <w:tcPr>
            <w:tcW w:w="9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"/>
              <w:spacing w:before="72" w:line="173" w:lineRule="auto"/>
              <w:rPr/>
            </w:pPr>
            <w:r>
              <w:rPr>
                <w:spacing w:val="7"/>
              </w:rPr>
              <w:t>研究组</w:t>
            </w:r>
          </w:p>
        </w:tc>
        <w:tc>
          <w:tcPr>
            <w:tcW w:w="10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8"/>
              <w:spacing w:before="98" w:line="184" w:lineRule="exact"/>
              <w:rPr/>
            </w:pPr>
            <w:r>
              <w:rPr>
                <w:spacing w:val="-10"/>
                <w:position w:val="-3"/>
              </w:rPr>
              <w:t>31</w:t>
            </w:r>
          </w:p>
        </w:tc>
        <w:tc>
          <w:tcPr>
            <w:tcW w:w="15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88"/>
              <w:spacing w:before="67" w:line="177" w:lineRule="auto"/>
              <w:rPr/>
            </w:pPr>
            <w:r>
              <w:rPr>
                <w:spacing w:val="-20"/>
              </w:rPr>
              <w:t>1（3.23）</w:t>
            </w:r>
          </w:p>
        </w:tc>
        <w:tc>
          <w:tcPr>
            <w:tcW w:w="16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83"/>
              <w:spacing w:before="99" w:line="183" w:lineRule="exact"/>
              <w:rPr/>
            </w:pPr>
            <w:r>
              <w:rPr>
                <w:position w:val="-3"/>
              </w:rPr>
              <w:t>0</w:t>
            </w:r>
          </w:p>
        </w:tc>
        <w:tc>
          <w:tcPr>
            <w:tcW w:w="16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50"/>
              <w:spacing w:before="67" w:line="177" w:lineRule="auto"/>
              <w:rPr/>
            </w:pPr>
            <w:r>
              <w:rPr>
                <w:spacing w:val="-20"/>
              </w:rPr>
              <w:t>1（3.23）</w:t>
            </w:r>
          </w:p>
        </w:tc>
        <w:tc>
          <w:tcPr>
            <w:tcW w:w="160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81"/>
              <w:spacing w:before="99" w:line="183" w:lineRule="exact"/>
              <w:rPr/>
            </w:pPr>
            <w:r>
              <w:rPr>
                <w:position w:val="-3"/>
              </w:rPr>
              <w:t>0</w:t>
            </w:r>
          </w:p>
        </w:tc>
        <w:tc>
          <w:tcPr>
            <w:tcW w:w="11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right="16"/>
              <w:spacing w:before="67" w:line="177" w:lineRule="auto"/>
              <w:jc w:val="right"/>
              <w:rPr/>
            </w:pPr>
            <w:r>
              <w:rPr>
                <w:spacing w:val="-18"/>
              </w:rPr>
              <w:t>2（6.45）</w:t>
            </w:r>
          </w:p>
        </w:tc>
      </w:tr>
    </w:tbl>
    <w:p>
      <w:pPr>
        <w:pStyle w:val="BodyText"/>
        <w:ind w:left="1037"/>
        <w:spacing w:before="175" w:line="215" w:lineRule="auto"/>
        <w:rPr/>
      </w:pPr>
      <w:r>
        <w:rPr>
          <w:spacing w:val="-29"/>
          <w:w w:val="98"/>
        </w:rPr>
        <w:t>注：</w:t>
      </w:r>
      <w:r>
        <w:rPr>
          <w:sz w:val="8"/>
          <w:szCs w:val="8"/>
          <w:spacing w:val="-4"/>
          <w:position w:val="5"/>
        </w:rPr>
        <w:t>*</w:t>
      </w:r>
      <w:r>
        <w:rPr>
          <w:sz w:val="8"/>
          <w:szCs w:val="8"/>
          <w:spacing w:val="22"/>
          <w:w w:val="103"/>
          <w:position w:val="5"/>
        </w:rPr>
        <w:t xml:space="preserve"> </w:t>
      </w:r>
      <w:r>
        <w:rPr>
          <w:spacing w:val="-4"/>
        </w:rPr>
        <w:t>与研究组比较，</w:t>
      </w:r>
      <w:r>
        <w:rPr>
          <w:position w:val="-2"/>
        </w:rPr>
        <w:drawing>
          <wp:inline distT="0" distB="0" distL="0" distR="0">
            <wp:extent cx="57911" cy="6534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  <w:szCs w:val="8"/>
          <w:spacing w:val="-4"/>
          <w:position w:val="5"/>
        </w:rPr>
        <w:t>2</w:t>
      </w:r>
      <w:r>
        <w:rPr>
          <w:spacing w:val="-13"/>
        </w:rPr>
        <w:t>=6.315，</w:t>
      </w:r>
      <w:r>
        <w:rPr>
          <w:rFonts w:ascii="Arial" w:hAnsi="Arial" w:eastAsia="Arial" w:cs="Arial"/>
          <w:spacing w:val="-13"/>
          <w:position w:val="1"/>
        </w:rPr>
        <w:t>P</w:t>
      </w:r>
      <w:r>
        <w:rPr>
          <w:spacing w:val="-13"/>
        </w:rPr>
        <w:t>=0.000。</w:t>
      </w:r>
    </w:p>
    <w:p>
      <w:pPr>
        <w:spacing w:before="13"/>
        <w:rPr/>
      </w:pPr>
      <w:r/>
    </w:p>
    <w:p>
      <w:pPr>
        <w:sectPr>
          <w:type w:val="continuous"/>
          <w:pgSz w:w="11906" w:h="16838"/>
          <w:pgMar w:top="1280" w:right="1067" w:bottom="825" w:left="424" w:header="846" w:footer="522" w:gutter="0"/>
          <w:cols w:equalWidth="0" w:num="1">
            <w:col w:w="10415" w:space="0"/>
          </w:cols>
        </w:sectPr>
        <w:rPr/>
      </w:pPr>
    </w:p>
    <w:p>
      <w:pPr>
        <w:pStyle w:val="BodyText"/>
        <w:ind w:left="718"/>
        <w:spacing w:before="47" w:line="216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</w:rPr>
        <w:t>3 </w:t>
      </w:r>
      <w:r>
        <w:rPr>
          <w:rFonts w:ascii="SimHei" w:hAnsi="SimHei" w:eastAsia="SimHei" w:cs="SimHei"/>
          <w:sz w:val="20"/>
          <w:szCs w:val="20"/>
        </w:rPr>
        <w:t>讨论</w:t>
      </w:r>
    </w:p>
    <w:p>
      <w:pPr>
        <w:pStyle w:val="BodyText"/>
        <w:ind w:left="714" w:right="320" w:firstLine="436"/>
        <w:spacing w:before="45" w:line="229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当机体存在梗阻、腹泻、便秘等胃肠道功能障碍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时，阑尾在此情况下出现炎性改变的概率较高，进而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10"/>
        </w:rPr>
        <w:t>引发急性阑尾炎</w:t>
      </w:r>
      <w:r>
        <w:rPr>
          <w:sz w:val="11"/>
          <w:szCs w:val="11"/>
          <w:spacing w:val="10"/>
          <w:position w:val="7"/>
        </w:rPr>
        <w:t>[9]</w:t>
      </w:r>
      <w:r>
        <w:rPr>
          <w:sz w:val="11"/>
          <w:szCs w:val="11"/>
          <w:spacing w:val="-7"/>
          <w:position w:val="7"/>
        </w:rPr>
        <w:t xml:space="preserve"> </w:t>
      </w:r>
      <w:r>
        <w:rPr>
          <w:sz w:val="20"/>
          <w:szCs w:val="20"/>
          <w:spacing w:val="10"/>
        </w:rPr>
        <w:t>。对现阶段腹部外科疾病情况进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行探究，可见急性阑尾炎的发生较为频繁，该疾病的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9"/>
        </w:rPr>
        <w:t>发生容易引发右下腹部存在明显的疼痛，机体整体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9"/>
        </w:rPr>
        <w:t>反应可表现为体温上升等，对其正常生活及生命安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7"/>
        </w:rPr>
        <w:t>全均会带来较大的负面影响</w:t>
      </w:r>
      <w:r>
        <w:rPr>
          <w:sz w:val="11"/>
          <w:szCs w:val="11"/>
          <w:spacing w:val="7"/>
          <w:position w:val="7"/>
        </w:rPr>
        <w:t>[10]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20"/>
          <w:szCs w:val="20"/>
          <w:spacing w:val="7"/>
        </w:rPr>
        <w:t>。在治疗急性阑尾炎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患者的过程中，传统开腹手术尽管可有效切除病变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阑尾，但手术操作期间切口相对较大，患者术后极易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出现各种并发症，加之手术伤口恢复相对缓慢，所以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8"/>
        </w:rPr>
        <w:t>难以获得确切疗效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。随着微创术式的飞速发展，近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些年应用较为广泛的手术为腹腔镜手术，该手术方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9"/>
        </w:rPr>
        <w:t>式结合了医疗技术和数字技术，是一种典型的治疗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7"/>
        </w:rPr>
        <w:t>方案</w:t>
      </w:r>
      <w:r>
        <w:rPr>
          <w:sz w:val="11"/>
          <w:szCs w:val="11"/>
          <w:spacing w:val="7"/>
          <w:position w:val="7"/>
        </w:rPr>
        <w:t>[11]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20"/>
          <w:szCs w:val="20"/>
          <w:spacing w:val="7"/>
        </w:rPr>
        <w:t>。在手术过程中医生可将腹腔镜通过穿刺部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位送入患者腹腔中，然后利用其摄像头探查的情况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9"/>
        </w:rPr>
        <w:t>观察患者病变，有利于临床综合治疗或者将病变部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8"/>
        </w:rPr>
        <w:t>位切除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。此种手术的优势在于创伤较小，可有效减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1"/>
        <w:spacing w:before="57" w:line="235" w:lineRule="auto"/>
        <w:jc w:val="both"/>
        <w:rPr>
          <w:sz w:val="20"/>
          <w:szCs w:val="20"/>
        </w:rPr>
      </w:pPr>
      <w:r>
        <w:rPr>
          <w:sz w:val="20"/>
          <w:szCs w:val="20"/>
        </w:rPr>
        <w:t>少疼痛和感染等症状，同时术后恢复迅速，可有效预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防和减少各种并发症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8"/>
        </w:rPr>
        <w:t>。另外此种术式还可良好的保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护腹部脏器和阑尾周围组织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，可促使患者术后胃肠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道功能快速有效恢复，从而促进患者病情康复</w:t>
      </w:r>
      <w:r>
        <w:rPr>
          <w:sz w:val="11"/>
          <w:szCs w:val="11"/>
          <w:spacing w:val="-2"/>
          <w:position w:val="7"/>
        </w:rPr>
        <w:t>[12，13]</w:t>
      </w:r>
      <w:r>
        <w:rPr>
          <w:sz w:val="20"/>
          <w:szCs w:val="20"/>
          <w:spacing w:val="-2"/>
        </w:rPr>
        <w:t>。</w:t>
      </w:r>
    </w:p>
    <w:p>
      <w:pPr>
        <w:pStyle w:val="BodyText"/>
        <w:ind w:right="61" w:firstLine="420"/>
        <w:spacing w:before="1" w:line="228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本研究结果显示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，研究组治疗总有效率高于对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照组（</w:t>
      </w:r>
      <w:r>
        <w:rPr>
          <w:sz w:val="20"/>
          <w:szCs w:val="20"/>
          <w:spacing w:val="-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3"/>
          <w:position w:val="2"/>
        </w:rPr>
        <w:t>P</w:t>
      </w:r>
      <w:r>
        <w:rPr>
          <w:sz w:val="20"/>
          <w:szCs w:val="20"/>
          <w:spacing w:val="3"/>
        </w:rPr>
        <w:t>&lt;0.05</w:t>
      </w:r>
      <w:r>
        <w:rPr>
          <w:sz w:val="20"/>
          <w:szCs w:val="20"/>
          <w:spacing w:val="-36"/>
          <w:w w:val="75"/>
        </w:rPr>
        <w:t>），</w:t>
      </w:r>
      <w:r>
        <w:rPr>
          <w:sz w:val="20"/>
          <w:szCs w:val="20"/>
          <w:spacing w:val="3"/>
        </w:rPr>
        <w:t>提示腹腔镜手术的临床疗效更为确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切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。分析认为，急性阑尾炎患者临床治疗过程中，传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统开腹手术虽然应用时间长、经验丰富，但是具体操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作过程中损伤较大，所需时间长，术中并发症发生风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险较高，不利于术后恢复</w:t>
      </w:r>
      <w:r>
        <w:rPr>
          <w:sz w:val="11"/>
          <w:szCs w:val="11"/>
          <w:position w:val="7"/>
        </w:rPr>
        <w:t>[14]</w:t>
      </w:r>
      <w:r>
        <w:rPr>
          <w:sz w:val="20"/>
          <w:szCs w:val="20"/>
        </w:rPr>
        <w:t>；而腹腔镜微创手术，对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以上缺陷的弥补性较好，其损伤小，能够通过微小创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8"/>
        </w:rPr>
        <w:t>口置入腹腔镜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8"/>
        </w:rPr>
        <w:t>，从而对患者腹腔内阑尾组织</w:t>
      </w:r>
      <w:r>
        <w:rPr>
          <w:sz w:val="20"/>
          <w:szCs w:val="20"/>
          <w:spacing w:val="7"/>
        </w:rPr>
        <w:t>病变情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况进行全面观察，且成像清晰度高，能够避免对周围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组织造成损伤</w:t>
      </w:r>
      <w:r>
        <w:rPr>
          <w:sz w:val="11"/>
          <w:szCs w:val="11"/>
          <w:spacing w:val="-1"/>
          <w:position w:val="7"/>
        </w:rPr>
        <w:t>[15]</w:t>
      </w:r>
      <w:r>
        <w:rPr>
          <w:sz w:val="11"/>
          <w:szCs w:val="11"/>
          <w:position w:val="7"/>
        </w:rPr>
        <w:t xml:space="preserve"> </w:t>
      </w:r>
      <w:r>
        <w:rPr>
          <w:sz w:val="20"/>
          <w:szCs w:val="20"/>
          <w:spacing w:val="-1"/>
        </w:rPr>
        <w:t>。与此同时，腹腔镜微创手术，可满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足患者对美观性的要求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，术后并发症发生风险性较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低，恢复较快，可提高其整体疗效</w:t>
      </w:r>
      <w:r>
        <w:rPr>
          <w:sz w:val="11"/>
          <w:szCs w:val="11"/>
          <w:spacing w:val="-7"/>
          <w:position w:val="7"/>
        </w:rPr>
        <w:t>[16]</w:t>
      </w:r>
      <w:r>
        <w:rPr>
          <w:sz w:val="20"/>
          <w:szCs w:val="20"/>
          <w:spacing w:val="-7"/>
        </w:rPr>
        <w:t>。同时</w:t>
      </w:r>
      <w:r>
        <w:rPr>
          <w:sz w:val="20"/>
          <w:szCs w:val="20"/>
          <w:spacing w:val="-8"/>
        </w:rPr>
        <w:t>，研究组胃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肠功能优于对照组（</w:t>
      </w:r>
      <w:r>
        <w:rPr>
          <w:sz w:val="20"/>
          <w:szCs w:val="20"/>
          <w:spacing w:val="-32"/>
        </w:rPr>
        <w:t xml:space="preserve"> </w:t>
      </w:r>
      <w:r>
        <w:rPr>
          <w:rFonts w:ascii="Arial" w:hAnsi="Arial" w:eastAsia="Arial" w:cs="Arial"/>
          <w:sz w:val="20"/>
          <w:szCs w:val="20"/>
          <w:spacing w:val="3"/>
          <w:position w:val="2"/>
        </w:rPr>
        <w:t>P</w:t>
      </w:r>
      <w:r>
        <w:rPr>
          <w:sz w:val="20"/>
          <w:szCs w:val="20"/>
          <w:spacing w:val="3"/>
        </w:rPr>
        <w:t>&lt;0.05</w:t>
      </w:r>
      <w:r>
        <w:rPr>
          <w:sz w:val="20"/>
          <w:szCs w:val="20"/>
          <w:spacing w:val="-36"/>
          <w:w w:val="75"/>
        </w:rPr>
        <w:t>），</w:t>
      </w:r>
      <w:r>
        <w:rPr>
          <w:sz w:val="20"/>
          <w:szCs w:val="20"/>
          <w:spacing w:val="3"/>
        </w:rPr>
        <w:t>可见腹腔镜手术能够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改善患者胃肠功能。主要是因为腹腔镜手术可利用</w:t>
      </w:r>
    </w:p>
    <w:p>
      <w:pPr>
        <w:spacing w:line="228" w:lineRule="auto"/>
        <w:sectPr>
          <w:type w:val="continuous"/>
          <w:pgSz w:w="11906" w:h="16838"/>
          <w:pgMar w:top="1280" w:right="1067" w:bottom="825" w:left="424" w:header="846" w:footer="522" w:gutter="0"/>
          <w:cols w:equalWidth="0" w:num="2">
            <w:col w:w="5643" w:space="100"/>
            <w:col w:w="4672" w:space="0"/>
          </w:cols>
        </w:sectPr>
        <w:rPr>
          <w:sz w:val="20"/>
          <w:szCs w:val="20"/>
        </w:rPr>
      </w:pPr>
    </w:p>
    <w:p>
      <w:pPr>
        <w:spacing w:line="231" w:lineRule="exact"/>
        <w:rPr/>
      </w:pPr>
      <w:r/>
    </w:p>
    <w:p>
      <w:pPr>
        <w:spacing w:line="231" w:lineRule="exact"/>
        <w:sectPr>
          <w:headerReference w:type="default" r:id="rId12"/>
          <w:footerReference w:type="default" r:id="rId13"/>
          <w:pgSz w:w="11906" w:h="16838"/>
          <w:pgMar w:top="1280" w:right="1126" w:bottom="834" w:left="424" w:header="846" w:footer="532" w:gutter="0"/>
          <w:cols w:equalWidth="0" w:num="1">
            <w:col w:w="10355" w:space="0"/>
          </w:cols>
        </w:sectPr>
        <w:rPr/>
      </w:pPr>
    </w:p>
    <w:p>
      <w:pPr>
        <w:pStyle w:val="BodyText"/>
        <w:ind w:left="714" w:right="255"/>
        <w:spacing w:before="29" w:line="235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腹腔镜探查术野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，减少术中操作对其他组织细胞的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损伤，且该术式对患者产生的伤口及疼痛感较小，更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利于术后机体脏器功能正常运转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，从而加快胃肠功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能恢复速度</w:t>
      </w:r>
      <w:r>
        <w:rPr>
          <w:sz w:val="11"/>
          <w:szCs w:val="11"/>
          <w:spacing w:val="1"/>
          <w:position w:val="7"/>
        </w:rPr>
        <w:t>[17]</w:t>
      </w:r>
      <w:r>
        <w:rPr>
          <w:sz w:val="11"/>
          <w:szCs w:val="11"/>
          <w:spacing w:val="-5"/>
          <w:position w:val="7"/>
        </w:rPr>
        <w:t xml:space="preserve"> </w:t>
      </w:r>
      <w:r>
        <w:rPr>
          <w:sz w:val="20"/>
          <w:szCs w:val="20"/>
          <w:spacing w:val="1"/>
        </w:rPr>
        <w:t>。此外，研究组 </w:t>
      </w:r>
      <w:r>
        <w:rPr>
          <w:sz w:val="20"/>
          <w:szCs w:val="20"/>
        </w:rPr>
        <w:t>SOD</w:t>
      </w:r>
      <w:r>
        <w:rPr>
          <w:sz w:val="20"/>
          <w:szCs w:val="20"/>
          <w:spacing w:val="1"/>
        </w:rPr>
        <w:t xml:space="preserve"> 水平均高于对照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组，而 MDA 水平均低于对照组（</w:t>
      </w:r>
      <w:r>
        <w:rPr>
          <w:rFonts w:ascii="Arial" w:hAnsi="Arial" w:eastAsia="Arial" w:cs="Arial"/>
          <w:sz w:val="25"/>
          <w:szCs w:val="25"/>
          <w:spacing w:val="-5"/>
          <w:position w:val="2"/>
        </w:rPr>
        <w:t>P</w:t>
      </w:r>
      <w:r>
        <w:rPr>
          <w:sz w:val="20"/>
          <w:szCs w:val="20"/>
          <w:spacing w:val="-5"/>
        </w:rPr>
        <w:t>&lt;0.05</w:t>
      </w:r>
      <w:r>
        <w:rPr>
          <w:sz w:val="20"/>
          <w:szCs w:val="20"/>
          <w:spacing w:val="-34"/>
          <w:w w:val="71"/>
        </w:rPr>
        <w:t>），</w:t>
      </w:r>
      <w:r>
        <w:rPr>
          <w:sz w:val="20"/>
          <w:szCs w:val="20"/>
          <w:spacing w:val="-5"/>
        </w:rPr>
        <w:t>表明腹腔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镜手术对患者机体应激反应更小。分析其原因为腹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腔镜术式无需剥离腹部软组织，术野清晰，可准确完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3"/>
        </w:rPr>
        <w:t>成手术操作，对腹腔内腹膜结构、脏器等牵拉更少，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9"/>
        </w:rPr>
        <w:t>可减少出血，并避免组织长时间暴露而降低感染风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险，机体因创伤所致应激反应较轻</w:t>
      </w:r>
      <w:r>
        <w:rPr>
          <w:sz w:val="11"/>
          <w:szCs w:val="11"/>
          <w:spacing w:val="-1"/>
          <w:position w:val="7"/>
        </w:rPr>
        <w:t>[18]</w:t>
      </w:r>
      <w:r>
        <w:rPr>
          <w:sz w:val="11"/>
          <w:szCs w:val="11"/>
          <w:spacing w:val="-5"/>
          <w:position w:val="7"/>
        </w:rPr>
        <w:t xml:space="preserve"> </w:t>
      </w:r>
      <w:r>
        <w:rPr>
          <w:sz w:val="20"/>
          <w:szCs w:val="20"/>
          <w:spacing w:val="-1"/>
        </w:rPr>
        <w:t>。与此同时，研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究组炎性因子水平均低于对照组（</w:t>
      </w:r>
      <w:r>
        <w:rPr>
          <w:sz w:val="20"/>
          <w:szCs w:val="20"/>
          <w:spacing w:val="-33"/>
        </w:rPr>
        <w:t xml:space="preserve"> </w:t>
      </w:r>
      <w:r>
        <w:rPr>
          <w:rFonts w:ascii="Arial" w:hAnsi="Arial" w:eastAsia="Arial" w:cs="Arial"/>
          <w:sz w:val="20"/>
          <w:szCs w:val="20"/>
          <w:spacing w:val="3"/>
          <w:position w:val="1"/>
        </w:rPr>
        <w:t>P</w:t>
      </w:r>
      <w:r>
        <w:rPr>
          <w:sz w:val="20"/>
          <w:szCs w:val="20"/>
          <w:spacing w:val="3"/>
        </w:rPr>
        <w:t>&lt;0.05</w:t>
      </w:r>
      <w:r>
        <w:rPr>
          <w:sz w:val="20"/>
          <w:szCs w:val="20"/>
          <w:spacing w:val="-36"/>
          <w:w w:val="74"/>
        </w:rPr>
        <w:t>），</w:t>
      </w:r>
      <w:r>
        <w:rPr>
          <w:sz w:val="20"/>
          <w:szCs w:val="20"/>
          <w:spacing w:val="3"/>
        </w:rPr>
        <w:t>说明腹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腔镜手术对患者机体炎症因子水平影响更小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8"/>
        </w:rPr>
        <w:t>。分析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原因，可能是由于腹腔镜术式所作切口较小，而腹腔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镜具有放大功能，可确保手术操作精准性，以减轻对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机体创伤，减少炎症反应发生。此外，研究组术后并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2"/>
        </w:rPr>
        <w:t>发症发生率低于对照组（</w:t>
      </w:r>
      <w:r>
        <w:rPr>
          <w:rFonts w:ascii="Arial" w:hAnsi="Arial" w:eastAsia="Arial" w:cs="Arial"/>
          <w:sz w:val="25"/>
          <w:szCs w:val="25"/>
          <w:spacing w:val="2"/>
          <w:position w:val="2"/>
        </w:rPr>
        <w:t>P</w:t>
      </w:r>
      <w:r>
        <w:rPr>
          <w:sz w:val="20"/>
          <w:szCs w:val="20"/>
          <w:spacing w:val="2"/>
        </w:rPr>
        <w:t>&lt;0.05</w:t>
      </w:r>
      <w:r>
        <w:rPr>
          <w:sz w:val="20"/>
          <w:szCs w:val="20"/>
          <w:spacing w:val="-37"/>
          <w:w w:val="78"/>
        </w:rPr>
        <w:t>），</w:t>
      </w:r>
      <w:r>
        <w:rPr>
          <w:sz w:val="20"/>
          <w:szCs w:val="20"/>
          <w:spacing w:val="2"/>
        </w:rPr>
        <w:t>可见腹腔镜手术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的安全性更高。分析认为，腹腔镜手术的开口小，避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3"/>
        </w:rPr>
        <w:t>免机体过度暴露，减少医疗设备与脏器的直接接触；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利用套管取出阑尾，隔离阑尾脓液与切口的接触，可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减少感染风险，而人工气腹建立了封闭环境，也利于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2"/>
        </w:rPr>
        <w:t>降低感染风险</w:t>
      </w:r>
      <w:r>
        <w:rPr>
          <w:sz w:val="11"/>
          <w:szCs w:val="11"/>
          <w:spacing w:val="-2"/>
          <w:position w:val="7"/>
        </w:rPr>
        <w:t>[19，20]</w:t>
      </w:r>
      <w:r>
        <w:rPr>
          <w:sz w:val="11"/>
          <w:szCs w:val="11"/>
          <w:spacing w:val="-10"/>
          <w:position w:val="7"/>
        </w:rPr>
        <w:t xml:space="preserve"> </w:t>
      </w:r>
      <w:r>
        <w:rPr>
          <w:sz w:val="20"/>
          <w:szCs w:val="20"/>
          <w:spacing w:val="-2"/>
        </w:rPr>
        <w:t>。同时，该术式在腹腔镜</w:t>
      </w:r>
      <w:r>
        <w:rPr>
          <w:sz w:val="20"/>
          <w:szCs w:val="20"/>
          <w:spacing w:val="-3"/>
        </w:rPr>
        <w:t>的辅助下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可避免对其他组织的牵拉，减少术中操作对脏器的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3"/>
        </w:rPr>
        <w:t>损伤，可降低排尿障碍与肠梗阻的发生风险。</w:t>
      </w:r>
    </w:p>
    <w:p>
      <w:pPr>
        <w:pStyle w:val="BodyText"/>
        <w:ind w:left="713" w:right="319" w:firstLine="420"/>
        <w:spacing w:before="4" w:line="232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综上所述，传统开腹手术和腹腔镜手术均是治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9"/>
        </w:rPr>
        <w:t>疗急性阑尾炎的有效手段，但腹腔镜手术治疗效果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和安全度更高，对机体炎症因子、应激反应的影响更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小，而且术后恢复快。</w:t>
      </w:r>
    </w:p>
    <w:p>
      <w:pPr>
        <w:pStyle w:val="BodyText"/>
        <w:ind w:left="719"/>
        <w:spacing w:line="214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7"/>
        </w:rPr>
        <w:t>参考文献</w:t>
      </w:r>
      <w:r>
        <w:rPr>
          <w:sz w:val="20"/>
          <w:szCs w:val="20"/>
          <w:spacing w:val="17"/>
        </w:rPr>
        <w:t>:</w:t>
      </w:r>
    </w:p>
    <w:p>
      <w:pPr>
        <w:pStyle w:val="BodyText"/>
        <w:ind w:left="726" w:right="319" w:firstLine="2"/>
        <w:spacing w:before="37" w:line="233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[1]张艳霞.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2"/>
        </w:rPr>
        <w:t>内镜下逆行阑尾炎治疗术、腹腔镜阑尾</w:t>
      </w:r>
      <w:r>
        <w:rPr>
          <w:sz w:val="17"/>
          <w:szCs w:val="17"/>
          <w:spacing w:val="1"/>
        </w:rPr>
        <w:t>切除术治疗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急性阑尾炎脓肿患者的效果及对机体免疫功能的影响[J].检验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医学与临床,2024,21(9):1282-1285.</w:t>
      </w:r>
    </w:p>
    <w:p>
      <w:pPr>
        <w:pStyle w:val="BodyText"/>
        <w:ind w:left="717" w:right="322" w:firstLine="11"/>
        <w:spacing w:before="61" w:line="234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[2]陈志达,郗洪庆,唐云.吗啉硝唑联合腹腔镜</w:t>
      </w:r>
      <w:r>
        <w:rPr>
          <w:sz w:val="17"/>
          <w:szCs w:val="17"/>
          <w:spacing w:val="5"/>
        </w:rPr>
        <w:t>微创手术治疗急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性非单纯性阑尾炎有效性及安全性分析[J].</w:t>
      </w:r>
      <w:r>
        <w:rPr>
          <w:sz w:val="17"/>
          <w:szCs w:val="17"/>
          <w:spacing w:val="-3"/>
        </w:rPr>
        <w:t xml:space="preserve"> </w:t>
      </w:r>
      <w:r>
        <w:rPr>
          <w:sz w:val="17"/>
          <w:szCs w:val="17"/>
          <w:spacing w:val="9"/>
        </w:rPr>
        <w:t>中华普通外科杂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志,2022,37(1):35-38.</w:t>
      </w:r>
    </w:p>
    <w:p>
      <w:pPr>
        <w:pStyle w:val="BodyText"/>
        <w:ind w:left="724" w:right="319" w:firstLine="4"/>
        <w:spacing w:before="61" w:line="234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[3]梁文杰,黎然,冯疆勉,等.改良 </w:t>
      </w:r>
      <w:r>
        <w:rPr>
          <w:sz w:val="17"/>
          <w:szCs w:val="17"/>
        </w:rPr>
        <w:t>Karl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>storz</w:t>
      </w:r>
      <w:r>
        <w:rPr>
          <w:sz w:val="17"/>
          <w:szCs w:val="17"/>
          <w:spacing w:val="3"/>
        </w:rPr>
        <w:t xml:space="preserve"> 单孔腹腔镜手术治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4"/>
        </w:rPr>
        <w:t>疗急性阑尾炎的疗效及对免疫功能和炎症反应的影响[J].临床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外科杂志,2022,30(12):1155-1158.</w:t>
      </w:r>
    </w:p>
    <w:p>
      <w:pPr>
        <w:pStyle w:val="BodyText"/>
        <w:ind w:left="716" w:right="322" w:firstLine="12"/>
        <w:spacing w:before="62" w:line="226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[4]乐浩.急性阑尾炎腹腔镜手术前后血清炎症因子水平及细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胞免疫功能变化的研究[J].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</w:rPr>
        <w:t>中国内镜杂志,2020,26(7):25-30.</w:t>
      </w:r>
    </w:p>
    <w:p>
      <w:pPr>
        <w:pStyle w:val="BodyText"/>
        <w:ind w:left="729" w:right="319"/>
        <w:spacing w:before="61" w:line="234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[5]陶新光,谢应海,张仁泉.改良双孔腹腔镜阑尾切</w:t>
      </w:r>
      <w:r>
        <w:rPr>
          <w:sz w:val="17"/>
          <w:szCs w:val="17"/>
          <w:spacing w:val="5"/>
        </w:rPr>
        <w:t>除术对急性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阑尾炎患者血清疼痛应激指标及 </w:t>
      </w:r>
      <w:r>
        <w:rPr>
          <w:sz w:val="17"/>
          <w:szCs w:val="17"/>
        </w:rPr>
        <w:t>ICAM</w:t>
      </w:r>
      <w:r>
        <w:rPr>
          <w:sz w:val="17"/>
          <w:szCs w:val="17"/>
          <w:spacing w:val="7"/>
        </w:rPr>
        <w:t>-1、</w:t>
      </w:r>
      <w:r>
        <w:rPr>
          <w:sz w:val="17"/>
          <w:szCs w:val="17"/>
        </w:rPr>
        <w:t>MMP</w:t>
      </w:r>
      <w:r>
        <w:rPr>
          <w:sz w:val="17"/>
          <w:szCs w:val="17"/>
          <w:spacing w:val="7"/>
        </w:rPr>
        <w:t>-9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7"/>
        </w:rPr>
        <w:t>的影响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[J].贵州医科大学学报,2020,45(11):1355-13</w:t>
      </w:r>
      <w:r>
        <w:rPr>
          <w:sz w:val="17"/>
          <w:szCs w:val="17"/>
          <w:spacing w:val="-4"/>
        </w:rPr>
        <w:t>59.</w:t>
      </w:r>
    </w:p>
    <w:p>
      <w:pPr>
        <w:pStyle w:val="BodyText"/>
        <w:ind w:left="729"/>
        <w:spacing w:before="62" w:line="177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[6]卓世鹏,李建明.单孔与三孔腹腔镜胆囊阑尾联合切除术治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1"/>
        <w:spacing w:before="38" w:line="251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疗急性阑尾炎合并胆囊结石的疗效比较[J].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3"/>
        </w:rPr>
        <w:t>医学综述,202</w:t>
      </w:r>
      <w:r>
        <w:rPr>
          <w:sz w:val="17"/>
          <w:szCs w:val="17"/>
          <w:spacing w:val="2"/>
        </w:rPr>
        <w:t>0,26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(14):2874-2877,2885.</w:t>
      </w:r>
    </w:p>
    <w:p>
      <w:pPr>
        <w:pStyle w:val="BodyText"/>
        <w:ind w:right="2" w:firstLine="15"/>
        <w:spacing w:before="1" w:line="233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[7]张斌斌.腹腔镜对急性阑尾炎患儿免疫氧化应激高迁移率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9"/>
        </w:rPr>
        <w:t>族蛋白-1 及超敏 C-反应蛋白水平的影响[J].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9"/>
        </w:rPr>
        <w:t>中国妇</w:t>
      </w:r>
      <w:r>
        <w:rPr>
          <w:sz w:val="17"/>
          <w:szCs w:val="17"/>
          <w:spacing w:val="8"/>
        </w:rPr>
        <w:t>幼保健,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2022,37(2):259-262.</w:t>
      </w:r>
    </w:p>
    <w:p>
      <w:pPr>
        <w:pStyle w:val="BodyText"/>
        <w:ind w:left="2" w:right="2" w:firstLine="12"/>
        <w:spacing w:before="64" w:line="233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[8]徐坤,吴文周,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9"/>
        </w:rPr>
        <w:t>高伟,等.腹腔镜与开腹阑尾切除术对老年急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性阑尾炎患者术后胃肠功能及免疫应激的影响[J].河北医药,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7"/>
        </w:rPr>
        <w:t>2020,42(19):2950-2953.</w:t>
      </w:r>
    </w:p>
    <w:p>
      <w:pPr>
        <w:pStyle w:val="BodyText"/>
        <w:ind w:left="5" w:right="1" w:firstLine="9"/>
        <w:spacing w:before="62" w:line="23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[9]吴远涛,黎峰,杨斌,等.单孔对比传统三孔腹腔镜阑尾切除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12"/>
        </w:rPr>
        <w:t>术治疗急性阑尾炎的多中心回顾性分析:一项倾向性评分匹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配研究[J].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</w:rPr>
        <w:t>中华结直肠疾病电子杂志,2023</w:t>
      </w:r>
      <w:r>
        <w:rPr>
          <w:sz w:val="17"/>
          <w:szCs w:val="17"/>
          <w:spacing w:val="-1"/>
        </w:rPr>
        <w:t>,12(1):64-69.</w:t>
      </w:r>
    </w:p>
    <w:p>
      <w:pPr>
        <w:pStyle w:val="BodyText"/>
        <w:ind w:right="1" w:firstLine="15"/>
        <w:spacing w:before="59" w:line="233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[10]李超,汪宏,刘玉海,等.外科腹腔镜</w:t>
      </w:r>
      <w:r>
        <w:rPr>
          <w:sz w:val="17"/>
          <w:szCs w:val="17"/>
          <w:spacing w:val="6"/>
        </w:rPr>
        <w:t>下阑尾切除术联合经腹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膜前腹股沟疝修补术的临床可行性探讨[J].河北医科大学学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报,2019,40(7):799-802.</w:t>
      </w:r>
    </w:p>
    <w:p>
      <w:pPr>
        <w:pStyle w:val="BodyText"/>
        <w:ind w:right="1" w:firstLine="15"/>
        <w:spacing w:before="65" w:line="233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[11]崔磊.腹腔镜系膜剥离法阑尾切除术对急性阑尾炎患者临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3"/>
        </w:rPr>
        <w:t>床指标及活动性出血发生的影响[J].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3"/>
        </w:rPr>
        <w:t>中国药物与临床,2021,21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(2):287-288.</w:t>
      </w:r>
    </w:p>
    <w:p>
      <w:pPr>
        <w:pStyle w:val="BodyText"/>
        <w:ind w:left="1" w:right="1" w:firstLine="14"/>
        <w:spacing w:before="63" w:line="234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[12]陶波圆,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6"/>
        </w:rPr>
        <w:t>曾纪晓,刘斐,等.基于常规器械行经脐单孔腹</w:t>
      </w:r>
      <w:r>
        <w:rPr>
          <w:sz w:val="17"/>
          <w:szCs w:val="17"/>
          <w:spacing w:val="5"/>
        </w:rPr>
        <w:t>腔镜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辅助腹内法与腹外法阑尾切除术的临床比较[J].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10"/>
        </w:rPr>
        <w:t>临床小儿外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科杂志,2023,22(1):12-17.</w:t>
      </w:r>
    </w:p>
    <w:p>
      <w:pPr>
        <w:pStyle w:val="BodyText"/>
        <w:ind w:left="15" w:right="2"/>
        <w:spacing w:before="63" w:line="234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[13]高成钢,黄一雄,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6"/>
        </w:rPr>
        <w:t>陈开进,等.腹腔镜阑尾切除术中残端缝合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包埋、双重结扎及 </w:t>
      </w:r>
      <w:r>
        <w:rPr>
          <w:sz w:val="17"/>
          <w:szCs w:val="17"/>
        </w:rPr>
        <w:t>Hemolock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2"/>
        </w:rPr>
        <w:t>夹毕 3 种处理的效果对比研究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[J].解放军医药杂志,2021,33(11):4</w:t>
      </w:r>
      <w:r>
        <w:rPr>
          <w:sz w:val="17"/>
          <w:szCs w:val="17"/>
          <w:spacing w:val="-3"/>
        </w:rPr>
        <w:t>9-52.</w:t>
      </w:r>
    </w:p>
    <w:p>
      <w:pPr>
        <w:pStyle w:val="BodyText"/>
        <w:ind w:left="7" w:right="1" w:firstLine="7"/>
        <w:spacing w:before="61" w:line="233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[14]杜志勇,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7"/>
        </w:rPr>
        <w:t>向正宗,乔云茂.不同阑尾切除术对急性阑尾炎患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者炎症反应、血管粘附、胃肠功能及营养方面的影响[J].湖南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师范大学学报(医学版),2020,17(2):21-24.</w:t>
      </w:r>
    </w:p>
    <w:p>
      <w:pPr>
        <w:pStyle w:val="BodyText"/>
        <w:ind w:right="1" w:firstLine="14"/>
        <w:spacing w:before="61" w:line="234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[15]宋蕾,黄海,李若静,等.急性阑尾炎</w:t>
      </w:r>
      <w:r>
        <w:rPr>
          <w:sz w:val="17"/>
          <w:szCs w:val="17"/>
          <w:spacing w:val="6"/>
        </w:rPr>
        <w:t>患者术后切口感染的病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原菌分析及 </w:t>
      </w:r>
      <w:r>
        <w:rPr>
          <w:sz w:val="17"/>
          <w:szCs w:val="17"/>
        </w:rPr>
        <w:t>NLR</w:t>
      </w:r>
      <w:r>
        <w:rPr>
          <w:sz w:val="17"/>
          <w:szCs w:val="17"/>
          <w:spacing w:val="3"/>
        </w:rPr>
        <w:t>、</w:t>
      </w:r>
      <w:r>
        <w:rPr>
          <w:sz w:val="17"/>
          <w:szCs w:val="17"/>
        </w:rPr>
        <w:t>PCT</w:t>
      </w:r>
      <w:r>
        <w:rPr>
          <w:sz w:val="17"/>
          <w:szCs w:val="17"/>
          <w:spacing w:val="3"/>
        </w:rPr>
        <w:t>、</w:t>
      </w:r>
      <w:r>
        <w:rPr>
          <w:sz w:val="17"/>
          <w:szCs w:val="17"/>
        </w:rPr>
        <w:t>CRP</w:t>
      </w:r>
      <w:r>
        <w:rPr>
          <w:sz w:val="17"/>
          <w:szCs w:val="17"/>
          <w:spacing w:val="3"/>
        </w:rPr>
        <w:t xml:space="preserve"> 联合检测的预测价值研究[J].现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代生物医学进展,2023,23(17):3359-3364.</w:t>
      </w:r>
    </w:p>
    <w:p>
      <w:pPr>
        <w:pStyle w:val="BodyText"/>
        <w:ind w:right="2" w:firstLine="15"/>
        <w:spacing w:before="63" w:line="234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[16]杨志峰,马雪平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9"/>
        </w:rPr>
        <w:t>.预防性静脉滴注抗生素后不同时机腹腔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4"/>
        </w:rPr>
        <w:t>镜阑尾切除术对急性化脓性阑尾炎患者白细胞计数及康复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情况的影响[J].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2"/>
        </w:rPr>
        <w:t>中国药物与临床,2020,20(14):2</w:t>
      </w:r>
      <w:r>
        <w:rPr>
          <w:sz w:val="17"/>
          <w:szCs w:val="17"/>
          <w:spacing w:val="-3"/>
        </w:rPr>
        <w:t>403-2405.</w:t>
      </w:r>
    </w:p>
    <w:p>
      <w:pPr>
        <w:pStyle w:val="BodyText"/>
        <w:ind w:right="1" w:firstLine="15"/>
        <w:spacing w:before="61" w:line="233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[17]张平峰,孙胜.腹腔镜下系膜剥离法阑尾切除术对急性阑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尾炎患者术后炎症反应的影响[J].检验医学与临床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9"/>
        </w:rPr>
        <w:t>,202</w:t>
      </w:r>
      <w:r>
        <w:rPr>
          <w:sz w:val="17"/>
          <w:szCs w:val="17"/>
          <w:spacing w:val="8"/>
        </w:rPr>
        <w:t>3,20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(7):1012-1014.</w:t>
      </w:r>
    </w:p>
    <w:p>
      <w:pPr>
        <w:pStyle w:val="BodyText"/>
        <w:ind w:left="11" w:right="1" w:firstLine="3"/>
        <w:spacing w:before="65" w:line="233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[18]郑立锋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10"/>
        </w:rPr>
        <w:t>,刘宗航,徐子宇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10"/>
        </w:rPr>
        <w:t>,等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10"/>
        </w:rPr>
        <w:t>.腹腔镜下三种方式处理急性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阑尾炎术后阑尾根部的比较研究[J].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7"/>
        </w:rPr>
        <w:t>中国临床研究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7"/>
        </w:rPr>
        <w:t>,2024,37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(3):414-417.</w:t>
      </w:r>
    </w:p>
    <w:p>
      <w:pPr>
        <w:pStyle w:val="BodyText"/>
        <w:ind w:left="1" w:right="1" w:firstLine="14"/>
        <w:spacing w:before="61" w:line="234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[19]蓝智,李志强,莫伟杰,等.腹腔镜手</w:t>
      </w:r>
      <w:r>
        <w:rPr>
          <w:sz w:val="17"/>
          <w:szCs w:val="17"/>
          <w:spacing w:val="6"/>
        </w:rPr>
        <w:t>术治疗人类免疫缺陷病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毒/艾滋病合并急性阑尾炎患者的效果分析[J].广西医科大学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4"/>
        </w:rPr>
        <w:t>学报,2020,37(1):101-106.</w:t>
      </w:r>
    </w:p>
    <w:p>
      <w:pPr>
        <w:pStyle w:val="BodyText"/>
        <w:ind w:left="3" w:right="2" w:firstLine="12"/>
        <w:spacing w:before="63" w:line="230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[20]王羲勤.免气腹单孔腹腔镜切除术和开放</w:t>
      </w:r>
      <w:r>
        <w:rPr>
          <w:sz w:val="17"/>
          <w:szCs w:val="17"/>
          <w:spacing w:val="11"/>
        </w:rPr>
        <w:t>手术治疗化脓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性急性阑尾炎的临床效果比较[J].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2"/>
        </w:rPr>
        <w:t>中国妇幼保健,2022,37(19):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3681-3684.</w:t>
      </w:r>
    </w:p>
    <w:p>
      <w:pPr>
        <w:pStyle w:val="BodyText"/>
        <w:spacing w:before="72" w:line="213" w:lineRule="auto"/>
        <w:jc w:val="right"/>
        <w:rPr>
          <w:sz w:val="17"/>
          <w:szCs w:val="17"/>
        </w:rPr>
      </w:pPr>
      <w:r>
        <w:rPr>
          <w:sz w:val="17"/>
          <w:szCs w:val="17"/>
          <w:spacing w:val="-8"/>
        </w:rPr>
        <w:t>收稿日期：2024-10-28；修回日期：2</w:t>
      </w:r>
      <w:r>
        <w:rPr>
          <w:sz w:val="17"/>
          <w:szCs w:val="17"/>
          <w:spacing w:val="-9"/>
        </w:rPr>
        <w:t>024-11-12</w:t>
      </w:r>
    </w:p>
    <w:p>
      <w:pPr>
        <w:pStyle w:val="BodyText"/>
        <w:ind w:right="1"/>
        <w:spacing w:before="49" w:line="172" w:lineRule="exact"/>
        <w:jc w:val="right"/>
        <w:rPr>
          <w:sz w:val="17"/>
          <w:szCs w:val="17"/>
        </w:rPr>
      </w:pPr>
      <w:r>
        <w:rPr>
          <w:sz w:val="17"/>
          <w:szCs w:val="17"/>
          <w:spacing w:val="1"/>
          <w:position w:val="-1"/>
        </w:rPr>
        <w:t>编辑/肖婷婷</w:t>
      </w:r>
    </w:p>
    <w:sectPr>
      <w:type w:val="continuous"/>
      <w:pgSz w:w="11906" w:h="16838"/>
      <w:pgMar w:top="1280" w:right="1126" w:bottom="834" w:left="424" w:header="846" w:footer="532" w:gutter="0"/>
      <w:cols w:equalWidth="0" w:num="2">
        <w:col w:w="5643" w:space="100"/>
        <w:col w:w="461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711"/>
      <w:spacing w:line="292" w:lineRule="exact"/>
      <w:rPr/>
    </w:pPr>
    <w:r>
      <w:rPr>
        <w:position w:val="-6"/>
      </w:rPr>
      <w:pict>
        <v:group id="_x0000_s36" style="mso-position-vertical-relative:line;mso-position-horizontal-relative:char;width:20.65pt;height:15.15pt;" filled="false" stroked="false" coordsize="412,302" coordorigin="0,0">
          <v:shape id="_x0000_s38" style="position:absolute;left:0;top:0;width:412;height:302;" filled="false" stroked="false" type="#_x0000_t75">
            <v:imagedata o:title="" r:id="rId1"/>
          </v:shape>
          <v:shape id="_x0000_s40" style="position:absolute;left:-20;top:-20;width:452;height:34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132" w:line="16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70</w:t>
                  </w:r>
                </w:p>
              </w:txbxContent>
            </v:textbox>
          </v:shape>
        </v:group>
      </w:pic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9939"/>
      <w:spacing w:line="292" w:lineRule="exact"/>
      <w:rPr/>
    </w:pPr>
    <w:r>
      <w:rPr>
        <w:position w:val="-6"/>
      </w:rPr>
      <w:pict>
        <v:group id="_x0000_s58" style="mso-position-vertical-relative:line;mso-position-horizontal-relative:char;width:20.65pt;height:15.15pt;" filled="false" stroked="false" coordsize="412,302" coordorigin="0,0">
          <v:shape id="_x0000_s60" style="position:absolute;left:0;top:0;width:412;height:302;" filled="false" stroked="false" type="#_x0000_t75">
            <v:imagedata o:title="" r:id="rId1"/>
          </v:shape>
          <v:shape id="_x0000_s62" style="position:absolute;left:-20;top:-20;width:452;height:34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6"/>
                    <w:spacing w:before="123" w:line="16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71</w:t>
                  </w:r>
                </w:p>
              </w:txbxContent>
            </v:textbox>
          </v:shape>
        </v:group>
      </w:pic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711"/>
      <w:spacing w:line="292" w:lineRule="exact"/>
      <w:rPr/>
    </w:pPr>
    <w:r>
      <w:rPr>
        <w:position w:val="-6"/>
      </w:rPr>
      <w:pict>
        <v:group id="_x0000_s86" style="mso-position-vertical-relative:line;mso-position-horizontal-relative:char;width:20.65pt;height:15.15pt;" filled="false" stroked="false" coordsize="412,302" coordorigin="0,0">
          <v:shape id="_x0000_s88" style="position:absolute;left:0;top:0;width:412;height:302;" filled="false" stroked="false" type="#_x0000_t75">
            <v:imagedata o:title="" r:id="rId1"/>
          </v:shape>
          <v:shape id="_x0000_s90" style="position:absolute;left:-20;top:-20;width:452;height:34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132" w:line="16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72</w:t>
                  </w:r>
                </w:p>
              </w:txbxContent>
            </v:textbox>
          </v:shape>
        </v:group>
      </w:pic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9231"/>
      <w:spacing w:before="94" w:line="329" w:lineRule="exact"/>
      <w:rPr/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720153</wp:posOffset>
          </wp:positionH>
          <wp:positionV relativeFrom="page">
            <wp:posOffset>800290</wp:posOffset>
          </wp:positionV>
          <wp:extent cx="6123152" cy="12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3152" cy="12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4" style="position:absolute;margin-left:55.8535pt;margin-top:41.3563pt;mso-position-vertical-relative:page;mso-position-horizontal-relative:page;width:57.4pt;height:22.4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0" w:lineRule="auto"/>
                  <w:rPr>
                    <w:rFonts w:ascii="SimSun" w:hAnsi="SimSun" w:eastAsia="SimSun" w:cs="SimSun"/>
                  </w:rPr>
                </w:pPr>
                <w:r>
                  <w:rPr>
                    <w:rFonts w:ascii="SimSun" w:hAnsi="SimSun" w:eastAsia="SimSun" w:cs="SimSun"/>
                    <w:spacing w:val="-3"/>
                  </w:rPr>
                  <w:t>第</w:t>
                </w:r>
                <w:r>
                  <w:rPr>
                    <w:rFonts w:ascii="SimSun" w:hAnsi="SimSun" w:eastAsia="SimSun" w:cs="SimSun"/>
                    <w:spacing w:val="-24"/>
                  </w:rPr>
                  <w:t xml:space="preserve"> </w:t>
                </w:r>
                <w:r>
                  <w:rPr>
                    <w:spacing w:val="-3"/>
                  </w:rPr>
                  <w:t>37 </w:t>
                </w:r>
                <w:r>
                  <w:rPr>
                    <w:rFonts w:ascii="SimSun" w:hAnsi="SimSun" w:eastAsia="SimSun" w:cs="SimSun"/>
                    <w:spacing w:val="-3"/>
                  </w:rPr>
                  <w:t>卷第</w:t>
                </w:r>
                <w:r>
                  <w:rPr>
                    <w:rFonts w:ascii="SimSun" w:hAnsi="SimSun" w:eastAsia="SimSun" w:cs="SimSun"/>
                    <w:spacing w:val="-30"/>
                  </w:rPr>
                  <w:t xml:space="preserve"> </w:t>
                </w:r>
                <w:r>
                  <w:rPr>
                    <w:spacing w:val="-3"/>
                  </w:rPr>
                  <w:t>24 </w:t>
                </w:r>
                <w:r>
                  <w:rPr>
                    <w:rFonts w:ascii="SimSun" w:hAnsi="SimSun" w:eastAsia="SimSun" w:cs="SimSun"/>
                    <w:spacing w:val="-3"/>
                  </w:rPr>
                  <w:t>期</w:t>
                </w:r>
              </w:p>
              <w:p>
                <w:pPr>
                  <w:pStyle w:val="BodyText"/>
                  <w:ind w:left="128"/>
                  <w:spacing w:line="190" w:lineRule="auto"/>
                  <w:rPr>
                    <w:rFonts w:ascii="SimSun" w:hAnsi="SimSun" w:eastAsia="SimSun" w:cs="SimSun"/>
                  </w:rPr>
                </w:pPr>
                <w:r>
                  <w:rPr>
                    <w:spacing w:val="-8"/>
                  </w:rPr>
                  <w:t>2024 </w:t>
                </w:r>
                <w:r>
                  <w:rPr>
                    <w:rFonts w:ascii="SimSun" w:hAnsi="SimSun" w:eastAsia="SimSun" w:cs="SimSun"/>
                    <w:spacing w:val="-8"/>
                  </w:rPr>
                  <w:t>年</w:t>
                </w:r>
                <w:r>
                  <w:rPr>
                    <w:rFonts w:ascii="SimSun" w:hAnsi="SimSun" w:eastAsia="SimSun" w:cs="SimSun"/>
                    <w:spacing w:val="-15"/>
                  </w:rPr>
                  <w:t xml:space="preserve"> </w:t>
                </w:r>
                <w:r>
                  <w:rPr>
                    <w:spacing w:val="-8"/>
                  </w:rPr>
                  <w:t>12</w:t>
                </w:r>
                <w:r>
                  <w:rPr>
                    <w:spacing w:val="2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8"/>
                  </w:rPr>
                  <w:t>月</w:t>
                </w:r>
              </w:p>
            </w:txbxContent>
          </v:textbox>
        </v:shape>
      </w:pict>
    </w:r>
    <w:r>
      <w:pict>
        <v:shape id="_x0000_s6" style="position:absolute;margin-left:413.197pt;margin-top:42.4465pt;mso-position-vertical-relative:page;mso-position-horizontal-relative:page;width:46.6pt;height:21.2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7" w:right="20" w:hanging="187"/>
                  <w:spacing w:before="20" w:line="188" w:lineRule="auto"/>
                  <w:rPr/>
                </w:pPr>
                <w:r>
                  <w:rPr>
                    <w:spacing w:val="-10"/>
                  </w:rPr>
                  <w:t>Vol.</w:t>
                </w:r>
                <w:r>
                  <w:rPr>
                    <w:spacing w:val="22"/>
                  </w:rPr>
                  <w:t xml:space="preserve"> </w:t>
                </w:r>
                <w:r>
                  <w:rPr>
                    <w:spacing w:val="-10"/>
                  </w:rPr>
                  <w:t>37</w:t>
                </w:r>
                <w:r>
                  <w:rPr>
                    <w:spacing w:val="11"/>
                    <w:w w:val="101"/>
                  </w:rPr>
                  <w:t xml:space="preserve"> </w:t>
                </w:r>
                <w:r>
                  <w:rPr>
                    <w:spacing w:val="-10"/>
                  </w:rPr>
                  <w:t>No.24</w:t>
                </w:r>
                <w:r>
                  <w:rPr/>
                  <w:t xml:space="preserve"> </w:t>
                </w:r>
                <w:r>
                  <w:rPr>
                    <w:spacing w:val="-8"/>
                  </w:rPr>
                  <w:t>Dec.</w:t>
                </w:r>
                <w:r>
                  <w:rPr>
                    <w:spacing w:val="13"/>
                    <w:w w:val="101"/>
                  </w:rPr>
                  <w:t xml:space="preserve"> </w:t>
                </w:r>
                <w:r>
                  <w:rPr>
                    <w:spacing w:val="-8"/>
                  </w:rPr>
                  <w:t>2024</w:t>
                </w:r>
              </w:p>
            </w:txbxContent>
          </v:textbox>
        </v:shape>
      </w:pict>
    </w:r>
    <w:r>
      <w:pict>
        <v:shape id="_x0000_s8" style="position:absolute;margin-left:222.102pt;margin-top:41.3245pt;mso-position-vertical-relative:page;mso-position-horizontal-relative:page;width:99.8pt;height:22.9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699"/>
                  <w:spacing w:before="20" w:line="227" w:lineRule="auto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spacing w:val="5"/>
                  </w:rPr>
                  <w:t>医学信息</w:t>
                </w:r>
              </w:p>
              <w:p>
                <w:pPr>
                  <w:pStyle w:val="BodyText"/>
                  <w:ind w:left="20"/>
                  <w:spacing w:before="39" w:line="181" w:lineRule="auto"/>
                  <w:rPr/>
                </w:pPr>
                <w:r>
                  <w:rPr>
                    <w:spacing w:val="-11"/>
                  </w:rPr>
                  <w:t>Journal</w:t>
                </w:r>
                <w:r>
                  <w:rPr>
                    <w:spacing w:val="28"/>
                    <w:w w:val="101"/>
                  </w:rPr>
                  <w:t xml:space="preserve"> </w:t>
                </w:r>
                <w:r>
                  <w:rPr>
                    <w:spacing w:val="-11"/>
                  </w:rPr>
                  <w:t>of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spacing w:val="-11"/>
                  </w:rPr>
                  <w:t>Medical</w:t>
                </w:r>
                <w:r>
                  <w:rPr>
                    <w:spacing w:val="15"/>
                  </w:rPr>
                  <w:t xml:space="preserve"> </w:t>
                </w:r>
                <w:r>
                  <w:rPr>
                    <w:spacing w:val="-11"/>
                  </w:rPr>
                  <w:t>Information</w:t>
                </w:r>
              </w:p>
            </w:txbxContent>
          </v:textbox>
        </v:shape>
      </w:pict>
    </w:r>
    <w:r>
      <w:rPr>
        <w:position w:val="-7"/>
      </w:rPr>
      <w:pict>
        <v:group id="_x0000_s10" style="mso-position-vertical-relative:line;mso-position-horizontal-relative:char;width:56.05pt;height:16.95pt;" filled="false" stroked="false" coordsize="1120,339" coordorigin="0,0">
          <v:shape id="_x0000_s12" style="position:absolute;left:0;top:0;width:1120;height:339;" filled="false" stroked="false" type="#_x0000_t75">
            <v:imagedata o:title="" r:id="rId3"/>
          </v:shape>
          <v:shape id="_x0000_s14" style="position:absolute;left:-20;top:-20;width:1160;height:37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0"/>
                    <w:spacing w:before="107" w:line="208" w:lineRule="exact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  <w:position w:val="1"/>
                    </w:rPr>
                    <w:t>论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3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  <w:position w:val="1"/>
                    </w:rPr>
                    <w:t>著</w:t>
                  </w:r>
                </w:p>
              </w:txbxContent>
            </v:textbox>
          </v:shape>
        </v:group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11"/>
      <w:spacing w:before="94" w:line="329" w:lineRule="exact"/>
      <w:rPr/>
    </w:pPr>
    <w:r>
      <w:pict>
        <v:shape id="WordPictureWatermark22" style="position:absolute;margin-left:21.2pt;margin-top:811.69pt;mso-position-vertical-relative:page;mso-position-horizontal-relative:page;width:168.95pt;height:12.5pt;z-index:25166336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720153</wp:posOffset>
          </wp:positionH>
          <wp:positionV relativeFrom="page">
            <wp:posOffset>800290</wp:posOffset>
          </wp:positionV>
          <wp:extent cx="6123152" cy="125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3152" cy="12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4" style="position:absolute;margin-left:136.013pt;margin-top:41.3563pt;mso-position-vertical-relative:page;mso-position-horizontal-relative:page;width:57.4pt;height:22.4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0" w:lineRule="auto"/>
                  <w:rPr>
                    <w:rFonts w:ascii="SimSun" w:hAnsi="SimSun" w:eastAsia="SimSun" w:cs="SimSun"/>
                  </w:rPr>
                </w:pPr>
                <w:r>
                  <w:rPr>
                    <w:rFonts w:ascii="SimSun" w:hAnsi="SimSun" w:eastAsia="SimSun" w:cs="SimSun"/>
                    <w:spacing w:val="-3"/>
                  </w:rPr>
                  <w:t>第</w:t>
                </w:r>
                <w:r>
                  <w:rPr>
                    <w:rFonts w:ascii="SimSun" w:hAnsi="SimSun" w:eastAsia="SimSun" w:cs="SimSun"/>
                    <w:spacing w:val="-24"/>
                  </w:rPr>
                  <w:t xml:space="preserve"> </w:t>
                </w:r>
                <w:r>
                  <w:rPr>
                    <w:spacing w:val="-3"/>
                  </w:rPr>
                  <w:t>37 </w:t>
                </w:r>
                <w:r>
                  <w:rPr>
                    <w:rFonts w:ascii="SimSun" w:hAnsi="SimSun" w:eastAsia="SimSun" w:cs="SimSun"/>
                    <w:spacing w:val="-3"/>
                  </w:rPr>
                  <w:t>卷第</w:t>
                </w:r>
                <w:r>
                  <w:rPr>
                    <w:rFonts w:ascii="SimSun" w:hAnsi="SimSun" w:eastAsia="SimSun" w:cs="SimSun"/>
                    <w:spacing w:val="-30"/>
                  </w:rPr>
                  <w:t xml:space="preserve"> </w:t>
                </w:r>
                <w:r>
                  <w:rPr>
                    <w:spacing w:val="-3"/>
                  </w:rPr>
                  <w:t>24 </w:t>
                </w:r>
                <w:r>
                  <w:rPr>
                    <w:rFonts w:ascii="SimSun" w:hAnsi="SimSun" w:eastAsia="SimSun" w:cs="SimSun"/>
                    <w:spacing w:val="-3"/>
                  </w:rPr>
                  <w:t>期</w:t>
                </w:r>
              </w:p>
              <w:p>
                <w:pPr>
                  <w:pStyle w:val="BodyText"/>
                  <w:ind w:left="128"/>
                  <w:spacing w:line="190" w:lineRule="auto"/>
                  <w:rPr>
                    <w:rFonts w:ascii="SimSun" w:hAnsi="SimSun" w:eastAsia="SimSun" w:cs="SimSun"/>
                  </w:rPr>
                </w:pPr>
                <w:r>
                  <w:rPr>
                    <w:spacing w:val="-8"/>
                  </w:rPr>
                  <w:t>2024 </w:t>
                </w:r>
                <w:r>
                  <w:rPr>
                    <w:rFonts w:ascii="SimSun" w:hAnsi="SimSun" w:eastAsia="SimSun" w:cs="SimSun"/>
                    <w:spacing w:val="-8"/>
                  </w:rPr>
                  <w:t>年</w:t>
                </w:r>
                <w:r>
                  <w:rPr>
                    <w:rFonts w:ascii="SimSun" w:hAnsi="SimSun" w:eastAsia="SimSun" w:cs="SimSun"/>
                    <w:spacing w:val="-15"/>
                  </w:rPr>
                  <w:t xml:space="preserve"> </w:t>
                </w:r>
                <w:r>
                  <w:rPr>
                    <w:spacing w:val="-8"/>
                  </w:rPr>
                  <w:t>12</w:t>
                </w:r>
                <w:r>
                  <w:rPr>
                    <w:spacing w:val="2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8"/>
                  </w:rPr>
                  <w:t>月</w:t>
                </w:r>
              </w:p>
            </w:txbxContent>
          </v:textbox>
        </v:shape>
      </w:pict>
    </w:r>
    <w:r>
      <w:pict>
        <v:shape id="_x0000_s26" style="position:absolute;margin-left:493.357pt;margin-top:42.4465pt;mso-position-vertical-relative:page;mso-position-horizontal-relative:page;width:46.6pt;height:21.2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7" w:right="20" w:hanging="187"/>
                  <w:spacing w:before="20" w:line="188" w:lineRule="auto"/>
                  <w:rPr/>
                </w:pPr>
                <w:r>
                  <w:rPr>
                    <w:spacing w:val="-10"/>
                  </w:rPr>
                  <w:t>Vol.</w:t>
                </w:r>
                <w:r>
                  <w:rPr>
                    <w:spacing w:val="22"/>
                  </w:rPr>
                  <w:t xml:space="preserve"> </w:t>
                </w:r>
                <w:r>
                  <w:rPr>
                    <w:spacing w:val="-10"/>
                  </w:rPr>
                  <w:t>37</w:t>
                </w:r>
                <w:r>
                  <w:rPr>
                    <w:spacing w:val="11"/>
                    <w:w w:val="101"/>
                  </w:rPr>
                  <w:t xml:space="preserve"> </w:t>
                </w:r>
                <w:r>
                  <w:rPr>
                    <w:spacing w:val="-10"/>
                  </w:rPr>
                  <w:t>No.24</w:t>
                </w:r>
                <w:r>
                  <w:rPr/>
                  <w:t xml:space="preserve"> </w:t>
                </w:r>
                <w:r>
                  <w:rPr>
                    <w:spacing w:val="-8"/>
                  </w:rPr>
                  <w:t>Dec.</w:t>
                </w:r>
                <w:r>
                  <w:rPr>
                    <w:spacing w:val="13"/>
                    <w:w w:val="101"/>
                  </w:rPr>
                  <w:t xml:space="preserve"> </w:t>
                </w:r>
                <w:r>
                  <w:rPr>
                    <w:spacing w:val="-8"/>
                  </w:rPr>
                  <w:t>2024</w:t>
                </w:r>
              </w:p>
            </w:txbxContent>
          </v:textbox>
        </v:shape>
      </w:pict>
    </w:r>
    <w:r>
      <w:pict>
        <v:shape id="_x0000_s28" style="position:absolute;margin-left:302.262pt;margin-top:41.3245pt;mso-position-vertical-relative:page;mso-position-horizontal-relative:page;width:99.8pt;height:22.9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699"/>
                  <w:spacing w:before="20" w:line="227" w:lineRule="auto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spacing w:val="5"/>
                  </w:rPr>
                  <w:t>医学信息</w:t>
                </w:r>
              </w:p>
              <w:p>
                <w:pPr>
                  <w:pStyle w:val="BodyText"/>
                  <w:ind w:left="20"/>
                  <w:spacing w:before="39" w:line="181" w:lineRule="auto"/>
                  <w:rPr/>
                </w:pPr>
                <w:r>
                  <w:rPr>
                    <w:spacing w:val="-11"/>
                  </w:rPr>
                  <w:t>Journal</w:t>
                </w:r>
                <w:r>
                  <w:rPr>
                    <w:spacing w:val="28"/>
                    <w:w w:val="101"/>
                  </w:rPr>
                  <w:t xml:space="preserve"> </w:t>
                </w:r>
                <w:r>
                  <w:rPr>
                    <w:spacing w:val="-11"/>
                  </w:rPr>
                  <w:t>of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spacing w:val="-11"/>
                  </w:rPr>
                  <w:t>Medical</w:t>
                </w:r>
                <w:r>
                  <w:rPr>
                    <w:spacing w:val="15"/>
                  </w:rPr>
                  <w:t xml:space="preserve"> </w:t>
                </w:r>
                <w:r>
                  <w:rPr>
                    <w:spacing w:val="-11"/>
                  </w:rPr>
                  <w:t>Information</w:t>
                </w:r>
              </w:p>
            </w:txbxContent>
          </v:textbox>
        </v:shape>
      </w:pict>
    </w:r>
    <w:r>
      <w:rPr>
        <w:position w:val="-7"/>
      </w:rPr>
      <w:pict>
        <v:group id="_x0000_s30" style="mso-position-vertical-relative:line;mso-position-horizontal-relative:char;width:56.05pt;height:16.95pt;" filled="false" stroked="false" coordsize="1120,339" coordorigin="0,0">
          <v:shape id="_x0000_s32" style="position:absolute;left:0;top:0;width:1120;height:339;" filled="false" stroked="false" type="#_x0000_t75">
            <v:imagedata o:title="" r:id="rId3"/>
          </v:shape>
          <v:shape id="_x0000_s34" style="position:absolute;left:-20;top:-20;width:1160;height:37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0"/>
                    <w:spacing w:before="107" w:line="208" w:lineRule="exact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  <w:position w:val="1"/>
                    </w:rPr>
                    <w:t>论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3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  <w:position w:val="1"/>
                    </w:rPr>
                    <w:t>著</w:t>
                  </w:r>
                </w:p>
              </w:txbxContent>
            </v:textbox>
          </v:shape>
        </v:group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9231"/>
      <w:spacing w:before="94" w:line="329" w:lineRule="exact"/>
      <w:rPr/>
    </w:pPr>
    <w:r>
      <w:pict>
        <v:shape id="WordPictureWatermark44" style="position:absolute;margin-left:21.2pt;margin-top:811.69pt;mso-position-vertical-relative:page;mso-position-horizontal-relative:page;width:168.95pt;height:12.5pt;z-index:-25164800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720153</wp:posOffset>
          </wp:positionH>
          <wp:positionV relativeFrom="page">
            <wp:posOffset>800290</wp:posOffset>
          </wp:positionV>
          <wp:extent cx="6123152" cy="12572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3152" cy="12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46" style="position:absolute;margin-left:55.8535pt;margin-top:41.3563pt;mso-position-vertical-relative:page;mso-position-horizontal-relative:page;width:57.4pt;height:22.4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0" w:lineRule="auto"/>
                  <w:rPr>
                    <w:rFonts w:ascii="SimSun" w:hAnsi="SimSun" w:eastAsia="SimSun" w:cs="SimSun"/>
                  </w:rPr>
                </w:pPr>
                <w:r>
                  <w:rPr>
                    <w:rFonts w:ascii="SimSun" w:hAnsi="SimSun" w:eastAsia="SimSun" w:cs="SimSun"/>
                    <w:spacing w:val="-3"/>
                  </w:rPr>
                  <w:t>第</w:t>
                </w:r>
                <w:r>
                  <w:rPr>
                    <w:rFonts w:ascii="SimSun" w:hAnsi="SimSun" w:eastAsia="SimSun" w:cs="SimSun"/>
                    <w:spacing w:val="-24"/>
                  </w:rPr>
                  <w:t xml:space="preserve"> </w:t>
                </w:r>
                <w:r>
                  <w:rPr>
                    <w:spacing w:val="-3"/>
                  </w:rPr>
                  <w:t>37 </w:t>
                </w:r>
                <w:r>
                  <w:rPr>
                    <w:rFonts w:ascii="SimSun" w:hAnsi="SimSun" w:eastAsia="SimSun" w:cs="SimSun"/>
                    <w:spacing w:val="-3"/>
                  </w:rPr>
                  <w:t>卷第</w:t>
                </w:r>
                <w:r>
                  <w:rPr>
                    <w:rFonts w:ascii="SimSun" w:hAnsi="SimSun" w:eastAsia="SimSun" w:cs="SimSun"/>
                    <w:spacing w:val="-30"/>
                  </w:rPr>
                  <w:t xml:space="preserve"> </w:t>
                </w:r>
                <w:r>
                  <w:rPr>
                    <w:spacing w:val="-3"/>
                  </w:rPr>
                  <w:t>24 </w:t>
                </w:r>
                <w:r>
                  <w:rPr>
                    <w:rFonts w:ascii="SimSun" w:hAnsi="SimSun" w:eastAsia="SimSun" w:cs="SimSun"/>
                    <w:spacing w:val="-3"/>
                  </w:rPr>
                  <w:t>期</w:t>
                </w:r>
              </w:p>
              <w:p>
                <w:pPr>
                  <w:pStyle w:val="BodyText"/>
                  <w:ind w:left="128"/>
                  <w:spacing w:line="190" w:lineRule="auto"/>
                  <w:rPr>
                    <w:rFonts w:ascii="SimSun" w:hAnsi="SimSun" w:eastAsia="SimSun" w:cs="SimSun"/>
                  </w:rPr>
                </w:pPr>
                <w:r>
                  <w:rPr>
                    <w:spacing w:val="-8"/>
                  </w:rPr>
                  <w:t>2024 </w:t>
                </w:r>
                <w:r>
                  <w:rPr>
                    <w:rFonts w:ascii="SimSun" w:hAnsi="SimSun" w:eastAsia="SimSun" w:cs="SimSun"/>
                    <w:spacing w:val="-8"/>
                  </w:rPr>
                  <w:t>年</w:t>
                </w:r>
                <w:r>
                  <w:rPr>
                    <w:rFonts w:ascii="SimSun" w:hAnsi="SimSun" w:eastAsia="SimSun" w:cs="SimSun"/>
                    <w:spacing w:val="-15"/>
                  </w:rPr>
                  <w:t xml:space="preserve"> </w:t>
                </w:r>
                <w:r>
                  <w:rPr>
                    <w:spacing w:val="-8"/>
                  </w:rPr>
                  <w:t>12</w:t>
                </w:r>
                <w:r>
                  <w:rPr>
                    <w:spacing w:val="2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8"/>
                  </w:rPr>
                  <w:t>月</w:t>
                </w:r>
              </w:p>
            </w:txbxContent>
          </v:textbox>
        </v:shape>
      </w:pict>
    </w:r>
    <w:r>
      <w:pict>
        <v:shape id="_x0000_s48" style="position:absolute;margin-left:413.197pt;margin-top:42.4465pt;mso-position-vertical-relative:page;mso-position-horizontal-relative:page;width:46.6pt;height:21.2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7" w:right="20" w:hanging="187"/>
                  <w:spacing w:before="20" w:line="188" w:lineRule="auto"/>
                  <w:rPr/>
                </w:pPr>
                <w:r>
                  <w:rPr>
                    <w:spacing w:val="-10"/>
                  </w:rPr>
                  <w:t>Vol.</w:t>
                </w:r>
                <w:r>
                  <w:rPr>
                    <w:spacing w:val="22"/>
                  </w:rPr>
                  <w:t xml:space="preserve"> </w:t>
                </w:r>
                <w:r>
                  <w:rPr>
                    <w:spacing w:val="-10"/>
                  </w:rPr>
                  <w:t>37</w:t>
                </w:r>
                <w:r>
                  <w:rPr>
                    <w:spacing w:val="11"/>
                    <w:w w:val="101"/>
                  </w:rPr>
                  <w:t xml:space="preserve"> </w:t>
                </w:r>
                <w:r>
                  <w:rPr>
                    <w:spacing w:val="-10"/>
                  </w:rPr>
                  <w:t>No.24</w:t>
                </w:r>
                <w:r>
                  <w:rPr/>
                  <w:t xml:space="preserve"> </w:t>
                </w:r>
                <w:r>
                  <w:rPr>
                    <w:spacing w:val="-8"/>
                  </w:rPr>
                  <w:t>Dec.</w:t>
                </w:r>
                <w:r>
                  <w:rPr>
                    <w:spacing w:val="13"/>
                    <w:w w:val="101"/>
                  </w:rPr>
                  <w:t xml:space="preserve"> </w:t>
                </w:r>
                <w:r>
                  <w:rPr>
                    <w:spacing w:val="-8"/>
                  </w:rPr>
                  <w:t>2024</w:t>
                </w:r>
              </w:p>
            </w:txbxContent>
          </v:textbox>
        </v:shape>
      </w:pict>
    </w:r>
    <w:r>
      <w:pict>
        <v:shape id="_x0000_s50" style="position:absolute;margin-left:222.102pt;margin-top:41.3245pt;mso-position-vertical-relative:page;mso-position-horizontal-relative:page;width:99.8pt;height:22.95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699"/>
                  <w:spacing w:before="20" w:line="227" w:lineRule="auto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spacing w:val="5"/>
                  </w:rPr>
                  <w:t>医学信息</w:t>
                </w:r>
              </w:p>
              <w:p>
                <w:pPr>
                  <w:pStyle w:val="BodyText"/>
                  <w:ind w:left="20"/>
                  <w:spacing w:before="39" w:line="181" w:lineRule="auto"/>
                  <w:rPr/>
                </w:pPr>
                <w:r>
                  <w:rPr>
                    <w:spacing w:val="-11"/>
                  </w:rPr>
                  <w:t>Journal</w:t>
                </w:r>
                <w:r>
                  <w:rPr>
                    <w:spacing w:val="28"/>
                    <w:w w:val="101"/>
                  </w:rPr>
                  <w:t xml:space="preserve"> </w:t>
                </w:r>
                <w:r>
                  <w:rPr>
                    <w:spacing w:val="-11"/>
                  </w:rPr>
                  <w:t>of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spacing w:val="-11"/>
                  </w:rPr>
                  <w:t>Medical</w:t>
                </w:r>
                <w:r>
                  <w:rPr>
                    <w:spacing w:val="15"/>
                  </w:rPr>
                  <w:t xml:space="preserve"> </w:t>
                </w:r>
                <w:r>
                  <w:rPr>
                    <w:spacing w:val="-11"/>
                  </w:rPr>
                  <w:t>Information</w:t>
                </w:r>
              </w:p>
            </w:txbxContent>
          </v:textbox>
        </v:shape>
      </w:pict>
    </w:r>
    <w:r>
      <w:rPr>
        <w:position w:val="-7"/>
      </w:rPr>
      <w:pict>
        <v:group id="_x0000_s52" style="mso-position-vertical-relative:line;mso-position-horizontal-relative:char;width:56.05pt;height:16.95pt;" filled="false" stroked="false" coordsize="1120,339" coordorigin="0,0">
          <v:shape id="_x0000_s54" style="position:absolute;left:0;top:0;width:1120;height:339;" filled="false" stroked="false" type="#_x0000_t75">
            <v:imagedata o:title="" r:id="rId3"/>
          </v:shape>
          <v:shape id="_x0000_s56" style="position:absolute;left:-20;top:-20;width:1160;height:37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0"/>
                    <w:spacing w:before="107" w:line="208" w:lineRule="exact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  <w:position w:val="1"/>
                    </w:rPr>
                    <w:t>论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3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  <w:position w:val="1"/>
                    </w:rPr>
                    <w:t>著</w:t>
                  </w:r>
                </w:p>
              </w:txbxContent>
            </v:textbox>
          </v:shape>
        </v:group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11"/>
      <w:spacing w:before="94" w:line="329" w:lineRule="exact"/>
      <w:rPr/>
    </w:pPr>
    <w:r>
      <w:pict>
        <v:shape id="WordPictureWatermark72" style="position:absolute;margin-left:21.2pt;margin-top:811.69pt;mso-position-vertical-relative:page;mso-position-horizontal-relative:page;width:168.95pt;height:12.5pt;z-index:25167462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720153</wp:posOffset>
          </wp:positionH>
          <wp:positionV relativeFrom="page">
            <wp:posOffset>800290</wp:posOffset>
          </wp:positionV>
          <wp:extent cx="6123152" cy="12572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3152" cy="12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74" style="position:absolute;margin-left:136.013pt;margin-top:41.3563pt;mso-position-vertical-relative:page;mso-position-horizontal-relative:page;width:57.4pt;height:22.4pt;z-index:2516766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0" w:lineRule="auto"/>
                  <w:rPr>
                    <w:rFonts w:ascii="SimSun" w:hAnsi="SimSun" w:eastAsia="SimSun" w:cs="SimSun"/>
                  </w:rPr>
                </w:pPr>
                <w:r>
                  <w:rPr>
                    <w:rFonts w:ascii="SimSun" w:hAnsi="SimSun" w:eastAsia="SimSun" w:cs="SimSun"/>
                    <w:spacing w:val="-3"/>
                  </w:rPr>
                  <w:t>第</w:t>
                </w:r>
                <w:r>
                  <w:rPr>
                    <w:rFonts w:ascii="SimSun" w:hAnsi="SimSun" w:eastAsia="SimSun" w:cs="SimSun"/>
                    <w:spacing w:val="-24"/>
                  </w:rPr>
                  <w:t xml:space="preserve"> </w:t>
                </w:r>
                <w:r>
                  <w:rPr>
                    <w:spacing w:val="-3"/>
                  </w:rPr>
                  <w:t>37 </w:t>
                </w:r>
                <w:r>
                  <w:rPr>
                    <w:rFonts w:ascii="SimSun" w:hAnsi="SimSun" w:eastAsia="SimSun" w:cs="SimSun"/>
                    <w:spacing w:val="-3"/>
                  </w:rPr>
                  <w:t>卷第</w:t>
                </w:r>
                <w:r>
                  <w:rPr>
                    <w:rFonts w:ascii="SimSun" w:hAnsi="SimSun" w:eastAsia="SimSun" w:cs="SimSun"/>
                    <w:spacing w:val="-30"/>
                  </w:rPr>
                  <w:t xml:space="preserve"> </w:t>
                </w:r>
                <w:r>
                  <w:rPr>
                    <w:spacing w:val="-3"/>
                  </w:rPr>
                  <w:t>24 </w:t>
                </w:r>
                <w:r>
                  <w:rPr>
                    <w:rFonts w:ascii="SimSun" w:hAnsi="SimSun" w:eastAsia="SimSun" w:cs="SimSun"/>
                    <w:spacing w:val="-3"/>
                  </w:rPr>
                  <w:t>期</w:t>
                </w:r>
              </w:p>
              <w:p>
                <w:pPr>
                  <w:pStyle w:val="BodyText"/>
                  <w:ind w:left="128"/>
                  <w:spacing w:line="190" w:lineRule="auto"/>
                  <w:rPr>
                    <w:rFonts w:ascii="SimSun" w:hAnsi="SimSun" w:eastAsia="SimSun" w:cs="SimSun"/>
                  </w:rPr>
                </w:pPr>
                <w:r>
                  <w:rPr>
                    <w:spacing w:val="-8"/>
                  </w:rPr>
                  <w:t>2024 </w:t>
                </w:r>
                <w:r>
                  <w:rPr>
                    <w:rFonts w:ascii="SimSun" w:hAnsi="SimSun" w:eastAsia="SimSun" w:cs="SimSun"/>
                    <w:spacing w:val="-8"/>
                  </w:rPr>
                  <w:t>年</w:t>
                </w:r>
                <w:r>
                  <w:rPr>
                    <w:rFonts w:ascii="SimSun" w:hAnsi="SimSun" w:eastAsia="SimSun" w:cs="SimSun"/>
                    <w:spacing w:val="-15"/>
                  </w:rPr>
                  <w:t xml:space="preserve"> </w:t>
                </w:r>
                <w:r>
                  <w:rPr>
                    <w:spacing w:val="-8"/>
                  </w:rPr>
                  <w:t>12</w:t>
                </w:r>
                <w:r>
                  <w:rPr>
                    <w:spacing w:val="2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8"/>
                  </w:rPr>
                  <w:t>月</w:t>
                </w:r>
              </w:p>
            </w:txbxContent>
          </v:textbox>
        </v:shape>
      </w:pict>
    </w:r>
    <w:r>
      <w:pict>
        <v:shape id="_x0000_s76" style="position:absolute;margin-left:493.357pt;margin-top:42.4465pt;mso-position-vertical-relative:page;mso-position-horizontal-relative:page;width:46.6pt;height:21.2pt;z-index:251677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7" w:right="20" w:hanging="187"/>
                  <w:spacing w:before="20" w:line="188" w:lineRule="auto"/>
                  <w:rPr/>
                </w:pPr>
                <w:r>
                  <w:rPr>
                    <w:spacing w:val="-10"/>
                  </w:rPr>
                  <w:t>Vol.</w:t>
                </w:r>
                <w:r>
                  <w:rPr>
                    <w:spacing w:val="22"/>
                  </w:rPr>
                  <w:t xml:space="preserve"> </w:t>
                </w:r>
                <w:r>
                  <w:rPr>
                    <w:spacing w:val="-10"/>
                  </w:rPr>
                  <w:t>37</w:t>
                </w:r>
                <w:r>
                  <w:rPr>
                    <w:spacing w:val="11"/>
                    <w:w w:val="101"/>
                  </w:rPr>
                  <w:t xml:space="preserve"> </w:t>
                </w:r>
                <w:r>
                  <w:rPr>
                    <w:spacing w:val="-10"/>
                  </w:rPr>
                  <w:t>No.24</w:t>
                </w:r>
                <w:r>
                  <w:rPr/>
                  <w:t xml:space="preserve"> </w:t>
                </w:r>
                <w:r>
                  <w:rPr>
                    <w:spacing w:val="-8"/>
                  </w:rPr>
                  <w:t>Dec.</w:t>
                </w:r>
                <w:r>
                  <w:rPr>
                    <w:spacing w:val="13"/>
                    <w:w w:val="101"/>
                  </w:rPr>
                  <w:t xml:space="preserve"> </w:t>
                </w:r>
                <w:r>
                  <w:rPr>
                    <w:spacing w:val="-8"/>
                  </w:rPr>
                  <w:t>2024</w:t>
                </w:r>
              </w:p>
            </w:txbxContent>
          </v:textbox>
        </v:shape>
      </w:pict>
    </w:r>
    <w:r>
      <w:pict>
        <v:shape id="_x0000_s78" style="position:absolute;margin-left:302.262pt;margin-top:41.3245pt;mso-position-vertical-relative:page;mso-position-horizontal-relative:page;width:99.8pt;height:22.95pt;z-index:2516756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699"/>
                  <w:spacing w:before="20" w:line="227" w:lineRule="auto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spacing w:val="5"/>
                  </w:rPr>
                  <w:t>医学信息</w:t>
                </w:r>
              </w:p>
              <w:p>
                <w:pPr>
                  <w:pStyle w:val="BodyText"/>
                  <w:ind w:left="20"/>
                  <w:spacing w:before="39" w:line="181" w:lineRule="auto"/>
                  <w:rPr/>
                </w:pPr>
                <w:r>
                  <w:rPr>
                    <w:spacing w:val="-11"/>
                  </w:rPr>
                  <w:t>Journal</w:t>
                </w:r>
                <w:r>
                  <w:rPr>
                    <w:spacing w:val="28"/>
                    <w:w w:val="101"/>
                  </w:rPr>
                  <w:t xml:space="preserve"> </w:t>
                </w:r>
                <w:r>
                  <w:rPr>
                    <w:spacing w:val="-11"/>
                  </w:rPr>
                  <w:t>of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spacing w:val="-11"/>
                  </w:rPr>
                  <w:t>Medical</w:t>
                </w:r>
                <w:r>
                  <w:rPr>
                    <w:spacing w:val="15"/>
                  </w:rPr>
                  <w:t xml:space="preserve"> </w:t>
                </w:r>
                <w:r>
                  <w:rPr>
                    <w:spacing w:val="-11"/>
                  </w:rPr>
                  <w:t>Information</w:t>
                </w:r>
              </w:p>
            </w:txbxContent>
          </v:textbox>
        </v:shape>
      </w:pict>
    </w:r>
    <w:r>
      <w:rPr>
        <w:position w:val="-7"/>
      </w:rPr>
      <w:pict>
        <v:group id="_x0000_s80" style="mso-position-vertical-relative:line;mso-position-horizontal-relative:char;width:56.05pt;height:16.95pt;" filled="false" stroked="false" coordsize="1120,339" coordorigin="0,0">
          <v:shape id="_x0000_s82" style="position:absolute;left:0;top:0;width:1120;height:339;" filled="false" stroked="false" type="#_x0000_t75">
            <v:imagedata o:title="" r:id="rId3"/>
          </v:shape>
          <v:shape id="_x0000_s84" style="position:absolute;left:-20;top:-20;width:1160;height:37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0"/>
                    <w:spacing w:before="107" w:line="208" w:lineRule="exact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  <w:position w:val="1"/>
                    </w:rPr>
                    <w:t>论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3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  <w:position w:val="1"/>
                    </w:rPr>
                    <w:t>著</w:t>
                  </w:r>
                </w:p>
              </w:txbxContent>
            </v:textbox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image" Target="media/image11.png"/><Relationship Id="rId6" Type="http://schemas.openxmlformats.org/officeDocument/2006/relationships/image" Target="media/image10.png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footer" Target="footer3.xml"/><Relationship Id="rId12" Type="http://schemas.openxmlformats.org/officeDocument/2006/relationships/header" Target="header4.xml"/><Relationship Id="rId11" Type="http://schemas.openxmlformats.org/officeDocument/2006/relationships/image" Target="media/image17.png"/><Relationship Id="rId10" Type="http://schemas.openxmlformats.org/officeDocument/2006/relationships/image" Target="media/image16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13.jpeg"/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20.jpeg"/><Relationship Id="rId2" Type="http://schemas.openxmlformats.org/officeDocument/2006/relationships/image" Target="media/image19.jpeg"/><Relationship Id="rId1" Type="http://schemas.openxmlformats.org/officeDocument/2006/relationships/image" Target="media/image1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2025-01-12T15:51:09Z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2025-10-28T21:32:24</vt:filetime>
  </property>
</Properties>
</file>