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74" w:lineRule="auto"/>
        <w:rPr>
          <w:rFonts w:ascii="Arial"/>
          <w:sz w:val="21"/>
        </w:rPr>
      </w:pPr>
      <w:r/>
    </w:p>
    <w:p>
      <w:pPr>
        <w:spacing w:before="69" w:line="19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B6B7BB"/>
          <w:spacing w:val="20"/>
        </w:rPr>
        <w:t>临床荟萃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1" w:lineRule="auto"/>
        <w:rPr>
          <w:rFonts w:ascii="Arial"/>
          <w:sz w:val="21"/>
        </w:rPr>
      </w:pPr>
      <w:r/>
    </w:p>
    <w:p>
      <w:pPr>
        <w:spacing w:before="52" w:line="206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19"/>
        </w:rPr>
        <w:t>婚育与健康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2" w:lineRule="auto"/>
        <w:rPr>
          <w:rFonts w:ascii="Arial"/>
          <w:sz w:val="21"/>
        </w:rPr>
      </w:pPr>
      <w:r/>
    </w:p>
    <w:p>
      <w:pPr>
        <w:spacing w:before="52" w:line="200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2"/>
        </w:rPr>
        <w:t>2024 年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2"/>
        </w:rPr>
        <w:t>11 月（下） 第 30 卷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2"/>
        </w:rPr>
        <w:t>第 22 期</w:t>
      </w:r>
    </w:p>
    <w:p>
      <w:pPr>
        <w:spacing w:line="200" w:lineRule="auto"/>
        <w:sectPr>
          <w:headerReference w:type="default" r:id="rId1"/>
          <w:pgSz w:w="11906" w:h="16838"/>
          <w:pgMar w:top="1" w:right="1190" w:bottom="0" w:left="416" w:header="0" w:footer="0" w:gutter="0"/>
          <w:cols w:equalWidth="0" w:num="4">
            <w:col w:w="721" w:space="100"/>
            <w:col w:w="1402" w:space="100"/>
            <w:col w:w="720" w:space="58"/>
            <w:col w:w="7199" w:space="0"/>
          </w:cols>
        </w:sectPr>
        <w:rPr>
          <w:rFonts w:ascii="Microsoft YaHei" w:hAnsi="Microsoft YaHei" w:eastAsia="Microsoft YaHei" w:cs="Microsoft YaHei"/>
          <w:sz w:val="12"/>
          <w:szCs w:val="12"/>
        </w:rPr>
      </w:pP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1104"/>
        <w:spacing w:before="143" w:line="239" w:lineRule="auto"/>
        <w:outlineLvl w:val="0"/>
        <w:rPr>
          <w:sz w:val="44"/>
          <w:szCs w:val="44"/>
        </w:rPr>
      </w:pPr>
      <w:r>
        <w:rPr>
          <w:sz w:val="44"/>
          <w:szCs w:val="44"/>
          <w:color w:val="231F20"/>
          <w:spacing w:val="-2"/>
        </w:rPr>
        <w:t>分析腹部超声在急性阑尾炎诊断中的应用价值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5221"/>
        <w:spacing w:before="58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刘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雪</w:t>
      </w:r>
    </w:p>
    <w:p>
      <w:pPr>
        <w:ind w:left="3786"/>
        <w:spacing w:before="64" w:line="220" w:lineRule="auto"/>
        <w:outlineLvl w:val="1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color w:val="231F20"/>
          <w:spacing w:val="-1"/>
        </w:rPr>
        <w:t>绍兴市越城区人民医院，浙江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>绍兴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8"/>
          <w:szCs w:val="18"/>
          <w:color w:val="231F20"/>
          <w:spacing w:val="-1"/>
        </w:rPr>
        <w:t>312000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146" w:right="481" w:hanging="62"/>
        <w:spacing w:before="52" w:line="277" w:lineRule="auto"/>
        <w:rPr/>
      </w:pPr>
      <w:r>
        <w:rPr>
          <w:rFonts w:ascii="SimHei" w:hAnsi="SimHei" w:eastAsia="SimHei" w:cs="SimHei"/>
          <w:color w:val="231F20"/>
        </w:rPr>
        <w:t>【摘要】</w:t>
      </w:r>
      <w:r>
        <w:rPr>
          <w:rFonts w:ascii="SimHei" w:hAnsi="SimHei" w:eastAsia="SimHei" w:cs="SimHei"/>
          <w:color w:val="231F20"/>
          <w:spacing w:val="-27"/>
        </w:rPr>
        <w:t xml:space="preserve"> </w:t>
      </w:r>
      <w:r>
        <w:rPr>
          <w:rFonts w:ascii="KaiTi" w:hAnsi="KaiTi" w:eastAsia="KaiTi" w:cs="KaiTi"/>
          <w:color w:val="231F20"/>
        </w:rPr>
        <w:t>目的</w:t>
      </w:r>
      <w:r>
        <w:rPr>
          <w:color w:val="231F20"/>
        </w:rPr>
        <w:t>：</w:t>
      </w:r>
      <w:r>
        <w:rPr>
          <w:rFonts w:ascii="KaiTi" w:hAnsi="KaiTi" w:eastAsia="KaiTi" w:cs="KaiTi"/>
          <w:color w:val="231F20"/>
        </w:rPr>
        <w:t>分析急性阑尾炎诊断中腹部超声的应用价值</w:t>
      </w:r>
      <w:r>
        <w:rPr>
          <w:color w:val="231F20"/>
        </w:rPr>
        <w:t>。</w:t>
      </w:r>
      <w:r>
        <w:rPr>
          <w:rFonts w:ascii="KaiTi" w:hAnsi="KaiTi" w:eastAsia="KaiTi" w:cs="KaiTi"/>
          <w:color w:val="231F20"/>
        </w:rPr>
        <w:t>方法</w:t>
      </w:r>
      <w:r>
        <w:rPr>
          <w:color w:val="231F20"/>
        </w:rPr>
        <w:t>：</w:t>
      </w:r>
      <w:r>
        <w:rPr>
          <w:rFonts w:ascii="KaiTi" w:hAnsi="KaiTi" w:eastAsia="KaiTi" w:cs="KaiTi"/>
          <w:color w:val="231F20"/>
        </w:rPr>
        <w:t>选择</w:t>
      </w:r>
      <w:r>
        <w:rPr>
          <w:rFonts w:ascii="KaiTi" w:hAnsi="KaiTi" w:eastAsia="KaiTi" w:cs="KaiTi"/>
          <w:color w:val="231F20"/>
          <w:spacing w:val="-35"/>
        </w:rPr>
        <w:t xml:space="preserve"> </w:t>
      </w:r>
      <w:r>
        <w:rPr>
          <w:color w:val="231F20"/>
        </w:rPr>
        <w:t>2023</w:t>
      </w:r>
      <w:r>
        <w:rPr>
          <w:color w:val="231F20"/>
          <w:spacing w:val="-32"/>
        </w:rPr>
        <w:t xml:space="preserve"> </w:t>
      </w:r>
      <w:r>
        <w:rPr>
          <w:rFonts w:ascii="KaiTi" w:hAnsi="KaiTi" w:eastAsia="KaiTi" w:cs="KaiTi"/>
          <w:color w:val="231F20"/>
        </w:rPr>
        <w:t>年</w:t>
      </w:r>
      <w:r>
        <w:rPr>
          <w:rFonts w:ascii="KaiTi" w:hAnsi="KaiTi" w:eastAsia="KaiTi" w:cs="KaiTi"/>
          <w:color w:val="231F20"/>
          <w:spacing w:val="-21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26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月</w:t>
      </w:r>
      <w:r>
        <w:rPr>
          <w:color w:val="231F20"/>
          <w:spacing w:val="-1"/>
        </w:rPr>
        <w:t>—2023</w:t>
      </w:r>
      <w:r>
        <w:rPr>
          <w:color w:val="231F20"/>
          <w:spacing w:val="-32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年</w:t>
      </w:r>
      <w:r>
        <w:rPr>
          <w:rFonts w:ascii="KaiTi" w:hAnsi="KaiTi" w:eastAsia="KaiTi" w:cs="KaiTi"/>
          <w:color w:val="231F20"/>
          <w:spacing w:val="-21"/>
        </w:rPr>
        <w:t xml:space="preserve"> </w:t>
      </w:r>
      <w:r>
        <w:rPr>
          <w:color w:val="231F20"/>
          <w:spacing w:val="-1"/>
        </w:rPr>
        <w:t>12</w:t>
      </w:r>
      <w:r>
        <w:rPr>
          <w:color w:val="231F20"/>
          <w:spacing w:val="-26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月收治的</w:t>
      </w:r>
      <w:r>
        <w:rPr>
          <w:rFonts w:ascii="KaiTi" w:hAnsi="KaiTi" w:eastAsia="KaiTi" w:cs="KaiTi"/>
          <w:color w:val="231F20"/>
          <w:spacing w:val="-32"/>
        </w:rPr>
        <w:t xml:space="preserve"> </w:t>
      </w:r>
      <w:r>
        <w:rPr>
          <w:color w:val="231F20"/>
          <w:spacing w:val="-1"/>
        </w:rPr>
        <w:t>30</w:t>
      </w:r>
      <w:r>
        <w:rPr>
          <w:color w:val="231F20"/>
          <w:spacing w:val="-36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例急性阑尾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炎患者为研究对象</w:t>
      </w:r>
      <w:r>
        <w:rPr>
          <w:color w:val="231F20"/>
          <w:spacing w:val="1"/>
        </w:rPr>
        <w:t>，</w:t>
      </w:r>
      <w:r>
        <w:rPr>
          <w:rFonts w:ascii="KaiTi" w:hAnsi="KaiTi" w:eastAsia="KaiTi" w:cs="KaiTi"/>
          <w:color w:val="231F20"/>
          <w:spacing w:val="1"/>
        </w:rPr>
        <w:t>术前均进行腹部超声检查</w:t>
      </w:r>
      <w:r>
        <w:rPr>
          <w:color w:val="231F20"/>
          <w:spacing w:val="1"/>
        </w:rPr>
        <w:t>，</w:t>
      </w:r>
      <w:r>
        <w:rPr>
          <w:rFonts w:ascii="KaiTi" w:hAnsi="KaiTi" w:eastAsia="KaiTi" w:cs="KaiTi"/>
          <w:color w:val="231F20"/>
          <w:spacing w:val="1"/>
        </w:rPr>
        <w:t>以手术检查结果为</w:t>
      </w:r>
      <w:r>
        <w:rPr>
          <w:rFonts w:ascii="KaiTi" w:hAnsi="KaiTi" w:eastAsia="KaiTi" w:cs="KaiTi"/>
          <w:color w:val="231F20"/>
        </w:rPr>
        <w:t>金标准</w:t>
      </w:r>
      <w:r>
        <w:rPr>
          <w:color w:val="231F20"/>
        </w:rPr>
        <w:t>，</w:t>
      </w:r>
      <w:r>
        <w:rPr>
          <w:rFonts w:ascii="KaiTi" w:hAnsi="KaiTi" w:eastAsia="KaiTi" w:cs="KaiTi"/>
          <w:color w:val="231F20"/>
        </w:rPr>
        <w:t>计算腹部超声检查的符合率</w:t>
      </w:r>
      <w:r>
        <w:rPr>
          <w:color w:val="231F20"/>
        </w:rPr>
        <w:t>、</w:t>
      </w:r>
      <w:r>
        <w:rPr>
          <w:rFonts w:ascii="KaiTi" w:hAnsi="KaiTi" w:eastAsia="KaiTi" w:cs="KaiTi"/>
          <w:color w:val="231F20"/>
        </w:rPr>
        <w:t>漏诊率和误诊率</w:t>
      </w:r>
      <w:r>
        <w:rPr>
          <w:color w:val="231F20"/>
        </w:rPr>
        <w:t>。 </w:t>
      </w:r>
      <w:r>
        <w:rPr>
          <w:rFonts w:ascii="KaiTi" w:hAnsi="KaiTi" w:eastAsia="KaiTi" w:cs="KaiTi"/>
          <w:color w:val="231F20"/>
        </w:rPr>
        <w:t>结果</w:t>
      </w:r>
      <w:r>
        <w:rPr>
          <w:color w:val="231F20"/>
        </w:rPr>
        <w:t>：</w:t>
      </w:r>
      <w:r>
        <w:rPr>
          <w:rFonts w:ascii="KaiTi" w:hAnsi="KaiTi" w:eastAsia="KaiTi" w:cs="KaiTi"/>
          <w:color w:val="231F20"/>
        </w:rPr>
        <w:t>腹部超声诊断单纯性阑尾炎符合率为</w:t>
      </w:r>
      <w:r>
        <w:rPr>
          <w:rFonts w:ascii="KaiTi" w:hAnsi="KaiTi" w:eastAsia="KaiTi" w:cs="KaiTi"/>
          <w:color w:val="231F20"/>
          <w:spacing w:val="-19"/>
        </w:rPr>
        <w:t xml:space="preserve"> </w:t>
      </w:r>
      <w:r>
        <w:rPr>
          <w:color w:val="231F20"/>
        </w:rPr>
        <w:t>85.71%，</w:t>
      </w:r>
      <w:r>
        <w:rPr>
          <w:rFonts w:ascii="KaiTi" w:hAnsi="KaiTi" w:eastAsia="KaiTi" w:cs="KaiTi"/>
          <w:color w:val="231F20"/>
        </w:rPr>
        <w:t>漏诊率和误诊率均为</w:t>
      </w:r>
      <w:r>
        <w:rPr>
          <w:rFonts w:ascii="KaiTi" w:hAnsi="KaiTi" w:eastAsia="KaiTi" w:cs="KaiTi"/>
          <w:color w:val="231F20"/>
          <w:spacing w:val="-33"/>
        </w:rPr>
        <w:t xml:space="preserve"> </w:t>
      </w:r>
      <w:r>
        <w:rPr>
          <w:color w:val="231F20"/>
        </w:rPr>
        <w:t>3.33%，</w:t>
      </w:r>
      <w:r>
        <w:rPr>
          <w:rFonts w:ascii="KaiTi" w:hAnsi="KaiTi" w:eastAsia="KaiTi" w:cs="KaiTi"/>
          <w:color w:val="231F20"/>
        </w:rPr>
        <w:t>诊断化脓性阑尾炎的符合率</w:t>
      </w:r>
      <w:r>
        <w:rPr>
          <w:color w:val="231F20"/>
        </w:rPr>
        <w:t>、</w:t>
      </w:r>
      <w:r>
        <w:rPr>
          <w:rFonts w:ascii="KaiTi" w:hAnsi="KaiTi" w:eastAsia="KaiTi" w:cs="KaiTi"/>
          <w:color w:val="231F20"/>
        </w:rPr>
        <w:t>漏诊率及误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诊率分别为</w:t>
      </w:r>
      <w:r>
        <w:rPr>
          <w:rFonts w:ascii="KaiTi" w:hAnsi="KaiTi" w:eastAsia="KaiTi" w:cs="KaiTi"/>
          <w:color w:val="231F20"/>
          <w:spacing w:val="-30"/>
        </w:rPr>
        <w:t xml:space="preserve"> </w:t>
      </w:r>
      <w:r>
        <w:rPr>
          <w:color w:val="231F20"/>
          <w:spacing w:val="1"/>
        </w:rPr>
        <w:t>85.71%、0.00%</w:t>
      </w:r>
      <w:r>
        <w:rPr>
          <w:color w:val="231F20"/>
          <w:spacing w:val="-34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及</w:t>
      </w:r>
      <w:r>
        <w:rPr>
          <w:rFonts w:ascii="KaiTi" w:hAnsi="KaiTi" w:eastAsia="KaiTi" w:cs="KaiTi"/>
          <w:color w:val="231F20"/>
          <w:spacing w:val="-33"/>
        </w:rPr>
        <w:t xml:space="preserve"> </w:t>
      </w:r>
      <w:r>
        <w:rPr>
          <w:color w:val="231F20"/>
          <w:spacing w:val="1"/>
        </w:rPr>
        <w:t>3.33%，</w:t>
      </w:r>
      <w:r>
        <w:rPr>
          <w:rFonts w:ascii="KaiTi" w:hAnsi="KaiTi" w:eastAsia="KaiTi" w:cs="KaiTi"/>
          <w:color w:val="231F20"/>
          <w:spacing w:val="1"/>
        </w:rPr>
        <w:t>诊断坏疽性阑尾炎的符合率</w:t>
      </w:r>
      <w:r>
        <w:rPr>
          <w:color w:val="231F20"/>
          <w:spacing w:val="1"/>
        </w:rPr>
        <w:t>、</w:t>
      </w:r>
      <w:r>
        <w:rPr>
          <w:rFonts w:ascii="KaiTi" w:hAnsi="KaiTi" w:eastAsia="KaiTi" w:cs="KaiTi"/>
          <w:color w:val="231F20"/>
          <w:spacing w:val="1"/>
        </w:rPr>
        <w:t>漏诊率及误诊率分别为</w:t>
      </w:r>
      <w:r>
        <w:rPr>
          <w:rFonts w:ascii="KaiTi" w:hAnsi="KaiTi" w:eastAsia="KaiTi" w:cs="KaiTi"/>
          <w:color w:val="231F20"/>
          <w:spacing w:val="-33"/>
        </w:rPr>
        <w:t xml:space="preserve"> </w:t>
      </w:r>
      <w:r>
        <w:rPr>
          <w:color w:val="231F20"/>
          <w:spacing w:val="1"/>
        </w:rPr>
        <w:t>80.00%、3.33%</w:t>
      </w:r>
      <w:r>
        <w:rPr>
          <w:color w:val="231F20"/>
          <w:spacing w:val="-34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及</w:t>
      </w:r>
      <w:r>
        <w:rPr>
          <w:rFonts w:ascii="KaiTi" w:hAnsi="KaiTi" w:eastAsia="KaiTi" w:cs="KaiTi"/>
          <w:color w:val="231F20"/>
          <w:spacing w:val="-36"/>
        </w:rPr>
        <w:t xml:space="preserve"> </w:t>
      </w:r>
      <w:r>
        <w:rPr>
          <w:color w:val="231F20"/>
          <w:spacing w:val="1"/>
        </w:rPr>
        <w:t>0.00%，</w:t>
      </w:r>
      <w:r>
        <w:rPr>
          <w:rFonts w:ascii="KaiTi" w:hAnsi="KaiTi" w:eastAsia="KaiTi" w:cs="KaiTi"/>
          <w:color w:val="231F20"/>
          <w:spacing w:val="1"/>
        </w:rPr>
        <w:t>诊断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阑尾周围脓肿的符合率</w:t>
      </w:r>
      <w:r>
        <w:rPr>
          <w:color w:val="231F20"/>
          <w:spacing w:val="1"/>
        </w:rPr>
        <w:t>、</w:t>
      </w:r>
      <w:r>
        <w:rPr>
          <w:rFonts w:ascii="KaiTi" w:hAnsi="KaiTi" w:eastAsia="KaiTi" w:cs="KaiTi"/>
          <w:color w:val="231F20"/>
          <w:spacing w:val="1"/>
        </w:rPr>
        <w:t>漏诊率及误诊率分别为</w:t>
      </w:r>
      <w:r>
        <w:rPr>
          <w:rFonts w:ascii="KaiTi" w:hAnsi="KaiTi" w:eastAsia="KaiTi" w:cs="KaiTi"/>
          <w:color w:val="231F20"/>
          <w:spacing w:val="-12"/>
        </w:rPr>
        <w:t xml:space="preserve"> </w:t>
      </w:r>
      <w:r>
        <w:rPr>
          <w:color w:val="231F20"/>
          <w:spacing w:val="1"/>
        </w:rPr>
        <w:t>100.00%、0.00%</w:t>
      </w:r>
      <w:r>
        <w:rPr>
          <w:color w:val="231F20"/>
          <w:spacing w:val="-34"/>
        </w:rPr>
        <w:t xml:space="preserve"> </w:t>
      </w:r>
      <w:r>
        <w:rPr>
          <w:rFonts w:ascii="KaiTi" w:hAnsi="KaiTi" w:eastAsia="KaiTi" w:cs="KaiTi"/>
          <w:color w:val="231F20"/>
          <w:spacing w:val="1"/>
        </w:rPr>
        <w:t>及</w:t>
      </w:r>
      <w:r>
        <w:rPr>
          <w:rFonts w:ascii="KaiTi" w:hAnsi="KaiTi" w:eastAsia="KaiTi" w:cs="KaiTi"/>
          <w:color w:val="231F20"/>
          <w:spacing w:val="-36"/>
        </w:rPr>
        <w:t xml:space="preserve"> </w:t>
      </w:r>
      <w:r>
        <w:rPr>
          <w:color w:val="231F20"/>
          <w:spacing w:val="1"/>
        </w:rPr>
        <w:t>0.00%，</w:t>
      </w:r>
      <w:r>
        <w:rPr>
          <w:rFonts w:ascii="KaiTi" w:hAnsi="KaiTi" w:eastAsia="KaiTi" w:cs="KaiTi"/>
          <w:color w:val="231F20"/>
          <w:spacing w:val="1"/>
        </w:rPr>
        <w:t>总符合率为</w:t>
      </w:r>
      <w:r>
        <w:rPr>
          <w:rFonts w:ascii="KaiTi" w:hAnsi="KaiTi" w:eastAsia="KaiTi" w:cs="KaiTi"/>
          <w:color w:val="231F20"/>
          <w:spacing w:val="-33"/>
        </w:rPr>
        <w:t xml:space="preserve"> </w:t>
      </w:r>
      <w:r>
        <w:rPr>
          <w:color w:val="231F20"/>
          <w:spacing w:val="1"/>
        </w:rPr>
        <w:t>86.67%，</w:t>
      </w:r>
      <w:r>
        <w:rPr>
          <w:rFonts w:ascii="KaiTi" w:hAnsi="KaiTi" w:eastAsia="KaiTi" w:cs="KaiTi"/>
          <w:color w:val="231F20"/>
          <w:spacing w:val="1"/>
        </w:rPr>
        <w:t>总漏诊率和总误诊率均为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color w:val="231F20"/>
        </w:rPr>
        <w:t>6.67%。</w:t>
      </w:r>
      <w:r>
        <w:rPr>
          <w:rFonts w:ascii="KaiTi" w:hAnsi="KaiTi" w:eastAsia="KaiTi" w:cs="KaiTi"/>
          <w:color w:val="231F20"/>
        </w:rPr>
        <w:t>结论</w:t>
      </w:r>
      <w:r>
        <w:rPr>
          <w:color w:val="231F20"/>
        </w:rPr>
        <w:t>：</w:t>
      </w:r>
      <w:r>
        <w:rPr>
          <w:rFonts w:ascii="KaiTi" w:hAnsi="KaiTi" w:eastAsia="KaiTi" w:cs="KaiTi"/>
          <w:color w:val="231F20"/>
        </w:rPr>
        <w:t>腹部超声检查在急性阑尾炎诊断鉴别中符合率较高</w:t>
      </w:r>
      <w:r>
        <w:rPr>
          <w:color w:val="231F20"/>
        </w:rPr>
        <w:t>，</w:t>
      </w:r>
      <w:r>
        <w:rPr>
          <w:rFonts w:ascii="KaiTi" w:hAnsi="KaiTi" w:eastAsia="KaiTi" w:cs="KaiTi"/>
          <w:color w:val="231F20"/>
        </w:rPr>
        <w:t>具有较高的应用价值</w:t>
      </w:r>
      <w:r>
        <w:rPr>
          <w:color w:val="231F20"/>
        </w:rPr>
        <w:t>。</w:t>
      </w:r>
    </w:p>
    <w:p>
      <w:pPr>
        <w:pStyle w:val="BodyText"/>
        <w:ind w:left="1084"/>
        <w:spacing w:line="229" w:lineRule="auto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</w:rPr>
        <w:t>【关键词】</w:t>
      </w:r>
      <w:r>
        <w:rPr>
          <w:rFonts w:ascii="KaiTi" w:hAnsi="KaiTi" w:eastAsia="KaiTi" w:cs="KaiTi"/>
          <w:color w:val="231F20"/>
        </w:rPr>
        <w:t>急性阑尾炎</w:t>
      </w:r>
      <w:r>
        <w:rPr>
          <w:color w:val="231F20"/>
        </w:rPr>
        <w:t>；</w:t>
      </w:r>
      <w:r>
        <w:rPr>
          <w:rFonts w:ascii="KaiTi" w:hAnsi="KaiTi" w:eastAsia="KaiTi" w:cs="KaiTi"/>
          <w:color w:val="231F20"/>
        </w:rPr>
        <w:t>临床诊断</w:t>
      </w:r>
      <w:r>
        <w:rPr>
          <w:color w:val="231F20"/>
        </w:rPr>
        <w:t>；</w:t>
      </w:r>
      <w:r>
        <w:rPr>
          <w:rFonts w:ascii="KaiTi" w:hAnsi="KaiTi" w:eastAsia="KaiTi" w:cs="KaiTi"/>
          <w:color w:val="231F20"/>
        </w:rPr>
        <w:t>腹部超声</w:t>
      </w:r>
    </w:p>
    <w:p>
      <w:pPr>
        <w:ind w:left="1489"/>
        <w:spacing w:before="267" w:line="241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2"/>
        </w:rPr>
        <w:t>Analysis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2"/>
        </w:rPr>
        <w:t>the application value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2"/>
        </w:rPr>
        <w:t>abdominal ultrasound in the diagnosis of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2"/>
        </w:rPr>
        <w:t>acute</w:t>
      </w:r>
    </w:p>
    <w:p>
      <w:pPr>
        <w:ind w:left="4895"/>
        <w:spacing w:line="24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position w:val="2"/>
        </w:rPr>
        <w:t>appendicitis</w:t>
      </w:r>
    </w:p>
    <w:p>
      <w:pPr>
        <w:pStyle w:val="BodyText"/>
        <w:ind w:left="5213"/>
        <w:spacing w:before="161" w:line="182" w:lineRule="auto"/>
        <w:rPr/>
      </w:pPr>
      <w:r>
        <w:rPr>
          <w:color w:val="231F20"/>
          <w:spacing w:val="2"/>
        </w:rPr>
        <w:t>LIU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Xue</w:t>
      </w:r>
    </w:p>
    <w:p>
      <w:pPr>
        <w:pStyle w:val="BodyText"/>
        <w:ind w:left="2766"/>
        <w:spacing w:before="53" w:line="241" w:lineRule="auto"/>
        <w:rPr/>
      </w:pPr>
      <w:r>
        <w:rPr>
          <w:color w:val="231F20"/>
          <w:spacing w:val="-13"/>
        </w:rPr>
        <w:t>Yuecheng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District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3"/>
        </w:rPr>
        <w:t>People's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Hospital,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Shaoxing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City,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Shaoxing,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Zhejiang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312000,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China</w:t>
      </w:r>
    </w:p>
    <w:p>
      <w:pPr>
        <w:pStyle w:val="BodyText"/>
        <w:ind w:left="1143" w:right="475" w:hanging="59"/>
        <w:spacing w:before="154" w:line="276" w:lineRule="auto"/>
        <w:jc w:val="both"/>
        <w:rPr/>
      </w:pPr>
      <w:r>
        <w:rPr>
          <w:rFonts w:ascii="SimHei" w:hAnsi="SimHei" w:eastAsia="SimHei" w:cs="SimHei"/>
          <w:color w:val="231F20"/>
          <w:spacing w:val="-13"/>
        </w:rPr>
        <w:t>【Abstract】</w:t>
      </w:r>
      <w:r>
        <w:rPr>
          <w:color w:val="231F20"/>
          <w:spacing w:val="-13"/>
        </w:rPr>
        <w:t>Objective:To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analyze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application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value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abdominal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ultrasound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diagnosis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acute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appendicitis.Methods:Thi</w:t>
      </w:r>
      <w:r>
        <w:rPr>
          <w:color w:val="231F20"/>
          <w:spacing w:val="-14"/>
        </w:rPr>
        <w:t>rty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patients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acute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appendicitis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admitted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from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January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2023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to December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2023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were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selected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as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t</w:t>
      </w:r>
      <w:r>
        <w:rPr>
          <w:color w:val="231F20"/>
          <w:spacing w:val="-12"/>
        </w:rPr>
        <w:t>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research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subjects.Preoperative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abdominal ultrasound examination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0"/>
        </w:rPr>
        <w:t>was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performed,and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accuracy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rate,missed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diagnosis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rate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misdiagnosis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rate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abdominal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ultrasound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examination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calculated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based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surgical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2"/>
        </w:rPr>
        <w:t>examination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results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as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gold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standard.Results:The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accuracy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3"/>
        </w:rPr>
        <w:t>rate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abdominal ultrasound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diagnosis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simple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appendicitis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was 85.71%,with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missed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diagnosis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rate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misdiagnosis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rate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3.33%.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The accuracy rate,missed diagnosis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rate and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misdiagnosis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rate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for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diagnosing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suppurative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appendicitis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85.71%,0</w:t>
      </w:r>
      <w:r>
        <w:rPr>
          <w:color w:val="231F20"/>
          <w:spacing w:val="-10"/>
        </w:rPr>
        <w:t>.00%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3.33%,respectively.Th</w:t>
      </w:r>
      <w:r>
        <w:rPr>
          <w:color w:val="231F20"/>
          <w:spacing w:val="-10"/>
        </w:rPr>
        <w:t>e accuracy rate,missed diagnosis rate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misdiagnosis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rate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diagnosing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0"/>
        </w:rPr>
        <w:t>gangrenous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appendicitis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80.00%,3.33%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2"/>
        </w:rPr>
        <w:t>0.00%,respectively.The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2"/>
        </w:rPr>
        <w:t>accuracy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rate,missed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diagnosis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rate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misdiagnosis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rate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diagnosing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3"/>
        </w:rPr>
        <w:t>appendiceal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abscess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were 100.00%,0.00% and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0.00%,respectively.The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overall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accuracy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rate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1"/>
        </w:rPr>
        <w:t>was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86.67%,and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overal</w:t>
      </w:r>
      <w:r>
        <w:rPr>
          <w:color w:val="231F20"/>
          <w:spacing w:val="-12"/>
        </w:rPr>
        <w:t>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missed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diagnosis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rate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overall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misdiagnosis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rate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6.67%.Conclusion:Abdominal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3"/>
        </w:rPr>
        <w:t>ultrasound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examina</w:t>
      </w:r>
      <w:r>
        <w:rPr>
          <w:color w:val="231F20"/>
          <w:spacing w:val="-14"/>
        </w:rPr>
        <w:t>tion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4"/>
        </w:rPr>
        <w:t>has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4"/>
        </w:rPr>
        <w:t>high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accuracy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rate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diagnosis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differentiation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5"/>
        </w:rPr>
        <w:t>acute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5"/>
        </w:rPr>
        <w:t>appendicitis,and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5"/>
        </w:rPr>
        <w:t>has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5"/>
        </w:rPr>
        <w:t>high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5"/>
        </w:rPr>
        <w:t>application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5"/>
        </w:rPr>
        <w:t>value.</w:t>
      </w:r>
    </w:p>
    <w:p>
      <w:pPr>
        <w:pStyle w:val="BodyText"/>
        <w:ind w:left="1084"/>
        <w:spacing w:before="6" w:line="241" w:lineRule="auto"/>
        <w:rPr/>
      </w:pPr>
      <w:r>
        <w:rPr>
          <w:rFonts w:ascii="SimHei" w:hAnsi="SimHei" w:eastAsia="SimHei" w:cs="SimHei"/>
          <w:color w:val="231F20"/>
          <w:spacing w:val="-12"/>
        </w:rPr>
        <w:t>【Key</w:t>
      </w:r>
      <w:r>
        <w:rPr>
          <w:rFonts w:ascii="SimHei" w:hAnsi="SimHei" w:eastAsia="SimHei" w:cs="SimHei"/>
          <w:color w:val="231F20"/>
          <w:spacing w:val="8"/>
        </w:rPr>
        <w:t xml:space="preserve"> </w:t>
      </w:r>
      <w:r>
        <w:rPr>
          <w:rFonts w:ascii="SimHei" w:hAnsi="SimHei" w:eastAsia="SimHei" w:cs="SimHei"/>
          <w:color w:val="231F20"/>
          <w:spacing w:val="-12"/>
        </w:rPr>
        <w:t>Words】</w:t>
      </w:r>
      <w:r>
        <w:rPr>
          <w:color w:val="231F20"/>
          <w:spacing w:val="-12"/>
        </w:rPr>
        <w:t>Acute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2"/>
        </w:rPr>
        <w:t>appendicitis;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Clinical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2"/>
        </w:rPr>
        <w:t>diagnosis;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Abdominal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2"/>
        </w:rPr>
        <w:t>ultrasound</w:t>
      </w:r>
    </w:p>
    <w:p>
      <w:pPr>
        <w:spacing w:before="150"/>
        <w:rPr/>
      </w:pPr>
      <w:r/>
    </w:p>
    <w:p>
      <w:pPr>
        <w:sectPr>
          <w:type w:val="continuous"/>
          <w:pgSz w:w="11906" w:h="16838"/>
          <w:pgMar w:top="1" w:right="1190" w:bottom="0" w:left="416" w:header="0" w:footer="0" w:gutter="0"/>
          <w:cols w:equalWidth="0" w:num="1">
            <w:col w:w="10300" w:space="0"/>
          </w:cols>
        </w:sectPr>
        <w:rPr/>
      </w:pPr>
    </w:p>
    <w:p>
      <w:pPr>
        <w:pStyle w:val="BodyText"/>
        <w:ind w:left="663" w:right="288" w:firstLine="447"/>
        <w:spacing w:before="53" w:line="355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急性阑尾炎是临床高发的一种急腹症，但整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1"/>
        </w:rPr>
        <w:t>体治疗预后较为可观，及时通过手术治疗具有较高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成功率，但急性阑尾炎的症状和其他急腹症具有一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定的相似性，因此在诊断时需要多加注意，避免因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为误诊而耽误患者治疗。急性阑尾炎的临床诊断方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法较多，包括触诊检查、血液学检查以及影像学方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3"/>
        </w:rPr>
        <w:t>法中的超声检查、CT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-3"/>
        </w:rPr>
        <w:t>检查等，超声检查操作简单，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重复性高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10"/>
          <w:szCs w:val="10"/>
          <w:color w:val="231F20"/>
          <w:spacing w:val="-2"/>
          <w:position w:val="7"/>
        </w:rPr>
        <w:t>[1]</w:t>
      </w:r>
      <w:r>
        <w:rPr>
          <w:sz w:val="10"/>
          <w:szCs w:val="10"/>
          <w:color w:val="231F20"/>
          <w:spacing w:val="-13"/>
          <w:position w:val="7"/>
        </w:rPr>
        <w:t xml:space="preserve"> </w:t>
      </w:r>
      <w:r>
        <w:rPr>
          <w:sz w:val="21"/>
          <w:szCs w:val="21"/>
          <w:color w:val="231F20"/>
          <w:spacing w:val="-2"/>
        </w:rPr>
        <w:t>，在多种疾病诊断中都有较高的应用价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值。急腹症的超声检查主要是腹部超声，针对急性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阑尾炎患者，能对阑尾全长进行扫描，具有较高的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2"/>
        </w:rPr>
        <w:t>穿透力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sz w:val="10"/>
          <w:szCs w:val="10"/>
          <w:color w:val="231F20"/>
          <w:spacing w:val="-2"/>
          <w:position w:val="7"/>
        </w:rPr>
        <w:t>[2]</w:t>
      </w:r>
      <w:r>
        <w:rPr>
          <w:sz w:val="10"/>
          <w:szCs w:val="10"/>
          <w:color w:val="231F20"/>
          <w:spacing w:val="-25"/>
          <w:position w:val="7"/>
        </w:rPr>
        <w:t xml:space="preserve"> </w:t>
      </w:r>
      <w:r>
        <w:rPr>
          <w:sz w:val="21"/>
          <w:szCs w:val="21"/>
          <w:color w:val="231F20"/>
          <w:spacing w:val="-2"/>
        </w:rPr>
        <w:t>。此次研究为分析腹部超声在急性阑尾炎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诊断中的应用价值，现纳入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sz w:val="21"/>
          <w:szCs w:val="21"/>
          <w:color w:val="231F20"/>
          <w:spacing w:val="3"/>
        </w:rPr>
        <w:t>30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3"/>
        </w:rPr>
        <w:t>例患者作为研究对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象，具体内容见下文。</w:t>
      </w:r>
    </w:p>
    <w:p>
      <w:pPr>
        <w:spacing w:before="14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4"/>
        <w:spacing w:before="48" w:line="241" w:lineRule="auto"/>
        <w:outlineLvl w:val="2"/>
        <w:rPr>
          <w:sz w:val="22"/>
          <w:szCs w:val="22"/>
        </w:rPr>
      </w:pPr>
      <w:r>
        <w:rPr>
          <w:sz w:val="22"/>
          <w:szCs w:val="22"/>
          <w:color w:val="231F20"/>
          <w:spacing w:val="-5"/>
        </w:rPr>
        <w:t>1</w:t>
      </w:r>
      <w:r>
        <w:rPr>
          <w:sz w:val="22"/>
          <w:szCs w:val="22"/>
          <w:color w:val="231F20"/>
          <w:spacing w:val="-21"/>
        </w:rPr>
        <w:t xml:space="preserve"> </w:t>
      </w:r>
      <w:r>
        <w:rPr>
          <w:sz w:val="22"/>
          <w:szCs w:val="22"/>
          <w:color w:val="231F20"/>
          <w:spacing w:val="-5"/>
        </w:rPr>
        <w:t>资料与方法</w:t>
      </w:r>
    </w:p>
    <w:p>
      <w:pPr>
        <w:pStyle w:val="BodyText"/>
        <w:ind w:left="474"/>
        <w:spacing w:before="195" w:line="280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2"/>
          <w:position w:val="1"/>
        </w:rPr>
        <w:t>1.1</w:t>
      </w:r>
      <w:r>
        <w:rPr>
          <w:sz w:val="21"/>
          <w:szCs w:val="21"/>
          <w:color w:val="231F20"/>
          <w:spacing w:val="-47"/>
          <w:position w:val="1"/>
        </w:rPr>
        <w:t xml:space="preserve"> </w:t>
      </w:r>
      <w:r>
        <w:rPr>
          <w:sz w:val="21"/>
          <w:szCs w:val="21"/>
          <w:color w:val="231F20"/>
          <w:spacing w:val="-12"/>
          <w:position w:val="1"/>
        </w:rPr>
        <w:t>基本资料</w:t>
      </w:r>
    </w:p>
    <w:p>
      <w:pPr>
        <w:pStyle w:val="BodyText"/>
        <w:ind w:firstLine="454"/>
        <w:spacing w:before="120" w:line="34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选择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  <w:spacing w:val="3"/>
        </w:rPr>
        <w:t>30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3"/>
        </w:rPr>
        <w:t>例急性阑尾炎患者作为本次研究对象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（收治时间：2023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年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  <w:spacing w:val="-3"/>
        </w:rPr>
        <w:t>1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月—2023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3"/>
        </w:rPr>
        <w:t>年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sz w:val="21"/>
          <w:szCs w:val="21"/>
          <w:color w:val="231F20"/>
          <w:spacing w:val="-3"/>
        </w:rPr>
        <w:t>12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3"/>
        </w:rPr>
        <w:t>月</w:t>
      </w:r>
      <w:r>
        <w:rPr>
          <w:sz w:val="21"/>
          <w:szCs w:val="21"/>
          <w:color w:val="231F20"/>
          <w:spacing w:val="2"/>
        </w:rPr>
        <w:t>），</w:t>
      </w:r>
      <w:r>
        <w:rPr>
          <w:sz w:val="21"/>
          <w:szCs w:val="21"/>
          <w:color w:val="231F20"/>
          <w:spacing w:val="-3"/>
        </w:rPr>
        <w:t>包括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18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2"/>
        </w:rPr>
        <w:t>例男性患者和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-2"/>
        </w:rPr>
        <w:t>12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2"/>
        </w:rPr>
        <w:t>例女性患者，年龄在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sz w:val="21"/>
          <w:szCs w:val="21"/>
          <w:color w:val="231F20"/>
          <w:spacing w:val="-2"/>
        </w:rPr>
        <w:t>16</w:t>
      </w:r>
      <w:r>
        <w:rPr>
          <w:sz w:val="21"/>
          <w:szCs w:val="21"/>
          <w:color w:val="231F20"/>
          <w:spacing w:val="-3"/>
        </w:rPr>
        <w:t xml:space="preserve"> ～ 60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岁之间，平均年龄（43.05±6.67）岁，发病时间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5"/>
        </w:rPr>
        <w:t>2h ～ 4d，均值（2.19±0.48）d，30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5"/>
        </w:rPr>
        <w:t>例患者经</w:t>
      </w:r>
      <w:r>
        <w:rPr>
          <w:sz w:val="21"/>
          <w:szCs w:val="21"/>
          <w:color w:val="231F20"/>
          <w:spacing w:val="-6"/>
        </w:rPr>
        <w:t>手术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检查确诊，疾病类型确定，凝血功能正常，精神状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1"/>
        </w:rPr>
        <w:t>态尚可，知情并同意做相关检查。</w:t>
      </w:r>
    </w:p>
    <w:p>
      <w:pPr>
        <w:pStyle w:val="BodyText"/>
        <w:ind w:left="474"/>
        <w:spacing w:before="21" w:line="283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7"/>
          <w:position w:val="1"/>
        </w:rPr>
        <w:t>1.2</w:t>
      </w:r>
      <w:r>
        <w:rPr>
          <w:sz w:val="21"/>
          <w:szCs w:val="21"/>
          <w:color w:val="231F20"/>
          <w:spacing w:val="-45"/>
          <w:position w:val="1"/>
        </w:rPr>
        <w:t xml:space="preserve"> </w:t>
      </w:r>
      <w:r>
        <w:rPr>
          <w:sz w:val="21"/>
          <w:szCs w:val="21"/>
          <w:color w:val="231F20"/>
          <w:spacing w:val="-17"/>
          <w:position w:val="1"/>
        </w:rPr>
        <w:t>方法</w:t>
      </w:r>
    </w:p>
    <w:p>
      <w:pPr>
        <w:pStyle w:val="BodyText"/>
        <w:ind w:left="13" w:firstLine="446"/>
        <w:spacing w:before="116" w:line="2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28"/>
        </w:rPr>
        <w:t>30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28"/>
        </w:rPr>
        <w:t>例患者术前进行腹部超声检查：采用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PHILIPS-Q7C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</w:rPr>
        <w:t>超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</w:rPr>
        <w:t>声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</w:rPr>
        <w:t>诊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</w:rPr>
        <w:t>断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</w:rPr>
        <w:t>仪，</w:t>
      </w:r>
      <w:r>
        <w:rPr>
          <w:sz w:val="21"/>
          <w:szCs w:val="21"/>
          <w:color w:val="231F20"/>
          <w:spacing w:val="-55"/>
        </w:rPr>
        <w:t xml:space="preserve"> </w:t>
      </w:r>
      <w:r>
        <w:rPr>
          <w:sz w:val="21"/>
          <w:szCs w:val="21"/>
          <w:color w:val="231F20"/>
        </w:rPr>
        <w:t>设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</w:rPr>
        <w:t>置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探</w:t>
      </w:r>
      <w:r>
        <w:rPr>
          <w:sz w:val="21"/>
          <w:szCs w:val="21"/>
          <w:color w:val="231F20"/>
          <w:spacing w:val="-44"/>
        </w:rPr>
        <w:t xml:space="preserve"> </w:t>
      </w:r>
      <w:r>
        <w:rPr>
          <w:sz w:val="21"/>
          <w:szCs w:val="21"/>
          <w:color w:val="231F20"/>
        </w:rPr>
        <w:t>头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频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率</w:t>
      </w:r>
      <w:r>
        <w:rPr>
          <w:sz w:val="21"/>
          <w:szCs w:val="21"/>
          <w:color w:val="231F20"/>
          <w:spacing w:val="-41"/>
        </w:rPr>
        <w:t xml:space="preserve"> </w:t>
      </w:r>
      <w:r>
        <w:rPr>
          <w:sz w:val="21"/>
          <w:szCs w:val="21"/>
          <w:color w:val="231F20"/>
        </w:rPr>
        <w:t>为</w:t>
      </w:r>
    </w:p>
    <w:p>
      <w:pPr>
        <w:pStyle w:val="BodyText"/>
        <w:ind w:left="15" w:firstLine="16"/>
        <w:spacing w:before="134" w:line="28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6"/>
        </w:rPr>
        <w:t>1 ～ 5MHz，患者取平卧位或侧卧位，扫描右下腹、</w:t>
      </w:r>
      <w:r>
        <w:rPr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-1"/>
        </w:rPr>
        <w:t>右侧腹部、盆腔，进行高频超声检查和低频超声检</w:t>
      </w:r>
    </w:p>
    <w:p>
      <w:pPr>
        <w:spacing w:line="281" w:lineRule="auto"/>
        <w:sectPr>
          <w:type w:val="continuous"/>
          <w:pgSz w:w="11906" w:h="16838"/>
          <w:pgMar w:top="1" w:right="1190" w:bottom="0" w:left="416" w:header="0" w:footer="0" w:gutter="0"/>
          <w:cols w:equalWidth="0" w:num="2">
            <w:col w:w="5570" w:space="100"/>
            <w:col w:w="4630" w:space="0"/>
          </w:cols>
        </w:sectPr>
        <w:rPr>
          <w:sz w:val="21"/>
          <w:szCs w:val="21"/>
        </w:rPr>
      </w:pPr>
    </w:p>
    <w:p>
      <w:pPr>
        <w:ind w:left="7"/>
        <w:spacing w:before="303" w:line="181" w:lineRule="auto"/>
        <w:rPr>
          <w:rFonts w:ascii="Arial" w:hAnsi="Arial" w:eastAsia="Arial" w:cs="Arial"/>
          <w:sz w:val="22"/>
          <w:szCs w:val="22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452564</wp:posOffset>
            </wp:positionH>
            <wp:positionV relativeFrom="paragraph">
              <wp:posOffset>-10094533</wp:posOffset>
            </wp:positionV>
            <wp:extent cx="6350" cy="38520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85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2"/>
          <w:position w:val="-1"/>
        </w:rPr>
        <w:t>中国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39"/>
          <w:position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1"/>
        </w:rPr>
        <w:t>046</w:t>
      </w:r>
      <w:r>
        <w:rPr>
          <w:rFonts w:ascii="Arial" w:hAnsi="Arial" w:eastAsia="Arial" w:cs="Arial"/>
          <w:sz w:val="18"/>
          <w:szCs w:val="18"/>
          <w:color w:val="231F20"/>
          <w:spacing w:val="46"/>
          <w:w w:val="101"/>
          <w:position w:val="1"/>
        </w:rPr>
        <w:t xml:space="preserve"> </w:t>
      </w:r>
      <w:r>
        <w:rPr>
          <w:sz w:val="18"/>
          <w:szCs w:val="18"/>
        </w:rPr>
        <w:drawing>
          <wp:inline distT="0" distB="0" distL="0" distR="0">
            <wp:extent cx="3643" cy="11520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3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8"/>
          <w:szCs w:val="18"/>
          <w:color w:val="231F20"/>
          <w:spacing w:val="3"/>
          <w:position w:val="1"/>
        </w:rPr>
        <w:t xml:space="preserve">      </w:t>
      </w:r>
      <w:r>
        <w:rPr>
          <w:rFonts w:ascii="Arial" w:hAnsi="Arial" w:eastAsia="Arial" w:cs="Arial"/>
          <w:sz w:val="22"/>
          <w:szCs w:val="22"/>
          <w:color w:val="999999"/>
          <w:position w:val="-3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2"/>
          <w:position w:val="-3"/>
        </w:rPr>
        <w:t>:</w:t>
      </w:r>
      <w:r>
        <w:rPr>
          <w:sz w:val="22"/>
          <w:szCs w:val="22"/>
          <w:position w:val="-4"/>
        </w:rPr>
        <w:drawing>
          <wp:inline distT="0" distB="0" distL="0" distR="0">
            <wp:extent cx="45060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4"/>
        </w:rPr>
        <w:drawing>
          <wp:inline distT="0" distB="0" distL="0" distR="0">
            <wp:extent cx="45060" cy="1143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2"/>
          <w:position w:val="-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2"/>
          <w:position w:val="-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-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net</w:t>
      </w:r>
    </w:p>
    <w:p>
      <w:pPr>
        <w:spacing w:line="181" w:lineRule="auto"/>
        <w:sectPr>
          <w:type w:val="continuous"/>
          <w:pgSz w:w="11906" w:h="16838"/>
          <w:pgMar w:top="1" w:right="1190" w:bottom="0" w:left="416" w:header="0" w:footer="0" w:gutter="0"/>
          <w:cols w:equalWidth="0" w:num="1">
            <w:col w:w="10300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ind w:left="5878"/>
        <w:spacing w:before="41" w:line="20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1"/>
        </w:rPr>
        <w:t>婚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1"/>
        </w:rPr>
        <w:t>育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1"/>
        </w:rPr>
        <w:t>与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1"/>
        </w:rPr>
        <w:t>健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7C7E81"/>
          <w:spacing w:val="1"/>
        </w:rPr>
        <w:t>康  2024 年 11 月（下） 第 30 卷  第 22 期                     </w:t>
      </w:r>
      <w:r>
        <w:rPr>
          <w:rFonts w:ascii="Microsoft YaHei" w:hAnsi="Microsoft YaHei" w:eastAsia="Microsoft YaHei" w:cs="Microsoft YaHei"/>
          <w:sz w:val="16"/>
          <w:szCs w:val="16"/>
          <w:color w:val="B6B7BB"/>
          <w:spacing w:val="1"/>
        </w:rPr>
        <w:t>临床荟萃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4720"/>
        <w:spacing w:before="68" w:line="195" w:lineRule="auto"/>
        <w:outlineLvl w:val="2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表 1  诊断结果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[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-5"/>
        </w:rPr>
        <w:t>n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（%）]</w:t>
      </w:r>
    </w:p>
    <w:tbl>
      <w:tblPr>
        <w:tblStyle w:val="TableNormal"/>
        <w:tblW w:w="9637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90"/>
        <w:gridCol w:w="1514"/>
        <w:gridCol w:w="1777"/>
        <w:gridCol w:w="1795"/>
        <w:gridCol w:w="1280"/>
        <w:gridCol w:w="1581"/>
      </w:tblGrid>
      <w:tr>
        <w:trPr>
          <w:trHeight w:val="439" w:hRule="atLeast"/>
        </w:trPr>
        <w:tc>
          <w:tcPr>
            <w:tcW w:w="169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19"/>
              <w:spacing w:before="142" w:line="209" w:lineRule="auto"/>
              <w:rPr/>
            </w:pPr>
            <w:r>
              <w:rPr>
                <w:color w:val="231F20"/>
                <w:spacing w:val="-3"/>
              </w:rPr>
              <w:t>阑尾炎类型</w:t>
            </w:r>
          </w:p>
        </w:tc>
        <w:tc>
          <w:tcPr>
            <w:tcW w:w="151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7"/>
              <w:spacing w:before="142" w:line="209" w:lineRule="auto"/>
              <w:rPr/>
            </w:pPr>
            <w:r>
              <w:rPr>
                <w:color w:val="231F20"/>
                <w:spacing w:val="-1"/>
              </w:rPr>
              <w:t>手术检查结果</w:t>
            </w:r>
          </w:p>
        </w:tc>
        <w:tc>
          <w:tcPr>
            <w:tcW w:w="17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8"/>
              <w:spacing w:before="142" w:line="210" w:lineRule="auto"/>
              <w:rPr/>
            </w:pPr>
            <w:r>
              <w:rPr>
                <w:color w:val="231F20"/>
                <w:spacing w:val="-1"/>
              </w:rPr>
              <w:t>腹部超声检查结果</w:t>
            </w:r>
          </w:p>
        </w:tc>
        <w:tc>
          <w:tcPr>
            <w:tcW w:w="17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58"/>
              <w:spacing w:before="138" w:line="214" w:lineRule="exact"/>
              <w:rPr/>
            </w:pPr>
            <w:r>
              <w:rPr>
                <w:color w:val="231F20"/>
                <w:spacing w:val="-4"/>
                <w:position w:val="1"/>
              </w:rPr>
              <w:t>符合率</w:t>
            </w:r>
            <w:r>
              <w:rPr>
                <w:color w:val="231F20"/>
                <w:spacing w:val="-2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[%（n/N）]</w:t>
            </w:r>
          </w:p>
        </w:tc>
        <w:tc>
          <w:tcPr>
            <w:tcW w:w="128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35"/>
              <w:spacing w:before="144" w:line="207" w:lineRule="auto"/>
              <w:rPr/>
            </w:pPr>
            <w:r>
              <w:rPr>
                <w:color w:val="231F20"/>
                <w:spacing w:val="-1"/>
              </w:rPr>
              <w:t>漏诊</w:t>
            </w:r>
          </w:p>
        </w:tc>
        <w:tc>
          <w:tcPr>
            <w:tcW w:w="158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00"/>
              <w:spacing w:before="144" w:line="207" w:lineRule="auto"/>
              <w:rPr/>
            </w:pPr>
            <w:r>
              <w:rPr>
                <w:color w:val="231F20"/>
                <w:spacing w:val="-1"/>
              </w:rPr>
              <w:t>误诊</w:t>
            </w:r>
          </w:p>
        </w:tc>
      </w:tr>
      <w:tr>
        <w:trPr>
          <w:trHeight w:val="437" w:hRule="atLeast"/>
        </w:trPr>
        <w:tc>
          <w:tcPr>
            <w:tcW w:w="16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4"/>
              <w:spacing w:before="140" w:line="214" w:lineRule="auto"/>
              <w:rPr/>
            </w:pPr>
            <w:r>
              <w:rPr>
                <w:color w:val="231F20"/>
                <w:spacing w:val="-1"/>
              </w:rPr>
              <w:t>单纯性阑尾炎</w:t>
            </w:r>
          </w:p>
        </w:tc>
        <w:tc>
          <w:tcPr>
            <w:tcW w:w="15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3"/>
              <w:spacing w:before="137" w:line="225" w:lineRule="exact"/>
              <w:rPr/>
            </w:pPr>
            <w:r>
              <w:rPr>
                <w:color w:val="231F20"/>
                <w:spacing w:val="-7"/>
                <w:position w:val="1"/>
              </w:rPr>
              <w:t>14（46.67）</w:t>
            </w:r>
          </w:p>
        </w:tc>
        <w:tc>
          <w:tcPr>
            <w:tcW w:w="17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5"/>
              <w:spacing w:before="137" w:line="225" w:lineRule="exact"/>
              <w:rPr/>
            </w:pPr>
            <w:r>
              <w:rPr>
                <w:color w:val="231F20"/>
                <w:spacing w:val="-7"/>
                <w:position w:val="1"/>
              </w:rPr>
              <w:t>12（40.00）</w:t>
            </w:r>
          </w:p>
        </w:tc>
        <w:tc>
          <w:tcPr>
            <w:tcW w:w="17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7"/>
              <w:spacing w:before="137" w:line="219" w:lineRule="exact"/>
              <w:rPr/>
            </w:pPr>
            <w:r>
              <w:rPr>
                <w:color w:val="231F20"/>
                <w:spacing w:val="-7"/>
                <w:position w:val="1"/>
              </w:rPr>
              <w:t>85.71（12/14）</w:t>
            </w:r>
          </w:p>
        </w:tc>
        <w:tc>
          <w:tcPr>
            <w:tcW w:w="12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1"/>
              <w:spacing w:before="137" w:line="225" w:lineRule="exact"/>
              <w:rPr/>
            </w:pPr>
            <w:r>
              <w:rPr>
                <w:color w:val="231F20"/>
                <w:spacing w:val="-8"/>
                <w:position w:val="1"/>
              </w:rPr>
              <w:t>1（3.33）</w:t>
            </w:r>
          </w:p>
        </w:tc>
        <w:tc>
          <w:tcPr>
            <w:tcW w:w="15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7"/>
              <w:spacing w:before="137" w:line="225" w:lineRule="exact"/>
              <w:rPr/>
            </w:pPr>
            <w:r>
              <w:rPr>
                <w:color w:val="231F20"/>
                <w:spacing w:val="-8"/>
                <w:position w:val="1"/>
              </w:rPr>
              <w:t>1（3.33）</w:t>
            </w:r>
          </w:p>
        </w:tc>
      </w:tr>
      <w:tr>
        <w:trPr>
          <w:trHeight w:val="441" w:hRule="atLeast"/>
        </w:trPr>
        <w:tc>
          <w:tcPr>
            <w:tcW w:w="1690" w:type="dxa"/>
            <w:vAlign w:val="top"/>
          </w:tcPr>
          <w:p>
            <w:pPr>
              <w:pStyle w:val="TableText"/>
              <w:ind w:left="425"/>
              <w:spacing w:before="150" w:line="208" w:lineRule="auto"/>
              <w:rPr/>
            </w:pPr>
            <w:r>
              <w:rPr>
                <w:color w:val="231F20"/>
                <w:spacing w:val="-1"/>
              </w:rPr>
              <w:t>化脓性阑尾炎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418"/>
              <w:spacing w:before="144" w:line="224" w:lineRule="exact"/>
              <w:rPr/>
            </w:pPr>
            <w:r>
              <w:rPr>
                <w:color w:val="231F20"/>
                <w:spacing w:val="-6"/>
                <w:position w:val="1"/>
              </w:rPr>
              <w:t>7（23.33）</w:t>
            </w:r>
          </w:p>
        </w:tc>
        <w:tc>
          <w:tcPr>
            <w:tcW w:w="1777" w:type="dxa"/>
            <w:vAlign w:val="top"/>
          </w:tcPr>
          <w:p>
            <w:pPr>
              <w:pStyle w:val="TableText"/>
              <w:ind w:left="512"/>
              <w:spacing w:before="144" w:line="224" w:lineRule="exact"/>
              <w:rPr/>
            </w:pPr>
            <w:r>
              <w:rPr>
                <w:color w:val="231F20"/>
                <w:spacing w:val="-6"/>
                <w:position w:val="1"/>
              </w:rPr>
              <w:t>6（20.00）</w:t>
            </w:r>
          </w:p>
        </w:tc>
        <w:tc>
          <w:tcPr>
            <w:tcW w:w="1795" w:type="dxa"/>
            <w:vAlign w:val="top"/>
          </w:tcPr>
          <w:p>
            <w:pPr>
              <w:pStyle w:val="TableText"/>
              <w:ind w:left="467"/>
              <w:spacing w:before="14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85.71（6/7）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7"/>
              <w:spacing w:before="144" w:line="224" w:lineRule="exact"/>
              <w:rPr/>
            </w:pPr>
            <w:r>
              <w:rPr>
                <w:color w:val="231F20"/>
                <w:spacing w:val="-6"/>
                <w:position w:val="1"/>
              </w:rPr>
              <w:t>0（0.00）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437"/>
              <w:spacing w:before="144" w:line="224" w:lineRule="exact"/>
              <w:rPr/>
            </w:pPr>
            <w:r>
              <w:rPr>
                <w:color w:val="231F20"/>
                <w:spacing w:val="-8"/>
                <w:position w:val="1"/>
              </w:rPr>
              <w:t>1（3.33）</w:t>
            </w:r>
          </w:p>
        </w:tc>
      </w:tr>
      <w:tr>
        <w:trPr>
          <w:trHeight w:val="442" w:hRule="atLeast"/>
        </w:trPr>
        <w:tc>
          <w:tcPr>
            <w:tcW w:w="1690" w:type="dxa"/>
            <w:vAlign w:val="top"/>
          </w:tcPr>
          <w:p>
            <w:pPr>
              <w:pStyle w:val="TableText"/>
              <w:ind w:left="426"/>
              <w:spacing w:before="151" w:line="208" w:lineRule="auto"/>
              <w:rPr/>
            </w:pPr>
            <w:r>
              <w:rPr>
                <w:color w:val="231F20"/>
                <w:spacing w:val="-1"/>
              </w:rPr>
              <w:t>坏疽性阑尾炎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420"/>
              <w:spacing w:before="146" w:line="225" w:lineRule="exact"/>
              <w:rPr/>
            </w:pPr>
            <w:r>
              <w:rPr>
                <w:color w:val="231F20"/>
                <w:spacing w:val="-6"/>
                <w:position w:val="1"/>
              </w:rPr>
              <w:t>5（16.67）</w:t>
            </w:r>
          </w:p>
        </w:tc>
        <w:tc>
          <w:tcPr>
            <w:tcW w:w="1777" w:type="dxa"/>
            <w:vAlign w:val="top"/>
          </w:tcPr>
          <w:p>
            <w:pPr>
              <w:pStyle w:val="TableText"/>
              <w:ind w:left="509"/>
              <w:spacing w:before="146" w:line="225" w:lineRule="exact"/>
              <w:rPr/>
            </w:pPr>
            <w:r>
              <w:rPr>
                <w:color w:val="231F20"/>
                <w:spacing w:val="-5"/>
                <w:position w:val="1"/>
              </w:rPr>
              <w:t>4（13.33）</w:t>
            </w:r>
          </w:p>
        </w:tc>
        <w:tc>
          <w:tcPr>
            <w:tcW w:w="1795" w:type="dxa"/>
            <w:vAlign w:val="top"/>
          </w:tcPr>
          <w:p>
            <w:pPr>
              <w:pStyle w:val="TableText"/>
              <w:ind w:left="467"/>
              <w:spacing w:before="146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80.00（4/5）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71"/>
              <w:spacing w:before="146" w:line="225" w:lineRule="exact"/>
              <w:rPr/>
            </w:pPr>
            <w:r>
              <w:rPr>
                <w:color w:val="231F20"/>
                <w:spacing w:val="-8"/>
                <w:position w:val="1"/>
              </w:rPr>
              <w:t>1（3.33）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423"/>
              <w:spacing w:before="146" w:line="225" w:lineRule="exact"/>
              <w:rPr/>
            </w:pPr>
            <w:r>
              <w:rPr>
                <w:color w:val="231F20"/>
                <w:spacing w:val="-6"/>
                <w:position w:val="1"/>
              </w:rPr>
              <w:t>0（0.00）</w:t>
            </w:r>
          </w:p>
        </w:tc>
      </w:tr>
      <w:tr>
        <w:trPr>
          <w:trHeight w:val="440" w:hRule="atLeast"/>
        </w:trPr>
        <w:tc>
          <w:tcPr>
            <w:tcW w:w="1690" w:type="dxa"/>
            <w:vAlign w:val="top"/>
          </w:tcPr>
          <w:p>
            <w:pPr>
              <w:pStyle w:val="TableText"/>
              <w:ind w:left="439"/>
              <w:spacing w:before="154" w:line="208" w:lineRule="auto"/>
              <w:rPr/>
            </w:pPr>
            <w:r>
              <w:rPr>
                <w:color w:val="231F20"/>
                <w:spacing w:val="-3"/>
              </w:rPr>
              <w:t>阑尾周围脓肿</w:t>
            </w:r>
          </w:p>
        </w:tc>
        <w:tc>
          <w:tcPr>
            <w:tcW w:w="1514" w:type="dxa"/>
            <w:vAlign w:val="top"/>
          </w:tcPr>
          <w:p>
            <w:pPr>
              <w:pStyle w:val="TableText"/>
              <w:ind w:left="417"/>
              <w:spacing w:before="148" w:line="224" w:lineRule="exact"/>
              <w:rPr/>
            </w:pPr>
            <w:r>
              <w:rPr>
                <w:color w:val="231F20"/>
                <w:spacing w:val="-5"/>
                <w:position w:val="1"/>
              </w:rPr>
              <w:t>4（13.33）</w:t>
            </w:r>
          </w:p>
        </w:tc>
        <w:tc>
          <w:tcPr>
            <w:tcW w:w="1777" w:type="dxa"/>
            <w:vAlign w:val="top"/>
          </w:tcPr>
          <w:p>
            <w:pPr>
              <w:pStyle w:val="TableText"/>
              <w:ind w:left="509"/>
              <w:spacing w:before="148" w:line="224" w:lineRule="exact"/>
              <w:rPr/>
            </w:pPr>
            <w:r>
              <w:rPr>
                <w:color w:val="231F20"/>
                <w:spacing w:val="-5"/>
                <w:position w:val="1"/>
              </w:rPr>
              <w:t>4（13.33）</w:t>
            </w:r>
          </w:p>
        </w:tc>
        <w:tc>
          <w:tcPr>
            <w:tcW w:w="1795" w:type="dxa"/>
            <w:vAlign w:val="top"/>
          </w:tcPr>
          <w:p>
            <w:pPr>
              <w:pStyle w:val="TableText"/>
              <w:ind w:left="438"/>
              <w:spacing w:before="148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100.00（4/4）</w:t>
            </w:r>
          </w:p>
        </w:tc>
        <w:tc>
          <w:tcPr>
            <w:tcW w:w="1280" w:type="dxa"/>
            <w:vAlign w:val="top"/>
          </w:tcPr>
          <w:p>
            <w:pPr>
              <w:pStyle w:val="TableText"/>
              <w:ind w:left="257"/>
              <w:spacing w:before="148" w:line="224" w:lineRule="exact"/>
              <w:rPr/>
            </w:pPr>
            <w:r>
              <w:rPr>
                <w:color w:val="231F20"/>
                <w:spacing w:val="-6"/>
                <w:position w:val="1"/>
              </w:rPr>
              <w:t>0（0.00）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423"/>
              <w:spacing w:before="148" w:line="224" w:lineRule="exact"/>
              <w:rPr/>
            </w:pPr>
            <w:r>
              <w:rPr>
                <w:color w:val="231F20"/>
                <w:spacing w:val="-6"/>
                <w:position w:val="1"/>
              </w:rPr>
              <w:t>0（0.00）</w:t>
            </w:r>
          </w:p>
        </w:tc>
      </w:tr>
      <w:tr>
        <w:trPr>
          <w:trHeight w:val="450" w:hRule="atLeast"/>
        </w:trPr>
        <w:tc>
          <w:tcPr>
            <w:tcW w:w="16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44"/>
              <w:spacing w:before="154" w:line="215" w:lineRule="auto"/>
              <w:rPr/>
            </w:pPr>
            <w:r>
              <w:rPr>
                <w:color w:val="231F20"/>
                <w:spacing w:val="-1"/>
              </w:rPr>
              <w:t>合计</w:t>
            </w:r>
          </w:p>
        </w:tc>
        <w:tc>
          <w:tcPr>
            <w:tcW w:w="151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2"/>
              <w:spacing w:before="151" w:line="225" w:lineRule="exact"/>
              <w:rPr/>
            </w:pPr>
            <w:r>
              <w:rPr>
                <w:color w:val="231F20"/>
                <w:spacing w:val="-5"/>
                <w:position w:val="1"/>
              </w:rPr>
              <w:t>30（100.00）</w:t>
            </w:r>
          </w:p>
        </w:tc>
        <w:tc>
          <w:tcPr>
            <w:tcW w:w="17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2"/>
              <w:spacing w:before="151" w:line="225" w:lineRule="exact"/>
              <w:rPr/>
            </w:pPr>
            <w:r>
              <w:rPr>
                <w:color w:val="231F20"/>
                <w:spacing w:val="-5"/>
                <w:position w:val="1"/>
              </w:rPr>
              <w:t>26（86.67）</w:t>
            </w:r>
          </w:p>
        </w:tc>
        <w:tc>
          <w:tcPr>
            <w:tcW w:w="17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7"/>
              <w:spacing w:before="151" w:line="218" w:lineRule="exact"/>
              <w:rPr/>
            </w:pPr>
            <w:r>
              <w:rPr>
                <w:color w:val="231F20"/>
                <w:spacing w:val="-7"/>
                <w:position w:val="1"/>
              </w:rPr>
              <w:t>86.67（26/30）</w:t>
            </w:r>
          </w:p>
        </w:tc>
        <w:tc>
          <w:tcPr>
            <w:tcW w:w="12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8"/>
              <w:spacing w:before="151" w:line="225" w:lineRule="exact"/>
              <w:rPr/>
            </w:pPr>
            <w:r>
              <w:rPr>
                <w:color w:val="231F20"/>
                <w:spacing w:val="-6"/>
                <w:position w:val="1"/>
              </w:rPr>
              <w:t>2（6.67）</w:t>
            </w:r>
          </w:p>
        </w:tc>
        <w:tc>
          <w:tcPr>
            <w:tcW w:w="158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4"/>
              <w:spacing w:before="151" w:line="225" w:lineRule="exact"/>
              <w:rPr/>
            </w:pPr>
            <w:r>
              <w:rPr>
                <w:color w:val="231F20"/>
                <w:spacing w:val="-6"/>
                <w:position w:val="1"/>
              </w:rPr>
              <w:t>2（6.67）</w:t>
            </w:r>
          </w:p>
        </w:tc>
      </w:tr>
    </w:tbl>
    <w:p>
      <w:pPr>
        <w:ind w:left="4282"/>
        <w:spacing w:before="265" w:line="195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表 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各类型阑尾炎的超声影像学特征</w:t>
      </w:r>
    </w:p>
    <w:tbl>
      <w:tblPr>
        <w:tblStyle w:val="TableNormal"/>
        <w:tblW w:w="9637" w:type="dxa"/>
        <w:tblInd w:w="7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67"/>
        <w:gridCol w:w="7870"/>
      </w:tblGrid>
      <w:tr>
        <w:trPr>
          <w:trHeight w:val="439" w:hRule="atLeast"/>
        </w:trPr>
        <w:tc>
          <w:tcPr>
            <w:tcW w:w="176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8"/>
              <w:spacing w:before="142" w:line="209" w:lineRule="auto"/>
              <w:rPr/>
            </w:pPr>
            <w:r>
              <w:rPr>
                <w:color w:val="231F20"/>
                <w:spacing w:val="-3"/>
              </w:rPr>
              <w:t>阑尾炎类型</w:t>
            </w:r>
          </w:p>
        </w:tc>
        <w:tc>
          <w:tcPr>
            <w:tcW w:w="787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496"/>
              <w:spacing w:before="141" w:line="213" w:lineRule="auto"/>
              <w:rPr/>
            </w:pPr>
            <w:r>
              <w:rPr>
                <w:color w:val="231F20"/>
                <w:spacing w:val="-1"/>
              </w:rPr>
              <w:t>超声影像学特征</w:t>
            </w:r>
          </w:p>
        </w:tc>
      </w:tr>
      <w:tr>
        <w:trPr>
          <w:trHeight w:val="946" w:hRule="atLeast"/>
        </w:trPr>
        <w:tc>
          <w:tcPr>
            <w:tcW w:w="17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4"/>
              <w:spacing w:before="236" w:line="214" w:lineRule="auto"/>
              <w:rPr/>
            </w:pPr>
            <w:r>
              <w:rPr>
                <w:color w:val="231F20"/>
                <w:spacing w:val="-1"/>
              </w:rPr>
              <w:t>单纯性阑尾炎</w:t>
            </w:r>
          </w:p>
        </w:tc>
        <w:tc>
          <w:tcPr>
            <w:tcW w:w="78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6" w:firstLine="13"/>
              <w:spacing w:before="138" w:line="234" w:lineRule="auto"/>
              <w:rPr/>
            </w:pPr>
            <w:r>
              <w:rPr>
                <w:color w:val="231F20"/>
                <w:spacing w:val="-6"/>
              </w:rPr>
              <w:t>阑尾长短轴分别为腊肠形、圆形切面，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6"/>
              </w:rPr>
              <w:t>阑尾轻微肿胀，加压探头无明显变形，阑尾腔内径、壁厚分别在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6"/>
              </w:rPr>
              <w:t>1.1cm、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0.25cm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"/>
              </w:rPr>
              <w:t>上下，阑尾腔内回声较低，有少量积液，阑尾黏膜下层回声较高，能将组织结构清晰显示</w:t>
            </w:r>
            <w:r>
              <w:rPr>
                <w:color w:val="231F20"/>
                <w:spacing w:val="-2"/>
              </w:rPr>
              <w:t>出来。</w:t>
            </w:r>
          </w:p>
          <w:p>
            <w:pPr>
              <w:pStyle w:val="TableText"/>
              <w:ind w:left="310"/>
              <w:spacing w:before="231" w:line="186" w:lineRule="auto"/>
              <w:rPr/>
            </w:pPr>
            <w:r>
              <w:rPr>
                <w:color w:val="231F20"/>
              </w:rPr>
              <w:t>阑尾长短轴分别为腊肠形、同心圆切面，阑尾肿胀，体积变大，</w:t>
            </w:r>
            <w:r>
              <w:rPr>
                <w:color w:val="231F20"/>
                <w:spacing w:val="-1"/>
              </w:rPr>
              <w:t>加压探头变形不明显，阑尾腔壁厚、内径分</w:t>
            </w:r>
          </w:p>
        </w:tc>
      </w:tr>
      <w:tr>
        <w:trPr>
          <w:trHeight w:val="507" w:hRule="atLeast"/>
        </w:trPr>
        <w:tc>
          <w:tcPr>
            <w:tcW w:w="1767" w:type="dxa"/>
            <w:vAlign w:val="top"/>
          </w:tcPr>
          <w:p>
            <w:pPr>
              <w:pStyle w:val="TableText"/>
              <w:ind w:left="525"/>
              <w:spacing w:before="25" w:line="208" w:lineRule="auto"/>
              <w:rPr/>
            </w:pPr>
            <w:r>
              <w:rPr>
                <w:color w:val="231F20"/>
                <w:spacing w:val="-1"/>
              </w:rPr>
              <w:t>化脓性阑尾炎</w:t>
            </w:r>
          </w:p>
        </w:tc>
        <w:tc>
          <w:tcPr>
            <w:tcW w:w="7870" w:type="dxa"/>
            <w:vAlign w:val="top"/>
          </w:tcPr>
          <w:p>
            <w:pPr>
              <w:pStyle w:val="TableText"/>
              <w:ind w:left="294" w:right="4"/>
              <w:spacing w:before="18" w:line="220" w:lineRule="auto"/>
              <w:rPr/>
            </w:pPr>
            <w:r>
              <w:rPr>
                <w:color w:val="231F20"/>
                <w:spacing w:val="-2"/>
              </w:rPr>
              <w:t>别是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2"/>
              </w:rPr>
              <w:t>0.25cm、1.5cm，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2"/>
              </w:rPr>
              <w:t>阑尾腔内回声较低，有少量积液，阑尾黏膜下层回声较强，阑尾组</w:t>
            </w:r>
            <w:r>
              <w:rPr>
                <w:color w:val="231F20"/>
                <w:spacing w:val="-3"/>
              </w:rPr>
              <w:t>织结构显示不清晰，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形状不规则，边缘毛糙，穿孔前为粘连状。</w:t>
            </w:r>
          </w:p>
        </w:tc>
      </w:tr>
      <w:tr>
        <w:trPr>
          <w:trHeight w:val="634" w:hRule="atLeast"/>
        </w:trPr>
        <w:tc>
          <w:tcPr>
            <w:tcW w:w="1767" w:type="dxa"/>
            <w:vAlign w:val="top"/>
          </w:tcPr>
          <w:p>
            <w:pPr>
              <w:pStyle w:val="TableText"/>
              <w:ind w:left="525"/>
              <w:spacing w:before="248" w:line="208" w:lineRule="auto"/>
              <w:rPr/>
            </w:pPr>
            <w:r>
              <w:rPr>
                <w:color w:val="231F20"/>
                <w:spacing w:val="-1"/>
              </w:rPr>
              <w:t>坏疽性阑尾炎</w:t>
            </w:r>
          </w:p>
        </w:tc>
        <w:tc>
          <w:tcPr>
            <w:tcW w:w="7870" w:type="dxa"/>
            <w:vAlign w:val="top"/>
          </w:tcPr>
          <w:p>
            <w:pPr>
              <w:pStyle w:val="TableText"/>
              <w:ind w:left="298" w:right="4" w:firstLine="11"/>
              <w:spacing w:before="149" w:line="225" w:lineRule="auto"/>
              <w:rPr/>
            </w:pPr>
            <w:r>
              <w:rPr>
                <w:color w:val="231F20"/>
                <w:spacing w:val="-8"/>
              </w:rPr>
              <w:t>阑尾长轴切面形状不规则，短轴位圆形切面，积液较多，肿胀明显，体积变大，内径大概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8"/>
              </w:rPr>
              <w:t>1.8cm，腔内回声变低，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黏膜下层回声变强，阑尾组织结构不太清晰。</w:t>
            </w:r>
          </w:p>
        </w:tc>
      </w:tr>
      <w:tr>
        <w:trPr>
          <w:trHeight w:val="448" w:hRule="atLeast"/>
        </w:trPr>
        <w:tc>
          <w:tcPr>
            <w:tcW w:w="176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8"/>
              <w:spacing w:before="155" w:line="208" w:lineRule="auto"/>
              <w:rPr/>
            </w:pPr>
            <w:r>
              <w:rPr>
                <w:color w:val="231F20"/>
                <w:spacing w:val="-3"/>
              </w:rPr>
              <w:t>阑尾周围脓肿</w:t>
            </w:r>
          </w:p>
        </w:tc>
        <w:tc>
          <w:tcPr>
            <w:tcW w:w="78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5"/>
              <w:spacing w:before="152" w:line="214" w:lineRule="auto"/>
              <w:rPr/>
            </w:pPr>
            <w:r>
              <w:rPr>
                <w:color w:val="231F20"/>
                <w:spacing w:val="-1"/>
              </w:rPr>
              <w:t>包块回声较低，以液性回声为主，壁厚比较薄，形状不规则，包块位置固定。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02" w:lineRule="exact"/>
        <w:rPr/>
      </w:pPr>
      <w:r/>
    </w:p>
    <w:p>
      <w:pPr>
        <w:spacing w:line="102" w:lineRule="exact"/>
        <w:sectPr>
          <w:headerReference w:type="default" r:id="rId6"/>
          <w:pgSz w:w="11906" w:h="16838"/>
          <w:pgMar w:top="400" w:right="952" w:bottom="0" w:left="424" w:header="0" w:footer="0" w:gutter="0"/>
          <w:cols w:equalWidth="0" w:num="1">
            <w:col w:w="10529" w:space="0"/>
          </w:cols>
        </w:sectPr>
        <w:rPr/>
      </w:pPr>
    </w:p>
    <w:p>
      <w:pPr>
        <w:pStyle w:val="BodyText"/>
        <w:ind w:left="769" w:right="290"/>
        <w:spacing w:before="52" w:line="352" w:lineRule="auto"/>
        <w:rPr>
          <w:sz w:val="21"/>
          <w:szCs w:val="21"/>
        </w:rPr>
      </w:pPr>
      <w:r>
        <w:rPr>
          <w:sz w:val="21"/>
          <w:szCs w:val="21"/>
          <w:color w:val="231F20"/>
        </w:rPr>
        <w:t>查，对腹部各切面包括纵切面、斜切面进行扫</w:t>
      </w:r>
      <w:r>
        <w:rPr>
          <w:sz w:val="21"/>
          <w:szCs w:val="21"/>
          <w:color w:val="231F20"/>
          <w:spacing w:val="-1"/>
        </w:rPr>
        <w:t>描，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排除其他疾病，再次扫描右下腹，于右下腹</w:t>
      </w:r>
      <w:r>
        <w:rPr>
          <w:sz w:val="21"/>
          <w:szCs w:val="21"/>
          <w:color w:val="231F20"/>
          <w:spacing w:val="-2"/>
        </w:rPr>
        <w:t>腹壁、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腹膜位置，检查阑尾组织和周围病变组织情况，获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得阑尾相关数据，包括大小、形态等。若存在阑尾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6"/>
        </w:rPr>
        <w:t>脓肿、积液问题，</w:t>
      </w:r>
      <w:r>
        <w:rPr>
          <w:sz w:val="21"/>
          <w:szCs w:val="21"/>
          <w:color w:val="231F20"/>
          <w:spacing w:val="50"/>
        </w:rPr>
        <w:t xml:space="preserve"> </w:t>
      </w:r>
      <w:r>
        <w:rPr>
          <w:sz w:val="21"/>
          <w:szCs w:val="21"/>
          <w:color w:val="231F20"/>
          <w:spacing w:val="-6"/>
        </w:rPr>
        <w:t>需采用高频超声仪器（5.6MHz）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检查；若有小肠气影响因素，需保证膀胱充盈，再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4"/>
        </w:rPr>
        <w:t>用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sz w:val="21"/>
          <w:szCs w:val="21"/>
          <w:color w:val="231F20"/>
          <w:spacing w:val="4"/>
        </w:rPr>
        <w:t>3.1</w:t>
      </w:r>
      <w:r>
        <w:rPr>
          <w:sz w:val="21"/>
          <w:szCs w:val="21"/>
          <w:color w:val="231F20"/>
        </w:rPr>
        <w:t>MHz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4"/>
        </w:rPr>
        <w:t>探头检查阑尾回声、内径等情况。针对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女性患者，需检查其子宫、卵巢，排除子宫疾病。</w:t>
      </w:r>
      <w:r>
        <w:rPr>
          <w:sz w:val="21"/>
          <w:szCs w:val="21"/>
          <w:color w:val="231F20"/>
          <w:spacing w:val="15"/>
        </w:rPr>
        <w:t xml:space="preserve"> </w:t>
      </w:r>
      <w:r>
        <w:rPr>
          <w:sz w:val="21"/>
          <w:szCs w:val="21"/>
          <w:color w:val="231F20"/>
          <w:spacing w:val="-1"/>
        </w:rPr>
        <w:t>获取影像学检查资料，详细记录数据，统计图像特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4"/>
        </w:rPr>
        <w:t>征和病理特征。</w:t>
      </w:r>
    </w:p>
    <w:p>
      <w:pPr>
        <w:pStyle w:val="BodyText"/>
        <w:ind w:left="1231"/>
        <w:spacing w:before="1" w:line="281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3"/>
          <w:position w:val="1"/>
        </w:rPr>
        <w:t>1.3</w:t>
      </w:r>
      <w:r>
        <w:rPr>
          <w:sz w:val="21"/>
          <w:szCs w:val="21"/>
          <w:color w:val="231F20"/>
          <w:spacing w:val="-39"/>
          <w:position w:val="1"/>
        </w:rPr>
        <w:t xml:space="preserve"> </w:t>
      </w:r>
      <w:r>
        <w:rPr>
          <w:sz w:val="21"/>
          <w:szCs w:val="21"/>
          <w:color w:val="231F20"/>
          <w:spacing w:val="-13"/>
          <w:position w:val="1"/>
        </w:rPr>
        <w:t>观察指标</w:t>
      </w:r>
    </w:p>
    <w:p>
      <w:pPr>
        <w:pStyle w:val="BodyText"/>
        <w:ind w:left="769" w:right="299" w:firstLine="461"/>
        <w:spacing w:before="123" w:line="35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以手术检查结果为金标准，统计腹部超声检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-1"/>
        </w:rPr>
        <w:t>查在不同类型阑尾炎中的诊断符合率、漏诊率以及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2"/>
        </w:rPr>
        <w:t>误诊率。分析各类型阑尾炎的超声影像学特征。</w:t>
      </w:r>
    </w:p>
    <w:p>
      <w:pPr>
        <w:pStyle w:val="BodyText"/>
        <w:ind w:left="1231"/>
        <w:spacing w:line="282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11"/>
          <w:position w:val="1"/>
        </w:rPr>
        <w:t>1.4</w:t>
      </w:r>
      <w:r>
        <w:rPr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sz w:val="21"/>
          <w:szCs w:val="21"/>
          <w:color w:val="231F20"/>
          <w:spacing w:val="-11"/>
          <w:position w:val="1"/>
        </w:rPr>
        <w:t>统计学方法</w:t>
      </w:r>
    </w:p>
    <w:p>
      <w:pPr>
        <w:pStyle w:val="BodyText"/>
        <w:ind w:left="770" w:right="299" w:firstLine="442"/>
        <w:spacing w:before="117" w:line="344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采用</w:t>
      </w:r>
      <w:r>
        <w:rPr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  <w:spacing w:val="-1"/>
        </w:rPr>
        <w:t>SPSS</w:t>
      </w:r>
      <w:r>
        <w:rPr>
          <w:sz w:val="21"/>
          <w:szCs w:val="21"/>
          <w:color w:val="231F20"/>
          <w:spacing w:val="-30"/>
        </w:rPr>
        <w:t xml:space="preserve"> </w:t>
      </w:r>
      <w:r>
        <w:rPr>
          <w:sz w:val="21"/>
          <w:szCs w:val="21"/>
          <w:color w:val="231F20"/>
          <w:spacing w:val="-1"/>
        </w:rPr>
        <w:t>25.0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-1"/>
        </w:rPr>
        <w:t>统计学软件进行数据分析。计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数资料采用（%）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-1"/>
        </w:rPr>
        <w:t>表示，进行</w:t>
      </w:r>
      <w:r>
        <w:rPr>
          <w:sz w:val="21"/>
          <w:szCs w:val="21"/>
          <w:color w:val="231F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1"/>
        </w:rPr>
        <w:t>x</w:t>
      </w:r>
      <w:r>
        <w:rPr>
          <w:sz w:val="10"/>
          <w:szCs w:val="10"/>
          <w:color w:val="231F20"/>
          <w:spacing w:val="-1"/>
          <w:position w:val="7"/>
        </w:rPr>
        <w:t>2 </w:t>
      </w:r>
      <w:r>
        <w:rPr>
          <w:sz w:val="21"/>
          <w:szCs w:val="21"/>
          <w:color w:val="231F20"/>
          <w:spacing w:val="-1"/>
        </w:rPr>
        <w:t>检验，计量资料采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用（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9"/>
        </w:rPr>
        <w:t xml:space="preserve"> </w:t>
      </w:r>
      <w:r>
        <w:rPr>
          <w:rFonts w:ascii="Microsoft YaHei UI Light" w:hAnsi="Microsoft YaHei UI Light" w:eastAsia="Microsoft YaHei UI Light" w:cs="Microsoft YaHei UI Light"/>
          <w:color w:val="231F20"/>
        </w:rPr>
        <w:t>±</w:t>
      </w:r>
      <w:r>
        <w:rPr>
          <w:rFonts w:ascii="Times New Roman" w:hAnsi="Times New Roman" w:eastAsia="Times New Roman" w:cs="Times New Roman"/>
          <w:sz w:val="21"/>
          <w:szCs w:val="21"/>
          <w:color w:val="231F20"/>
        </w:rPr>
        <w:t>s</w:t>
      </w:r>
      <w:r>
        <w:rPr>
          <w:sz w:val="21"/>
          <w:szCs w:val="21"/>
          <w:color w:val="231F20"/>
        </w:rPr>
        <w:t>）表示，进行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i/>
          <w:iCs/>
          <w:color w:val="231F20"/>
        </w:rPr>
        <w:t>t</w:t>
      </w:r>
      <w:r>
        <w:rPr>
          <w:sz w:val="21"/>
          <w:szCs w:val="21"/>
          <w:color w:val="231F20"/>
          <w:spacing w:val="-36"/>
        </w:rPr>
        <w:t xml:space="preserve"> </w:t>
      </w:r>
      <w:r>
        <w:rPr>
          <w:sz w:val="21"/>
          <w:szCs w:val="21"/>
          <w:color w:val="231F20"/>
        </w:rPr>
        <w:t>检验，</w:t>
      </w:r>
      <w:r>
        <w:rPr>
          <w:sz w:val="21"/>
          <w:szCs w:val="21"/>
          <w:i/>
          <w:iCs/>
          <w:color w:val="231F20"/>
        </w:rPr>
        <w:t>P</w:t>
      </w:r>
      <w:r>
        <w:rPr>
          <w:sz w:val="21"/>
          <w:szCs w:val="21"/>
          <w:color w:val="231F20"/>
        </w:rPr>
        <w:t>&lt;0.05</w:t>
      </w:r>
      <w:r>
        <w:rPr>
          <w:sz w:val="21"/>
          <w:szCs w:val="21"/>
          <w:color w:val="231F20"/>
          <w:spacing w:val="-39"/>
        </w:rPr>
        <w:t xml:space="preserve"> </w:t>
      </w:r>
      <w:r>
        <w:rPr>
          <w:sz w:val="21"/>
          <w:szCs w:val="21"/>
          <w:color w:val="231F20"/>
        </w:rPr>
        <w:t>为差异具有 </w:t>
      </w:r>
      <w:r>
        <w:rPr>
          <w:sz w:val="21"/>
          <w:szCs w:val="21"/>
          <w:color w:val="231F20"/>
          <w:spacing w:val="-4"/>
        </w:rPr>
        <w:t>统计学意义。</w:t>
      </w:r>
    </w:p>
    <w:p>
      <w:pPr>
        <w:spacing w:line="2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47" w:line="241" w:lineRule="auto"/>
        <w:outlineLvl w:val="2"/>
        <w:rPr>
          <w:sz w:val="22"/>
          <w:szCs w:val="22"/>
        </w:rPr>
      </w:pPr>
      <w:r>
        <w:rPr>
          <w:sz w:val="22"/>
          <w:szCs w:val="22"/>
          <w:color w:val="231F20"/>
          <w:spacing w:val="-4"/>
        </w:rPr>
        <w:t>2</w:t>
      </w:r>
      <w:r>
        <w:rPr>
          <w:sz w:val="22"/>
          <w:szCs w:val="22"/>
          <w:color w:val="231F20"/>
          <w:spacing w:val="-29"/>
        </w:rPr>
        <w:t xml:space="preserve"> </w:t>
      </w:r>
      <w:r>
        <w:rPr>
          <w:sz w:val="22"/>
          <w:szCs w:val="22"/>
          <w:color w:val="231F20"/>
          <w:spacing w:val="-4"/>
        </w:rPr>
        <w:t>结果</w:t>
      </w:r>
    </w:p>
    <w:p>
      <w:pPr>
        <w:pStyle w:val="BodyText"/>
        <w:ind w:left="445"/>
        <w:spacing w:before="195" w:line="281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9"/>
          <w:position w:val="1"/>
        </w:rPr>
        <w:t>2.1</w:t>
      </w:r>
      <w:r>
        <w:rPr>
          <w:sz w:val="21"/>
          <w:szCs w:val="21"/>
          <w:color w:val="231F20"/>
          <w:spacing w:val="-50"/>
          <w:position w:val="1"/>
        </w:rPr>
        <w:t xml:space="preserve"> </w:t>
      </w:r>
      <w:r>
        <w:rPr>
          <w:sz w:val="21"/>
          <w:szCs w:val="21"/>
          <w:color w:val="231F20"/>
          <w:spacing w:val="-9"/>
          <w:position w:val="1"/>
        </w:rPr>
        <w:t>诊断结果</w:t>
      </w:r>
    </w:p>
    <w:p>
      <w:pPr>
        <w:pStyle w:val="BodyText"/>
        <w:ind w:left="1" w:right="125" w:firstLine="444"/>
        <w:spacing w:before="122" w:line="346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如表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7"/>
        </w:rPr>
        <w:t>1</w:t>
      </w:r>
      <w:r>
        <w:rPr>
          <w:sz w:val="21"/>
          <w:szCs w:val="21"/>
          <w:color w:val="231F20"/>
          <w:spacing w:val="-46"/>
        </w:rPr>
        <w:t xml:space="preserve"> </w:t>
      </w:r>
      <w:r>
        <w:rPr>
          <w:sz w:val="21"/>
          <w:szCs w:val="21"/>
          <w:color w:val="231F20"/>
          <w:spacing w:val="7"/>
        </w:rPr>
        <w:t>所示，以手术检查结果为金标准，腹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部超声诊断各类型阑尾炎的符合率都较高，漏诊率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4"/>
        </w:rPr>
        <w:t>和误诊率都较低。</w:t>
      </w:r>
    </w:p>
    <w:p>
      <w:pPr>
        <w:pStyle w:val="BodyText"/>
        <w:ind w:left="445"/>
        <w:spacing w:line="281" w:lineRule="exact"/>
        <w:rPr>
          <w:sz w:val="21"/>
          <w:szCs w:val="21"/>
        </w:rPr>
      </w:pPr>
      <w:r>
        <w:rPr>
          <w:sz w:val="21"/>
          <w:szCs w:val="21"/>
          <w:color w:val="231F20"/>
          <w:spacing w:val="-4"/>
          <w:position w:val="1"/>
        </w:rPr>
        <w:t>2.2</w:t>
      </w:r>
      <w:r>
        <w:rPr>
          <w:sz w:val="21"/>
          <w:szCs w:val="21"/>
          <w:color w:val="231F20"/>
          <w:spacing w:val="-46"/>
          <w:position w:val="1"/>
        </w:rPr>
        <w:t xml:space="preserve"> </w:t>
      </w:r>
      <w:r>
        <w:rPr>
          <w:sz w:val="21"/>
          <w:szCs w:val="21"/>
          <w:color w:val="231F20"/>
          <w:spacing w:val="-4"/>
          <w:position w:val="1"/>
        </w:rPr>
        <w:t>各类型阑尾炎的超声影像学特征</w:t>
      </w:r>
    </w:p>
    <w:p>
      <w:pPr>
        <w:pStyle w:val="BodyText"/>
        <w:ind w:left="443"/>
        <w:spacing w:before="119" w:line="213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各类型阑尾炎的超声影像学特征如表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21"/>
          <w:szCs w:val="21"/>
          <w:color w:val="231F20"/>
          <w:spacing w:val="-2"/>
        </w:rPr>
        <w:t>2</w:t>
      </w:r>
      <w:r>
        <w:rPr>
          <w:sz w:val="21"/>
          <w:szCs w:val="21"/>
          <w:color w:val="231F20"/>
          <w:spacing w:val="-59"/>
        </w:rPr>
        <w:t xml:space="preserve"> </w:t>
      </w:r>
      <w:r>
        <w:rPr>
          <w:sz w:val="21"/>
          <w:szCs w:val="21"/>
          <w:color w:val="231F20"/>
          <w:spacing w:val="-2"/>
        </w:rPr>
        <w:t>所示。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42" w:lineRule="auto"/>
        <w:outlineLvl w:val="2"/>
        <w:rPr>
          <w:sz w:val="22"/>
          <w:szCs w:val="22"/>
        </w:rPr>
      </w:pPr>
      <w:r>
        <w:rPr>
          <w:sz w:val="22"/>
          <w:szCs w:val="22"/>
          <w:color w:val="231F20"/>
          <w:spacing w:val="-4"/>
        </w:rPr>
        <w:t>3</w:t>
      </w:r>
      <w:r>
        <w:rPr>
          <w:sz w:val="22"/>
          <w:szCs w:val="22"/>
          <w:color w:val="231F20"/>
          <w:spacing w:val="-47"/>
        </w:rPr>
        <w:t xml:space="preserve"> </w:t>
      </w:r>
      <w:r>
        <w:rPr>
          <w:sz w:val="22"/>
          <w:szCs w:val="22"/>
          <w:color w:val="231F20"/>
          <w:spacing w:val="-4"/>
        </w:rPr>
        <w:t>讨论</w:t>
      </w:r>
    </w:p>
    <w:p>
      <w:pPr>
        <w:pStyle w:val="BodyText"/>
        <w:ind w:right="56" w:firstLine="443"/>
        <w:spacing w:before="198" w:line="348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人体阑尾处于右下腹腔内，细长管状，具体</w:t>
      </w:r>
      <w:r>
        <w:rPr>
          <w:sz w:val="21"/>
          <w:szCs w:val="21"/>
          <w:color w:val="231F20"/>
          <w:spacing w:val="8"/>
        </w:rPr>
        <w:t xml:space="preserve"> </w:t>
      </w:r>
      <w:r>
        <w:rPr>
          <w:sz w:val="21"/>
          <w:szCs w:val="21"/>
          <w:color w:val="231F20"/>
          <w:spacing w:val="-5"/>
        </w:rPr>
        <w:t>长度、形状因人而异，外径一般在</w:t>
      </w:r>
      <w:r>
        <w:rPr>
          <w:sz w:val="21"/>
          <w:szCs w:val="21"/>
          <w:color w:val="231F20"/>
          <w:spacing w:val="-34"/>
        </w:rPr>
        <w:t xml:space="preserve"> </w:t>
      </w:r>
      <w:r>
        <w:rPr>
          <w:sz w:val="21"/>
          <w:szCs w:val="21"/>
          <w:color w:val="231F20"/>
          <w:spacing w:val="-5"/>
        </w:rPr>
        <w:t>0.5 ～ 1.5cm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-5"/>
        </w:rPr>
        <w:t>之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6"/>
        </w:rPr>
        <w:t>间，长度一般是</w:t>
      </w:r>
      <w:r>
        <w:rPr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color w:val="231F20"/>
          <w:spacing w:val="-6"/>
        </w:rPr>
        <w:t>5 ～ 10cm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-6"/>
        </w:rPr>
        <w:t>不等</w:t>
      </w:r>
      <w:r>
        <w:rPr>
          <w:sz w:val="21"/>
          <w:szCs w:val="21"/>
          <w:color w:val="231F20"/>
          <w:spacing w:val="-54"/>
        </w:rPr>
        <w:t xml:space="preserve"> </w:t>
      </w:r>
      <w:r>
        <w:rPr>
          <w:sz w:val="10"/>
          <w:szCs w:val="10"/>
          <w:color w:val="231F20"/>
          <w:spacing w:val="-6"/>
          <w:position w:val="7"/>
        </w:rPr>
        <w:t>[3</w:t>
      </w:r>
      <w:r>
        <w:rPr>
          <w:sz w:val="10"/>
          <w:szCs w:val="10"/>
          <w:color w:val="231F20"/>
          <w:spacing w:val="-7"/>
          <w:position w:val="7"/>
        </w:rPr>
        <w:t>]</w:t>
      </w:r>
      <w:r>
        <w:rPr>
          <w:sz w:val="21"/>
          <w:szCs w:val="21"/>
          <w:color w:val="231F20"/>
          <w:spacing w:val="-7"/>
        </w:rPr>
        <w:t>，内径比较狭窄。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急性阑尾炎具有较高发病率，起病突然，疼痛剧烈，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7"/>
        </w:rPr>
        <w:t>要及时诊断治疗，此病通常是因阑尾扭曲堵塞引起，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4"/>
        </w:rPr>
        <w:t>因阑尾系膜比较短，为细长状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sz w:val="10"/>
          <w:szCs w:val="10"/>
          <w:color w:val="231F20"/>
          <w:spacing w:val="-4"/>
          <w:position w:val="7"/>
        </w:rPr>
        <w:t>[4]</w:t>
      </w:r>
      <w:r>
        <w:rPr>
          <w:sz w:val="10"/>
          <w:szCs w:val="10"/>
          <w:color w:val="231F20"/>
          <w:spacing w:val="-13"/>
          <w:position w:val="7"/>
        </w:rPr>
        <w:t xml:space="preserve"> </w:t>
      </w:r>
      <w:r>
        <w:rPr>
          <w:sz w:val="21"/>
          <w:szCs w:val="21"/>
          <w:color w:val="231F20"/>
          <w:spacing w:val="-4"/>
        </w:rPr>
        <w:t>，扭曲风险较高，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"/>
        </w:rPr>
        <w:t>扭曲之后导致一些物质堆积在阑尾内，进而引发相</w:t>
      </w:r>
      <w:r>
        <w:rPr>
          <w:sz w:val="21"/>
          <w:szCs w:val="21"/>
          <w:color w:val="231F20"/>
          <w:spacing w:val="18"/>
        </w:rPr>
        <w:t xml:space="preserve"> </w:t>
      </w:r>
      <w:r>
        <w:rPr>
          <w:sz w:val="21"/>
          <w:szCs w:val="21"/>
          <w:color w:val="231F20"/>
          <w:spacing w:val="-1"/>
        </w:rPr>
        <w:t>关症状。当机体免疫力降低时，阑尾容易被</w:t>
      </w:r>
      <w:r>
        <w:rPr>
          <w:sz w:val="21"/>
          <w:szCs w:val="21"/>
          <w:color w:val="231F20"/>
          <w:spacing w:val="-2"/>
        </w:rPr>
        <w:t>粪石、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  <w:spacing w:val="-1"/>
        </w:rPr>
        <w:t>寄生虫等物质堵塞，导致阑尾肌肉痉挛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10"/>
          <w:szCs w:val="10"/>
          <w:color w:val="231F20"/>
          <w:spacing w:val="-1"/>
          <w:position w:val="7"/>
        </w:rPr>
        <w:t>[5]</w:t>
      </w:r>
      <w:r>
        <w:rPr>
          <w:sz w:val="21"/>
          <w:szCs w:val="21"/>
          <w:color w:val="231F20"/>
          <w:spacing w:val="-1"/>
        </w:rPr>
        <w:t>，为细菌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入侵提供更多机会，引发急性阑尾炎。</w:t>
      </w:r>
    </w:p>
    <w:p>
      <w:pPr>
        <w:spacing w:line="348" w:lineRule="auto"/>
        <w:sectPr>
          <w:type w:val="continuous"/>
          <w:pgSz w:w="11906" w:h="16838"/>
          <w:pgMar w:top="400" w:right="952" w:bottom="0" w:left="424" w:header="0" w:footer="0" w:gutter="0"/>
          <w:cols w:equalWidth="0" w:num="2">
            <w:col w:w="5687" w:space="100"/>
            <w:col w:w="4743" w:space="0"/>
          </w:cols>
        </w:sectPr>
        <w:rPr>
          <w:sz w:val="21"/>
          <w:szCs w:val="21"/>
        </w:rPr>
      </w:pPr>
    </w:p>
    <w:p>
      <w:pPr>
        <w:spacing w:before="296" w:line="246" w:lineRule="exact"/>
        <w:jc w:val="right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6565997</wp:posOffset>
            </wp:positionH>
            <wp:positionV relativeFrom="paragraph">
              <wp:posOffset>-10099230</wp:posOffset>
            </wp:positionV>
            <wp:extent cx="6350" cy="38520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85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D0D1D3"/>
        </w:rPr>
        <w:t>Fertility</w:t>
      </w:r>
      <w:r>
        <w:rPr>
          <w:rFonts w:ascii="Arial" w:hAnsi="Arial" w:eastAsia="Arial" w:cs="Arial"/>
          <w:sz w:val="20"/>
          <w:szCs w:val="20"/>
          <w:color w:val="D0D1D3"/>
          <w:spacing w:val="19"/>
        </w:rPr>
        <w:t xml:space="preserve"> &amp;</w:t>
      </w:r>
      <w:r>
        <w:rPr>
          <w:rFonts w:ascii="Arial" w:hAnsi="Arial" w:eastAsia="Arial" w:cs="Arial"/>
          <w:sz w:val="20"/>
          <w:szCs w:val="20"/>
          <w:color w:val="D0D1D3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D0D1D3"/>
        </w:rPr>
        <w:t>Health</w:t>
      </w:r>
      <w:r>
        <w:rPr>
          <w:rFonts w:ascii="Arial" w:hAnsi="Arial" w:eastAsia="Arial" w:cs="Arial"/>
          <w:sz w:val="20"/>
          <w:szCs w:val="20"/>
          <w:color w:val="D0D1D3"/>
          <w:spacing w:val="12"/>
        </w:rPr>
        <w:t xml:space="preserve">   </w:t>
      </w:r>
      <w:r>
        <w:rPr>
          <w:sz w:val="20"/>
          <w:szCs w:val="20"/>
        </w:rPr>
        <w:drawing>
          <wp:inline distT="0" distB="0" distL="0" distR="0">
            <wp:extent cx="3593" cy="11520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3" cy="1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0"/>
          <w:szCs w:val="20"/>
          <w:color w:val="D0D1D3"/>
          <w:spacing w:val="4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>047</w:t>
      </w:r>
    </w:p>
    <w:p>
      <w:pPr>
        <w:spacing w:line="246" w:lineRule="exact"/>
        <w:sectPr>
          <w:type w:val="continuous"/>
          <w:pgSz w:w="11906" w:h="16838"/>
          <w:pgMar w:top="400" w:right="952" w:bottom="0" w:left="424" w:header="0" w:footer="0" w:gutter="0"/>
          <w:cols w:equalWidth="0" w:num="1">
            <w:col w:w="10529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ectPr>
          <w:headerReference w:type="default" r:id="rId9"/>
          <w:footerReference w:type="default" r:id="rId10"/>
          <w:pgSz w:w="11906" w:h="16838"/>
          <w:pgMar w:top="654" w:right="1190" w:bottom="637" w:left="424" w:header="0" w:footer="316" w:gutter="0"/>
          <w:cols w:equalWidth="0" w:num="1">
            <w:col w:w="10291" w:space="0"/>
          </w:cols>
        </w:sectPr>
        <w:rPr/>
      </w:pPr>
    </w:p>
    <w:p>
      <w:pPr>
        <w:pStyle w:val="BodyText"/>
        <w:ind w:left="654" w:right="228" w:firstLine="448"/>
        <w:spacing w:before="30" w:line="343" w:lineRule="auto"/>
        <w:tabs>
          <w:tab w:val="left" w:pos="5340"/>
        </w:tabs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"/>
        </w:rPr>
        <w:t>急性阑尾炎经早期诊断和治疗后治愈率较高，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</w:rPr>
        <w:t>但因其症状类似于胆结石，容易发生误诊情</w:t>
      </w:r>
      <w:r>
        <w:rPr>
          <w:sz w:val="21"/>
          <w:szCs w:val="21"/>
          <w:color w:val="231F20"/>
          <w:spacing w:val="-1"/>
        </w:rPr>
        <w:t>况，还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有少数患者无明显症状，进而导致漏诊</w:t>
      </w:r>
      <w:r>
        <w:rPr>
          <w:sz w:val="21"/>
          <w:szCs w:val="21"/>
          <w:color w:val="231F20"/>
          <w:spacing w:val="-37"/>
        </w:rPr>
        <w:t xml:space="preserve"> </w:t>
      </w:r>
      <w:r>
        <w:rPr>
          <w:sz w:val="10"/>
          <w:szCs w:val="10"/>
          <w:color w:val="231F20"/>
          <w:spacing w:val="-2"/>
          <w:position w:val="7"/>
        </w:rPr>
        <w:t>[6]</w:t>
      </w:r>
      <w:r>
        <w:rPr>
          <w:sz w:val="21"/>
          <w:szCs w:val="21"/>
          <w:color w:val="231F20"/>
          <w:spacing w:val="-2"/>
        </w:rPr>
        <w:t>，此外，</w:t>
      </w:r>
      <w:r>
        <w:rPr>
          <w:sz w:val="21"/>
          <w:szCs w:val="21"/>
        </w:rPr>
        <w:tab/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若是坏疽性阑尾炎或化脓性阑尾炎伴腹膜炎</w:t>
      </w:r>
      <w:r>
        <w:rPr>
          <w:sz w:val="21"/>
          <w:szCs w:val="21"/>
          <w:color w:val="231F20"/>
          <w:spacing w:val="-1"/>
        </w:rPr>
        <w:t>或阑尾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7"/>
        </w:rPr>
        <w:t>穿孔，病情相对严重，若术前可确定阑尾病变类型，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</w:rPr>
        <w:t>可制定更有针对性的手术方案。手术后病理</w:t>
      </w:r>
      <w:r>
        <w:rPr>
          <w:sz w:val="21"/>
          <w:szCs w:val="21"/>
          <w:color w:val="231F20"/>
          <w:spacing w:val="-1"/>
        </w:rPr>
        <w:t>学检查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在阑尾炎诊断中准确性高，但其具有滞后性，在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</w:rPr>
        <w:t>术前明确诊断能为手术治疗提供方向，制定</w:t>
      </w:r>
      <w:r>
        <w:rPr>
          <w:sz w:val="21"/>
          <w:szCs w:val="21"/>
          <w:color w:val="231F20"/>
          <w:spacing w:val="-1"/>
        </w:rPr>
        <w:t>更有针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2"/>
        </w:rPr>
        <w:t>对性的治疗方案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10"/>
          <w:szCs w:val="10"/>
          <w:color w:val="231F20"/>
          <w:spacing w:val="-2"/>
          <w:position w:val="7"/>
        </w:rPr>
        <w:t>[7]</w:t>
      </w:r>
      <w:r>
        <w:rPr>
          <w:sz w:val="10"/>
          <w:szCs w:val="10"/>
          <w:color w:val="231F20"/>
          <w:spacing w:val="-25"/>
          <w:position w:val="7"/>
        </w:rPr>
        <w:t xml:space="preserve"> </w:t>
      </w:r>
      <w:r>
        <w:rPr>
          <w:sz w:val="21"/>
          <w:szCs w:val="21"/>
          <w:color w:val="231F20"/>
          <w:spacing w:val="-2"/>
        </w:rPr>
        <w:t>。超声检查是影像科检查技术中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应用率较高的一种，操作简单，重复性高，</w:t>
      </w:r>
      <w:r>
        <w:rPr>
          <w:sz w:val="21"/>
          <w:szCs w:val="21"/>
          <w:color w:val="231F20"/>
          <w:spacing w:val="-1"/>
        </w:rPr>
        <w:t>价格亲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民，无创无痛，通过腹部超声检查，可测量</w:t>
      </w:r>
      <w:r>
        <w:rPr>
          <w:sz w:val="21"/>
          <w:szCs w:val="21"/>
          <w:color w:val="231F20"/>
          <w:spacing w:val="-1"/>
        </w:rPr>
        <w:t>阑尾长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度，观察阑尾形状，为疾病诊断提供针对性</w:t>
      </w:r>
      <w:r>
        <w:rPr>
          <w:sz w:val="21"/>
          <w:szCs w:val="21"/>
          <w:color w:val="231F20"/>
          <w:spacing w:val="-1"/>
        </w:rPr>
        <w:t>参考信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息</w:t>
      </w:r>
      <w:r>
        <w:rPr>
          <w:sz w:val="21"/>
          <w:szCs w:val="21"/>
          <w:color w:val="231F20"/>
          <w:spacing w:val="-42"/>
        </w:rPr>
        <w:t xml:space="preserve"> </w:t>
      </w:r>
      <w:r>
        <w:rPr>
          <w:sz w:val="10"/>
          <w:szCs w:val="10"/>
          <w:color w:val="231F20"/>
          <w:spacing w:val="3"/>
          <w:position w:val="7"/>
        </w:rPr>
        <w:t>[8-9]</w:t>
      </w:r>
      <w:r>
        <w:rPr>
          <w:sz w:val="10"/>
          <w:szCs w:val="10"/>
          <w:color w:val="231F20"/>
          <w:spacing w:val="-25"/>
          <w:position w:val="7"/>
        </w:rPr>
        <w:t xml:space="preserve"> </w:t>
      </w:r>
      <w:r>
        <w:rPr>
          <w:sz w:val="21"/>
          <w:szCs w:val="21"/>
          <w:color w:val="231F20"/>
          <w:spacing w:val="3"/>
        </w:rPr>
        <w:t>。在超声检查中，若发现阑尾有充血、肿胀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情况，且影像清晰，基本能诊断为阑尾炎，</w:t>
      </w:r>
      <w:r>
        <w:rPr>
          <w:sz w:val="21"/>
          <w:szCs w:val="21"/>
          <w:color w:val="231F20"/>
          <w:spacing w:val="-1"/>
        </w:rPr>
        <w:t>但检查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时容易受肠道气体等因素的影响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10"/>
          <w:szCs w:val="10"/>
          <w:color w:val="231F20"/>
          <w:spacing w:val="-1"/>
          <w:position w:val="7"/>
        </w:rPr>
        <w:t>[10-11]</w:t>
      </w:r>
      <w:r>
        <w:rPr>
          <w:sz w:val="10"/>
          <w:szCs w:val="10"/>
          <w:color w:val="231F20"/>
          <w:spacing w:val="-13"/>
          <w:position w:val="7"/>
        </w:rPr>
        <w:t xml:space="preserve"> </w:t>
      </w:r>
      <w:r>
        <w:rPr>
          <w:sz w:val="21"/>
          <w:szCs w:val="21"/>
          <w:color w:val="231F20"/>
          <w:spacing w:val="-1"/>
        </w:rPr>
        <w:t>，</w:t>
      </w:r>
      <w:r>
        <w:rPr>
          <w:sz w:val="21"/>
          <w:szCs w:val="21"/>
          <w:color w:val="231F20"/>
          <w:spacing w:val="-2"/>
        </w:rPr>
        <w:t>因阑尾形状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不固定，当受到长期影响时，会出现变异，</w:t>
      </w:r>
      <w:r>
        <w:rPr>
          <w:sz w:val="21"/>
          <w:szCs w:val="21"/>
          <w:color w:val="231F20"/>
          <w:spacing w:val="-1"/>
        </w:rPr>
        <w:t>因此需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要诊断囊腔中阑尾炎脓肿和积液情况</w:t>
      </w:r>
      <w:r>
        <w:rPr>
          <w:sz w:val="21"/>
          <w:szCs w:val="21"/>
          <w:color w:val="231F20"/>
          <w:spacing w:val="-33"/>
        </w:rPr>
        <w:t xml:space="preserve"> </w:t>
      </w:r>
      <w:r>
        <w:rPr>
          <w:sz w:val="10"/>
          <w:szCs w:val="10"/>
          <w:color w:val="231F20"/>
          <w:spacing w:val="-3"/>
          <w:position w:val="7"/>
        </w:rPr>
        <w:t>[12]</w:t>
      </w:r>
      <w:r>
        <w:rPr>
          <w:sz w:val="21"/>
          <w:szCs w:val="21"/>
          <w:color w:val="231F20"/>
          <w:spacing w:val="-3"/>
        </w:rPr>
        <w:t>。此次研究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3"/>
        </w:rPr>
        <w:t>为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3"/>
        </w:rPr>
        <w:t>30</w:t>
      </w:r>
      <w:r>
        <w:rPr>
          <w:sz w:val="21"/>
          <w:szCs w:val="21"/>
          <w:color w:val="231F20"/>
          <w:spacing w:val="-45"/>
        </w:rPr>
        <w:t xml:space="preserve"> </w:t>
      </w:r>
      <w:r>
        <w:rPr>
          <w:sz w:val="21"/>
          <w:szCs w:val="21"/>
          <w:color w:val="231F20"/>
          <w:spacing w:val="3"/>
        </w:rPr>
        <w:t>例急性阑尾炎患者术前实施腹部超声检查，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结果显示，诊断总符合率为</w:t>
      </w:r>
      <w:r>
        <w:rPr>
          <w:sz w:val="21"/>
          <w:szCs w:val="21"/>
          <w:color w:val="231F20"/>
          <w:spacing w:val="-12"/>
        </w:rPr>
        <w:t xml:space="preserve"> </w:t>
      </w:r>
      <w:r>
        <w:rPr>
          <w:sz w:val="21"/>
          <w:szCs w:val="21"/>
          <w:color w:val="231F20"/>
          <w:spacing w:val="4"/>
        </w:rPr>
        <w:t>86.67%，在各类型阑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尾炎中诊断符合率都较高，可见腹部超声检</w:t>
      </w:r>
      <w:r>
        <w:rPr>
          <w:sz w:val="21"/>
          <w:szCs w:val="21"/>
          <w:color w:val="231F20"/>
          <w:spacing w:val="-1"/>
        </w:rPr>
        <w:t>查可诊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断阑尾炎，并能有效区分阑尾炎类型。腹部</w:t>
      </w:r>
      <w:r>
        <w:rPr>
          <w:sz w:val="21"/>
          <w:szCs w:val="21"/>
          <w:color w:val="231F20"/>
          <w:spacing w:val="-1"/>
        </w:rPr>
        <w:t>超声检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查在多种急腹症中都有较高的应用价值，可</w:t>
      </w:r>
      <w:r>
        <w:rPr>
          <w:sz w:val="21"/>
          <w:szCs w:val="21"/>
          <w:color w:val="231F20"/>
          <w:spacing w:val="-1"/>
        </w:rPr>
        <w:t>以判断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阑尾疾病，进而控制弥漫性腹膜炎，阻止腹</w:t>
      </w:r>
      <w:r>
        <w:rPr>
          <w:sz w:val="21"/>
          <w:szCs w:val="21"/>
          <w:color w:val="231F20"/>
          <w:spacing w:val="-1"/>
        </w:rPr>
        <w:t>腔器官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粘连</w:t>
      </w:r>
      <w:r>
        <w:rPr>
          <w:sz w:val="21"/>
          <w:szCs w:val="21"/>
          <w:color w:val="231F20"/>
          <w:spacing w:val="-40"/>
        </w:rPr>
        <w:t xml:space="preserve"> </w:t>
      </w:r>
      <w:r>
        <w:rPr>
          <w:sz w:val="10"/>
          <w:szCs w:val="10"/>
          <w:color w:val="231F20"/>
          <w:spacing w:val="-3"/>
          <w:position w:val="7"/>
        </w:rPr>
        <w:t>[13]</w:t>
      </w:r>
      <w:r>
        <w:rPr>
          <w:sz w:val="21"/>
          <w:szCs w:val="21"/>
          <w:color w:val="231F20"/>
          <w:spacing w:val="-3"/>
        </w:rPr>
        <w:t>，若是正常的阑尾，在超声下不可见，当阑</w:t>
      </w:r>
      <w:r>
        <w:rPr>
          <w:sz w:val="21"/>
          <w:szCs w:val="21"/>
          <w:color w:val="231F20"/>
        </w:rPr>
        <w:t xml:space="preserve">  </w:t>
      </w:r>
      <w:r>
        <w:rPr>
          <w:sz w:val="21"/>
          <w:szCs w:val="21"/>
          <w:color w:val="231F20"/>
        </w:rPr>
        <w:t>尾有明显充血、肿胀情况时，在超声下就能显现， </w:t>
      </w:r>
      <w:r>
        <w:rPr>
          <w:sz w:val="21"/>
          <w:szCs w:val="21"/>
          <w:color w:val="231F20"/>
          <w:spacing w:val="-3"/>
        </w:rPr>
        <w:t>因此可将其作为阑尾炎诊断的主要依据</w:t>
      </w:r>
      <w:r>
        <w:rPr>
          <w:sz w:val="21"/>
          <w:szCs w:val="21"/>
          <w:color w:val="231F20"/>
          <w:spacing w:val="-48"/>
        </w:rPr>
        <w:t xml:space="preserve"> </w:t>
      </w:r>
      <w:r>
        <w:rPr>
          <w:sz w:val="10"/>
          <w:szCs w:val="10"/>
          <w:color w:val="231F20"/>
          <w:spacing w:val="-3"/>
          <w:position w:val="7"/>
        </w:rPr>
        <w:t>[1</w:t>
      </w:r>
      <w:r>
        <w:rPr>
          <w:sz w:val="10"/>
          <w:szCs w:val="10"/>
          <w:color w:val="231F20"/>
          <w:spacing w:val="-4"/>
          <w:position w:val="7"/>
        </w:rPr>
        <w:t>4]</w:t>
      </w:r>
      <w:r>
        <w:rPr>
          <w:sz w:val="10"/>
          <w:szCs w:val="10"/>
          <w:color w:val="231F20"/>
          <w:spacing w:val="-25"/>
          <w:position w:val="7"/>
        </w:rPr>
        <w:t xml:space="preserve"> </w:t>
      </w:r>
      <w:r>
        <w:rPr>
          <w:sz w:val="21"/>
          <w:szCs w:val="21"/>
          <w:color w:val="231F20"/>
          <w:spacing w:val="-4"/>
        </w:rPr>
        <w:t>。综上所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述，急性阑尾炎起病急，进展快，症状相对明显， </w:t>
      </w:r>
      <w:r>
        <w:rPr>
          <w:sz w:val="21"/>
          <w:szCs w:val="21"/>
          <w:color w:val="231F20"/>
        </w:rPr>
        <w:t>在急性阑尾炎诊断中，腹部超声检查具有较</w:t>
      </w:r>
      <w:r>
        <w:rPr>
          <w:sz w:val="21"/>
          <w:szCs w:val="21"/>
          <w:color w:val="231F20"/>
          <w:spacing w:val="-1"/>
        </w:rPr>
        <w:t>高准确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性，可用于术前诊断，判断阑尾炎类型，进</w:t>
      </w:r>
      <w:r>
        <w:rPr>
          <w:sz w:val="21"/>
          <w:szCs w:val="21"/>
          <w:color w:val="231F20"/>
          <w:spacing w:val="-1"/>
        </w:rPr>
        <w:t>而采取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针对性的治疗方案，但腹部超声检查除了受</w:t>
      </w:r>
      <w:r>
        <w:rPr>
          <w:sz w:val="21"/>
          <w:szCs w:val="21"/>
          <w:color w:val="231F20"/>
          <w:spacing w:val="-1"/>
        </w:rPr>
        <w:t>肠气影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响，还可能受患者体型影响，尤其是肥胖患</w:t>
      </w:r>
      <w:r>
        <w:rPr>
          <w:sz w:val="21"/>
          <w:szCs w:val="21"/>
          <w:color w:val="231F20"/>
          <w:spacing w:val="-1"/>
        </w:rPr>
        <w:t>者，若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9" w:line="34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肥胖患者超声探查困难，可沿着升结肠向下横切，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1"/>
        </w:rPr>
        <w:t>显示高回声结肠袋为标志扫查直至回盲部，再配合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  <w:spacing w:val="-1"/>
        </w:rPr>
        <w:t>右侧髂血管为标志寻找阑尾，若还是无法确诊阑尾</w:t>
      </w:r>
      <w:r>
        <w:rPr>
          <w:sz w:val="21"/>
          <w:szCs w:val="21"/>
          <w:color w:val="231F20"/>
          <w:spacing w:val="16"/>
        </w:rPr>
        <w:t xml:space="preserve"> </w:t>
      </w:r>
      <w:r>
        <w:rPr>
          <w:sz w:val="21"/>
          <w:szCs w:val="21"/>
          <w:color w:val="231F20"/>
        </w:rPr>
        <w:t>炎，可考虑进行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sz w:val="21"/>
          <w:szCs w:val="21"/>
          <w:color w:val="231F20"/>
        </w:rPr>
        <w:t>CT</w:t>
      </w:r>
      <w:r>
        <w:rPr>
          <w:sz w:val="21"/>
          <w:szCs w:val="21"/>
          <w:color w:val="231F20"/>
          <w:spacing w:val="-47"/>
        </w:rPr>
        <w:t xml:space="preserve"> </w:t>
      </w:r>
      <w:r>
        <w:rPr>
          <w:sz w:val="21"/>
          <w:szCs w:val="21"/>
          <w:color w:val="231F20"/>
        </w:rPr>
        <w:t>检查。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10143" w:lineRule="exact"/>
        <w:rPr/>
      </w:pPr>
      <w:r>
        <w:rPr>
          <w:position w:val="-202"/>
        </w:rPr>
        <w:pict>
          <v:shape id="_x0000_s8" style="mso-position-vertical-relative:line;mso-position-horizontal-relative:char;width:231.05pt;height:507.2pt;" fillcolor="#DFE0E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3"/>
                    <w:spacing w:before="149" w:line="201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"/>
                    </w:rPr>
                    <w:t>参考文献</w:t>
                  </w:r>
                </w:p>
                <w:p>
                  <w:pPr>
                    <w:ind w:left="690" w:right="162" w:hanging="420"/>
                    <w:spacing w:before="16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[1]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9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陈文君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王亚萍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张佩雯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急诊成人急性阑尾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>炎患者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腹部超声、CT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平扫影像学特征及其诊断效果对比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中国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和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MRI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杂志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,2022,20(10):126-127.</w:t>
                  </w:r>
                </w:p>
                <w:p>
                  <w:pPr>
                    <w:ind w:left="688" w:right="163" w:hanging="418"/>
                    <w:spacing w:before="47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[2]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杨秀益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肖行斌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龙观林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等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腹部超声与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8"/>
                    </w:rPr>
                    <w:t>检查急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性阑尾炎临床价值分析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医学影像学杂志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,2023,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33(7):1308-1311.</w:t>
                  </w:r>
                </w:p>
                <w:p>
                  <w:pPr>
                    <w:ind w:left="686" w:right="162" w:hanging="416"/>
                    <w:spacing w:before="45" w:line="265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[3]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7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姜永利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任伟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全面腹部超声联合扫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描对急性阑尾炎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>患者检出率的影响分析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>贵州医药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>,2024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,48(4):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616-618.</w:t>
                  </w:r>
                </w:p>
                <w:p>
                  <w:pPr>
                    <w:ind w:left="691" w:right="162" w:hanging="421"/>
                    <w:spacing w:before="32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[4]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7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罗钰川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成人急性阑尾炎患者腹部超声与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>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平扫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影像学特征分析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影像研究与医学应用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4"/>
                    </w:rPr>
                    <w:t>,2024,8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(8):168-170.</w:t>
                  </w:r>
                </w:p>
                <w:p>
                  <w:pPr>
                    <w:ind w:left="690" w:right="162" w:hanging="420"/>
                    <w:spacing w:before="48" w:line="258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[5]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8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郑守广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卓芬芳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熊志强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浅表超声和腹部超声联合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检查在急性阑尾炎诊断中的应用价值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现代医用影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像学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,2023,32(9):1748-1750.</w:t>
                  </w:r>
                </w:p>
                <w:p>
                  <w:pPr>
                    <w:ind w:left="695" w:right="162" w:hanging="425"/>
                    <w:spacing w:before="47" w:line="265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>[6]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7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>巫寅生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>多层螺旋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>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>与腹部超声用于急性阑尾炎的诊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断效能对比研究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黑龙江医药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,2023,36(6)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:1425-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>1427.</w:t>
                  </w:r>
                </w:p>
                <w:p>
                  <w:pPr>
                    <w:ind w:left="690" w:right="161" w:hanging="420"/>
                    <w:spacing w:before="31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[7]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9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陈伟纲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韦巧萍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尤宇晴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多层螺旋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CT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6"/>
                    </w:rPr>
                    <w:t>与腹部超声在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3"/>
                    </w:rPr>
                    <w:t>小儿急性阑尾炎临床诊断中的应用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3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3"/>
                    </w:rPr>
                    <w:t>中国基层医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药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,2022,29(4):517-520.</w:t>
                  </w:r>
                </w:p>
                <w:p>
                  <w:pPr>
                    <w:ind w:left="704" w:right="162" w:hanging="434"/>
                    <w:spacing w:before="48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7"/>
                    </w:rPr>
                    <w:t>[8]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33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7"/>
                    </w:rPr>
                    <w:t>李克凤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7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7"/>
                    </w:rPr>
                    <w:t>浅表超声和腹部超声联合检查在诊断急性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>阑尾炎中的临床应用价值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>当代医学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"/>
                    </w:rPr>
                    <w:t>,2022,28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(8):69-71.</w:t>
                  </w:r>
                </w:p>
                <w:p>
                  <w:pPr>
                    <w:ind w:left="695" w:right="162" w:hanging="425"/>
                    <w:spacing w:before="45" w:line="265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[9]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9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遇建东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腹部超声在小儿急性阑尾炎不同病理类型诊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断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中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的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价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值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中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国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现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代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医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生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>,2021,59(15):113-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"/>
                    </w:rPr>
                    <w:t>116.</w:t>
                  </w:r>
                </w:p>
                <w:p>
                  <w:pPr>
                    <w:ind w:left="691" w:right="163" w:hanging="421"/>
                    <w:spacing w:before="31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2"/>
                    </w:rPr>
                    <w:t>[10]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6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2"/>
                    </w:rPr>
                    <w:t>方婷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2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2"/>
                    </w:rPr>
                    <w:t>马素心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2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2"/>
                    </w:rPr>
                    <w:t>浅表探头联合腹部探头超声扫描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2"/>
                    </w:rPr>
                    <w:t>对急性阑尾炎的诊断价值分析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2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2"/>
                    </w:rPr>
                    <w:t>现代诊断与治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疗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"/>
                    </w:rPr>
                    <w:t>,2023,34(7):1066-10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68.</w:t>
                  </w:r>
                </w:p>
                <w:p>
                  <w:pPr>
                    <w:ind w:left="699" w:right="162" w:hanging="429"/>
                    <w:spacing w:before="47" w:line="250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[11]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吴素萍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浅表超声联合腹部超声在急性阑尾炎诊断中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"/>
                    </w:rPr>
                    <w:t>的应用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"/>
                    </w:rPr>
                    <w:t>医疗装备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"/>
                    </w:rPr>
                    <w:t>,2021,34(14):19-21.</w:t>
                  </w:r>
                </w:p>
                <w:p>
                  <w:pPr>
                    <w:ind w:left="690" w:right="162" w:hanging="420"/>
                    <w:spacing w:before="47" w:line="250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[12]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邓勇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腹部浅表超声在诊断急性阑尾炎患者中的临床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应用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江西医药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,2021,56(11)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"/>
                    </w:rPr>
                    <w:t>:2071-2073.</w:t>
                  </w:r>
                </w:p>
                <w:p>
                  <w:pPr>
                    <w:ind w:left="698" w:right="163" w:hanging="428"/>
                    <w:spacing w:before="47" w:line="259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[13]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朱家起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刘淼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,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胡翔宇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经腹部超声检查对急性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阑尾炎患者的诊断价值分析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1"/>
                    </w:rPr>
                    <w:t>中国医疗器械信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息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,2020,26(15):80-81,87.</w:t>
                  </w:r>
                </w:p>
                <w:p>
                  <w:pPr>
                    <w:ind w:left="685" w:right="162" w:hanging="415"/>
                    <w:spacing w:before="46" w:line="265" w:lineRule="auto"/>
                    <w:rPr>
                      <w:rFonts w:ascii="FangSong" w:hAnsi="FangSong" w:eastAsia="FangSong" w:cs="FangSong"/>
                      <w:sz w:val="16"/>
                      <w:szCs w:val="16"/>
                    </w:rPr>
                  </w:pP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[14]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5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赵靖松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腹部与浅表超声探头联合检查对急性阑尾炎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>的诊断符合率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>[J].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>河南医学研究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2"/>
                    </w:rPr>
                    <w:t>,2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1"/>
                    </w:rPr>
                    <w:t>020,29(5):908-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6"/>
                      <w:szCs w:val="16"/>
                      <w:color w:val="231F20"/>
                      <w:spacing w:val="-2"/>
                    </w:rPr>
                    <w:t>909.</w:t>
                  </w:r>
                </w:p>
              </w:txbxContent>
            </v:textbox>
          </v:shape>
        </w:pict>
      </w:r>
    </w:p>
    <w:sectPr>
      <w:type w:val="continuous"/>
      <w:pgSz w:w="11906" w:h="16838"/>
      <w:pgMar w:top="654" w:right="1190" w:bottom="637" w:left="424" w:header="0" w:footer="316" w:gutter="0"/>
      <w:cols w:equalWidth="0" w:num="2">
        <w:col w:w="5571" w:space="100"/>
        <w:col w:w="46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 UI Light">
    <w:panose1 w:val="020B0502040204020203"/>
    <w:charset w:val="86"/>
    <w:family w:val="auto"/>
    <w:pitch w:val="variable"/>
    <w:sig w:usb0="80000287" w:usb1="2ACF001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97" w:lineRule="auto"/>
      <w:rPr>
        <w:rFonts w:ascii="Arial" w:hAnsi="Arial" w:eastAsia="Arial" w:cs="Arial"/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2"/>
        <w:position w:val="-1"/>
      </w:rPr>
      <w:t>中国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39"/>
        <w:position w:val="-1"/>
      </w:rPr>
      <w:t xml:space="preserve"> </w:t>
    </w:r>
    <w:r>
      <w:rPr>
        <w:rFonts w:ascii="Arial" w:hAnsi="Arial" w:eastAsia="Arial" w:cs="Arial"/>
        <w:sz w:val="18"/>
        <w:szCs w:val="18"/>
        <w:color w:val="231F20"/>
        <w:spacing w:val="2"/>
        <w:position w:val="1"/>
      </w:rPr>
      <w:t>048</w:t>
    </w:r>
    <w:r>
      <w:rPr>
        <w:rFonts w:ascii="Arial" w:hAnsi="Arial" w:eastAsia="Arial" w:cs="Arial"/>
        <w:sz w:val="18"/>
        <w:szCs w:val="18"/>
        <w:color w:val="231F20"/>
        <w:spacing w:val="46"/>
        <w:w w:val="101"/>
        <w:position w:val="1"/>
      </w:rPr>
      <w:t xml:space="preserve"> </w:t>
    </w:r>
    <w:r>
      <w:rPr>
        <w:sz w:val="18"/>
        <w:szCs w:val="18"/>
        <w:position w:val="1"/>
      </w:rPr>
      <w:drawing>
        <wp:inline distT="0" distB="0" distL="0" distR="0">
          <wp:extent cx="3643" cy="111144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43" cy="111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8"/>
        <w:szCs w:val="18"/>
        <w:color w:val="231F20"/>
        <w:spacing w:val="3"/>
        <w:position w:val="1"/>
      </w:rPr>
      <w:t xml:space="preserve">      </w:t>
    </w:r>
    <w:r>
      <w:rPr>
        <w:rFonts w:ascii="Arial" w:hAnsi="Arial" w:eastAsia="Arial" w:cs="Arial"/>
        <w:sz w:val="22"/>
        <w:szCs w:val="22"/>
        <w:color w:val="999999"/>
        <w:position w:val="-3"/>
      </w:rPr>
      <w:t>https</w:t>
    </w:r>
    <w:r>
      <w:rPr>
        <w:rFonts w:ascii="Arial" w:hAnsi="Arial" w:eastAsia="Arial" w:cs="Arial"/>
        <w:sz w:val="22"/>
        <w:szCs w:val="22"/>
        <w:color w:val="999999"/>
        <w:spacing w:val="2"/>
        <w:position w:val="-3"/>
      </w:rPr>
      <w:t>:</w:t>
    </w:r>
    <w:r>
      <w:rPr>
        <w:sz w:val="22"/>
        <w:szCs w:val="22"/>
        <w:position w:val="-4"/>
      </w:rPr>
      <w:drawing>
        <wp:inline distT="0" distB="0" distL="0" distR="0">
          <wp:extent cx="45060" cy="110274"/>
          <wp:effectExtent l="0" t="0" r="0" b="0"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60" cy="110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4"/>
      </w:rPr>
      <w:drawing>
        <wp:inline distT="0" distB="0" distL="0" distR="0">
          <wp:extent cx="45060" cy="110274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5060" cy="110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22"/>
        <w:szCs w:val="22"/>
        <w:color w:val="999999"/>
        <w:position w:val="-1"/>
      </w:rPr>
      <w:t>Www</w:t>
    </w:r>
    <w:r>
      <w:rPr>
        <w:rFonts w:ascii="Arial" w:hAnsi="Arial" w:eastAsia="Arial" w:cs="Arial"/>
        <w:sz w:val="22"/>
        <w:szCs w:val="22"/>
        <w:color w:val="999999"/>
        <w:spacing w:val="2"/>
        <w:position w:val="-1"/>
      </w:rPr>
      <w:t>.</w:t>
    </w:r>
    <w:r>
      <w:rPr>
        <w:rFonts w:ascii="Arial" w:hAnsi="Arial" w:eastAsia="Arial" w:cs="Arial"/>
        <w:sz w:val="22"/>
        <w:szCs w:val="22"/>
        <w:color w:val="999999"/>
      </w:rPr>
      <w:t>cnki</w:t>
    </w:r>
    <w:r>
      <w:rPr>
        <w:rFonts w:ascii="Arial" w:hAnsi="Arial" w:eastAsia="Arial" w:cs="Arial"/>
        <w:sz w:val="22"/>
        <w:szCs w:val="22"/>
        <w:color w:val="999999"/>
        <w:spacing w:val="-16"/>
      </w:rPr>
      <w:t xml:space="preserve"> </w:t>
    </w:r>
    <w:r>
      <w:rPr>
        <w:rFonts w:ascii="Arial" w:hAnsi="Arial" w:eastAsia="Arial" w:cs="Arial"/>
        <w:sz w:val="22"/>
        <w:szCs w:val="22"/>
        <w:color w:val="999999"/>
        <w:spacing w:val="2"/>
        <w:position w:val="-1"/>
      </w:rPr>
      <w:t>.</w:t>
    </w:r>
    <w:r>
      <w:rPr>
        <w:rFonts w:ascii="Arial" w:hAnsi="Arial" w:eastAsia="Arial" w:cs="Arial"/>
        <w:sz w:val="22"/>
        <w:szCs w:val="22"/>
        <w:color w:val="999999"/>
        <w:spacing w:val="-35"/>
        <w:position w:val="-1"/>
      </w:rPr>
      <w:t xml:space="preserve"> </w:t>
    </w:r>
    <w:r>
      <w:rPr>
        <w:rFonts w:ascii="Arial" w:hAnsi="Arial" w:eastAsia="Arial" w:cs="Arial"/>
        <w:sz w:val="22"/>
        <w:szCs w:val="22"/>
        <w:color w:val="999999"/>
        <w:position w:val="-1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35" w:lineRule="auto"/>
      <w:rPr>
        <w:rFonts w:ascii="Arial"/>
        <w:sz w:val="21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716824</wp:posOffset>
          </wp:positionH>
          <wp:positionV relativeFrom="page">
            <wp:posOffset>0</wp:posOffset>
          </wp:positionV>
          <wp:extent cx="6350" cy="385208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3852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ind w:left="3092"/>
      <w:spacing w:before="51" w:line="181" w:lineRule="auto"/>
      <w:rPr>
        <w:rFonts w:ascii="Microsoft YaHei" w:hAnsi="Microsoft YaHei" w:eastAsia="Microsoft YaHei" w:cs="Microsoft YaHei"/>
        <w:sz w:val="12"/>
        <w:szCs w:val="12"/>
      </w:rPr>
    </w:pPr>
    <w:r>
      <w:pict>
        <v:shape id="_x0000_s4" style="position:absolute;margin-left:114.734pt;margin-top:1.58478pt;mso-position-vertical-relative:text;mso-position-horizontal-relative:text;width:36.65pt;height:10.8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6" w:lineRule="auto"/>
                  <w:rPr>
                    <w:rFonts w:ascii="Microsoft YaHei" w:hAnsi="Microsoft YaHei" w:eastAsia="Microsoft YaHei" w:cs="Microsoft YaHei"/>
                    <w:sz w:val="12"/>
                    <w:szCs w:val="12"/>
                  </w:rPr>
                </w:pPr>
                <w:r>
                  <w:rPr>
                    <w:rFonts w:ascii="Microsoft YaHei" w:hAnsi="Microsoft YaHei" w:eastAsia="Microsoft YaHei" w:cs="Microsoft YaHei"/>
                    <w:sz w:val="12"/>
                    <w:szCs w:val="12"/>
                    <w:color w:val="7C7E81"/>
                    <w:spacing w:val="19"/>
                  </w:rPr>
                  <w:t>婚育与健康</w:t>
                </w:r>
              </w:p>
            </w:txbxContent>
          </v:textbox>
        </v:shape>
      </w:pict>
    </w:r>
    <w:r>
      <w:pict>
        <v:shape id="_x0000_s6" style="position:absolute;margin-left:39.6523pt;margin-top:-0.486567pt;mso-position-vertical-relative:text;mso-position-horizontal-relative:text;width:38.2pt;height:13.8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6" w:lineRule="auto"/>
                  <w:rPr>
                    <w:rFonts w:ascii="Microsoft YaHei" w:hAnsi="Microsoft YaHei" w:eastAsia="Microsoft YaHei" w:cs="Microsoft YaHei"/>
                    <w:sz w:val="16"/>
                    <w:szCs w:val="16"/>
                  </w:rPr>
                </w:pPr>
                <w:r>
                  <w:rPr>
                    <w:rFonts w:ascii="Microsoft YaHei" w:hAnsi="Microsoft YaHei" w:eastAsia="Microsoft YaHei" w:cs="Microsoft YaHei"/>
                    <w:sz w:val="16"/>
                    <w:szCs w:val="16"/>
                    <w:color w:val="B6B7BB"/>
                    <w:spacing w:val="20"/>
                  </w:rPr>
                  <w:t>临床荟萃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12"/>
        <w:szCs w:val="12"/>
        <w:color w:val="7C7E81"/>
        <w:spacing w:val="-2"/>
      </w:rPr>
      <w:t>2024 年</w:t>
    </w:r>
    <w:r>
      <w:rPr>
        <w:rFonts w:ascii="Microsoft YaHei" w:hAnsi="Microsoft YaHei" w:eastAsia="Microsoft YaHei" w:cs="Microsoft YaHei"/>
        <w:sz w:val="12"/>
        <w:szCs w:val="12"/>
        <w:color w:val="7C7E81"/>
        <w:spacing w:val="25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7C7E81"/>
        <w:spacing w:val="-2"/>
      </w:rPr>
      <w:t>11 月（下） 第 30 卷</w:t>
    </w:r>
    <w:r>
      <w:rPr>
        <w:rFonts w:ascii="Microsoft YaHei" w:hAnsi="Microsoft YaHei" w:eastAsia="Microsoft YaHei" w:cs="Microsoft YaHei"/>
        <w:sz w:val="12"/>
        <w:szCs w:val="12"/>
        <w:color w:val="7C7E81"/>
        <w:spacing w:val="27"/>
        <w:w w:val="102"/>
      </w:rPr>
      <w:t xml:space="preserve"> </w:t>
    </w:r>
    <w:r>
      <w:rPr>
        <w:rFonts w:ascii="Microsoft YaHei" w:hAnsi="Microsoft YaHei" w:eastAsia="Microsoft YaHei" w:cs="Microsoft YaHei"/>
        <w:sz w:val="12"/>
        <w:szCs w:val="12"/>
        <w:color w:val="7C7E81"/>
        <w:spacing w:val="-2"/>
      </w:rPr>
      <w:t>第 22 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2025-01-21T16:14:04Z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2025-10-28T21:32:20</vt:filetime>
  </property>
</Properties>
</file>