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45"/>
        <w:spacing w:before="29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rect id="_x0000_s2" style="position:absolute;margin-left:28.356pt;margin-top:36.8439pt;mso-position-vertical-relative:page;mso-position-horizontal-relative:page;width:170.1pt;height:722.85pt;z-index:251659264;" o:allowincell="f" fillcolor="#F0F1F1" filled="true" stroked="false"/>
        </w:pict>
      </w:r>
      <w:r>
        <w:pict>
          <v:shape id="_x0000_s4" style="position:absolute;margin-left:30.128pt;margin-top:108.428pt;mso-position-vertical-relative:page;mso-position-horizontal-relative:page;width:154.5pt;height:0.3pt;z-index:251663360;" o:allowincell="f" filled="false" strokecolor="#000000" strokeweight="0.28pt" coordsize="3090,6" coordorigin="0,0" path="m0,2l3089,2e">
            <v:stroke joinstyle="miter" miterlimit="4"/>
          </v:shape>
        </w:pict>
      </w:r>
      <w:r>
        <w:pict>
          <v:shape id="_x0000_s6" style="position:absolute;margin-left:29.8561pt;margin-top:90.2462pt;mso-position-vertical-relative:page;mso-position-horizontal-relative:page;width:43.3pt;height:18.65pt;z-index:251661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0" w:lineRule="auto"/>
                    <w:jc w:val="right"/>
                    <w:rPr>
                      <w:rFonts w:ascii="NSimSun" w:hAnsi="NSimSun" w:eastAsia="NSimSun" w:cs="NSimSun"/>
                      <w:sz w:val="28"/>
                      <w:szCs w:val="28"/>
                    </w:rPr>
                  </w:pPr>
                  <w:r>
                    <w:rPr>
                      <w:rFonts w:ascii="NSimSun" w:hAnsi="NSimSun" w:eastAsia="NSimSun" w:cs="NSimSun"/>
                      <w:sz w:val="28"/>
                      <w:szCs w:val="28"/>
                      <w:spacing w:val="-27"/>
                    </w:rPr>
                    <w:t>论</w:t>
                  </w:r>
                  <w:r>
                    <w:rPr>
                      <w:rFonts w:ascii="NSimSun" w:hAnsi="NSimSun" w:eastAsia="NSimSun" w:cs="NSimSun"/>
                      <w:sz w:val="28"/>
                      <w:szCs w:val="28"/>
                      <w:spacing w:val="15"/>
                    </w:rPr>
                    <w:t xml:space="preserve">  </w:t>
                  </w:r>
                  <w:r>
                    <w:rPr>
                      <w:rFonts w:ascii="NSimSun" w:hAnsi="NSimSun" w:eastAsia="NSimSun" w:cs="NSimSun"/>
                      <w:sz w:val="28"/>
                      <w:szCs w:val="28"/>
                      <w:spacing w:val="-19"/>
                    </w:rPr>
                    <w:t>著</w:t>
                  </w:r>
                </w:p>
              </w:txbxContent>
            </v:textbox>
          </v:shape>
        </w:pict>
      </w:r>
      <w:r>
        <w:pict>
          <v:shape id="_x0000_s8" style="position:absolute;margin-left:27.6007pt;margin-top:146.872pt;mso-position-vertical-relative:page;mso-position-horizontal-relative:page;width:171.9pt;height:446.5pt;z-index:251660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" w:right="20"/>
                    <w:spacing w:before="16" w:line="174" w:lineRule="auto"/>
                    <w:outlineLvl w:val="0"/>
                    <w:jc w:val="both"/>
                    <w:rPr>
                      <w:rFonts w:ascii="Microsoft YaHei" w:hAnsi="Microsoft YaHei" w:eastAsia="Microsoft YaHei" w:cs="Microsoft YaHei"/>
                      <w:sz w:val="34"/>
                      <w:szCs w:val="3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利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4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用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CT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平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扫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观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察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3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阑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5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14"/>
                      <w:w w:val="99"/>
                    </w:rPr>
                    <w:t>尾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-2"/>
                    </w:rPr>
                    <w:t>壁包埋征对复杂性阑尾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34"/>
                      <w:szCs w:val="34"/>
                      <w:b/>
                      <w:bCs/>
                      <w:spacing w:val="1"/>
                    </w:rPr>
                    <w:t>炎的诊断价值研究*</w:t>
                  </w:r>
                </w:p>
                <w:p>
                  <w:pPr>
                    <w:ind w:left="30"/>
                    <w:spacing w:before="185" w:line="217" w:lineRule="auto"/>
                    <w:rPr>
                      <w:rFonts w:ascii="KaiTi" w:hAnsi="KaiTi" w:eastAsia="KaiTi" w:cs="KaiTi"/>
                      <w:sz w:val="20"/>
                      <w:szCs w:val="20"/>
                    </w:rPr>
                  </w:pP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吴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7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磊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3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季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5"/>
                    </w:rPr>
                    <w:t xml:space="preserve"> 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丹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6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9"/>
                    </w:rPr>
                    <w:t>张志国</w:t>
                  </w:r>
                </w:p>
                <w:p>
                  <w:pPr>
                    <w:ind w:left="33"/>
                    <w:spacing w:before="25" w:line="215" w:lineRule="auto"/>
                    <w:rPr>
                      <w:rFonts w:ascii="KaiTi" w:hAnsi="KaiTi" w:eastAsia="KaiTi" w:cs="KaiTi"/>
                      <w:sz w:val="12"/>
                      <w:szCs w:val="12"/>
                    </w:rPr>
                  </w:pPr>
                  <w:r>
                    <w:rPr>
                      <w:rFonts w:ascii="KaiTi" w:hAnsi="KaiTi" w:eastAsia="KaiTi" w:cs="KaiTi"/>
                      <w:sz w:val="20"/>
                      <w:szCs w:val="20"/>
                      <w:spacing w:val="-6"/>
                    </w:rPr>
                    <w:t>陆建东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7"/>
                    </w:rPr>
                    <w:t xml:space="preserve">   </w:t>
                  </w:r>
                  <w:r>
                    <w:rPr>
                      <w:rFonts w:ascii="KaiTi" w:hAnsi="KaiTi" w:eastAsia="KaiTi" w:cs="KaiTi"/>
                      <w:sz w:val="20"/>
                      <w:szCs w:val="20"/>
                      <w:spacing w:val="-6"/>
                    </w:rPr>
                    <w:t>茅旭平</w:t>
                  </w:r>
                  <w:r>
                    <w:rPr>
                      <w:rFonts w:ascii="KaiTi" w:hAnsi="KaiTi" w:eastAsia="KaiTi" w:cs="KaiTi"/>
                      <w:sz w:val="12"/>
                      <w:szCs w:val="12"/>
                      <w:spacing w:val="-6"/>
                      <w:position w:val="6"/>
                    </w:rPr>
                    <w:t>*</w:t>
                  </w:r>
                </w:p>
                <w:p>
                  <w:pPr>
                    <w:ind w:left="32" w:right="20"/>
                    <w:spacing w:before="31" w:line="213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8"/>
                    </w:rPr>
                    <w:t>张家港市中医医院、南京中医药大学附属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4"/>
                    </w:rPr>
                    <w:t>张家港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8"/>
                      <w:szCs w:val="18"/>
                      <w:b/>
                      <w:bCs/>
                      <w:spacing w:val="-4"/>
                    </w:rPr>
                    <w:t>医院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spacing w:val="-4"/>
                    </w:rPr>
                    <w:t>(江苏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b/>
                      <w:bCs/>
                      <w:spacing w:val="-4"/>
                    </w:rPr>
                    <w:t>张家港 215600)</w:t>
                  </w:r>
                </w:p>
                <w:p>
                  <w:pPr>
                    <w:ind w:left="20" w:right="20" w:firstLine="20"/>
                    <w:spacing w:before="175" w:line="187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【摘要】 目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的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探讨利用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CT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平扫观察阑尾壁包埋征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对复杂性阑尾炎的诊断价值。方法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回顾性分析2020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年7月1日至2022年12月31日期间经手术及病理证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实的急性阑尾炎患者114例的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CT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征象，其中复杂性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阑尾炎31例，非复杂性阑尾炎83例。观察CT征象包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>括：阑尾壁包埋征、阑尾外径、脓肿、蜂窝织炎、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>阑尾腔外气体和阑尾腔外粪石。采用单因素和多因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>素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logistic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>回归分析来评价这些征象对复杂性阑尾炎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的诊断价值。结果 在单因素分析中，与复杂性阑尾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炎显著相关的危险因素有：年龄(P=0.003)、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发病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时间(P=0.002)、阑尾外径(P&lt;0.001)、阑尾壁包埋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征(P&lt;0.001)、蜂窝织炎(P&lt;0.001)及阑尾腔外气体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>(P=0.001)。然而，在多因素分析中，只有阑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5"/>
                    </w:rPr>
                    <w:t>尾壁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2"/>
                    </w:rPr>
                    <w:t>包埋征(OR=98.356，P&lt;0.001)和年龄(OR=1.06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9，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P=0.014)是复杂性阑尾炎的独立危险因素。阑尾壁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>包埋征用于复杂性阑尾炎诊断中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AUC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"/>
                    </w:rPr>
                    <w:t>曲线下面积为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0.894。结论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通过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>CT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>平扫观察阑尾壁包埋征对复杂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性阑尾炎具有重要诊断价值。</w:t>
                  </w:r>
                </w:p>
                <w:p>
                  <w:pPr>
                    <w:ind w:left="40"/>
                    <w:spacing w:before="185" w:line="187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【关键词】急性阑尾炎；复杂性阑尾炎；</w:t>
                  </w:r>
                </w:p>
                <w:p>
                  <w:pPr>
                    <w:ind w:left="765"/>
                    <w:spacing w:line="18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阑尾壁包埋征；体层摄影技术；</w:t>
                  </w:r>
                </w:p>
                <w:p>
                  <w:pPr>
                    <w:ind w:left="753"/>
                    <w:spacing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X线计算机</w:t>
                  </w:r>
                </w:p>
                <w:p>
                  <w:pPr>
                    <w:ind w:left="40" w:right="1826"/>
                    <w:spacing w:before="13" w:line="18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【中图分类号】R574.61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【文献标识码】A</w:t>
                  </w:r>
                </w:p>
                <w:p>
                  <w:pPr>
                    <w:ind w:left="40"/>
                    <w:spacing w:before="1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3"/>
                    </w:rPr>
                    <w:t>【基金项目】苏州市“科教兴卫”青年科技项目</w:t>
                  </w:r>
                </w:p>
                <w:p>
                  <w:pPr>
                    <w:ind w:left="932"/>
                    <w:spacing w:before="16" w:line="182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6"/>
                    </w:rPr>
                    <w:t>(KJXW2023064)；</w:t>
                  </w:r>
                </w:p>
                <w:p>
                  <w:pPr>
                    <w:ind w:left="927"/>
                    <w:spacing w:line="176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苏州市卫生青年骨干人才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“全国导师</w:t>
                  </w:r>
                </w:p>
                <w:p>
                  <w:pPr>
                    <w:ind w:left="925"/>
                    <w:spacing w:before="12" w:line="183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5"/>
                    </w:rPr>
                    <w:t>制”培训项目(Qngg2024035)；</w:t>
                  </w:r>
                </w:p>
                <w:p>
                  <w:pPr>
                    <w:ind w:left="923" w:right="419" w:firstLine="1"/>
                    <w:spacing w:before="4" w:line="19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江苏医药职业学院校地协同创新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研究项目(20239604)</w:t>
                  </w:r>
                </w:p>
                <w:p>
                  <w:pPr>
                    <w:ind w:left="130"/>
                    <w:spacing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4"/>
                    </w:rPr>
                    <w:t>DOI:10.3969/j.issn.1672-5131.2024.12.048</w:t>
                  </w:r>
                </w:p>
              </w:txbxContent>
            </v:textbox>
          </v:shape>
        </w:pict>
      </w:r>
      <w:r>
        <w:pict>
          <v:shape id="_x0000_s10" style="position:absolute;margin-left:28.3564pt;margin-top:759.396pt;mso-position-vertical-relative:page;mso-position-horizontal-relative:page;width:532.95pt;height:0.6pt;z-index:251662336;" o:allowincell="f" filled="false" strokecolor="#000000" strokeweight="0.57pt" coordsize="10659,12" coordorigin="0,0" path="m0,5l10658,5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u w:val="single" w:color="auto"/>
          <w:spacing w:val="-4"/>
        </w:rPr>
        <w:t>中国CT和MRI杂志   2024年12月 第22卷 第12期 总第182期      </w:t>
      </w:r>
    </w:p>
    <w:p>
      <w:pPr>
        <w:spacing w:line="192" w:lineRule="exact"/>
        <w:rPr/>
      </w:pPr>
      <w:r/>
    </w:p>
    <w:p>
      <w:pPr>
        <w:spacing w:line="192" w:lineRule="exact"/>
        <w:sectPr>
          <w:pgSz w:w="11906" w:h="16158"/>
          <w:pgMar w:top="236" w:right="677" w:bottom="0" w:left="337" w:header="0" w:footer="0" w:gutter="0"/>
          <w:cols w:equalWidth="0" w:num="1">
            <w:col w:w="10891" w:space="0"/>
          </w:cols>
        </w:sectPr>
        <w:rPr/>
      </w:pPr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spacing w:before="1"/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firstLine="15"/>
        <w:spacing w:before="94" w:line="161" w:lineRule="auto"/>
        <w:jc w:val="both"/>
        <w:rPr>
          <w:rFonts w:ascii="Microsoft YaHei" w:hAnsi="Microsoft YaHei" w:eastAsia="Microsoft YaHei" w:cs="Microsoft YaHei"/>
          <w:sz w:val="36"/>
          <w:szCs w:val="36"/>
        </w:rPr>
      </w:pPr>
      <w:r>
        <w:rPr>
          <w:rFonts w:ascii="Microsoft YaHei" w:hAnsi="Microsoft YaHei" w:eastAsia="Microsoft YaHei" w:cs="Microsoft YaHei"/>
          <w:sz w:val="36"/>
          <w:szCs w:val="36"/>
          <w:spacing w:val="-12"/>
        </w:rPr>
        <w:t>S</w:t>
      </w:r>
      <w:r>
        <w:rPr>
          <w:rFonts w:ascii="Microsoft YaHei" w:hAnsi="Microsoft YaHei" w:eastAsia="Microsoft YaHei" w:cs="Microsoft YaHei"/>
          <w:sz w:val="36"/>
          <w:szCs w:val="36"/>
          <w:spacing w:val="-11"/>
        </w:rPr>
        <w:t>tudy on the</w:t>
      </w:r>
      <w:r>
        <w:rPr>
          <w:rFonts w:ascii="Microsoft YaHei" w:hAnsi="Microsoft YaHei" w:eastAsia="Microsoft YaHei" w:cs="Microsoft YaHei"/>
          <w:sz w:val="36"/>
          <w:szCs w:val="3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11"/>
        </w:rPr>
        <w:t>Diagnostic Value</w:t>
      </w:r>
      <w:r>
        <w:rPr>
          <w:rFonts w:ascii="Microsoft YaHei" w:hAnsi="Microsoft YaHei" w:eastAsia="Microsoft YaHei" w:cs="Microsoft YaHei"/>
          <w:sz w:val="36"/>
          <w:szCs w:val="36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11"/>
        </w:rPr>
        <w:t>of</w:t>
      </w:r>
      <w:r>
        <w:rPr>
          <w:rFonts w:ascii="Microsoft YaHei" w:hAnsi="Microsoft YaHei" w:eastAsia="Microsoft YaHei" w:cs="Microsoft YaHei"/>
          <w:sz w:val="36"/>
          <w:szCs w:val="36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11"/>
        </w:rPr>
        <w:t>Using</w:t>
      </w:r>
      <w:r>
        <w:rPr>
          <w:rFonts w:ascii="Microsoft YaHei" w:hAnsi="Microsoft YaHei" w:eastAsia="Microsoft YaHei" w:cs="Microsoft YaHei"/>
          <w:sz w:val="36"/>
          <w:szCs w:val="36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11"/>
        </w:rPr>
        <w:t>C</w:t>
      </w:r>
      <w:r>
        <w:rPr>
          <w:rFonts w:ascii="Microsoft YaHei" w:hAnsi="Microsoft YaHei" w:eastAsia="Microsoft YaHei" w:cs="Microsoft YaHei"/>
          <w:sz w:val="36"/>
          <w:szCs w:val="36"/>
          <w:spacing w:val="-10"/>
        </w:rPr>
        <w:t>T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Plain</w:t>
      </w:r>
      <w:r>
        <w:rPr>
          <w:rFonts w:ascii="Microsoft YaHei" w:hAnsi="Microsoft YaHei" w:eastAsia="Microsoft YaHei" w:cs="Microsoft YaHei"/>
          <w:sz w:val="36"/>
          <w:szCs w:val="36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S</w:t>
      </w:r>
      <w:r>
        <w:rPr>
          <w:rFonts w:ascii="Microsoft YaHei" w:hAnsi="Microsoft YaHei" w:eastAsia="Microsoft YaHei" w:cs="Microsoft YaHei"/>
          <w:sz w:val="36"/>
          <w:szCs w:val="36"/>
          <w:spacing w:val="-73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can</w:t>
      </w:r>
      <w:r>
        <w:rPr>
          <w:rFonts w:ascii="Microsoft YaHei" w:hAnsi="Microsoft YaHei" w:eastAsia="Microsoft YaHei" w:cs="Microsoft YaHei"/>
          <w:sz w:val="36"/>
          <w:szCs w:val="3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to</w:t>
      </w:r>
      <w:r>
        <w:rPr>
          <w:rFonts w:ascii="Microsoft YaHei" w:hAnsi="Microsoft YaHei" w:eastAsia="Microsoft YaHei" w:cs="Microsoft YaHei"/>
          <w:sz w:val="36"/>
          <w:szCs w:val="36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Observe</w:t>
      </w:r>
      <w:r>
        <w:rPr>
          <w:rFonts w:ascii="Microsoft YaHei" w:hAnsi="Microsoft YaHei" w:eastAsia="Microsoft YaHei" w:cs="Microsoft YaHei"/>
          <w:sz w:val="36"/>
          <w:szCs w:val="36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2"/>
        </w:rPr>
        <w:t>th</w:t>
      </w:r>
      <w:r>
        <w:rPr>
          <w:rFonts w:ascii="Microsoft YaHei" w:hAnsi="Microsoft YaHei" w:eastAsia="Microsoft YaHei" w:cs="Microsoft YaHei"/>
          <w:sz w:val="36"/>
          <w:szCs w:val="36"/>
          <w:spacing w:val="1"/>
        </w:rPr>
        <w:t>e</w:t>
      </w:r>
      <w:r>
        <w:rPr>
          <w:rFonts w:ascii="Microsoft YaHei" w:hAnsi="Microsoft YaHei" w:eastAsia="Microsoft YaHei" w:cs="Microsoft YaHei"/>
          <w:sz w:val="36"/>
          <w:szCs w:val="36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"/>
        </w:rPr>
        <w:t>Append</w:t>
      </w:r>
      <w:r>
        <w:rPr>
          <w:rFonts w:ascii="Microsoft YaHei" w:hAnsi="Microsoft YaHei" w:eastAsia="Microsoft YaHei" w:cs="Microsoft YaHei"/>
          <w:sz w:val="36"/>
          <w:szCs w:val="36"/>
          <w:spacing w:val="-65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"/>
        </w:rPr>
        <w:t>ice</w:t>
      </w:r>
      <w:r>
        <w:rPr>
          <w:rFonts w:ascii="Microsoft YaHei" w:hAnsi="Microsoft YaHei" w:eastAsia="Microsoft YaHei" w:cs="Microsoft YaHei"/>
          <w:sz w:val="36"/>
          <w:szCs w:val="36"/>
          <w:spacing w:val="-7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"/>
        </w:rPr>
        <w:t>al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8"/>
        </w:rPr>
        <w:t>Wall</w:t>
      </w:r>
      <w:r>
        <w:rPr>
          <w:rFonts w:ascii="Microsoft YaHei" w:hAnsi="Microsoft YaHei" w:eastAsia="Microsoft YaHei" w:cs="Microsoft YaHei"/>
          <w:sz w:val="36"/>
          <w:szCs w:val="36"/>
          <w:spacing w:val="104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8"/>
        </w:rPr>
        <w:t>Flooding</w:t>
      </w:r>
      <w:r>
        <w:rPr>
          <w:rFonts w:ascii="Microsoft YaHei" w:hAnsi="Microsoft YaHei" w:eastAsia="Microsoft YaHei" w:cs="Microsoft YaHei"/>
          <w:sz w:val="36"/>
          <w:szCs w:val="36"/>
          <w:spacing w:val="8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8"/>
        </w:rPr>
        <w:t>Sign</w:t>
      </w:r>
      <w:r>
        <w:rPr>
          <w:rFonts w:ascii="Microsoft YaHei" w:hAnsi="Microsoft YaHei" w:eastAsia="Microsoft YaHei" w:cs="Microsoft YaHei"/>
          <w:sz w:val="36"/>
          <w:szCs w:val="36"/>
          <w:spacing w:val="80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8"/>
        </w:rPr>
        <w:t>for</w:t>
      </w:r>
      <w:r>
        <w:rPr>
          <w:rFonts w:ascii="Microsoft YaHei" w:hAnsi="Microsoft YaHei" w:eastAsia="Microsoft YaHei" w:cs="Microsoft YaHei"/>
          <w:sz w:val="36"/>
          <w:szCs w:val="36"/>
          <w:spacing w:val="88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18"/>
        </w:rPr>
        <w:t>Complica</w:t>
      </w:r>
      <w:r>
        <w:rPr>
          <w:rFonts w:ascii="Microsoft YaHei" w:hAnsi="Microsoft YaHei" w:eastAsia="Microsoft YaHei" w:cs="Microsoft YaHei"/>
          <w:sz w:val="36"/>
          <w:szCs w:val="36"/>
          <w:spacing w:val="17"/>
        </w:rPr>
        <w:t>ted</w:t>
      </w:r>
      <w:r>
        <w:rPr>
          <w:rFonts w:ascii="Microsoft YaHei" w:hAnsi="Microsoft YaHei" w:eastAsia="Microsoft YaHei" w:cs="Microsoft YaHei"/>
          <w:sz w:val="36"/>
          <w:szCs w:val="36"/>
        </w:rPr>
        <w:t xml:space="preserve"> </w:t>
      </w:r>
      <w:r>
        <w:rPr>
          <w:rFonts w:ascii="Microsoft YaHei" w:hAnsi="Microsoft YaHei" w:eastAsia="Microsoft YaHei" w:cs="Microsoft YaHei"/>
          <w:sz w:val="36"/>
          <w:szCs w:val="36"/>
          <w:spacing w:val="-6"/>
        </w:rPr>
        <w:t>Appendicitis*</w:t>
      </w:r>
    </w:p>
    <w:p>
      <w:pPr>
        <w:pStyle w:val="BodyText"/>
        <w:ind w:left="4305"/>
        <w:spacing w:before="114" w:line="39" w:lineRule="exact"/>
        <w:rPr>
          <w:sz w:val="12"/>
          <w:szCs w:val="12"/>
        </w:rPr>
      </w:pPr>
      <w:r>
        <w:rPr>
          <w:sz w:val="12"/>
          <w:szCs w:val="12"/>
          <w:position w:val="-5"/>
        </w:rPr>
        <w:t>*</w:t>
      </w:r>
    </w:p>
    <w:p>
      <w:pPr>
        <w:pStyle w:val="BodyText"/>
        <w:ind w:left="5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WU Lei, JI Dan, ZHANG Zhi-guo, LU Jian-dong, MAO Xu-ping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5"/>
        </w:rPr>
        <w:t>.</w:t>
      </w:r>
    </w:p>
    <w:p>
      <w:pPr>
        <w:pStyle w:val="BodyText"/>
        <w:ind w:left="15" w:right="4"/>
        <w:spacing w:before="28" w:line="212" w:lineRule="auto"/>
        <w:rPr>
          <w:sz w:val="19"/>
          <w:szCs w:val="19"/>
        </w:rPr>
      </w:pPr>
      <w:r>
        <w:rPr>
          <w:sz w:val="19"/>
          <w:szCs w:val="19"/>
          <w:spacing w:val="-5"/>
        </w:rPr>
        <w:t>Department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5"/>
        </w:rPr>
        <w:t>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5"/>
        </w:rPr>
        <w:t>Radiology,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Zhangjiagang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5"/>
        </w:rPr>
        <w:t>Hospita</w:t>
      </w:r>
      <w:r>
        <w:rPr>
          <w:sz w:val="19"/>
          <w:szCs w:val="19"/>
          <w:spacing w:val="-6"/>
        </w:rPr>
        <w:t>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6"/>
        </w:rPr>
        <w:t>of Traditional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6"/>
        </w:rPr>
        <w:t>Chinese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6"/>
        </w:rPr>
        <w:t>Medicine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6"/>
        </w:rPr>
        <w:t>(Zhangjiagang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Hospital Affiliated to Yangzhou University), Zhangjiagang 215600, Ji</w:t>
      </w:r>
      <w:r>
        <w:rPr>
          <w:sz w:val="19"/>
          <w:szCs w:val="19"/>
          <w:spacing w:val="-6"/>
        </w:rPr>
        <w:t>angsu Province, China</w:t>
      </w:r>
    </w:p>
    <w:p>
      <w:pPr>
        <w:pStyle w:val="BodyText"/>
        <w:ind w:left="3"/>
        <w:spacing w:before="219" w:line="178" w:lineRule="auto"/>
        <w:rPr/>
      </w:pPr>
      <w:r>
        <w:rPr>
          <w:b/>
          <w:bCs/>
          <w:spacing w:val="-7"/>
        </w:rPr>
        <w:t>ABSTRACT</w:t>
      </w:r>
    </w:p>
    <w:p>
      <w:pPr>
        <w:pStyle w:val="BodyText"/>
        <w:spacing w:before="10" w:line="3146" w:lineRule="exact"/>
        <w:rPr/>
      </w:pPr>
      <w:r>
        <w:rPr>
          <w:position w:val="-62"/>
        </w:rPr>
        <w:pict>
          <v:group id="_x0000_s12" style="mso-position-vertical-relative:line;mso-position-horizontal-relative:char;width:351.6pt;height:157.35pt;" filled="false" stroked="false" coordsize="7032,3147" coordorigin="0,0">
            <v:shape id="_x0000_s14" style="position:absolute;left:0;top:0;width:7032;height:3147;" fillcolor="#F0F1F1" filled="true" stroked="false" type="#_x0000_t202">
              <v:fill on="tru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4"/>
                      <w:spacing w:before="65" w:line="8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2619" cy="54292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2619" cy="542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5466" cy="55727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5466" cy="55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911"/>
                      <w:spacing w:before="122" w:line="88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2283" cy="55727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2283" cy="55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spacing w:val="2"/>
                        <w:position w:val="-2"/>
                      </w:rPr>
                      <w:t xml:space="preserve">  </w:t>
                    </w:r>
                    <w:r>
                      <w:rPr>
                        <w:sz w:val="21"/>
                        <w:szCs w:val="21"/>
                        <w:position w:val="-2"/>
                      </w:rPr>
                      <w:drawing>
                        <wp:inline distT="0" distB="0" distL="0" distR="0">
                          <wp:extent cx="55439" cy="55715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5439" cy="557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474"/>
                      <w:spacing w:line="87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7687" cy="55727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7687" cy="55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3780" cy="55726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3780" cy="5572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1042" cy="54991"/>
                          <wp:effectExtent l="0" t="0" r="0" b="0"/>
                          <wp:docPr id="14" name="IM 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1042" cy="549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977"/>
                      <w:spacing w:line="87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7653" cy="55041"/>
                          <wp:effectExtent l="0" t="0" r="0" b="0"/>
                          <wp:docPr id="16" name="IM 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" name="IM 16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653" cy="550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0732" cy="55664"/>
                          <wp:effectExtent l="0" t="0" r="0" b="0"/>
                          <wp:docPr id="18" name="IM 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" name="IM 18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0732" cy="5566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7678" cy="54991"/>
                          <wp:effectExtent l="0" t="0" r="0" b="0"/>
                          <wp:docPr id="20" name="IM 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0" name="IM 20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678" cy="549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9463" cy="55727"/>
                          <wp:effectExtent l="0" t="0" r="0" b="0"/>
                          <wp:docPr id="22" name="IM 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2" name="IM 22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9463" cy="55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7143" cy="55714"/>
                          <wp:effectExtent l="0" t="0" r="0" b="0"/>
                          <wp:docPr id="24" name="IM 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4" name="IM 24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143" cy="557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7653" cy="55041"/>
                          <wp:effectExtent l="0" t="0" r="0" b="0"/>
                          <wp:docPr id="26" name="IM 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6" name="IM 26"/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653" cy="5504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6" style="position:absolute;left:-18;top:9;width:7070;height:3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5"/>
                      <w:spacing w:before="23" w:line="216" w:lineRule="auto"/>
                      <w:jc w:val="both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-5"/>
                      </w:rPr>
                      <w:t>Objective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investigate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diagnostic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value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0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observing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ndiceal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flooding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sign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using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CT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plain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scan for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complicated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appendicitis.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-5"/>
                      </w:rPr>
                      <w:t>Methods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Retrosp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ective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analysis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114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patients with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surgically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pathologically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confirmed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acu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appendicitis,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including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31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complicated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appendicitis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83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cases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uncomplicated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appendicitis,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between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 xml:space="preserve"> July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1,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2020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December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31,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2022.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Preoperative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CT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imaging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examinations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including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appendiceal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flooding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sign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5"/>
                      </w:rPr>
                      <w:t>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diameter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>appendix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5"/>
                      </w:rPr>
                      <w:t>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abscess,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phlegmon,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extraluminal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air,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extraluminal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appendicolith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documented.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Univariate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multivariate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logistic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regression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analyses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used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evaluate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1"/>
                      </w:rPr>
                      <w:t>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elative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value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2"/>
                      </w:rPr>
                      <w:t>these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parameters 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potential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predictors of complicated appendicitis.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-5"/>
                      </w:rPr>
                      <w:t>Resu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-6"/>
                      </w:rPr>
                      <w:t>lts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Features significantly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related 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complicated appendicitis at uni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variate analysis were age (P=0.003), disease time(P=0.002), diameter 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appendix(P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6"/>
                        <w:position w:val="-1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0.001), the appendiceal wall flooding sign(P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6"/>
                        <w:position w:val="-1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0.001), phlegmon(P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6"/>
                        <w:position w:val="-1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0.001), and extra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7"/>
                      </w:rPr>
                      <w:t>luminal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air(P=0.001). At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multivariate analysis, the appendiceal wall flooding sign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(odds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ratio, 98.356,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</w:t>
                    </w:r>
                    <w:r>
                      <w:rPr>
                        <w:rFonts w:ascii="Microsoft YaHei" w:hAnsi="Microsoft YaHei" w:eastAsia="Microsoft YaHei" w:cs="Microsoft YaHei"/>
                        <w:sz w:val="18"/>
                        <w:szCs w:val="18"/>
                        <w:spacing w:val="-5"/>
                        <w:position w:val="-1"/>
                      </w:rPr>
                      <w:t>&lt;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0.001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6"/>
                      </w:rPr>
                      <w:t>),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as well as age (odds ratio,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1.069, P=0.014), were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independent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risk factors for complicated appendicitis.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appendiceal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flooding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sign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complicated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ppendicitis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showed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area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under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receiver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operating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characteristic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curve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0.894.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-4"/>
                      </w:rPr>
                      <w:t>Conclusion</w:t>
                    </w:r>
                    <w:r>
                      <w:rPr>
                        <w:rFonts w:ascii="Calibri" w:hAnsi="Calibri" w:eastAsia="Calibri" w:cs="Calibri"/>
                        <w:sz w:val="17"/>
                        <w:szCs w:val="17"/>
                        <w:i/>
                        <w:iCs/>
                        <w:spacing w:val="9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observation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th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appendiceal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wall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>flooding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4"/>
                      </w:rPr>
                      <w:t>sign by CT plain scan has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  <w:spacing w:val="-5"/>
                      </w:rPr>
                      <w:t xml:space="preserve"> important diagnostic value for complicated appendicitis.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8" w:right="9" w:firstLine="8"/>
        <w:spacing w:before="31" w:line="238" w:lineRule="auto"/>
        <w:rPr>
          <w:sz w:val="17"/>
          <w:szCs w:val="17"/>
        </w:rPr>
      </w:pPr>
      <w:r>
        <w:rPr>
          <w:sz w:val="17"/>
          <w:szCs w:val="17"/>
          <w:b/>
          <w:bCs/>
          <w:i/>
          <w:iCs/>
          <w:spacing w:val="2"/>
        </w:rPr>
        <w:t>Keywords:</w:t>
      </w:r>
      <w:r>
        <w:rPr>
          <w:sz w:val="17"/>
          <w:szCs w:val="17"/>
          <w:b/>
          <w:bCs/>
          <w:i/>
          <w:iCs/>
          <w:spacing w:val="24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2"/>
        </w:rPr>
        <w:t>Acute</w:t>
      </w:r>
      <w:r>
        <w:rPr>
          <w:sz w:val="17"/>
          <w:szCs w:val="17"/>
          <w:b/>
          <w:bCs/>
          <w:i/>
          <w:iCs/>
          <w:spacing w:val="33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2"/>
        </w:rPr>
        <w:t>Appendicitis;</w:t>
      </w:r>
      <w:r>
        <w:rPr>
          <w:sz w:val="17"/>
          <w:szCs w:val="17"/>
          <w:b/>
          <w:bCs/>
          <w:i/>
          <w:iCs/>
          <w:spacing w:val="37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2"/>
        </w:rPr>
        <w:t>Complicated</w:t>
      </w:r>
      <w:r>
        <w:rPr>
          <w:sz w:val="17"/>
          <w:szCs w:val="17"/>
          <w:b/>
          <w:bCs/>
          <w:i/>
          <w:iCs/>
          <w:spacing w:val="27"/>
        </w:rPr>
        <w:t xml:space="preserve"> </w:t>
      </w:r>
      <w:r>
        <w:rPr>
          <w:sz w:val="17"/>
          <w:szCs w:val="17"/>
          <w:b/>
          <w:bCs/>
          <w:i/>
          <w:iCs/>
          <w:spacing w:val="2"/>
        </w:rPr>
        <w:t>Appendiciti</w:t>
      </w:r>
      <w:r>
        <w:rPr>
          <w:sz w:val="17"/>
          <w:szCs w:val="17"/>
          <w:b/>
          <w:bCs/>
          <w:i/>
          <w:iCs/>
          <w:spacing w:val="1"/>
        </w:rPr>
        <w:t>s;</w:t>
      </w:r>
      <w:r>
        <w:rPr>
          <w:sz w:val="17"/>
          <w:szCs w:val="17"/>
          <w:b/>
          <w:bCs/>
          <w:i/>
          <w:iCs/>
          <w:spacing w:val="26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1"/>
        </w:rPr>
        <w:t>The</w:t>
      </w:r>
      <w:r>
        <w:rPr>
          <w:sz w:val="17"/>
          <w:szCs w:val="17"/>
          <w:b/>
          <w:bCs/>
          <w:i/>
          <w:iCs/>
          <w:spacing w:val="29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1"/>
        </w:rPr>
        <w:t>Appendiceal</w:t>
      </w:r>
      <w:r>
        <w:rPr>
          <w:sz w:val="17"/>
          <w:szCs w:val="17"/>
          <w:b/>
          <w:bCs/>
          <w:i/>
          <w:iCs/>
          <w:spacing w:val="24"/>
        </w:rPr>
        <w:t xml:space="preserve"> </w:t>
      </w:r>
      <w:r>
        <w:rPr>
          <w:sz w:val="17"/>
          <w:szCs w:val="17"/>
          <w:b/>
          <w:bCs/>
          <w:i/>
          <w:iCs/>
          <w:spacing w:val="1"/>
        </w:rPr>
        <w:t>Wall</w:t>
      </w:r>
      <w:r>
        <w:rPr>
          <w:sz w:val="17"/>
          <w:szCs w:val="17"/>
          <w:b/>
          <w:bCs/>
          <w:i/>
          <w:iCs/>
          <w:spacing w:val="32"/>
          <w:w w:val="101"/>
        </w:rPr>
        <w:t xml:space="preserve"> </w:t>
      </w:r>
      <w:r>
        <w:rPr>
          <w:sz w:val="17"/>
          <w:szCs w:val="17"/>
          <w:b/>
          <w:bCs/>
          <w:i/>
          <w:iCs/>
          <w:spacing w:val="1"/>
        </w:rPr>
        <w:t>Flooding</w:t>
      </w:r>
      <w:r>
        <w:rPr>
          <w:sz w:val="17"/>
          <w:szCs w:val="17"/>
          <w:b/>
          <w:bCs/>
          <w:i/>
          <w:iCs/>
          <w:spacing w:val="32"/>
          <w:w w:val="102"/>
        </w:rPr>
        <w:t xml:space="preserve"> </w:t>
      </w:r>
      <w:r>
        <w:rPr>
          <w:sz w:val="17"/>
          <w:szCs w:val="17"/>
          <w:b/>
          <w:bCs/>
          <w:i/>
          <w:iCs/>
          <w:spacing w:val="1"/>
        </w:rPr>
        <w:t>Sign;</w:t>
      </w:r>
      <w:r>
        <w:rPr>
          <w:sz w:val="17"/>
          <w:szCs w:val="17"/>
          <w:b/>
          <w:bCs/>
          <w:i/>
          <w:iCs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Tomography; X-ray</w:t>
      </w:r>
      <w:r>
        <w:rPr>
          <w:sz w:val="17"/>
          <w:szCs w:val="17"/>
          <w:b/>
          <w:bCs/>
          <w:i/>
          <w:iCs/>
          <w:spacing w:val="10"/>
        </w:rPr>
        <w:t xml:space="preserve"> </w:t>
      </w:r>
      <w:r>
        <w:rPr>
          <w:sz w:val="17"/>
          <w:szCs w:val="17"/>
          <w:b/>
          <w:bCs/>
          <w:i/>
          <w:iCs/>
          <w:spacing w:val="-3"/>
          <w:w w:val="96"/>
        </w:rPr>
        <w:t>Computed</w:t>
      </w:r>
    </w:p>
    <w:p>
      <w:pPr>
        <w:ind w:left="5" w:firstLine="375"/>
        <w:spacing w:before="185" w:line="1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急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性阑尾炎(acute</w:t>
      </w:r>
      <w:r>
        <w:rPr>
          <w:rFonts w:ascii="Microsoft YaHei" w:hAnsi="Microsoft YaHei" w:eastAsia="Microsoft YaHei" w:cs="Microsoft YaHei"/>
          <w:sz w:val="19"/>
          <w:szCs w:val="19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appendicitis，AA)是由于各种病因引起的阑尾腔内梗阻，导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粘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液分泌增加和细菌过度生长，引起阑尾管壁张力增高，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最终可能进展为阑尾坏死和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/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或潜在穿孔的一种阑尾疾病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0"/>
        </w:rPr>
        <w:t>[1]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，人群患病率达到6%</w:t>
      </w:r>
      <w:r>
        <w:rPr>
          <w:rFonts w:ascii="Microsoft YaHei" w:hAnsi="Microsoft YaHei" w:eastAsia="Microsoft YaHei" w:cs="Microsoft YaHei"/>
          <w:sz w:val="19"/>
          <w:szCs w:val="19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0"/>
        </w:rPr>
        <w:t>[2]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。在临床工作实践中，经常有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急性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阑尾炎患者因不愿接受手术等原因而要求保守治疗，其中有部分患者最终保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守治疗成功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而免于手术；但是，仍有部分患者因保守治疗失败而最终进行手术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，这部分患者可能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会因手术时机延误发生严重并发症而影响预后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[3]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。目前，对于非复杂性阑尾炎，临床上</w:t>
      </w:r>
      <w:r>
        <w:rPr>
          <w:rFonts w:ascii="Microsoft YaHei" w:hAnsi="Microsoft YaHei" w:eastAsia="Microsoft YaHei" w:cs="Microsoft YaHei"/>
          <w:sz w:val="19"/>
          <w:szCs w:val="19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常选择保守治疗，而对于复杂性阑尾炎，手术切除阑尾仍然是治疗的“金标准”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[4]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。因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此，预判急性阑尾炎的病理类型是制定急性阑尾炎治疗策略的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重要前提。本研究利用CT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平扫对114例急性阑尾炎患者的阑尾壁包埋征进行回顾性分析，旨在评价该征象对复杂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性阑尾炎的诊断价值。</w:t>
      </w:r>
    </w:p>
    <w:p>
      <w:pPr>
        <w:ind w:left="17"/>
        <w:spacing w:before="229" w:line="216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2"/>
          <w:position w:val="-2"/>
        </w:rPr>
        <w:t>1  资料与方法</w:t>
      </w:r>
    </w:p>
    <w:p>
      <w:pPr>
        <w:ind w:left="15" w:right="3" w:firstLine="1"/>
        <w:spacing w:before="40" w:line="17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1.1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4"/>
        </w:rPr>
        <w:t>一般患者资料 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本研究通过了张家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港市中医医院伦理委员会的批准，由于本研究系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回顾性研究，患者的知情同意权被放弃。</w:t>
      </w:r>
    </w:p>
    <w:p>
      <w:pPr>
        <w:ind w:left="6" w:right="5" w:firstLine="372"/>
        <w:spacing w:before="2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纳入标准：自2020年7月1日至202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2年12月31日来我院就诊并行手术治疗的急性阑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尾炎患者。排除标准：无有效CT检查资料患者；年龄小于14周岁患者； CT检查时间与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手术时间间隔超过6小时患者。</w:t>
      </w:r>
    </w:p>
    <w:p>
      <w:pPr>
        <w:ind w:left="5" w:right="2" w:firstLine="378"/>
        <w:spacing w:before="9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根据纳入标准纳入急性阑尾炎患者379例急性阑尾炎患者，其中，排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除无有效CT检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查资料患者53例(腹部以外的CT检查患者23例，仅扫描中、上腹部的CT检查患者11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例，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抗生素治疗后的CT检查患者4例，既往有腹部手术史患者9例，阑尾术后CT检查患者5例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和L5-S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1椎体内固定术后1例)；排除年龄小于14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周岁患者11例；排除CT检查时间与手术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时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间间隔超过6小时患者201例；排除上述病例后，将剩余114例患者纳入本研究中，其中，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男、女均为57例，年龄14~82周岁，平均(47.01±16.70)周岁，发病时间3~7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2小时。根据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Bhangu等人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[5]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对阑尾大体和镜下表现的描述，将这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些患者分为复杂性阑尾炎(坏疽或穿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  <w:w w:val="99"/>
        </w:rPr>
        <w:t>孔)31例和非复杂性阑尾炎83例(6例急性单纯性阑尾炎</w:t>
      </w:r>
      <w:r>
        <w:rPr>
          <w:rFonts w:ascii="Microsoft YaHei" w:hAnsi="Microsoft YaHei" w:eastAsia="Microsoft YaHei" w:cs="Microsoft YaHei"/>
          <w:sz w:val="19"/>
          <w:szCs w:val="19"/>
          <w:spacing w:val="-9"/>
          <w:w w:val="99"/>
        </w:rPr>
        <w:t>和77例急性化脓性阑尾炎)。</w:t>
      </w:r>
    </w:p>
    <w:p>
      <w:pPr>
        <w:ind w:left="6" w:right="3" w:firstLine="10"/>
        <w:spacing w:before="4" w:line="17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1.2</w:t>
      </w:r>
      <w:r>
        <w:rPr>
          <w:rFonts w:ascii="Microsoft YaHei" w:hAnsi="Microsoft YaHei" w:eastAsia="Microsoft YaHei" w:cs="Microsoft YaHei"/>
          <w:sz w:val="20"/>
          <w:szCs w:val="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5"/>
        </w:rPr>
        <w:t>CT扫描参数 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采用Somatom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-5"/>
        </w:rPr>
        <w:t>Deﬁnit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ion AS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64排128层CT扫描仪(德国)行全腹部平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扫。扫描范围从膈顶上2cm至耻骨联合平面，所有患者行腹部CT检查前，均经过3次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屏气训练，以保证图像质量达到诊断要求。扫描参数：管电压120Kv，管电流采用智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能毫安(参考毫安210mA)，准直0.6mm，螺距0.6，层厚2mm，层距2m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m，重建层厚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1.0mm，层间距0.5mm。</w:t>
      </w:r>
    </w:p>
    <w:p>
      <w:pPr>
        <w:ind w:left="16" w:right="3"/>
        <w:spacing w:before="2" w:line="174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1"/>
        </w:rPr>
        <w:t>1.3</w:t>
      </w:r>
      <w:r>
        <w:rPr>
          <w:rFonts w:ascii="Microsoft YaHei" w:hAnsi="Microsoft YaHei" w:eastAsia="Microsoft YaHei" w:cs="Microsoft YaHei"/>
          <w:sz w:val="20"/>
          <w:szCs w:val="20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图像分析 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在SIEMENS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SYNGO工作站(型号：syngoMMWP VE40A)采用多平面重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建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(multi-planer</w:t>
      </w:r>
      <w:r>
        <w:rPr>
          <w:rFonts w:ascii="Microsoft YaHei" w:hAnsi="Microsoft YaHei" w:eastAsia="Microsoft YaHei" w:cs="Microsoft YaHei"/>
          <w:sz w:val="19"/>
          <w:szCs w:val="19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reconstruction，MPR)和曲面重建(curve</w:t>
      </w:r>
      <w:r>
        <w:rPr>
          <w:rFonts w:ascii="Microsoft YaHei" w:hAnsi="Microsoft YaHei" w:eastAsia="Microsoft YaHei" w:cs="Microsoft YaHei"/>
          <w:sz w:val="19"/>
          <w:szCs w:val="19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planar</w:t>
      </w:r>
      <w:r>
        <w:rPr>
          <w:rFonts w:ascii="Microsoft YaHei" w:hAnsi="Microsoft YaHei" w:eastAsia="Microsoft YaHei" w:cs="Microsoft YaHei"/>
          <w:sz w:val="19"/>
          <w:szCs w:val="19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reconstruction，CPR)</w:t>
      </w:r>
    </w:p>
    <w:p>
      <w:pPr>
        <w:spacing w:line="174" w:lineRule="auto"/>
        <w:sectPr>
          <w:type w:val="continuous"/>
          <w:pgSz w:w="11906" w:h="16158"/>
          <w:pgMar w:top="236" w:right="677" w:bottom="0" w:left="337" w:header="0" w:footer="0" w:gutter="0"/>
          <w:cols w:equalWidth="0" w:num="2">
            <w:col w:w="3758" w:space="100"/>
            <w:col w:w="7034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ind w:left="254"/>
        <w:spacing w:before="42" w:line="182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5"/>
          <w:szCs w:val="15"/>
          <w:spacing w:val="-1"/>
        </w:rPr>
        <w:t>【第一作者】吴   磊，男，主任医师，主要研究方向：医学影像。E-mail：wuleipaper</w: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@126.com</w:t>
      </w:r>
    </w:p>
    <w:p>
      <w:pPr>
        <w:ind w:left="254"/>
        <w:spacing w:before="5" w:line="15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pict>
          <v:shape id="_x0000_s18" style="position:absolute;margin-left:4.30817pt;margin-top:6.09419pt;mso-position-vertical-relative:text;mso-position-horizontal-relative:text;width:168.95pt;height:12.5pt;z-index:251658240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rFonts w:ascii="Microsoft YaHei" w:hAnsi="Microsoft YaHei" w:eastAsia="Microsoft YaHei" w:cs="Microsoft YaHei"/>
          <w:sz w:val="15"/>
          <w:szCs w:val="15"/>
          <w:spacing w:val="-2"/>
        </w:rPr>
        <w:t>【通讯作者】茅旭平，男，主任医师，主要研究方向：医学影像。E-mail：maoxuping256@163</w:t>
      </w:r>
      <w:r>
        <w:rPr>
          <w:rFonts w:ascii="Microsoft YaHei" w:hAnsi="Microsoft YaHei" w:eastAsia="Microsoft YaHei" w:cs="Microsoft YaHei"/>
          <w:sz w:val="15"/>
          <w:szCs w:val="15"/>
          <w:spacing w:val="-3"/>
        </w:rPr>
        <w:t>.com</w:t>
      </w:r>
    </w:p>
    <w:p>
      <w:pPr>
        <w:spacing w:before="1" w:line="184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18"/>
          <w:szCs w:val="18"/>
          <w:b/>
          <w:bCs/>
          <w:spacing w:val="-7"/>
        </w:rPr>
        <w:t>154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·</w:t>
      </w:r>
    </w:p>
    <w:p>
      <w:pPr>
        <w:spacing w:line="184" w:lineRule="auto"/>
        <w:sectPr>
          <w:type w:val="continuous"/>
          <w:pgSz w:w="11906" w:h="16158"/>
          <w:pgMar w:top="236" w:right="677" w:bottom="0" w:left="337" w:header="0" w:footer="0" w:gutter="0"/>
          <w:cols w:equalWidth="0" w:num="1">
            <w:col w:w="10891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pStyle w:val="BodyText"/>
        <w:ind w:left="6390"/>
        <w:spacing w:before="26" w:line="186" w:lineRule="auto"/>
        <w:tabs>
          <w:tab w:val="left" w:pos="6584"/>
        </w:tabs>
        <w:rPr>
          <w:sz w:val="16"/>
          <w:szCs w:val="16"/>
        </w:rPr>
      </w:pPr>
      <w:r>
        <w:rPr>
          <w:sz w:val="16"/>
          <w:szCs w:val="16"/>
          <w:u w:val="single" w:color="auto"/>
        </w:rPr>
        <w:tab/>
      </w:r>
      <w:r>
        <w:rPr>
          <w:sz w:val="16"/>
          <w:szCs w:val="16"/>
          <w:u w:val="single" w:color="auto"/>
          <w:spacing w:val="-8"/>
        </w:rPr>
        <w:t>CHINESE JOURNAL OF CT AND</w:t>
      </w:r>
      <w:r>
        <w:rPr>
          <w:sz w:val="16"/>
          <w:szCs w:val="16"/>
          <w:u w:val="single" w:color="auto"/>
          <w:spacing w:val="8"/>
        </w:rPr>
        <w:t xml:space="preserve"> </w:t>
      </w:r>
      <w:r>
        <w:rPr>
          <w:sz w:val="16"/>
          <w:szCs w:val="16"/>
          <w:u w:val="single" w:color="auto"/>
          <w:spacing w:val="-8"/>
        </w:rPr>
        <w:t>MRI,</w:t>
      </w:r>
      <w:r>
        <w:rPr>
          <w:sz w:val="16"/>
          <w:szCs w:val="16"/>
          <w:u w:val="single" w:color="auto"/>
          <w:spacing w:val="9"/>
        </w:rPr>
        <w:t xml:space="preserve"> </w:t>
      </w:r>
      <w:r>
        <w:rPr>
          <w:sz w:val="16"/>
          <w:szCs w:val="16"/>
          <w:u w:val="single" w:color="auto"/>
          <w:spacing w:val="-8"/>
        </w:rPr>
        <w:t>DEC.</w:t>
      </w:r>
      <w:r>
        <w:rPr>
          <w:sz w:val="16"/>
          <w:szCs w:val="16"/>
          <w:u w:val="single" w:color="auto"/>
          <w:spacing w:val="4"/>
        </w:rPr>
        <w:t xml:space="preserve"> </w:t>
      </w:r>
      <w:r>
        <w:rPr>
          <w:sz w:val="16"/>
          <w:szCs w:val="16"/>
          <w:u w:val="single" w:color="auto"/>
          <w:spacing w:val="-8"/>
        </w:rPr>
        <w:t>2024, Vol.22,</w:t>
      </w:r>
      <w:r>
        <w:rPr>
          <w:sz w:val="16"/>
          <w:szCs w:val="16"/>
          <w:u w:val="single" w:color="auto"/>
          <w:spacing w:val="9"/>
        </w:rPr>
        <w:t xml:space="preserve"> </w:t>
      </w:r>
      <w:r>
        <w:rPr>
          <w:sz w:val="16"/>
          <w:szCs w:val="16"/>
          <w:u w:val="single" w:color="auto"/>
          <w:spacing w:val="-8"/>
        </w:rPr>
        <w:t>N</w:t>
      </w:r>
      <w:r>
        <w:rPr>
          <w:sz w:val="16"/>
          <w:szCs w:val="16"/>
          <w:u w:val="single" w:color="auto"/>
          <w:spacing w:val="-9"/>
        </w:rPr>
        <w:t>o.12 Total</w:t>
      </w:r>
      <w:r>
        <w:rPr>
          <w:sz w:val="16"/>
          <w:szCs w:val="16"/>
          <w:u w:val="single" w:color="auto"/>
          <w:spacing w:val="8"/>
        </w:rPr>
        <w:t xml:space="preserve"> </w:t>
      </w:r>
      <w:r>
        <w:rPr>
          <w:sz w:val="16"/>
          <w:szCs w:val="16"/>
          <w:u w:val="single" w:color="auto"/>
          <w:spacing w:val="-9"/>
        </w:rPr>
        <w:t>No.182</w:t>
      </w:r>
    </w:p>
    <w:p>
      <w:pPr>
        <w:spacing w:before="34"/>
        <w:rPr/>
      </w:pPr>
      <w:r/>
    </w:p>
    <w:p>
      <w:pPr>
        <w:sectPr>
          <w:pgSz w:w="11906" w:h="16158"/>
          <w:pgMar w:top="247" w:right="251" w:bottom="0" w:left="424" w:header="0" w:footer="0" w:gutter="0"/>
          <w:cols w:equalWidth="0" w:num="1">
            <w:col w:w="11231" w:space="0"/>
          </w:cols>
        </w:sectPr>
        <w:rPr/>
      </w:pPr>
    </w:p>
    <w:p>
      <w:pPr>
        <w:ind w:left="261" w:right="130" w:firstLine="3"/>
        <w:spacing w:before="37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方法进行图像后处理，完整地显示阑尾，由2名医师(急腹症影像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诊断经验均10年以上)在重组图像上分别观察并记录阑尾壁包埋征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和阑尾外径；根据Horrow等人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[6]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的研究结果，2名医师还对蜂窝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织炎、脓肿、阑尾腔外气体和阑尾腔外粪石进行了观察并记录。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由于本研究观察CT平扫征象，因此，阑尾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壁强化缺损征象并未纳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入。测量数据取两者的平均值，意见不统一时讨论达成一致。</w:t>
      </w:r>
    </w:p>
    <w:p>
      <w:pPr>
        <w:ind w:left="263" w:right="130" w:firstLine="370"/>
        <w:spacing w:before="7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CT征象描述如下：(1)阑尾壁包埋征：阑尾壁局部正常结构模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糊不清、密度减低，与周围渗出物分界不清。(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2)阑尾外径：测量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阑尾走行区最宽处阑尾外壁到对侧外壁之间的距离，单位为毫米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(mm)。(3)蜂窝织炎：</w:t>
      </w:r>
      <w:r>
        <w:rPr>
          <w:rFonts w:ascii="Microsoft YaHei" w:hAnsi="Microsoft YaHei" w:eastAsia="Microsoft YaHei" w:cs="Microsoft YaHei"/>
          <w:sz w:val="19"/>
          <w:szCs w:val="19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阑尾周围脂肪表现为弥漫的、密度增高，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并伴有边界不清的液体聚集。(4)脓肿：阑尾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周围边界清晰、厚壁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的液体密度影，内常见气体。(5)阑尾腔外气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体：阑尾腔外游离气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体密度影。(窗宽：500，窗位：-100；必要时适当调整)；(6)阑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尾腔外粪石：阑尾腔外高密度影。</w:t>
      </w:r>
    </w:p>
    <w:p>
      <w:pPr>
        <w:ind w:left="263" w:right="131" w:firstLine="10"/>
        <w:spacing w:before="8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1.4</w:t>
      </w:r>
      <w:r>
        <w:rPr>
          <w:rFonts w:ascii="Microsoft YaHei" w:hAnsi="Microsoft YaHei" w:eastAsia="Microsoft YaHei" w:cs="Microsoft YaHei"/>
          <w:sz w:val="20"/>
          <w:szCs w:val="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统计学方法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采用SPSS 25.0软件进行统计分析。计量资料以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均数±标准差或者中位数(上四分位数，下四分位数)表示，主要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统计指标均进行正态性和方差齐性检验，符合正态分布的资料两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组间比较采用独立样本t检验；非正态分布的资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料采用非参数秩和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检验，即Mann-Whitney</w:t>
      </w:r>
      <w:r>
        <w:rPr>
          <w:rFonts w:ascii="Microsoft YaHei" w:hAnsi="Microsoft YaHei" w:eastAsia="Microsoft YaHei" w:cs="Microsoft YaHei"/>
          <w:sz w:val="19"/>
          <w:szCs w:val="19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U检验；计数资料以频数或率表示，两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组间比较采用卡方检验或者连续校正卡方检验；采用二元logistic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回归模型进行单因素和多因素分析，并绘制ROC曲线。所有统计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学分析以P&lt;0.05为差异有统计学意义。</w:t>
      </w:r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/>
        <w:spacing w:before="40" w:line="214" w:lineRule="exact"/>
        <w:outlineLvl w:val="0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5"/>
        </w:rPr>
        <w:t>2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5"/>
        </w:rPr>
        <w:t xml:space="preserve">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5"/>
        </w:rPr>
        <w:t>结    果</w:t>
      </w:r>
    </w:p>
    <w:p>
      <w:pPr>
        <w:ind w:right="314" w:firstLine="1"/>
        <w:spacing w:before="36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2.1</w:t>
      </w:r>
      <w:r>
        <w:rPr>
          <w:rFonts w:ascii="Microsoft YaHei" w:hAnsi="Microsoft YaHei" w:eastAsia="Microsoft YaHei" w:cs="Microsoft YaHei"/>
          <w:sz w:val="20"/>
          <w:szCs w:val="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患者基本特征和CT征象</w:t>
      </w:r>
      <w:r>
        <w:rPr>
          <w:rFonts w:ascii="Microsoft YaHei" w:hAnsi="Microsoft YaHei" w:eastAsia="Microsoft YaHei" w:cs="Microsoft YaHei"/>
          <w:sz w:val="20"/>
          <w:szCs w:val="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6"/>
        </w:rPr>
        <w:t>比较结果 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这114名患者中，复杂性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阑尾炎组和非复杂性阑尾炎组患者的年龄(t=3.25，P=0.002)和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发病时间(z=-2.85，P=0.004)差异均具有统计学意义；但是，男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女比例( </w:t>
      </w:r>
      <w:r>
        <w:rPr>
          <w:rFonts w:ascii="SimSun" w:hAnsi="SimSun" w:eastAsia="SimSun" w:cs="SimSun"/>
          <w:sz w:val="18"/>
          <w:szCs w:val="18"/>
          <w:spacing w:val="-11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=3.59，P=0.058)和白细胞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计数(t=1.84，P=0.068)差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异均无统计学意义。阑尾壁包埋征( </w:t>
      </w:r>
      <w:r>
        <w:rPr>
          <w:rFonts w:ascii="SimSun" w:hAnsi="SimSun" w:eastAsia="SimSun" w:cs="SimSun"/>
          <w:sz w:val="18"/>
          <w:szCs w:val="18"/>
          <w:spacing w:val="-7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7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=59.95，P&lt;0.001)(图1)、</w:t>
      </w:r>
      <w:r>
        <w:rPr>
          <w:rFonts w:ascii="Microsoft YaHei" w:hAnsi="Microsoft YaHei" w:eastAsia="Microsoft YaHei" w:cs="Microsoft YaHei"/>
          <w:sz w:val="19"/>
          <w:szCs w:val="19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阑尾外径(t=6.07，P&lt;0.001)、蜂窝织炎( </w:t>
      </w:r>
      <w:r>
        <w:rPr>
          <w:rFonts w:ascii="SimSun" w:hAnsi="SimSun" w:eastAsia="SimSun" w:cs="SimSun"/>
          <w:sz w:val="18"/>
          <w:szCs w:val="18"/>
          <w:spacing w:val="-8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6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=31.16，P&lt;0.001)和</w:t>
      </w:r>
      <w:r>
        <w:rPr>
          <w:rFonts w:ascii="Microsoft YaHei" w:hAnsi="Microsoft YaHei" w:eastAsia="Microsoft YaHei" w:cs="Microsoft YaHei"/>
          <w:sz w:val="19"/>
          <w:szCs w:val="19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阑尾腔外气体(连续校正 </w:t>
      </w:r>
      <w:r>
        <w:rPr>
          <w:rFonts w:ascii="SimSun" w:hAnsi="SimSun" w:eastAsia="SimSun" w:cs="SimSun"/>
          <w:sz w:val="18"/>
          <w:szCs w:val="18"/>
          <w:spacing w:val="-6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=21.52，P&lt;0.001)差异均具有统计学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意义；但是，脓肿(连续校正 </w:t>
      </w:r>
      <w:r>
        <w:rPr>
          <w:rFonts w:ascii="SimSun" w:hAnsi="SimSun" w:eastAsia="SimSun" w:cs="SimSun"/>
          <w:sz w:val="18"/>
          <w:szCs w:val="18"/>
          <w:spacing w:val="-8"/>
        </w:rPr>
        <w:t>χ</w:t>
      </w:r>
      <w:r>
        <w:rPr>
          <w:rFonts w:ascii="Microsoft YaHei" w:hAnsi="Microsoft YaHei" w:eastAsia="Microsoft YaHei" w:cs="Microsoft YaHei"/>
          <w:sz w:val="11"/>
          <w:szCs w:val="11"/>
          <w:spacing w:val="-8"/>
          <w:position w:val="10"/>
        </w:rPr>
        <w:t>2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=2.35，P=0.125)和阑尾腔外粪石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(连续校正2=2.35，P=0.125)差异均无统计学意义(表1)。非复杂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性阑尾炎(急性化脓性阑尾炎)的CT图像及病理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显微结构见图2。</w:t>
      </w:r>
    </w:p>
    <w:p>
      <w:pPr>
        <w:ind w:left="1" w:right="314"/>
        <w:spacing w:before="10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10"/>
        </w:rPr>
        <w:t>2.2 单因素和多因素分析结果 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在单因素分析中，所有自变量之间</w:t>
      </w:r>
      <w:r>
        <w:rPr>
          <w:rFonts w:ascii="Microsoft YaHei" w:hAnsi="Microsoft YaHei" w:eastAsia="Microsoft YaHei" w:cs="Microsoft YaHei"/>
          <w:sz w:val="19"/>
          <w:szCs w:val="19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均未发现多重共线性。在单因素分析结果中，与复杂性阑尾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炎显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著相关的危险因素有：年龄(P=0.003)、发病时间(P=0.002)、阑尾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外径(P&lt;0.001)、阑尾壁包埋征(P&lt;0.00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1)、蜂窝织炎(P&lt;0.001)及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阑尾腔外气体(P=0.001)；但是，白细胞计数(P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=0.73)和男女比例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(P=0.061)与复杂性阑尾炎无显著相关。然而，在多因素分析结果</w:t>
      </w:r>
      <w:r>
        <w:rPr>
          <w:rFonts w:ascii="Microsoft YaHei" w:hAnsi="Microsoft YaHei" w:eastAsia="Microsoft YaHei" w:cs="Microsoft YaHei"/>
          <w:sz w:val="19"/>
          <w:szCs w:val="19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中，只有阑尾壁包埋征(OR=98.356，95%CI：9.030~1071.3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58，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P&lt;0.001)和年龄(OR=1.069，95%CI：1.014~1.128，P=0.014)是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复杂性阑尾炎的独立危险因素(表2)。Hosmer-Lemeshow检验的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显著性水平为0.752，表明模型具有可接受的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拟合优度。</w:t>
      </w:r>
    </w:p>
    <w:p>
      <w:pPr>
        <w:ind w:left="1" w:right="315"/>
        <w:spacing w:before="1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2.3</w:t>
      </w:r>
      <w:r>
        <w:rPr>
          <w:rFonts w:ascii="Microsoft YaHei" w:hAnsi="Microsoft YaHei" w:eastAsia="Microsoft YaHei" w:cs="Microsoft YaHei"/>
          <w:sz w:val="20"/>
          <w:szCs w:val="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ROC</w:t>
      </w:r>
      <w:r>
        <w:rPr>
          <w:rFonts w:ascii="Microsoft YaHei" w:hAnsi="Microsoft YaHei" w:eastAsia="Microsoft YaHei" w:cs="Microsoft YaHei"/>
          <w:sz w:val="20"/>
          <w:szCs w:val="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7"/>
        </w:rPr>
        <w:t>曲线结果</w:t>
      </w:r>
      <w:r>
        <w:rPr>
          <w:rFonts w:ascii="Microsoft YaHei" w:hAnsi="Microsoft YaHei" w:eastAsia="Microsoft YaHei" w:cs="Microsoft YaHei"/>
          <w:sz w:val="20"/>
          <w:szCs w:val="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阑尾壁包埋征用于复杂性阑尾炎诊断中AUC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曲线下面积为0.894(95%CI：0.826~0.963,</w:t>
      </w:r>
      <w:r>
        <w:rPr>
          <w:rFonts w:ascii="Microsoft YaHei" w:hAnsi="Microsoft YaHei" w:eastAsia="Microsoft YaHei" w:cs="Microsoft YaHei"/>
          <w:sz w:val="19"/>
          <w:szCs w:val="19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P&lt;0.001)，诊断敏感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度为93.3%，特异性为85.5%(图3)。</w:t>
      </w:r>
    </w:p>
    <w:p>
      <w:pPr>
        <w:spacing w:line="177" w:lineRule="auto"/>
        <w:sectPr>
          <w:type w:val="continuous"/>
          <w:pgSz w:w="11906" w:h="16158"/>
          <w:pgMar w:top="247" w:right="251" w:bottom="0" w:left="424" w:header="0" w:footer="0" w:gutter="0"/>
          <w:cols w:equalWidth="0" w:num="2">
            <w:col w:w="5605" w:space="100"/>
            <w:col w:w="5526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36" w:lineRule="auto"/>
        <w:rPr>
          <w:rFonts w:ascii="Arial"/>
          <w:sz w:val="21"/>
        </w:rPr>
      </w:pPr>
      <w:r/>
    </w:p>
    <w:p>
      <w:pPr>
        <w:ind w:firstLine="727"/>
        <w:spacing w:line="3077" w:lineRule="exact"/>
        <w:rPr/>
      </w:pPr>
      <w:r>
        <w:pict>
          <v:group id="_x0000_s20" style="position:absolute;margin-left:107.503pt;margin-top:63.7602pt;mso-position-vertical-relative:text;mso-position-horizontal-relative:text;width:11.9pt;height:11.8pt;z-index:251679744;" filled="false" stroked="false" coordsize="237,236" coordorigin="0,0">
            <v:shape id="_x0000_s22" style="position:absolute;left:0;top:0;width:237;height:236;" filled="false" stroked="false" type="#_x0000_t75">
              <v:imagedata o:title="" r:id="rId14"/>
            </v:shape>
            <v:shape id="_x0000_s24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5"/>
                      <w:spacing w:before="90" w:line="16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7"/>
                      </w:rPr>
                      <w:t>1A</w:t>
                    </w:r>
                  </w:p>
                </w:txbxContent>
              </v:textbox>
            </v:shape>
          </v:group>
        </w:pict>
      </w:r>
      <w:r>
        <w:pict>
          <v:group id="_x0000_s26" style="position:absolute;margin-left:192.604pt;margin-top:63.7602pt;mso-position-vertical-relative:text;mso-position-horizontal-relative:text;width:11.9pt;height:11.8pt;z-index:251677696;" filled="false" stroked="false" coordsize="237,236" coordorigin="0,0">
            <v:shape id="_x0000_s28" style="position:absolute;left:0;top:0;width:237;height:236;" filled="false" stroked="false" type="#_x0000_t75">
              <v:imagedata o:title="" r:id="rId15"/>
            </v:shape>
            <v:shape id="_x0000_s30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2"/>
                      <w:spacing w:before="90" w:line="16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3"/>
                      </w:rPr>
                      <w:t>1B</w:t>
                    </w:r>
                  </w:p>
                </w:txbxContent>
              </v:textbox>
            </v:shape>
          </v:group>
        </w:pict>
      </w:r>
      <w:r>
        <w:pict>
          <v:group id="_x0000_s32" style="position:absolute;margin-left:277.582pt;margin-top:63.7602pt;mso-position-vertical-relative:text;mso-position-horizontal-relative:text;width:11.9pt;height:11.8pt;z-index:251673600;" filled="false" stroked="false" coordsize="237,236" coordorigin="0,0">
            <v:shape id="_x0000_s34" style="position:absolute;left:0;top:0;width:237;height:236;" filled="false" stroked="false" type="#_x0000_t75">
              <v:imagedata o:title="" r:id="rId16"/>
            </v:shape>
            <v:shape id="_x0000_s36" style="position:absolute;left:-20;top:-20;width:277;height: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3"/>
                      <w:spacing w:before="89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5"/>
                      </w:rPr>
                      <w:t>1C</w:t>
                    </w:r>
                  </w:p>
                </w:txbxContent>
              </v:textbox>
            </v:shape>
          </v:group>
        </w:pict>
      </w:r>
      <w:r>
        <w:pict>
          <v:group id="_x0000_s38" style="position:absolute;margin-left:362.515pt;margin-top:63.7602pt;mso-position-vertical-relative:text;mso-position-horizontal-relative:text;width:11.9pt;height:11.8pt;z-index:251667456;" filled="false" stroked="false" coordsize="237,236" coordorigin="0,0">
            <v:shape id="_x0000_s40" style="position:absolute;left:0;top:0;width:237;height:236;" filled="false" stroked="false" type="#_x0000_t75">
              <v:imagedata o:title="" r:id="rId17"/>
            </v:shape>
            <v:shape id="_x0000_s42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90" w:line="168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6"/>
                      </w:rPr>
                      <w:t>1D</w:t>
                    </w:r>
                  </w:p>
                </w:txbxContent>
              </v:textbox>
            </v:shape>
          </v:group>
        </w:pict>
      </w:r>
      <w:r>
        <w:pict>
          <v:group id="_x0000_s44" style="position:absolute;margin-left:107.503pt;margin-top:141.386pt;mso-position-vertical-relative:text;mso-position-horizontal-relative:text;width:11.9pt;height:11.8pt;z-index:251680768;" filled="false" stroked="false" coordsize="237,236" coordorigin="0,0">
            <v:shape id="_x0000_s46" style="position:absolute;left:0;top:0;width:237;height:236;" filled="false" stroked="false" type="#_x0000_t75">
              <v:imagedata o:title="" r:id="rId18"/>
            </v:shape>
            <v:shape id="_x0000_s48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89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5"/>
                      </w:rPr>
                      <w:t>2A</w:t>
                    </w:r>
                  </w:p>
                </w:txbxContent>
              </v:textbox>
            </v:shape>
          </v:group>
        </w:pict>
      </w:r>
      <w:r>
        <w:pict>
          <v:group id="_x0000_s50" style="position:absolute;margin-left:192.604pt;margin-top:141.386pt;mso-position-vertical-relative:text;mso-position-horizontal-relative:text;width:11.9pt;height:11.8pt;z-index:251671552;" filled="false" stroked="false" coordsize="237,236" coordorigin="0,0">
            <v:shape id="_x0000_s52" style="position:absolute;left:0;top:0;width:237;height:236;" filled="false" stroked="false" type="#_x0000_t75">
              <v:imagedata o:title="" r:id="rId19"/>
            </v:shape>
            <v:shape id="_x0000_s54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6"/>
                      <w:spacing w:before="89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2"/>
                      </w:rPr>
                      <w:t>2B</w:t>
                    </w:r>
                  </w:p>
                </w:txbxContent>
              </v:textbox>
            </v:shape>
          </v:group>
        </w:pict>
      </w:r>
      <w:r>
        <w:pict>
          <v:group id="_x0000_s56" style="position:absolute;margin-left:277.582pt;margin-top:141.386pt;mso-position-vertical-relative:text;mso-position-horizontal-relative:text;width:11.9pt;height:11.8pt;z-index:251669504;" filled="false" stroked="false" coordsize="237,236" coordorigin="0,0">
            <v:shape id="_x0000_s58" style="position:absolute;left:0;top:0;width:237;height:236;" filled="false" stroked="false" type="#_x0000_t75">
              <v:imagedata o:title="" r:id="rId20"/>
            </v:shape>
            <v:shape id="_x0000_s60" style="position:absolute;left:-20;top:-20;width:277;height:32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7"/>
                      <w:spacing w:before="89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4"/>
                      </w:rPr>
                      <w:t>2C</w:t>
                    </w:r>
                  </w:p>
                </w:txbxContent>
              </v:textbox>
            </v:shape>
          </v:group>
        </w:pict>
      </w:r>
      <w:r>
        <w:pict>
          <v:group id="_x0000_s62" style="position:absolute;margin-left:362.515pt;margin-top:141.386pt;mso-position-vertical-relative:text;mso-position-horizontal-relative:text;width:11.9pt;height:11.8pt;z-index:251668480;" filled="false" stroked="false" coordsize="237,236" coordorigin="0,0">
            <v:shape id="_x0000_s64" style="position:absolute;left:0;top:0;width:237;height:236;" filled="false" stroked="false" type="#_x0000_t75">
              <v:imagedata o:title="" r:id="rId21"/>
            </v:shape>
            <v:shape id="_x0000_s66" style="position:absolute;left:-20;top:-20;width:277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5"/>
                      <w:spacing w:before="89" w:line="170" w:lineRule="auto"/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2"/>
                        <w:szCs w:val="12"/>
                        <w:color w:val="FFFFFF"/>
                        <w:spacing w:val="-5"/>
                      </w:rPr>
                      <w:t>2D</w:t>
                    </w:r>
                  </w:p>
                </w:txbxContent>
              </v:textbox>
            </v:shape>
          </v:group>
        </w:pict>
      </w:r>
      <w:r>
        <w:pict>
          <v:group id="_x0000_s68" style="position:absolute;margin-left:502.227pt;margin-top:141.386pt;mso-position-vertical-relative:text;mso-position-horizontal-relative:text;width:11.9pt;height:11.8pt;z-index:251665408;" filled="false" stroked="false" coordsize="237,236" coordorigin="0,0">
            <v:shape id="_x0000_s70" style="position:absolute;left:0;top:0;width:237;height:236;" filled="false" stroked="false" type="#_x0000_t75">
              <v:imagedata o:title="" r:id="rId22"/>
            </v:shape>
            <v:shape id="_x0000_s72" style="position:absolute;left:-20;top:-20;width:277;height:3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71" w:line="170" w:lineRule="auto"/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4"/>
                        <w:szCs w:val="14"/>
                        <w:color w:val="FFFFFF"/>
                      </w:rPr>
                      <w:t>3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2437074</wp:posOffset>
            </wp:positionH>
            <wp:positionV relativeFrom="paragraph">
              <wp:posOffset>800756</wp:posOffset>
            </wp:positionV>
            <wp:extent cx="168744" cy="167373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3516290</wp:posOffset>
            </wp:positionH>
            <wp:positionV relativeFrom="paragraph">
              <wp:posOffset>800756</wp:posOffset>
            </wp:positionV>
            <wp:extent cx="168744" cy="167373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4594939</wp:posOffset>
            </wp:positionH>
            <wp:positionV relativeFrom="paragraph">
              <wp:posOffset>800756</wp:posOffset>
            </wp:positionV>
            <wp:extent cx="168744" cy="167373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1356288</wp:posOffset>
            </wp:positionH>
            <wp:positionV relativeFrom="paragraph">
              <wp:posOffset>800756</wp:posOffset>
            </wp:positionV>
            <wp:extent cx="168744" cy="167373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2437074</wp:posOffset>
            </wp:positionH>
            <wp:positionV relativeFrom="paragraph">
              <wp:posOffset>1786606</wp:posOffset>
            </wp:positionV>
            <wp:extent cx="168744" cy="167373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3516290</wp:posOffset>
            </wp:positionH>
            <wp:positionV relativeFrom="paragraph">
              <wp:posOffset>1786606</wp:posOffset>
            </wp:positionV>
            <wp:extent cx="168744" cy="167373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4594939</wp:posOffset>
            </wp:positionH>
            <wp:positionV relativeFrom="paragraph">
              <wp:posOffset>1786606</wp:posOffset>
            </wp:positionV>
            <wp:extent cx="168744" cy="167373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1356288</wp:posOffset>
            </wp:positionH>
            <wp:positionV relativeFrom="paragraph">
              <wp:posOffset>1786606</wp:posOffset>
            </wp:positionV>
            <wp:extent cx="168744" cy="167373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6369288</wp:posOffset>
            </wp:positionH>
            <wp:positionV relativeFrom="paragraph">
              <wp:posOffset>1786606</wp:posOffset>
            </wp:positionV>
            <wp:extent cx="168744" cy="167373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44" cy="167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4871694</wp:posOffset>
            </wp:positionH>
            <wp:positionV relativeFrom="paragraph">
              <wp:posOffset>157398</wp:posOffset>
            </wp:positionV>
            <wp:extent cx="1692639" cy="1613699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92639" cy="1613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61"/>
        </w:rPr>
        <w:drawing>
          <wp:inline distT="0" distB="0" distL="0" distR="0">
            <wp:extent cx="4301994" cy="195372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01994" cy="195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87" w:right="903" w:hanging="737"/>
        <w:spacing w:before="183" w:line="222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</w:rPr>
        <w:t>图1A-图1D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</w:rPr>
        <w:t>男性，74岁，阑尾壁局部正常结构模糊不清、密度减低，与周围渗出物分界不清(细箭</w:t>
      </w:r>
      <w:r>
        <w:rPr>
          <w:rFonts w:ascii="FangSong" w:hAnsi="FangSong" w:eastAsia="FangSong" w:cs="FangSong"/>
          <w:sz w:val="15"/>
          <w:szCs w:val="15"/>
          <w:spacing w:val="-1"/>
        </w:rPr>
        <w:t>)(1A冠状位、1B轴位)。病理显微镜下显示阑尾壁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1"/>
        </w:rPr>
        <w:t>正常结构破坏(1C)，固有肌层中肌纤维束破裂、溶解，大量中性粒细胞和慢性淋巴细胞浸润(1D)，提示阑尾坏疽/穿孔。</w:t>
      </w:r>
    </w:p>
    <w:p>
      <w:pPr>
        <w:ind w:left="1482" w:right="903" w:hanging="732"/>
        <w:spacing w:before="1" w:line="221" w:lineRule="auto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</w:rPr>
        <w:t>图2A-图2D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</w:rPr>
        <w:t>女性，44岁，阑尾壁正常结构完整，呈稍高密度，与周围渗出物分界清晰(细箭)(2</w:t>
      </w:r>
      <w:r>
        <w:rPr>
          <w:rFonts w:ascii="FangSong" w:hAnsi="FangSong" w:eastAsia="FangSong" w:cs="FangSong"/>
          <w:sz w:val="15"/>
          <w:szCs w:val="15"/>
          <w:spacing w:val="-1"/>
        </w:rPr>
        <w:t>A冠状位、2B轴位)。病理显微镜下显示阑尾壁正常结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</w:rPr>
        <w:t>构存在(2C)，固有肌层中虽然有部分中性粒细胞和慢性淋巴细胞浸润，但是正常肌纤维束结构仍然存在(2D)，病理结果</w:t>
      </w:r>
      <w:r>
        <w:rPr>
          <w:rFonts w:ascii="FangSong" w:hAnsi="FangSong" w:eastAsia="FangSong" w:cs="FangSong"/>
          <w:sz w:val="15"/>
          <w:szCs w:val="15"/>
          <w:spacing w:val="-1"/>
        </w:rPr>
        <w:t>为急性化脓性阑</w:t>
      </w:r>
      <w:r>
        <w:rPr>
          <w:rFonts w:ascii="FangSong" w:hAnsi="FangSong" w:eastAsia="FangSong" w:cs="FangSong"/>
          <w:sz w:val="15"/>
          <w:szCs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9"/>
        </w:rPr>
        <w:t>尾炎。</w:t>
      </w:r>
    </w:p>
    <w:p>
      <w:pPr>
        <w:ind w:left="750"/>
        <w:spacing w:line="217" w:lineRule="auto"/>
        <w:outlineLvl w:val="1"/>
        <w:rPr>
          <w:rFonts w:ascii="FangSong" w:hAnsi="FangSong" w:eastAsia="FangSong" w:cs="FangSong"/>
          <w:sz w:val="15"/>
          <w:szCs w:val="15"/>
        </w:rPr>
      </w:pPr>
      <w:r>
        <w:rPr>
          <w:rFonts w:ascii="FangSong" w:hAnsi="FangSong" w:eastAsia="FangSong" w:cs="FangSong"/>
          <w:sz w:val="15"/>
          <w:szCs w:val="15"/>
          <w:spacing w:val="-5"/>
        </w:rPr>
        <w:t>图3</w:t>
      </w:r>
      <w:r>
        <w:rPr>
          <w:rFonts w:ascii="FangSong" w:hAnsi="FangSong" w:eastAsia="FangSong" w:cs="FangSong"/>
          <w:sz w:val="15"/>
          <w:szCs w:val="15"/>
          <w:spacing w:val="-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5"/>
        </w:rPr>
        <w:t>ROC曲线结果。</w:t>
      </w:r>
    </w:p>
    <w:p>
      <w:pPr>
        <w:ind w:left="4233"/>
        <w:spacing w:before="104" w:line="174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表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1 患者基本特征和CT征象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6"/>
        </w:rPr>
        <w:t>比较结果</w:t>
      </w:r>
    </w:p>
    <w:p>
      <w:pPr>
        <w:spacing w:line="2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601" w:type="dxa"/>
        <w:tblInd w:w="27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474"/>
        <w:gridCol w:w="1486"/>
        <w:gridCol w:w="1655"/>
        <w:gridCol w:w="986"/>
      </w:tblGrid>
      <w:tr>
        <w:trPr>
          <w:trHeight w:val="307" w:hRule="atLeast"/>
        </w:trPr>
        <w:tc>
          <w:tcPr>
            <w:tcW w:w="1474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41" w:type="dxa"/>
            <w:vAlign w:val="top"/>
            <w:gridSpan w:val="2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159"/>
              <w:spacing w:before="78" w:line="186" w:lineRule="auto"/>
              <w:rPr/>
            </w:pPr>
            <w:r>
              <w:rPr>
                <w:spacing w:val="-10"/>
              </w:rPr>
              <w:t>人数(n=114)</w:t>
            </w:r>
          </w:p>
        </w:tc>
        <w:tc>
          <w:tcPr>
            <w:tcW w:w="986" w:type="dxa"/>
            <w:vAlign w:val="top"/>
            <w:vMerge w:val="restart"/>
            <w:tcBorders>
              <w:bottom w:val="nil"/>
              <w:top w:val="single" w:color="000000" w:sz="6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7"/>
              <w:spacing w:before="69" w:line="176" w:lineRule="auto"/>
              <w:rPr/>
            </w:pPr>
            <w:r>
              <w:rPr>
                <w:spacing w:val="-4"/>
              </w:rPr>
              <w:t>P值</w:t>
            </w:r>
          </w:p>
        </w:tc>
      </w:tr>
      <w:tr>
        <w:trPr>
          <w:trHeight w:val="308" w:hRule="atLeast"/>
        </w:trPr>
        <w:tc>
          <w:tcPr>
            <w:tcW w:w="1474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86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50"/>
              <w:spacing w:before="72" w:line="186" w:lineRule="auto"/>
              <w:rPr/>
            </w:pPr>
            <w:r>
              <w:rPr>
                <w:spacing w:val="-9"/>
              </w:rPr>
              <w:t>复杂性阑尾炎(n=31)</w:t>
            </w:r>
          </w:p>
        </w:tc>
        <w:tc>
          <w:tcPr>
            <w:tcW w:w="1655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right="10"/>
              <w:spacing w:before="72" w:line="186" w:lineRule="auto"/>
              <w:jc w:val="right"/>
              <w:rPr/>
            </w:pPr>
            <w:r>
              <w:rPr>
                <w:spacing w:val="-9"/>
              </w:rPr>
              <w:t>非复杂性阑尾炎(n=83)</w:t>
            </w:r>
          </w:p>
        </w:tc>
        <w:tc>
          <w:tcPr>
            <w:tcW w:w="986" w:type="dxa"/>
            <w:vAlign w:val="top"/>
            <w:vMerge w:val="continue"/>
            <w:tcBorders>
              <w:bottom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88" w:hRule="atLeast"/>
        </w:trPr>
        <w:tc>
          <w:tcPr>
            <w:tcW w:w="147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91"/>
              <w:spacing w:before="62" w:line="177" w:lineRule="auto"/>
              <w:rPr/>
            </w:pPr>
            <w:r>
              <w:rPr>
                <w:spacing w:val="-7"/>
              </w:rPr>
              <w:t>男：女比例</w:t>
            </w:r>
          </w:p>
        </w:tc>
        <w:tc>
          <w:tcPr>
            <w:tcW w:w="148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6"/>
              <w:spacing w:before="79" w:line="170" w:lineRule="auto"/>
              <w:rPr/>
            </w:pPr>
            <w:r>
              <w:rPr>
                <w:spacing w:val="-8"/>
              </w:rPr>
              <w:t>20：11</w:t>
            </w:r>
          </w:p>
        </w:tc>
        <w:tc>
          <w:tcPr>
            <w:tcW w:w="16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6"/>
              <w:spacing w:before="79" w:line="170" w:lineRule="auto"/>
              <w:rPr/>
            </w:pPr>
            <w:r>
              <w:rPr>
                <w:spacing w:val="-8"/>
              </w:rPr>
              <w:t>37：36</w:t>
            </w:r>
            <w:r>
              <w:rPr>
                <w:spacing w:val="2"/>
              </w:rPr>
              <w:t xml:space="preserve">  </w:t>
            </w:r>
            <w:r>
              <w:rPr>
                <w:spacing w:val="-8"/>
              </w:rPr>
              <w:t>0.058</w:t>
            </w:r>
          </w:p>
        </w:tc>
        <w:tc>
          <w:tcPr>
            <w:tcW w:w="986" w:type="dxa"/>
            <w:vAlign w:val="top"/>
            <w:tcBorders>
              <w:top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13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92"/>
              <w:spacing w:before="82" w:line="187" w:lineRule="auto"/>
              <w:rPr/>
            </w:pPr>
            <w:r>
              <w:rPr>
                <w:spacing w:val="-3"/>
                <w:w w:val="97"/>
              </w:rPr>
              <w:t>年龄(周岁)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54"/>
              <w:spacing w:before="88" w:line="178" w:lineRule="auto"/>
              <w:rPr/>
            </w:pPr>
            <w:r>
              <w:rPr>
                <w:spacing w:val="-3"/>
              </w:rPr>
              <w:t>55.00±15.71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50"/>
              <w:spacing w:before="88" w:line="178" w:lineRule="auto"/>
              <w:rPr/>
            </w:pPr>
            <w:r>
              <w:rPr>
                <w:spacing w:val="-2"/>
              </w:rPr>
              <w:t>44.02±16.15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90"/>
              <w:spacing w:before="97" w:line="170" w:lineRule="auto"/>
              <w:rPr/>
            </w:pPr>
            <w:r>
              <w:rPr>
                <w:spacing w:val="-7"/>
              </w:rPr>
              <w:t>0.002</w:t>
            </w:r>
          </w:p>
        </w:tc>
      </w:tr>
      <w:tr>
        <w:trPr>
          <w:trHeight w:val="306" w:hRule="atLeast"/>
        </w:trPr>
        <w:tc>
          <w:tcPr>
            <w:tcW w:w="1474" w:type="dxa"/>
            <w:vAlign w:val="top"/>
          </w:tcPr>
          <w:p>
            <w:pPr>
              <w:pStyle w:val="TableText"/>
              <w:spacing w:before="72" w:line="189" w:lineRule="auto"/>
              <w:jc w:val="right"/>
              <w:rPr/>
            </w:pPr>
            <w:r>
              <w:rPr>
                <w:spacing w:val="-5"/>
              </w:rPr>
              <w:t>白细胞计数(×10</w:t>
            </w:r>
            <w:r>
              <w:rPr>
                <w:sz w:val="10"/>
                <w:szCs w:val="10"/>
                <w:spacing w:val="-5"/>
                <w:position w:val="6"/>
              </w:rPr>
              <w:t>9</w:t>
            </w:r>
            <w:r>
              <w:rPr>
                <w:spacing w:val="-5"/>
              </w:rPr>
              <w:t>/L)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63"/>
              <w:spacing w:before="81" w:line="178" w:lineRule="auto"/>
              <w:rPr/>
            </w:pPr>
            <w:r>
              <w:rPr>
                <w:spacing w:val="-3"/>
              </w:rPr>
              <w:t>15.01±5.23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60"/>
              <w:spacing w:before="81" w:line="178" w:lineRule="auto"/>
              <w:rPr/>
            </w:pPr>
            <w:r>
              <w:rPr>
                <w:spacing w:val="-3"/>
              </w:rPr>
              <w:t>13.30±4.08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90"/>
              <w:spacing w:before="90" w:line="170" w:lineRule="auto"/>
              <w:rPr/>
            </w:pPr>
            <w:r>
              <w:rPr>
                <w:spacing w:val="-7"/>
              </w:rPr>
              <w:t>0.068</w:t>
            </w:r>
          </w:p>
        </w:tc>
      </w:tr>
      <w:tr>
        <w:trPr>
          <w:trHeight w:val="305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89"/>
              <w:spacing w:before="74" w:line="187" w:lineRule="auto"/>
              <w:rPr/>
            </w:pPr>
            <w:r>
              <w:rPr>
                <w:spacing w:val="-6"/>
              </w:rPr>
              <w:t>发病时间(小时)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55"/>
              <w:spacing w:before="79" w:line="183" w:lineRule="auto"/>
              <w:rPr/>
            </w:pPr>
            <w:r>
              <w:rPr>
                <w:spacing w:val="-7"/>
              </w:rPr>
              <w:t>36(18，48)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61"/>
              <w:spacing w:before="79" w:line="183" w:lineRule="auto"/>
              <w:rPr/>
            </w:pPr>
            <w:r>
              <w:rPr>
                <w:spacing w:val="-8"/>
              </w:rPr>
              <w:t>18(10，27)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90"/>
              <w:spacing w:before="90" w:line="170" w:lineRule="auto"/>
              <w:rPr/>
            </w:pPr>
            <w:r>
              <w:rPr>
                <w:spacing w:val="-7"/>
              </w:rPr>
              <w:t>0.004</w:t>
            </w:r>
          </w:p>
        </w:tc>
      </w:tr>
      <w:tr>
        <w:trPr>
          <w:trHeight w:val="304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99"/>
              <w:spacing w:before="77" w:line="186" w:lineRule="auto"/>
              <w:rPr/>
            </w:pPr>
            <w:r>
              <w:rPr>
                <w:spacing w:val="-7"/>
              </w:rPr>
              <w:t>阑尾外径(mm)*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64"/>
              <w:spacing w:before="82" w:line="178" w:lineRule="auto"/>
              <w:rPr/>
            </w:pPr>
            <w:r>
              <w:rPr>
                <w:spacing w:val="-3"/>
              </w:rPr>
              <w:t>16.80±3.71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61"/>
              <w:spacing w:before="82" w:line="178" w:lineRule="auto"/>
              <w:rPr/>
            </w:pPr>
            <w:r>
              <w:rPr>
                <w:spacing w:val="-3"/>
              </w:rPr>
              <w:t>12.27±2.89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17"/>
              <w:spacing w:before="91" w:line="170" w:lineRule="auto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303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99"/>
              <w:spacing w:before="78" w:line="175" w:lineRule="auto"/>
              <w:rPr/>
            </w:pPr>
            <w:r>
              <w:rPr>
                <w:spacing w:val="-7"/>
                <w:w w:val="99"/>
              </w:rPr>
              <w:t>阑尾壁包埋征*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56"/>
              <w:spacing w:before="85" w:line="181" w:lineRule="auto"/>
              <w:rPr/>
            </w:pPr>
            <w:r>
              <w:rPr>
                <w:spacing w:val="-8"/>
              </w:rPr>
              <w:t>28/30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55"/>
              <w:spacing w:before="85" w:line="181" w:lineRule="auto"/>
              <w:rPr/>
            </w:pPr>
            <w:r>
              <w:rPr>
                <w:spacing w:val="-9"/>
              </w:rPr>
              <w:t>12/83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11"/>
              <w:spacing w:before="93" w:line="170" w:lineRule="auto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305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91"/>
              <w:spacing w:before="80" w:line="175" w:lineRule="auto"/>
              <w:rPr/>
            </w:pPr>
            <w:r>
              <w:rPr>
                <w:spacing w:val="-2"/>
                <w:w w:val="97"/>
              </w:rPr>
              <w:t>蜂窝织炎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51"/>
              <w:spacing w:before="89" w:line="180" w:lineRule="auto"/>
              <w:rPr/>
            </w:pPr>
            <w:r>
              <w:rPr>
                <w:spacing w:val="-8"/>
              </w:rPr>
              <w:t>21/31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55"/>
              <w:spacing w:before="89" w:line="180" w:lineRule="auto"/>
              <w:rPr/>
            </w:pPr>
            <w:r>
              <w:rPr>
                <w:spacing w:val="-9"/>
              </w:rPr>
              <w:t>12/83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11"/>
              <w:spacing w:before="96" w:line="170" w:lineRule="auto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305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99"/>
              <w:spacing w:before="82" w:line="175" w:lineRule="auto"/>
              <w:rPr/>
            </w:pPr>
            <w:r>
              <w:rPr>
                <w:spacing w:val="-5"/>
                <w:w w:val="98"/>
              </w:rPr>
              <w:t>阑尾腔外气体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64"/>
              <w:spacing w:before="90" w:line="179" w:lineRule="auto"/>
              <w:rPr/>
            </w:pPr>
            <w:r>
              <w:rPr>
                <w:spacing w:val="-9"/>
              </w:rPr>
              <w:t>10/31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56"/>
              <w:spacing w:before="90" w:line="179" w:lineRule="auto"/>
              <w:rPr/>
            </w:pPr>
            <w:r>
              <w:rPr>
                <w:spacing w:val="-9"/>
              </w:rPr>
              <w:t>1/83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11"/>
              <w:spacing w:before="97" w:line="170" w:lineRule="auto"/>
              <w:rPr/>
            </w:pPr>
            <w:r>
              <w:rPr>
                <w:spacing w:val="-11"/>
              </w:rPr>
              <w:t>&lt;0.001</w:t>
            </w:r>
          </w:p>
        </w:tc>
      </w:tr>
      <w:tr>
        <w:trPr>
          <w:trHeight w:val="305" w:hRule="atLeast"/>
        </w:trPr>
        <w:tc>
          <w:tcPr>
            <w:tcW w:w="1474" w:type="dxa"/>
            <w:vAlign w:val="top"/>
          </w:tcPr>
          <w:p>
            <w:pPr>
              <w:pStyle w:val="TableText"/>
              <w:ind w:left="89"/>
              <w:spacing w:before="84" w:line="174" w:lineRule="auto"/>
              <w:rPr/>
            </w:pPr>
            <w:r>
              <w:rPr>
                <w:spacing w:val="-2"/>
                <w:w w:val="98"/>
              </w:rPr>
              <w:t>脓肿</w:t>
            </w:r>
          </w:p>
        </w:tc>
        <w:tc>
          <w:tcPr>
            <w:tcW w:w="1486" w:type="dxa"/>
            <w:vAlign w:val="top"/>
          </w:tcPr>
          <w:p>
            <w:pPr>
              <w:pStyle w:val="TableText"/>
              <w:ind w:left="51"/>
              <w:spacing w:before="91" w:line="178" w:lineRule="auto"/>
              <w:rPr/>
            </w:pPr>
            <w:r>
              <w:rPr>
                <w:spacing w:val="-8"/>
              </w:rPr>
              <w:t>2/31</w:t>
            </w:r>
          </w:p>
        </w:tc>
        <w:tc>
          <w:tcPr>
            <w:tcW w:w="1655" w:type="dxa"/>
            <w:vAlign w:val="top"/>
          </w:tcPr>
          <w:p>
            <w:pPr>
              <w:pStyle w:val="TableText"/>
              <w:ind w:left="150"/>
              <w:spacing w:before="91" w:line="178" w:lineRule="auto"/>
              <w:rPr/>
            </w:pPr>
            <w:r>
              <w:rPr>
                <w:spacing w:val="-8"/>
              </w:rPr>
              <w:t>0/83</w:t>
            </w:r>
          </w:p>
        </w:tc>
        <w:tc>
          <w:tcPr>
            <w:tcW w:w="986" w:type="dxa"/>
            <w:vAlign w:val="top"/>
          </w:tcPr>
          <w:p>
            <w:pPr>
              <w:pStyle w:val="TableText"/>
              <w:ind w:left="185"/>
              <w:spacing w:before="98" w:line="170" w:lineRule="auto"/>
              <w:rPr/>
            </w:pPr>
            <w:r>
              <w:rPr>
                <w:spacing w:val="-7"/>
              </w:rPr>
              <w:t>0.125</w:t>
            </w:r>
          </w:p>
        </w:tc>
      </w:tr>
      <w:tr>
        <w:trPr>
          <w:trHeight w:val="293" w:hRule="atLeast"/>
        </w:trPr>
        <w:tc>
          <w:tcPr>
            <w:tcW w:w="147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0"/>
              <w:spacing w:before="85" w:line="173" w:lineRule="auto"/>
              <w:rPr/>
            </w:pPr>
            <w:r>
              <w:rPr>
                <w:spacing w:val="-5"/>
                <w:w w:val="98"/>
              </w:rPr>
              <w:t>阑尾腔外粪石</w:t>
            </w:r>
          </w:p>
        </w:tc>
        <w:tc>
          <w:tcPr>
            <w:tcW w:w="14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57"/>
              <w:spacing w:before="93" w:line="166" w:lineRule="auto"/>
              <w:rPr/>
            </w:pPr>
            <w:r>
              <w:rPr>
                <w:spacing w:val="-8"/>
              </w:rPr>
              <w:t>2/31</w:t>
            </w:r>
          </w:p>
        </w:tc>
        <w:tc>
          <w:tcPr>
            <w:tcW w:w="16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50"/>
              <w:spacing w:before="93" w:line="166" w:lineRule="auto"/>
              <w:rPr/>
            </w:pPr>
            <w:r>
              <w:rPr>
                <w:spacing w:val="-8"/>
              </w:rPr>
              <w:t>0/83</w:t>
            </w:r>
          </w:p>
        </w:tc>
        <w:tc>
          <w:tcPr>
            <w:tcW w:w="98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85"/>
              <w:spacing w:before="99" w:line="160" w:lineRule="auto"/>
              <w:rPr/>
            </w:pPr>
            <w:r>
              <w:rPr>
                <w:spacing w:val="-7"/>
              </w:rPr>
              <w:t>0.125</w:t>
            </w:r>
          </w:p>
        </w:tc>
      </w:tr>
    </w:tbl>
    <w:p>
      <w:pPr>
        <w:spacing w:line="41" w:lineRule="exact"/>
        <w:rPr>
          <w:rFonts w:ascii="Arial"/>
          <w:sz w:val="3"/>
        </w:rPr>
      </w:pPr>
      <w:r/>
    </w:p>
    <w:p>
      <w:pPr>
        <w:spacing w:line="41" w:lineRule="exact"/>
        <w:sectPr>
          <w:type w:val="continuous"/>
          <w:pgSz w:w="11906" w:h="16158"/>
          <w:pgMar w:top="247" w:right="251" w:bottom="0" w:left="424" w:header="0" w:footer="0" w:gutter="0"/>
          <w:cols w:equalWidth="0" w:num="1">
            <w:col w:w="11231" w:space="0"/>
          </w:cols>
        </w:sectPr>
        <w:rPr>
          <w:rFonts w:ascii="Arial" w:hAnsi="Arial" w:eastAsia="Arial" w:cs="Arial"/>
          <w:sz w:val="3"/>
          <w:szCs w:val="3"/>
        </w:rPr>
      </w:pPr>
    </w:p>
    <w:p>
      <w:pPr>
        <w:ind w:left="2796"/>
        <w:spacing w:before="40" w:line="178" w:lineRule="auto"/>
        <w:rPr>
          <w:rFonts w:ascii="Microsoft YaHei" w:hAnsi="Microsoft YaHei" w:eastAsia="Microsoft YaHei" w:cs="Microsoft YaHei"/>
          <w:sz w:val="14"/>
          <w:szCs w:val="14"/>
        </w:rPr>
      </w:pPr>
      <w:r>
        <w:rPr>
          <w:rFonts w:ascii="Microsoft YaHei" w:hAnsi="Microsoft YaHei" w:eastAsia="Microsoft YaHei" w:cs="Microsoft YaHei"/>
          <w:sz w:val="14"/>
          <w:szCs w:val="14"/>
          <w:spacing w:val="-6"/>
        </w:rPr>
        <w:t>注：*有一例复杂性阑尾炎患者阑尾显示不清，因此，阑尾外径和阑尾壁包埋征结果无法获取。</w:t>
      </w:r>
    </w:p>
    <w:p>
      <w:pPr>
        <w:spacing w:before="83" w:line="159" w:lineRule="auto"/>
        <w:rPr>
          <w:rFonts w:ascii="Arial" w:hAnsi="Arial" w:eastAsia="Arial" w:cs="Arial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0"/>
          <w:position w:val="-1"/>
        </w:rPr>
        <w:t>中国知网</w:t>
      </w:r>
      <w:r>
        <w:rPr>
          <w:rFonts w:ascii="Microsoft YaHei" w:hAnsi="Microsoft YaHei" w:eastAsia="Microsoft YaHei" w:cs="Microsoft YaHei"/>
          <w:sz w:val="22"/>
          <w:szCs w:val="22"/>
          <w:color w:val="999999"/>
          <w:spacing w:val="1"/>
          <w:position w:val="-1"/>
        </w:rPr>
        <w:t xml:space="preserve">     </w:t>
      </w:r>
      <w:r>
        <w:rPr>
          <w:rFonts w:ascii="Arial" w:hAnsi="Arial" w:eastAsia="Arial" w:cs="Arial"/>
          <w:sz w:val="22"/>
          <w:szCs w:val="22"/>
          <w:color w:val="999999"/>
          <w:position w:val="-1"/>
        </w:rPr>
        <w:t>https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-1"/>
        </w:rPr>
        <w:t>:</w:t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  <w:szCs w:val="22"/>
          <w:position w:val="-2"/>
        </w:rPr>
        <w:drawing>
          <wp:inline distT="0" distB="0" distL="0" distR="0">
            <wp:extent cx="45084" cy="11430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Www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</w:rPr>
        <w:t>cnki</w:t>
      </w:r>
      <w:r>
        <w:rPr>
          <w:rFonts w:ascii="Arial" w:hAnsi="Arial" w:eastAsia="Arial" w:cs="Arial"/>
          <w:sz w:val="22"/>
          <w:szCs w:val="22"/>
          <w:color w:val="999999"/>
          <w:spacing w:val="-16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spacing w:val="10"/>
          <w:position w:val="1"/>
        </w:rPr>
        <w:t>.</w:t>
      </w:r>
      <w:r>
        <w:rPr>
          <w:rFonts w:ascii="Arial" w:hAnsi="Arial" w:eastAsia="Arial" w:cs="Arial"/>
          <w:sz w:val="22"/>
          <w:szCs w:val="22"/>
          <w:color w:val="999999"/>
          <w:spacing w:val="-35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color w:val="999999"/>
          <w:position w:val="1"/>
        </w:rPr>
        <w:t>net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before="65" w:line="185" w:lineRule="auto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20"/>
          <w:szCs w:val="20"/>
          <w:b/>
          <w:bCs/>
          <w:spacing w:val="-26"/>
        </w:rPr>
        <w:t>·</w:t>
      </w:r>
      <w:r>
        <w:rPr>
          <w:rFonts w:ascii="SimHei" w:hAnsi="SimHei" w:eastAsia="SimHei" w:cs="SimHei"/>
          <w:sz w:val="18"/>
          <w:szCs w:val="18"/>
          <w:b/>
          <w:bCs/>
          <w:spacing w:val="-26"/>
        </w:rPr>
        <w:t>15</w:t>
      </w:r>
      <w:r>
        <w:rPr>
          <w:rFonts w:ascii="SimHei" w:hAnsi="SimHei" w:eastAsia="SimHei" w:cs="SimHei"/>
          <w:sz w:val="18"/>
          <w:szCs w:val="18"/>
          <w:b/>
          <w:bCs/>
          <w:spacing w:val="-10"/>
        </w:rPr>
        <w:t>5</w:t>
      </w:r>
    </w:p>
    <w:p>
      <w:pPr>
        <w:spacing w:line="185" w:lineRule="auto"/>
        <w:sectPr>
          <w:type w:val="continuous"/>
          <w:pgSz w:w="11906" w:h="16158"/>
          <w:pgMar w:top="247" w:right="251" w:bottom="0" w:left="424" w:header="0" w:footer="0" w:gutter="0"/>
          <w:cols w:equalWidth="0" w:num="2">
            <w:col w:w="10411" w:space="100"/>
            <w:col w:w="720" w:space="0"/>
          </w:cols>
        </w:sectPr>
        <w:rPr>
          <w:rFonts w:ascii="SimHei" w:hAnsi="SimHei" w:eastAsia="SimHei" w:cs="SimHei"/>
          <w:sz w:val="18"/>
          <w:szCs w:val="18"/>
        </w:rPr>
      </w:pPr>
    </w:p>
    <w:p>
      <w:pPr>
        <w:ind w:left="4481"/>
        <w:spacing w:before="277" w:line="174" w:lineRule="auto"/>
        <w:outlineLvl w:val="0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8"/>
          <w:w w:val="99"/>
        </w:rPr>
        <w:t>表2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8"/>
          <w:w w:val="99"/>
        </w:rPr>
        <w:t>单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8"/>
          <w:w w:val="99"/>
        </w:rPr>
        <w:t>因素和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8"/>
          <w:w w:val="99"/>
        </w:rPr>
        <w:t>多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b/>
          <w:bCs/>
          <w:spacing w:val="-8"/>
          <w:w w:val="99"/>
        </w:rPr>
        <w:t>因素分析结果</w:t>
      </w:r>
    </w:p>
    <w:p>
      <w:pPr>
        <w:spacing w:line="32" w:lineRule="exact"/>
        <w:rPr/>
      </w:pPr>
      <w:r/>
    </w:p>
    <w:tbl>
      <w:tblPr>
        <w:tblStyle w:val="TableNormal"/>
        <w:tblW w:w="6319" w:type="dxa"/>
        <w:tblInd w:w="236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33"/>
        <w:gridCol w:w="1824"/>
        <w:gridCol w:w="750"/>
        <w:gridCol w:w="1896"/>
        <w:gridCol w:w="516"/>
      </w:tblGrid>
      <w:tr>
        <w:trPr>
          <w:trHeight w:val="712" w:hRule="atLeast"/>
        </w:trPr>
        <w:tc>
          <w:tcPr>
            <w:tcW w:w="6319" w:type="dxa"/>
            <w:vAlign w:val="top"/>
            <w:gridSpan w:val="5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518"/>
              <w:spacing w:before="99" w:line="175" w:lineRule="auto"/>
              <w:rPr/>
            </w:pPr>
            <w:r>
              <w:pict>
                <v:shape id="_x0000_s74" style="position:absolute;margin-left:-242.816pt;margin-top:17.9586pt;mso-position-vertical-relative:top-margin-area;mso-position-horizontal-relative:right-margin-area;width:238.7pt;height:0.3pt;z-index:251685888;" filled="false" strokecolor="#000000" strokeweight="0.28pt" coordsize="4773,6" coordorigin="0,0" path="m0,2l2222,2m2551,2l4773,2e">
                  <v:stroke joinstyle="miter" miterlimit="4"/>
                </v:shape>
              </w:pict>
            </w:r>
            <w:r>
              <w:rPr>
                <w:spacing w:val="-3"/>
              </w:rPr>
              <w:t>单因素分析                            </w:t>
            </w:r>
            <w:r>
              <w:rPr>
                <w:spacing w:val="-4"/>
              </w:rPr>
              <w:t xml:space="preserve">           多因素分析</w:t>
            </w:r>
          </w:p>
          <w:p>
            <w:pPr>
              <w:pStyle w:val="TableText"/>
              <w:ind w:left="82"/>
              <w:spacing w:before="159" w:line="187" w:lineRule="auto"/>
              <w:rPr/>
            </w:pPr>
            <w:r>
              <w:rPr>
                <w:spacing w:val="-4"/>
              </w:rPr>
              <w:t>风险因素                  OR值(95%CI)                        P值       OR值(95%CI)                        P值</w:t>
            </w:r>
          </w:p>
        </w:tc>
      </w:tr>
      <w:tr>
        <w:trPr>
          <w:trHeight w:val="1791" w:hRule="atLeast"/>
        </w:trPr>
        <w:tc>
          <w:tcPr>
            <w:tcW w:w="3157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pStyle w:val="TableText"/>
              <w:ind w:left="80" w:right="233" w:firstLine="2"/>
              <w:spacing w:before="104" w:line="314" w:lineRule="auto"/>
              <w:jc w:val="both"/>
              <w:rPr/>
            </w:pPr>
            <w:r>
              <w:rPr>
                <w:spacing w:val="-7"/>
              </w:rPr>
              <w:t>年龄(周岁)</w:t>
            </w:r>
            <w:r>
              <w:rPr>
                <w:spacing w:val="2"/>
              </w:rPr>
              <w:t xml:space="preserve">               </w:t>
            </w:r>
            <w:r>
              <w:rPr>
                <w:spacing w:val="-7"/>
              </w:rPr>
              <w:t>1.044(1.015，1.074)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3"/>
              </w:rPr>
              <w:t>白细胞计数(×10</w:t>
            </w:r>
            <w:r>
              <w:rPr>
                <w:sz w:val="10"/>
                <w:szCs w:val="10"/>
                <w:spacing w:val="-3"/>
                <w:position w:val="6"/>
              </w:rPr>
              <w:t>9</w:t>
            </w:r>
            <w:r>
              <w:rPr>
                <w:spacing w:val="-3"/>
              </w:rPr>
              <w:t>/L)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7"/>
              </w:rPr>
              <w:t>1.090(0.992，1.198)</w:t>
            </w:r>
            <w:r>
              <w:rPr/>
              <w:t xml:space="preserve"> </w:t>
            </w:r>
            <w:r>
              <w:rPr>
                <w:spacing w:val="-6"/>
              </w:rPr>
              <w:t>发病时间(小时)</w:t>
            </w:r>
            <w:r>
              <w:rPr/>
              <w:t xml:space="preserve">         </w:t>
            </w:r>
            <w:r>
              <w:rPr>
                <w:spacing w:val="-6"/>
              </w:rPr>
              <w:t>1.040(1.015，</w:t>
            </w:r>
            <w:r>
              <w:rPr>
                <w:spacing w:val="-7"/>
              </w:rPr>
              <w:t>1.065)</w:t>
            </w:r>
          </w:p>
          <w:p>
            <w:pPr>
              <w:pStyle w:val="TableText"/>
              <w:ind w:left="82"/>
              <w:spacing w:line="176" w:lineRule="auto"/>
              <w:rPr/>
            </w:pPr>
            <w:r>
              <w:rPr>
                <w:spacing w:val="-3"/>
              </w:rPr>
              <w:t>男：女比例               …</w:t>
            </w:r>
          </w:p>
          <w:p>
            <w:pPr>
              <w:pStyle w:val="TableText"/>
              <w:ind w:left="82"/>
              <w:spacing w:before="166" w:line="169" w:lineRule="auto"/>
              <w:rPr/>
            </w:pPr>
            <w:r>
              <w:rPr>
                <w:spacing w:val="-4"/>
              </w:rPr>
              <w:t>男*</w:t>
            </w:r>
            <w:r>
              <w:rPr>
                <w:spacing w:val="1"/>
              </w:rPr>
              <w:t xml:space="preserve">                         </w:t>
            </w:r>
            <w:r>
              <w:rPr>
                <w:spacing w:val="-4"/>
              </w:rPr>
              <w:t>…</w:t>
            </w:r>
          </w:p>
        </w:tc>
        <w:tc>
          <w:tcPr>
            <w:tcW w:w="750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34"/>
              <w:spacing w:before="118" w:line="170" w:lineRule="auto"/>
              <w:rPr/>
            </w:pPr>
            <w:r>
              <w:rPr>
                <w:spacing w:val="-7"/>
              </w:rPr>
              <w:t>0.003</w:t>
            </w:r>
          </w:p>
          <w:p>
            <w:pPr>
              <w:pStyle w:val="TableText"/>
              <w:ind w:left="234"/>
              <w:spacing w:before="165" w:line="170" w:lineRule="auto"/>
              <w:rPr/>
            </w:pPr>
            <w:r>
              <w:rPr>
                <w:spacing w:val="-6"/>
              </w:rPr>
              <w:t>0.73</w:t>
            </w:r>
          </w:p>
          <w:p>
            <w:pPr>
              <w:pStyle w:val="TableText"/>
              <w:ind w:left="240"/>
              <w:spacing w:before="165" w:line="170" w:lineRule="auto"/>
              <w:rPr/>
            </w:pPr>
            <w:r>
              <w:rPr>
                <w:spacing w:val="-7"/>
              </w:rPr>
              <w:t>0.002</w:t>
            </w:r>
          </w:p>
          <w:p>
            <w:pPr>
              <w:pStyle w:val="TableText"/>
              <w:ind w:left="237"/>
              <w:spacing w:before="214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237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</w:tc>
        <w:tc>
          <w:tcPr>
            <w:tcW w:w="1896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ind w:left="124"/>
              <w:spacing w:before="107" w:line="183" w:lineRule="auto"/>
              <w:rPr/>
            </w:pPr>
            <w:r>
              <w:rPr>
                <w:spacing w:val="-7"/>
              </w:rPr>
              <w:t>1.069(1.014，1.128)</w:t>
            </w:r>
          </w:p>
          <w:p>
            <w:pPr>
              <w:pStyle w:val="TableText"/>
              <w:ind w:left="148"/>
              <w:spacing w:before="210" w:line="94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30"/>
              <w:spacing w:before="206" w:line="183" w:lineRule="auto"/>
              <w:rPr/>
            </w:pPr>
            <w:r>
              <w:rPr>
                <w:spacing w:val="-7"/>
              </w:rPr>
              <w:t>1.024(0.976，1.074)</w:t>
            </w:r>
          </w:p>
          <w:p>
            <w:pPr>
              <w:pStyle w:val="TableText"/>
              <w:ind w:left="141"/>
              <w:spacing w:before="210" w:line="94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1"/>
              <w:spacing w:before="266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27"/>
              <w:spacing w:before="266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08"/>
              <w:spacing w:before="207" w:line="183" w:lineRule="auto"/>
              <w:rPr/>
            </w:pPr>
            <w:r>
              <w:rPr>
                <w:spacing w:val="-7"/>
              </w:rPr>
              <w:t>1.138(0.903，1.433)</w:t>
            </w:r>
          </w:p>
          <w:p>
            <w:pPr>
              <w:pStyle w:val="TableText"/>
              <w:ind w:left="141"/>
              <w:spacing w:before="211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1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16"/>
              <w:spacing w:before="207" w:line="183" w:lineRule="auto"/>
              <w:rPr/>
            </w:pPr>
            <w:r>
              <w:rPr>
                <w:spacing w:val="-7"/>
              </w:rPr>
              <w:t>98.356(9.030，1071.358)</w:t>
            </w:r>
          </w:p>
          <w:p>
            <w:pPr>
              <w:pStyle w:val="TableText"/>
              <w:ind w:left="141"/>
              <w:spacing w:before="211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9"/>
                <w:position w:val="2"/>
              </w:rPr>
              <w:t xml:space="preserve">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2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9"/>
                <w:position w:val="2"/>
              </w:rPr>
              <w:t xml:space="preserve">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25"/>
              <w:spacing w:before="206" w:line="183" w:lineRule="auto"/>
              <w:rPr/>
            </w:pPr>
            <w:r>
              <w:rPr>
                <w:spacing w:val="-6"/>
              </w:rPr>
              <w:t>0.253(0.033，1.957)</w:t>
            </w:r>
          </w:p>
          <w:p>
            <w:pPr>
              <w:pStyle w:val="TableText"/>
              <w:ind w:left="142"/>
              <w:spacing w:before="211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9"/>
                <w:position w:val="2"/>
              </w:rPr>
              <w:t xml:space="preserve">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2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9"/>
                <w:position w:val="2"/>
              </w:rPr>
              <w:t xml:space="preserve">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1" w:right="284" w:hanging="19"/>
              <w:spacing w:before="208" w:line="316" w:lineRule="auto"/>
              <w:rPr/>
            </w:pPr>
            <w:r>
              <w:rPr>
                <w:spacing w:val="-6"/>
              </w:rPr>
              <w:t>3.775(0.332，42.864)</w:t>
            </w:r>
            <w:r>
              <w:rPr/>
              <w:t xml:space="preserve"> </w:t>
            </w:r>
            <w:r>
              <w:rPr>
                <w:spacing w:val="-9"/>
                <w:w w:val="94"/>
              </w:rPr>
              <w:t>N/A</w:t>
            </w:r>
          </w:p>
          <w:p>
            <w:pPr>
              <w:pStyle w:val="TableText"/>
              <w:ind w:left="142"/>
              <w:spacing w:before="1" w:line="183" w:lineRule="auto"/>
              <w:rPr/>
            </w:pPr>
            <w:r>
              <w:rPr>
                <w:spacing w:val="-9"/>
                <w:w w:val="94"/>
              </w:rPr>
              <w:t>N/A</w:t>
            </w:r>
          </w:p>
        </w:tc>
        <w:tc>
          <w:tcPr>
            <w:tcW w:w="516" w:type="dxa"/>
            <w:vAlign w:val="top"/>
            <w:vMerge w:val="restart"/>
            <w:tcBorders>
              <w:top w:val="single" w:color="000000" w:sz="2" w:space="0"/>
              <w:bottom w:val="nil"/>
            </w:tcBorders>
          </w:tcPr>
          <w:p>
            <w:pPr>
              <w:pStyle w:val="TableText"/>
              <w:spacing w:before="118" w:line="170" w:lineRule="auto"/>
              <w:jc w:val="right"/>
              <w:rPr/>
            </w:pPr>
            <w:r>
              <w:rPr>
                <w:spacing w:val="-8"/>
              </w:rPr>
              <w:t>0.0</w:t>
            </w:r>
            <w:r>
              <w:rPr>
                <w:spacing w:val="-7"/>
              </w:rPr>
              <w:t>1</w:t>
            </w:r>
            <w:r>
              <w:rPr>
                <w:spacing w:val="-4"/>
              </w:rPr>
              <w:t>4</w:t>
            </w:r>
          </w:p>
          <w:p>
            <w:pPr>
              <w:pStyle w:val="TableText"/>
              <w:ind w:left="143"/>
              <w:spacing w:before="214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spacing w:before="217" w:line="170" w:lineRule="auto"/>
              <w:jc w:val="right"/>
              <w:rPr/>
            </w:pPr>
            <w:r>
              <w:rPr>
                <w:spacing w:val="-8"/>
              </w:rPr>
              <w:t>0.332</w:t>
            </w:r>
          </w:p>
          <w:p>
            <w:pPr>
              <w:pStyle w:val="TableText"/>
              <w:ind w:left="144"/>
              <w:spacing w:before="214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4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4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right="15"/>
              <w:spacing w:before="218" w:line="170" w:lineRule="auto"/>
              <w:jc w:val="right"/>
              <w:rPr/>
            </w:pPr>
            <w:r>
              <w:rPr>
                <w:spacing w:val="-7"/>
              </w:rPr>
              <w:t>0.274</w:t>
            </w:r>
          </w:p>
          <w:p>
            <w:pPr>
              <w:pStyle w:val="TableText"/>
              <w:ind w:left="144"/>
              <w:spacing w:before="215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44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38"/>
              <w:spacing w:before="217" w:line="170" w:lineRule="auto"/>
              <w:rPr/>
            </w:pPr>
            <w:r>
              <w:rPr>
                <w:spacing w:val="-11"/>
              </w:rPr>
              <w:t>&lt;0.001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70" w:line="170" w:lineRule="auto"/>
              <w:rPr/>
            </w:pPr>
            <w:r>
              <w:rPr>
                <w:spacing w:val="-7"/>
              </w:rPr>
              <w:t>0.188</w:t>
            </w:r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2"/>
              <w:spacing w:before="70" w:line="170" w:lineRule="auto"/>
              <w:rPr/>
            </w:pPr>
            <w:r>
              <w:rPr>
                <w:spacing w:val="-7"/>
              </w:rPr>
              <w:t>0.284</w:t>
            </w:r>
          </w:p>
          <w:p>
            <w:pPr>
              <w:pStyle w:val="TableText"/>
              <w:ind w:left="145"/>
              <w:spacing w:before="157" w:line="184" w:lineRule="auto"/>
              <w:rPr/>
            </w:pPr>
            <w:r>
              <w:rPr>
                <w:spacing w:val="-9"/>
                <w:w w:val="94"/>
              </w:rPr>
              <w:t>N/A</w:t>
            </w:r>
          </w:p>
          <w:p>
            <w:pPr>
              <w:pStyle w:val="TableText"/>
              <w:ind w:left="145"/>
              <w:spacing w:before="150" w:line="184" w:lineRule="auto"/>
              <w:rPr/>
            </w:pPr>
            <w:r>
              <w:rPr>
                <w:spacing w:val="-9"/>
                <w:w w:val="94"/>
              </w:rPr>
              <w:t>N/A</w:t>
            </w:r>
          </w:p>
        </w:tc>
      </w:tr>
      <w:tr>
        <w:trPr>
          <w:trHeight w:val="4696" w:hRule="atLeast"/>
        </w:trPr>
        <w:tc>
          <w:tcPr>
            <w:tcW w:w="133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3"/>
              <w:spacing w:before="111" w:line="176" w:lineRule="auto"/>
              <w:rPr/>
            </w:pPr>
            <w:r>
              <w:rPr/>
              <w:t>女</w:t>
            </w:r>
          </w:p>
          <w:p>
            <w:pPr>
              <w:pStyle w:val="TableText"/>
              <w:ind w:left="90"/>
              <w:spacing w:before="160" w:line="186" w:lineRule="auto"/>
              <w:rPr/>
            </w:pPr>
            <w:r>
              <w:rPr>
                <w:spacing w:val="-8"/>
              </w:rPr>
              <w:t>阑尾外径(mm)</w:t>
            </w:r>
          </w:p>
          <w:p>
            <w:pPr>
              <w:pStyle w:val="TableText"/>
              <w:ind w:left="90"/>
              <w:spacing w:before="146" w:line="175" w:lineRule="auto"/>
              <w:rPr/>
            </w:pPr>
            <w:r>
              <w:rPr>
                <w:spacing w:val="-5"/>
                <w:w w:val="98"/>
              </w:rPr>
              <w:t>阑尾壁包埋征</w:t>
            </w:r>
          </w:p>
          <w:p>
            <w:pPr>
              <w:pStyle w:val="TableText"/>
              <w:ind w:left="82"/>
              <w:spacing w:before="167" w:line="168" w:lineRule="auto"/>
              <w:rPr/>
            </w:pPr>
            <w:r>
              <w:rPr>
                <w:spacing w:val="-6"/>
              </w:rPr>
              <w:t>无*</w:t>
            </w:r>
          </w:p>
          <w:p>
            <w:pPr>
              <w:pStyle w:val="TableText"/>
              <w:ind w:left="82"/>
              <w:spacing w:before="161" w:line="175" w:lineRule="auto"/>
              <w:rPr/>
            </w:pPr>
            <w:r>
              <w:rPr/>
              <w:t>有</w:t>
            </w:r>
          </w:p>
          <w:p>
            <w:pPr>
              <w:pStyle w:val="TableText"/>
              <w:ind w:left="82"/>
              <w:spacing w:before="158" w:line="175" w:lineRule="auto"/>
              <w:rPr/>
            </w:pPr>
            <w:r>
              <w:rPr>
                <w:spacing w:val="-2"/>
                <w:w w:val="97"/>
              </w:rPr>
              <w:t>蜂窝织炎</w:t>
            </w:r>
          </w:p>
          <w:p>
            <w:pPr>
              <w:pStyle w:val="TableText"/>
              <w:ind w:left="82"/>
              <w:spacing w:before="168" w:line="168" w:lineRule="auto"/>
              <w:rPr/>
            </w:pPr>
            <w:r>
              <w:rPr>
                <w:spacing w:val="-6"/>
              </w:rPr>
              <w:t>无*</w:t>
            </w:r>
          </w:p>
          <w:p>
            <w:pPr>
              <w:pStyle w:val="TableText"/>
              <w:ind w:left="82"/>
              <w:spacing w:before="161" w:line="175" w:lineRule="auto"/>
              <w:rPr/>
            </w:pPr>
            <w:r>
              <w:rPr/>
              <w:t>有</w:t>
            </w:r>
          </w:p>
          <w:p>
            <w:pPr>
              <w:pStyle w:val="TableText"/>
              <w:ind w:left="90"/>
              <w:spacing w:before="158" w:line="175" w:lineRule="auto"/>
              <w:rPr/>
            </w:pPr>
            <w:r>
              <w:rPr>
                <w:spacing w:val="-5"/>
                <w:w w:val="98"/>
              </w:rPr>
              <w:t>阑尾腔外气体</w:t>
            </w:r>
          </w:p>
          <w:p>
            <w:pPr>
              <w:pStyle w:val="TableText"/>
              <w:ind w:left="82"/>
              <w:spacing w:before="168" w:line="168" w:lineRule="auto"/>
              <w:rPr/>
            </w:pPr>
            <w:r>
              <w:rPr>
                <w:spacing w:val="-6"/>
              </w:rPr>
              <w:t>无*</w:t>
            </w:r>
          </w:p>
          <w:p>
            <w:pPr>
              <w:pStyle w:val="TableText"/>
              <w:ind w:left="83"/>
              <w:spacing w:before="161" w:line="175" w:lineRule="auto"/>
              <w:rPr/>
            </w:pPr>
            <w:r>
              <w:rPr/>
              <w:t>有</w:t>
            </w:r>
          </w:p>
          <w:p>
            <w:pPr>
              <w:pStyle w:val="TableText"/>
              <w:ind w:left="80"/>
              <w:spacing w:before="160" w:line="174" w:lineRule="auto"/>
              <w:rPr/>
            </w:pPr>
            <w:r>
              <w:rPr>
                <w:spacing w:val="23"/>
              </w:rPr>
              <w:t>脓肿†</w:t>
            </w:r>
          </w:p>
          <w:p>
            <w:pPr>
              <w:pStyle w:val="TableText"/>
              <w:ind w:left="91"/>
              <w:spacing w:before="161" w:line="174" w:lineRule="auto"/>
              <w:rPr/>
            </w:pPr>
            <w:r>
              <w:rPr>
                <w:spacing w:val="4"/>
              </w:rPr>
              <w:t>阑尾腔外粪石†</w:t>
            </w:r>
          </w:p>
        </w:tc>
        <w:tc>
          <w:tcPr>
            <w:tcW w:w="2574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pStyle w:val="TableText"/>
              <w:ind w:left="184"/>
              <w:spacing w:before="116" w:line="183" w:lineRule="auto"/>
              <w:rPr/>
            </w:pPr>
            <w:r>
              <w:rPr>
                <w:spacing w:val="-6"/>
              </w:rPr>
              <w:t>0.442(0.188，1.039)</w:t>
            </w:r>
            <w:r>
              <w:rPr>
                <w:spacing w:val="1"/>
              </w:rPr>
              <w:t xml:space="preserve">         </w:t>
            </w:r>
            <w:r>
              <w:rPr>
                <w:spacing w:val="-6"/>
              </w:rPr>
              <w:t>0.0</w:t>
            </w:r>
            <w:r>
              <w:rPr>
                <w:spacing w:val="-7"/>
              </w:rPr>
              <w:t>61</w:t>
            </w:r>
          </w:p>
          <w:p>
            <w:pPr>
              <w:pStyle w:val="TableText"/>
              <w:ind w:left="196"/>
              <w:spacing w:before="150" w:line="183" w:lineRule="auto"/>
              <w:rPr/>
            </w:pPr>
            <w:r>
              <w:rPr>
                <w:spacing w:val="-6"/>
              </w:rPr>
              <w:t>1.512(1.271，1.797)        &lt;0.001</w:t>
            </w:r>
          </w:p>
          <w:p>
            <w:pPr>
              <w:pStyle w:val="TableText"/>
              <w:ind w:left="198"/>
              <w:spacing w:before="210" w:line="94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</w:t>
            </w:r>
            <w:r>
              <w:rPr>
                <w:position w:val="2"/>
              </w:rPr>
              <w:t xml:space="preserve">      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92"/>
              <w:spacing w:before="266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      </w:t>
            </w:r>
            <w:r>
              <w:rPr>
                <w:position w:val="2"/>
              </w:rPr>
              <w:t xml:space="preserve">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84"/>
              <w:spacing w:before="206" w:line="183" w:lineRule="auto"/>
              <w:rPr/>
            </w:pPr>
            <w:r>
              <w:rPr>
                <w:spacing w:val="-7"/>
              </w:rPr>
              <w:t>82.833(17.414，394.0</w:t>
            </w:r>
            <w:r>
              <w:rPr>
                <w:spacing w:val="-8"/>
              </w:rPr>
              <w:t>06)</w:t>
            </w:r>
            <w:r>
              <w:rPr>
                <w:spacing w:val="32"/>
              </w:rPr>
              <w:t xml:space="preserve"> </w:t>
            </w:r>
            <w:r>
              <w:rPr>
                <w:spacing w:val="-8"/>
              </w:rPr>
              <w:t>&lt;0.001</w:t>
            </w:r>
          </w:p>
          <w:p>
            <w:pPr>
              <w:pStyle w:val="TableText"/>
              <w:ind w:left="193"/>
              <w:spacing w:before="211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      </w:t>
            </w:r>
            <w:r>
              <w:rPr>
                <w:position w:val="2"/>
              </w:rPr>
              <w:t xml:space="preserve">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93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      </w:t>
            </w:r>
            <w:r>
              <w:rPr>
                <w:position w:val="2"/>
              </w:rPr>
              <w:t xml:space="preserve">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91"/>
              <w:spacing w:before="207" w:line="183" w:lineRule="auto"/>
              <w:rPr/>
            </w:pPr>
            <w:r>
              <w:rPr>
                <w:spacing w:val="-7"/>
              </w:rPr>
              <w:t>12.425(4.709，32.783)    &lt;0.001</w:t>
            </w:r>
          </w:p>
          <w:p>
            <w:pPr>
              <w:pStyle w:val="TableText"/>
              <w:ind w:left="198"/>
              <w:spacing w:before="211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</w:t>
            </w:r>
            <w:r>
              <w:rPr>
                <w:position w:val="2"/>
              </w:rPr>
              <w:t xml:space="preserve">      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93"/>
              <w:spacing w:before="267" w:line="93" w:lineRule="exact"/>
              <w:rPr/>
            </w:pPr>
            <w:r>
              <w:rPr>
                <w:spacing w:val="6"/>
                <w:position w:val="2"/>
              </w:rPr>
              <w:t>…</w:t>
            </w:r>
            <w:r>
              <w:rPr>
                <w:spacing w:val="1"/>
                <w:position w:val="2"/>
              </w:rPr>
              <w:t xml:space="preserve">                           </w:t>
            </w:r>
            <w:r>
              <w:rPr>
                <w:position w:val="2"/>
              </w:rPr>
              <w:t xml:space="preserve">         </w:t>
            </w:r>
            <w:r>
              <w:rPr>
                <w:spacing w:val="6"/>
                <w:position w:val="2"/>
              </w:rPr>
              <w:t>…</w:t>
            </w:r>
          </w:p>
          <w:p>
            <w:pPr>
              <w:pStyle w:val="TableText"/>
              <w:ind w:left="182"/>
              <w:spacing w:before="206" w:line="183" w:lineRule="auto"/>
              <w:rPr/>
            </w:pPr>
            <w:r>
              <w:rPr>
                <w:spacing w:val="-6"/>
              </w:rPr>
              <w:t>39.048(4.730，322.324)    0.001</w:t>
            </w:r>
          </w:p>
          <w:p>
            <w:pPr>
              <w:pStyle w:val="TableText"/>
              <w:ind w:left="193"/>
              <w:spacing w:before="155" w:line="184" w:lineRule="auto"/>
              <w:rPr/>
            </w:pPr>
            <w:r>
              <w:rPr>
                <w:spacing w:val="-9"/>
                <w:w w:val="90"/>
              </w:rPr>
              <w:t>N/A</w:t>
            </w:r>
            <w:r>
              <w:rPr/>
              <w:t xml:space="preserve">                                  </w:t>
            </w:r>
            <w:r>
              <w:rPr>
                <w:spacing w:val="-9"/>
                <w:w w:val="90"/>
              </w:rPr>
              <w:t>N/A</w:t>
            </w:r>
          </w:p>
          <w:p>
            <w:pPr>
              <w:pStyle w:val="TableText"/>
              <w:ind w:left="199"/>
              <w:spacing w:before="149" w:line="184" w:lineRule="auto"/>
              <w:rPr/>
            </w:pPr>
            <w:r>
              <w:rPr>
                <w:spacing w:val="-9"/>
                <w:w w:val="90"/>
              </w:rPr>
              <w:t>N/A</w:t>
            </w:r>
            <w:r>
              <w:rPr/>
              <w:t xml:space="preserve">                                  </w:t>
            </w:r>
            <w:r>
              <w:rPr>
                <w:spacing w:val="-9"/>
                <w:w w:val="90"/>
              </w:rPr>
              <w:t>N/A</w:t>
            </w:r>
          </w:p>
        </w:tc>
        <w:tc>
          <w:tcPr>
            <w:tcW w:w="1896" w:type="dxa"/>
            <w:vAlign w:val="top"/>
            <w:vMerge w:val="continue"/>
            <w:tcBorders>
              <w:top w:val="nil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6" w:type="dxa"/>
            <w:vAlign w:val="top"/>
            <w:vMerge w:val="continue"/>
            <w:tcBorders>
              <w:top w:val="nil"/>
              <w:bottom w:val="single" w:color="000000" w:sz="6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2447"/>
        <w:spacing w:before="80" w:line="175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-5"/>
          <w:w w:val="99"/>
        </w:rPr>
        <w:t>*参考类别</w:t>
      </w:r>
    </w:p>
    <w:p>
      <w:pPr>
        <w:ind w:left="2477"/>
        <w:spacing w:before="161" w:line="174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spacing w:val="1"/>
        </w:rPr>
        <w:t>†结果无法获取</w:t>
      </w:r>
    </w:p>
    <w:p>
      <w:pPr>
        <w:spacing w:before="192"/>
        <w:rPr/>
      </w:pPr>
      <w:r/>
    </w:p>
    <w:p>
      <w:pPr>
        <w:sectPr>
          <w:headerReference w:type="default" r:id="rId36"/>
          <w:pgSz w:w="11906" w:h="16158"/>
          <w:pgMar w:top="464" w:right="678" w:bottom="0" w:left="337" w:header="218" w:footer="0" w:gutter="0"/>
          <w:cols w:equalWidth="0" w:num="1">
            <w:col w:w="10890" w:space="0"/>
          </w:cols>
        </w:sectPr>
        <w:rPr/>
      </w:pPr>
    </w:p>
    <w:p>
      <w:pPr>
        <w:ind w:left="235"/>
        <w:spacing w:before="37" w:line="211" w:lineRule="exact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5"/>
          <w:position w:val="-2"/>
        </w:rPr>
        <w:t>3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6"/>
          <w:position w:val="-2"/>
        </w:rPr>
        <w:t xml:space="preserve">  </w:t>
      </w:r>
      <w:r>
        <w:rPr>
          <w:shd w:val="clear" w:fill="F0F1F1"/>
          <w:rFonts w:ascii="Microsoft YaHei" w:hAnsi="Microsoft YaHei" w:eastAsia="Microsoft YaHei" w:cs="Microsoft YaHei"/>
          <w:sz w:val="20"/>
          <w:szCs w:val="20"/>
          <w:spacing w:val="-5"/>
          <w:position w:val="-2"/>
        </w:rPr>
        <w:t>讨    论</w:t>
      </w:r>
    </w:p>
    <w:p>
      <w:pPr>
        <w:ind w:left="234" w:right="128" w:firstLine="370"/>
        <w:spacing w:before="41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本研究通过多因素logistic回归分析，评价复杂性阑尾炎组和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非复杂性阑尾炎组CT征象之间的差异，筛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选出独立危险因素。结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果显示，阑尾壁包埋征与复杂性阑尾炎具有显著相关性；而且，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在多因素分析结果中，阑尾壁包埋征诊断复杂性阑尾炎的敏感度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和特异性分别高达93.3%和85.5%。</w:t>
      </w:r>
    </w:p>
    <w:p>
      <w:pPr>
        <w:ind w:left="233" w:right="128" w:firstLine="397"/>
        <w:spacing w:before="15" w:line="174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目前，在临床工作中，对于急性阑尾炎的诊断还存在一定的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漏诊和误诊率；有时会因假阴性诊断而使患者延误手术时机，或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是因假阳性的诊断而使患者遭受非必要的手术。应用抗生素进行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保守治疗也是急性阑尾炎的重要治疗方法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[7-8]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。然而，对于复杂性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阑尾炎(坏疽或者穿孔)，若选择保守治疗则存在一定的风险。因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此，术前预判急性阑尾炎的病理类型则尤为重要。文献报道，阑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尾壁强化缺损诊断复杂性阑尾炎的准确率最高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10"/>
        </w:rPr>
        <w:t>[9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，其诊断复杂性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阑尾炎的敏感度和特异性分别高达95.0%和96.8%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10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。但是，若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要观察阑尾壁强化缺损必须对患者进行CT增强扫描，然而CT增</w:t>
      </w:r>
      <w:r>
        <w:rPr>
          <w:rFonts w:ascii="Microsoft YaHei" w:hAnsi="Microsoft YaHei" w:eastAsia="Microsoft YaHei" w:cs="Microsoft YaHei"/>
          <w:sz w:val="19"/>
          <w:szCs w:val="19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强扫描在急性阑尾炎的临床诊断应用中存在一定的缺陷，例如，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射线剂量较大、费用较高、夜间急诊或基层医院难于开展等；而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且，对于肾功能不全的患者则无法进行CT增强扫描。若通过CT平</w:t>
      </w:r>
      <w:r>
        <w:rPr>
          <w:rFonts w:ascii="Microsoft YaHei" w:hAnsi="Microsoft YaHei" w:eastAsia="Microsoft YaHei" w:cs="Microsoft YaHei"/>
          <w:sz w:val="19"/>
          <w:szCs w:val="19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扫来观察阑尾壁改变能够较好的预判急性阑尾炎的病理类型以指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导临床治疗，则可以弥补上述不足。</w:t>
      </w:r>
    </w:p>
    <w:p>
      <w:pPr>
        <w:ind w:left="235" w:right="129" w:firstLine="374"/>
        <w:spacing w:before="6" w:line="183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急性阑尾炎随着病情的进展，阑尾壁的炎性渗出物增多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[11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0"/>
        </w:rPr>
        <w:t>]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阑尾壁的肌层结构越容易遭到破坏。因此，我们提出假设，利用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CT平扫观察阑尾壁包埋征可以判断急性阑尾炎的严重程度，</w:t>
      </w:r>
      <w:r>
        <w:rPr>
          <w:rFonts w:ascii="Microsoft YaHei" w:hAnsi="Microsoft YaHei" w:eastAsia="Microsoft YaHei" w:cs="Microsoft YaHei"/>
          <w:sz w:val="19"/>
          <w:szCs w:val="19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即 </w:t>
      </w:r>
      <w:r>
        <w:rPr>
          <w:rFonts w:ascii="Microsoft YaHei" w:hAnsi="Microsoft YaHei" w:eastAsia="Microsoft YaHei" w:cs="Microsoft YaHei"/>
          <w:sz w:val="19"/>
          <w:szCs w:val="19"/>
        </w:rPr>
        <w:t>对复杂性阑尾炎具有诊断价值。在CT图像上，</w:t>
      </w:r>
      <w:r>
        <w:rPr>
          <w:rFonts w:ascii="Microsoft YaHei" w:hAnsi="Microsoft YaHei" w:eastAsia="Microsoft YaHei" w:cs="Microsoft YaHei"/>
          <w:sz w:val="19"/>
          <w:szCs w:val="19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</w:rPr>
        <w:t>由于阑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尾壁固有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肌层肌纤维破坏、溶解，正常结构消失，与周围渗出物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分界不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清，我们可以比较直观的观察到阑尾壁似乎被周围渗出物包埋一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" w:firstLine="1"/>
        <w:spacing w:before="272" w:line="17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样，因此将其命名为“阑尾壁包埋征”。在病理显微镜下可见大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量中性粒细胞和慢性淋巴细胞浸润，以及固有肌层肌纤维束破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坏，这可能是导致阑尾壁肌层局部密度减低，与周围渗出物分界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不清的主要原因。因此，该征象提示阑尾壁极有可能发生了坏疽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或者穿孔。若阑尾壁固有肌层存在，结构完整，与周围渗出物分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界清晰，说明此时尚未发生坏疽，这在我们的非复杂性阑尾炎病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例中也得到了相应的证实。我们的研究结果显示，阑尾壁包埋征</w:t>
      </w:r>
      <w:r>
        <w:rPr>
          <w:rFonts w:ascii="Microsoft YaHei" w:hAnsi="Microsoft YaHei" w:eastAsia="Microsoft YaHei" w:cs="Microsoft YaHei"/>
          <w:sz w:val="19"/>
          <w:szCs w:val="19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诊断复杂性阑尾炎的敏感度为93.3%，其诊断敏感度明显高于脓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肿(36%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)，蜂窝织炎(46%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和40%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)，阑尾腔外气体(36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%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4"/>
          <w:position w:val="-1"/>
        </w:rPr>
        <w:t>、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25%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和35%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2"/>
          <w:position w:val="9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spacing w:val="2"/>
          <w:position w:val="-1"/>
        </w:rPr>
        <w:t>)和阑尾腔外粪石(2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1%</w:t>
      </w:r>
      <w:r>
        <w:rPr>
          <w:rFonts w:ascii="Microsoft YaHei" w:hAnsi="Microsoft YaHei" w:eastAsia="Microsoft YaHei" w:cs="Microsoft YaHei"/>
          <w:sz w:val="19"/>
          <w:szCs w:val="19"/>
          <w:spacing w:val="-32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1"/>
          <w:position w:val="-1"/>
        </w:rPr>
        <w:t>)，诊断漏诊率明显降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低。另外，本研究中有12例非复杂性阑尾炎患者亦出现了阑尾壁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包埋征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，其可能原因分析如下：(1)阑尾壁周围脓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液包绕阑尾所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形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成的假象；(2)阑尾邻近的肠管所造成的部分容积效应。</w:t>
      </w:r>
    </w:p>
    <w:p>
      <w:pPr>
        <w:ind w:firstLine="385"/>
        <w:spacing w:before="9" w:line="178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其他文献报道，蜂窝织炎诊断复杂性阑尾炎的敏感度分别为</w:t>
      </w:r>
      <w:r>
        <w:rPr>
          <w:rFonts w:ascii="Microsoft YaHei" w:hAnsi="Microsoft YaHei" w:eastAsia="Microsoft YaHei" w:cs="Microsoft YaHei"/>
          <w:sz w:val="19"/>
          <w:szCs w:val="19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1"/>
        </w:rPr>
        <w:t>46%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1"/>
        </w:rPr>
        <w:t>和40%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2"/>
          <w:position w:val="-1"/>
        </w:rPr>
        <w:t>，特异性为95.2%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3"/>
          <w:position w:val="-1"/>
        </w:rPr>
        <w:t>；阑尾腔外气体诊断复杂性</w:t>
      </w:r>
      <w:r>
        <w:rPr>
          <w:rFonts w:ascii="Microsoft YaHei" w:hAnsi="Microsoft YaHei" w:eastAsia="Microsoft YaHei" w:cs="Microsoft YaHei"/>
          <w:sz w:val="19"/>
          <w:szCs w:val="1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阑尾炎的敏感度分别为36%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[6]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、22.5%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[10]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和35%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9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position w:val="-1"/>
        </w:rPr>
        <w:t>，特异性分别为</w:t>
      </w:r>
      <w:r>
        <w:rPr>
          <w:rFonts w:ascii="Microsoft YaHei" w:hAnsi="Microsoft YaHei" w:eastAsia="Microsoft YaHei" w:cs="Microsoft YaHei"/>
          <w:sz w:val="19"/>
          <w:szCs w:val="19"/>
          <w:spacing w:val="1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95.24%</w:t>
      </w:r>
      <w:r>
        <w:rPr>
          <w:rFonts w:ascii="Microsoft YaHei" w:hAnsi="Microsoft YaHei" w:eastAsia="Microsoft YaHei" w:cs="Microsoft YaHei"/>
          <w:sz w:val="11"/>
          <w:szCs w:val="11"/>
          <w:spacing w:val="-5"/>
          <w:position w:val="10"/>
        </w:rPr>
        <w:t>[9]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。但是本研究并未得出类似的结果，笔者认为，病例对</w:t>
      </w:r>
      <w:r>
        <w:rPr>
          <w:rFonts w:ascii="Microsoft YaHei" w:hAnsi="Microsoft YaHei" w:eastAsia="Microsoft YaHei" w:cs="Microsoft YaHei"/>
          <w:sz w:val="19"/>
          <w:szCs w:val="19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w w:val="97"/>
        </w:rPr>
        <w:t>照研究设计或者病例的选择偏倚可能是造成本研究与其他研究之间</w:t>
      </w:r>
      <w:r>
        <w:rPr>
          <w:rFonts w:ascii="Microsoft YaHei" w:hAnsi="Microsoft YaHei" w:eastAsia="Microsoft YaHei" w:cs="Microsoft YaHei"/>
          <w:sz w:val="19"/>
          <w:szCs w:val="19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存在结果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差异的原因。而且，本研究中，阑尾壁包埋征在诊断复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杂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2"/>
        </w:rPr>
        <w:t>性阑尾炎高</w:t>
      </w:r>
      <w:r>
        <w:rPr>
          <w:rFonts w:ascii="Microsoft YaHei" w:hAnsi="Microsoft YaHei" w:eastAsia="Microsoft YaHei" w:cs="Microsoft YaHei"/>
          <w:sz w:val="19"/>
          <w:szCs w:val="19"/>
          <w:spacing w:val="-11"/>
        </w:rPr>
        <w:t>敏感度的同时，还保持较高的特异性，并未出现低敏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感</w:t>
      </w:r>
      <w:r>
        <w:rPr>
          <w:rFonts w:ascii="Microsoft YaHei" w:hAnsi="Microsoft YaHei" w:eastAsia="Microsoft YaHei" w:cs="Microsoft YaHei"/>
          <w:sz w:val="19"/>
          <w:szCs w:val="19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度联合高特异性，或者高敏感度联合低特异性的情形，该结果提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示阑尾壁包埋征与其他CT平扫征象相比具有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更好的诊断效能。另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  <w:w w:val="98"/>
        </w:rPr>
        <w:t>外，本研究中有1例非复杂性阑尾炎患者(病理结果为急性化脓性阑</w:t>
      </w:r>
    </w:p>
    <w:p>
      <w:pPr>
        <w:ind w:right="17"/>
        <w:spacing w:before="245" w:line="175" w:lineRule="auto"/>
        <w:jc w:val="right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（下转第159页）</w:t>
      </w:r>
    </w:p>
    <w:p>
      <w:pPr>
        <w:spacing w:line="175" w:lineRule="auto"/>
        <w:sectPr>
          <w:type w:val="continuous"/>
          <w:pgSz w:w="11906" w:h="16158"/>
          <w:pgMar w:top="464" w:right="678" w:bottom="0" w:left="337" w:header="218" w:footer="0" w:gutter="0"/>
          <w:cols w:equalWidth="0" w:num="2">
            <w:col w:w="5576" w:space="100"/>
            <w:col w:w="5215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before="1" w:line="184" w:lineRule="auto"/>
        <w:rPr>
          <w:rFonts w:ascii="SimHei" w:hAnsi="SimHei" w:eastAsia="SimHei" w:cs="SimHei"/>
          <w:sz w:val="20"/>
          <w:szCs w:val="20"/>
        </w:rPr>
      </w:pPr>
      <w:r>
        <w:pict>
          <v:shape id="_x0000_s76" style="position:absolute;margin-left:11.8191pt;margin-top:-758.161pt;mso-position-vertical-relative:text;mso-position-horizontal-relative:text;width:219.35pt;height:0.75pt;z-index:251684864;" filled="false" strokecolor="#000000" strokeweight="0.71pt" coordsize="4387,15" coordorigin="0,0" path="m0,7l4386,7e">
            <v:stroke joinstyle="miter" miterlimit="4"/>
          </v:shape>
        </w:pict>
      </w:r>
      <w:r>
        <w:pict>
          <v:shape id="_x0000_s78" style="position:absolute;margin-left:4.30817pt;margin-top:-2.66636pt;mso-position-vertical-relative:text;mso-position-horizontal-relative:text;width:168.95pt;height:12.5pt;z-index:251683840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rFonts w:ascii="SimHei" w:hAnsi="SimHei" w:eastAsia="SimHei" w:cs="SimHei"/>
          <w:sz w:val="18"/>
          <w:szCs w:val="18"/>
          <w:b/>
          <w:bCs/>
          <w:spacing w:val="-7"/>
        </w:rPr>
        <w:t>156</w:t>
      </w:r>
      <w:r>
        <w:rPr>
          <w:rFonts w:ascii="SimHei" w:hAnsi="SimHei" w:eastAsia="SimHei" w:cs="SimHei"/>
          <w:sz w:val="18"/>
          <w:szCs w:val="18"/>
          <w:spacing w:val="-11"/>
        </w:rPr>
        <w:t xml:space="preserve"> </w:t>
      </w:r>
      <w:r>
        <w:rPr>
          <w:rFonts w:ascii="SimHei" w:hAnsi="SimHei" w:eastAsia="SimHei" w:cs="SimHei"/>
          <w:sz w:val="20"/>
          <w:szCs w:val="20"/>
          <w:b/>
          <w:bCs/>
          <w:spacing w:val="-7"/>
        </w:rPr>
        <w:t>·</w:t>
      </w:r>
    </w:p>
    <w:p>
      <w:pPr>
        <w:spacing w:line="184" w:lineRule="auto"/>
        <w:sectPr>
          <w:type w:val="continuous"/>
          <w:pgSz w:w="11906" w:h="16158"/>
          <w:pgMar w:top="464" w:right="678" w:bottom="0" w:left="337" w:header="218" w:footer="0" w:gutter="0"/>
          <w:cols w:equalWidth="0" w:num="1">
            <w:col w:w="10890" w:space="0"/>
          </w:cols>
        </w:sectPr>
        <w:rPr>
          <w:rFonts w:ascii="SimHei" w:hAnsi="SimHei" w:eastAsia="SimHei" w:cs="SimHei"/>
          <w:sz w:val="20"/>
          <w:szCs w:val="20"/>
        </w:rPr>
      </w:pPr>
    </w:p>
    <w:p>
      <w:pPr>
        <w:spacing w:line="238" w:lineRule="exact"/>
        <w:rPr/>
      </w:pPr>
      <w:r/>
    </w:p>
    <w:p>
      <w:pPr>
        <w:spacing w:line="238" w:lineRule="exact"/>
        <w:sectPr>
          <w:headerReference w:type="default" r:id="rId37"/>
          <w:footerReference w:type="default" r:id="rId38"/>
          <w:pgSz w:w="11906" w:h="16158"/>
          <w:pgMar w:top="462" w:right="251" w:bottom="544" w:left="424" w:header="216" w:footer="284" w:gutter="0"/>
          <w:cols w:equalWidth="0" w:num="1">
            <w:col w:w="11231" w:space="0"/>
          </w:cols>
        </w:sectPr>
        <w:rPr/>
      </w:pPr>
    </w:p>
    <w:p>
      <w:pPr>
        <w:ind w:left="261" w:right="159" w:firstLine="370"/>
        <w:spacing w:before="36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本研究结果表明肛管内的应力-压力分布是不均匀的，不同的</w:t>
      </w:r>
      <w:r>
        <w:rPr>
          <w:rFonts w:ascii="Microsoft YaHei" w:hAnsi="Microsoft YaHei" w:eastAsia="Microsoft YaHei" w:cs="Microsoft YaHei"/>
          <w:sz w:val="19"/>
          <w:szCs w:val="19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颜色代表不同力的大小不同</w:t>
      </w:r>
      <w:r>
        <w:rPr>
          <w:rFonts w:ascii="Microsoft YaHei" w:hAnsi="Microsoft YaHei" w:eastAsia="Microsoft YaHei" w:cs="Microsoft YaHei"/>
          <w:sz w:val="19"/>
          <w:szCs w:val="19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(色带由上到下代表力的减小)。应力-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压力在轴向和周向明显不对称，这与肛管周围解剖结构的变化以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及肛门测压法获得的数据一致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10"/>
        </w:rPr>
        <w:t>[8-10]</w:t>
      </w:r>
      <w:r>
        <w:rPr>
          <w:rFonts w:ascii="Microsoft YaHei" w:hAnsi="Microsoft YaHei" w:eastAsia="Microsoft YaHei" w:cs="Microsoft YaHei"/>
          <w:sz w:val="19"/>
          <w:szCs w:val="19"/>
          <w:spacing w:val="-2"/>
        </w:rPr>
        <w:t>。具体而言，本研究对不同深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"/>
        </w:rPr>
        <w:t>度IAS损伤的模拟结果表明当内括约肌全厚度损伤或接近全厚度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损伤时，肛管静息压明显降低。提示产伤或者肛肠手术如果对内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括约肌全层进行了损伤将可能出现静息状态下大便失禁，尤其是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稀便失禁风险更大。因为Read等</w:t>
      </w:r>
      <w:r>
        <w:rPr>
          <w:rFonts w:ascii="Microsoft YaHei" w:hAnsi="Microsoft YaHei" w:eastAsia="Microsoft YaHei" w:cs="Microsoft YaHei"/>
          <w:sz w:val="11"/>
          <w:szCs w:val="11"/>
          <w:spacing w:val="-6"/>
          <w:position w:val="10"/>
        </w:rPr>
        <w:t>[11]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发现稀便失禁主要反映</w:t>
      </w: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肛门静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息压力低，而固体便失禁则反映肛门静息压和收缩压都低。</w:t>
      </w:r>
    </w:p>
    <w:p>
      <w:pPr>
        <w:ind w:left="263" w:right="161" w:firstLine="367"/>
        <w:spacing w:before="4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在不同离底高度的IAS损伤模拟中，当损伤离底15mm时对静</w:t>
      </w:r>
      <w:r>
        <w:rPr>
          <w:rFonts w:ascii="Microsoft YaHei" w:hAnsi="Microsoft YaHei" w:eastAsia="Microsoft YaHei" w:cs="Microsoft YaHei"/>
          <w:sz w:val="19"/>
          <w:szCs w:val="19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息压的影响已经非常小，此时损伤的高度已接近肛管上段水平，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这个结果与Liu J等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10"/>
        </w:rPr>
        <w:t>[12]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通过肛管测压分析认为的中肛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管是维持静息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时大便失禁的最重要的部分是相符的。</w:t>
      </w:r>
    </w:p>
    <w:p>
      <w:pPr>
        <w:ind w:left="264" w:right="161" w:firstLine="370"/>
        <w:spacing w:before="4" w:line="180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基于肛管核磁影像资料运用Mimics软件构建ASC有限元模型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进行IAS损伤力学模拟分析与肛管测压和局部解剖反映的IAS病理</w:t>
      </w:r>
      <w:r>
        <w:rPr>
          <w:rFonts w:ascii="Microsoft YaHei" w:hAnsi="Microsoft YaHei" w:eastAsia="Microsoft YaHei" w:cs="Microsoft YaHei"/>
          <w:sz w:val="19"/>
          <w:szCs w:val="19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生理是相符的，表明该方法学的有效性和可行性，值得进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一步完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善和实验，以期为临床提供诊疗参考。在模型材料参数、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边界和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  <w:w w:val="98"/>
        </w:rPr>
        <w:t>载荷设定方面仍需要寻找更准确的数据。</w:t>
      </w:r>
    </w:p>
    <w:p>
      <w:pPr>
        <w:ind w:left="265"/>
        <w:spacing w:before="173" w:line="213" w:lineRule="exact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参考文献</w:t>
      </w:r>
    </w:p>
    <w:p>
      <w:pPr>
        <w:ind w:left="553" w:right="163" w:hanging="262"/>
        <w:spacing w:before="38" w:line="25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7"/>
        </w:rPr>
        <w:t>[1]薛云钦.肛裂切扩术治疗Ⅲ期肛裂的肛管直肠压力变化研究[D].南京中医药大</w:t>
      </w:r>
      <w:r>
        <w:rPr>
          <w:rFonts w:ascii="FangSong" w:hAnsi="FangSong" w:eastAsia="FangSong" w:cs="FangSong"/>
          <w:sz w:val="14"/>
          <w:szCs w:val="14"/>
          <w:spacing w:val="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学,2016.</w:t>
      </w:r>
    </w:p>
    <w:p>
      <w:pPr>
        <w:ind w:left="548" w:right="162" w:hanging="257"/>
        <w:spacing w:before="54" w:line="25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[2]赵津艺,胥卉苹,刘蓉,等.经会阴实时三维超声与MRI评估女性子宫形态改变及</w:t>
      </w:r>
      <w:r>
        <w:rPr>
          <w:rFonts w:ascii="FangSong" w:hAnsi="FangSong" w:eastAsia="FangSong" w:cs="FangSong"/>
          <w:sz w:val="14"/>
          <w:szCs w:val="14"/>
          <w:spacing w:val="-1"/>
        </w:rPr>
        <w:t>盆底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功能障碍性疾病中的临床意义[J].中国CT和MRI杂志,2022,20(6):145-147.</w:t>
      </w:r>
    </w:p>
    <w:p>
      <w:pPr>
        <w:ind w:left="545" w:right="160" w:hanging="254"/>
        <w:spacing w:before="57" w:line="26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8"/>
        </w:rPr>
        <w:t>[3]Lip</w:t>
      </w:r>
      <w:r>
        <w:rPr>
          <w:rFonts w:ascii="FangSong" w:hAnsi="FangSong" w:eastAsia="FangSong" w:cs="FangSong"/>
          <w:sz w:val="14"/>
          <w:szCs w:val="14"/>
          <w:spacing w:val="-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tak</w:t>
      </w:r>
      <w:r>
        <w:rPr>
          <w:rFonts w:ascii="FangSong" w:hAnsi="FangSong" w:eastAsia="FangSong" w:cs="FangSong"/>
          <w:sz w:val="14"/>
          <w:szCs w:val="14"/>
          <w:spacing w:val="5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P,Du</w:t>
      </w:r>
      <w:r>
        <w:rPr>
          <w:rFonts w:ascii="FangSong" w:hAnsi="FangSong" w:eastAsia="FangSong" w:cs="FangSong"/>
          <w:sz w:val="14"/>
          <w:szCs w:val="14"/>
          <w:spacing w:val="-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ricek</w:t>
      </w:r>
      <w:r>
        <w:rPr>
          <w:rFonts w:ascii="FangSong" w:hAnsi="FangSong" w:eastAsia="FangSong" w:cs="FangSong"/>
          <w:sz w:val="14"/>
          <w:szCs w:val="14"/>
          <w:spacing w:val="5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M,Ba</w:t>
      </w:r>
      <w:r>
        <w:rPr>
          <w:rFonts w:ascii="FangSong" w:hAnsi="FangSong" w:eastAsia="FangSong" w:cs="FangSong"/>
          <w:sz w:val="14"/>
          <w:szCs w:val="14"/>
          <w:spacing w:val="-5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nov</w:t>
      </w:r>
      <w:r>
        <w:rPr>
          <w:rFonts w:ascii="FangSong" w:hAnsi="FangSong" w:eastAsia="FangSong" w:cs="FangSong"/>
          <w:sz w:val="14"/>
          <w:szCs w:val="14"/>
          <w:spacing w:val="-4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ci</w:t>
      </w:r>
      <w:r>
        <w:rPr>
          <w:rFonts w:ascii="FangSong" w:hAnsi="FangSong" w:eastAsia="FangSong" w:cs="FangSong"/>
          <w:sz w:val="14"/>
          <w:szCs w:val="14"/>
          <w:spacing w:val="-5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n</w:t>
      </w:r>
      <w:r>
        <w:rPr>
          <w:rFonts w:ascii="FangSong" w:hAnsi="FangSong" w:eastAsia="FangSong" w:cs="FangSong"/>
          <w:sz w:val="14"/>
          <w:szCs w:val="14"/>
          <w:spacing w:val="5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P.</w:t>
      </w:r>
      <w:r>
        <w:rPr>
          <w:rFonts w:ascii="FangSong" w:hAnsi="FangSong" w:eastAsia="FangSong" w:cs="FangSong"/>
          <w:sz w:val="14"/>
          <w:szCs w:val="14"/>
          <w:spacing w:val="5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Diagnostic</w:t>
      </w:r>
      <w:r>
        <w:rPr>
          <w:rFonts w:ascii="FangSong" w:hAnsi="FangSong" w:eastAsia="FangSong" w:cs="FangSong"/>
          <w:sz w:val="14"/>
          <w:szCs w:val="14"/>
          <w:spacing w:val="6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tools</w:t>
      </w:r>
      <w:r>
        <w:rPr>
          <w:rFonts w:ascii="FangSong" w:hAnsi="FangSong" w:eastAsia="FangSong" w:cs="FangSong"/>
          <w:sz w:val="14"/>
          <w:szCs w:val="14"/>
          <w:spacing w:val="6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for</w:t>
      </w:r>
      <w:r>
        <w:rPr>
          <w:rFonts w:ascii="FangSong" w:hAnsi="FangSong" w:eastAsia="FangSong" w:cs="FangSong"/>
          <w:sz w:val="14"/>
          <w:szCs w:val="14"/>
          <w:spacing w:val="6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8"/>
        </w:rPr>
        <w:t>fecal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incontinence</w:t>
      </w:r>
      <w:r>
        <w:rPr>
          <w:rFonts w:ascii="FangSong" w:hAnsi="FangSong" w:eastAsia="FangSong" w:cs="FangSong"/>
          <w:sz w:val="14"/>
          <w:szCs w:val="14"/>
          <w:spacing w:val="11"/>
        </w:rPr>
        <w:t>:</w:t>
      </w:r>
      <w:r>
        <w:rPr>
          <w:rFonts w:ascii="FangSong" w:hAnsi="FangSong" w:eastAsia="FangSong" w:cs="FangSong"/>
          <w:sz w:val="14"/>
          <w:szCs w:val="14"/>
        </w:rPr>
        <w:t>scoring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systems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are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the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crucial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first</w:t>
      </w:r>
      <w:r>
        <w:rPr>
          <w:rFonts w:ascii="FangSong" w:hAnsi="FangSong" w:eastAsia="FangSong" w:cs="FangSong"/>
          <w:sz w:val="14"/>
          <w:szCs w:val="1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step</w:t>
      </w:r>
      <w:r>
        <w:rPr>
          <w:rFonts w:ascii="FangSong" w:hAnsi="FangSong" w:eastAsia="FangSong" w:cs="FangSong"/>
          <w:sz w:val="14"/>
          <w:szCs w:val="14"/>
          <w:spacing w:val="11"/>
        </w:rPr>
        <w:t>[J].</w:t>
      </w:r>
      <w:r>
        <w:rPr>
          <w:rFonts w:ascii="FangSong" w:hAnsi="FangSong" w:eastAsia="FangSong" w:cs="FangSong"/>
          <w:sz w:val="14"/>
          <w:szCs w:val="14"/>
        </w:rPr>
        <w:t>World</w:t>
      </w:r>
      <w:r>
        <w:rPr>
          <w:rFonts w:ascii="FangSong" w:hAnsi="FangSong" w:eastAsia="FangSong" w:cs="FangSong"/>
          <w:sz w:val="14"/>
          <w:szCs w:val="14"/>
          <w:spacing w:val="34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J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Gastroenterol</w:t>
      </w:r>
      <w:r>
        <w:rPr>
          <w:rFonts w:ascii="FangSong" w:hAnsi="FangSong" w:eastAsia="FangSong" w:cs="FangSong"/>
          <w:sz w:val="14"/>
          <w:szCs w:val="14"/>
          <w:spacing w:val="4"/>
        </w:rPr>
        <w:t>,2024,30(6):516-522.</w:t>
      </w:r>
    </w:p>
    <w:p>
      <w:pPr>
        <w:spacing w:line="1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2"/>
        </w:rPr>
        <w:t>[4]Keef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KD,Cobine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CA.Control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motility</w:t>
      </w:r>
      <w:r>
        <w:rPr>
          <w:rFonts w:ascii="FangSong" w:hAnsi="FangSong" w:eastAsia="FangSong" w:cs="FangSong"/>
          <w:sz w:val="14"/>
          <w:szCs w:val="14"/>
          <w:spacing w:val="2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in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</w:t>
      </w:r>
      <w:r>
        <w:rPr>
          <w:rFonts w:ascii="FangSong" w:hAnsi="FangSong" w:eastAsia="FangSong" w:cs="FangSong"/>
          <w:sz w:val="14"/>
          <w:szCs w:val="14"/>
          <w:spacing w:val="2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internal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anal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sphincter[J].</w:t>
      </w:r>
    </w:p>
    <w:p>
      <w:pPr>
        <w:ind w:left="259"/>
        <w:spacing w:before="60" w:line="21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"/>
        </w:rPr>
        <w:t>J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Neurogastroenterol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Motil,2019,25(2):189-204.</w:t>
      </w:r>
    </w:p>
    <w:p>
      <w:pPr>
        <w:ind w:left="257" w:right="315" w:hanging="257"/>
        <w:spacing w:before="48" w:line="24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14"/>
        </w:rPr>
        <w:t>[5]</w:t>
      </w:r>
      <w:r>
        <w:rPr>
          <w:rFonts w:ascii="FangSong" w:hAnsi="FangSong" w:eastAsia="FangSong" w:cs="FangSong"/>
          <w:sz w:val="14"/>
          <w:szCs w:val="14"/>
        </w:rPr>
        <w:t>Silva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E</w:t>
      </w:r>
      <w:r>
        <w:rPr>
          <w:rFonts w:ascii="FangSong" w:hAnsi="FangSong" w:eastAsia="FangSong" w:cs="FangSong"/>
          <w:sz w:val="14"/>
          <w:szCs w:val="14"/>
          <w:spacing w:val="14"/>
        </w:rPr>
        <w:t>,</w:t>
      </w:r>
      <w:r>
        <w:rPr>
          <w:rFonts w:ascii="FangSong" w:hAnsi="FangSong" w:eastAsia="FangSong" w:cs="FangSong"/>
          <w:sz w:val="14"/>
          <w:szCs w:val="14"/>
        </w:rPr>
        <w:t>Parente</w:t>
      </w:r>
      <w:r>
        <w:rPr>
          <w:rFonts w:ascii="FangSong" w:hAnsi="FangSong" w:eastAsia="FangSong" w:cs="FangSong"/>
          <w:sz w:val="14"/>
          <w:szCs w:val="14"/>
          <w:spacing w:val="3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M</w:t>
      </w:r>
      <w:r>
        <w:rPr>
          <w:rFonts w:ascii="FangSong" w:hAnsi="FangSong" w:eastAsia="FangSong" w:cs="FangSong"/>
          <w:sz w:val="14"/>
          <w:szCs w:val="14"/>
          <w:spacing w:val="14"/>
        </w:rPr>
        <w:t>,</w:t>
      </w:r>
      <w:r>
        <w:rPr>
          <w:rFonts w:ascii="FangSong" w:hAnsi="FangSong" w:eastAsia="FangSong" w:cs="FangSong"/>
          <w:sz w:val="14"/>
          <w:szCs w:val="14"/>
        </w:rPr>
        <w:t>Brand</w:t>
      </w:r>
      <w:r>
        <w:rPr>
          <w:rFonts w:ascii="Microsoft YaHei" w:hAnsi="Microsoft YaHei" w:eastAsia="Microsoft YaHei" w:cs="Microsoft YaHei"/>
          <w:sz w:val="14"/>
          <w:szCs w:val="14"/>
          <w:spacing w:val="14"/>
        </w:rPr>
        <w:t>ã</w:t>
      </w:r>
      <w:r>
        <w:rPr>
          <w:rFonts w:ascii="FangSong" w:hAnsi="FangSong" w:eastAsia="FangSong" w:cs="FangSong"/>
          <w:sz w:val="14"/>
          <w:szCs w:val="14"/>
        </w:rPr>
        <w:t>o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</w:t>
      </w:r>
      <w:r>
        <w:rPr>
          <w:rFonts w:ascii="FangSong" w:hAnsi="FangSong" w:eastAsia="FangSong" w:cs="FangSong"/>
          <w:sz w:val="14"/>
          <w:szCs w:val="14"/>
          <w:spacing w:val="14"/>
        </w:rPr>
        <w:t>,</w:t>
      </w:r>
      <w:r>
        <w:rPr>
          <w:rFonts w:ascii="FangSong" w:hAnsi="FangSong" w:eastAsia="FangSong" w:cs="FangSong"/>
          <w:sz w:val="14"/>
          <w:szCs w:val="14"/>
        </w:rPr>
        <w:t>et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al</w:t>
      </w:r>
      <w:r>
        <w:rPr>
          <w:rFonts w:ascii="FangSong" w:hAnsi="FangSong" w:eastAsia="FangSong" w:cs="FangSong"/>
          <w:sz w:val="14"/>
          <w:szCs w:val="14"/>
          <w:spacing w:val="14"/>
        </w:rPr>
        <w:t>.</w:t>
      </w:r>
      <w:r>
        <w:rPr>
          <w:rFonts w:ascii="FangSong" w:hAnsi="FangSong" w:eastAsia="FangSong" w:cs="FangSong"/>
          <w:sz w:val="14"/>
          <w:szCs w:val="14"/>
        </w:rPr>
        <w:t>Characterizing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the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biomechanical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properties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3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pubovisceralis</w:t>
      </w:r>
      <w:r>
        <w:rPr>
          <w:rFonts w:ascii="FangSong" w:hAnsi="FangSong" w:eastAsia="FangSong" w:cs="FangSong"/>
          <w:sz w:val="14"/>
          <w:szCs w:val="14"/>
          <w:spacing w:val="1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muscle</w:t>
      </w:r>
      <w:r>
        <w:rPr>
          <w:rFonts w:ascii="FangSong" w:hAnsi="FangSong" w:eastAsia="FangSong" w:cs="FangSong"/>
          <w:sz w:val="14"/>
          <w:szCs w:val="14"/>
          <w:spacing w:val="2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using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genetic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algorithm</w:t>
      </w:r>
      <w:r>
        <w:rPr>
          <w:rFonts w:ascii="FangSong" w:hAnsi="FangSong" w:eastAsia="FangSong" w:cs="FangSong"/>
          <w:sz w:val="14"/>
          <w:szCs w:val="14"/>
          <w:spacing w:val="2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the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finite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element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method[J].J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Biomech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Eng,2019,141(1).</w:t>
      </w:r>
    </w:p>
    <w:p>
      <w:pPr>
        <w:ind w:left="262" w:right="313" w:hanging="263"/>
        <w:spacing w:before="60" w:line="25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3"/>
        </w:rPr>
        <w:t>[6]周琳夕,严诚</w:t>
      </w:r>
      <w:r>
        <w:rPr>
          <w:rFonts w:ascii="FangSong" w:hAnsi="FangSong" w:eastAsia="FangSong" w:cs="FangSong"/>
          <w:sz w:val="14"/>
          <w:szCs w:val="14"/>
          <w:spacing w:val="-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3"/>
        </w:rPr>
        <w:t>.基于</w:t>
      </w:r>
      <w:r>
        <w:rPr>
          <w:rFonts w:ascii="FangSong" w:hAnsi="FangSong" w:eastAsia="FangSong" w:cs="FangSong"/>
          <w:sz w:val="14"/>
          <w:szCs w:val="14"/>
        </w:rPr>
        <w:t>CT</w:t>
      </w:r>
      <w:r>
        <w:rPr>
          <w:rFonts w:ascii="FangSong" w:hAnsi="FangSong" w:eastAsia="FangSong" w:cs="FangSong"/>
          <w:sz w:val="14"/>
          <w:szCs w:val="14"/>
          <w:spacing w:val="23"/>
        </w:rPr>
        <w:t>图像研究骨盆及韧带的损伤[J]</w:t>
      </w:r>
      <w:r>
        <w:rPr>
          <w:rFonts w:ascii="FangSong" w:hAnsi="FangSong" w:eastAsia="FangSong" w:cs="FangSong"/>
          <w:sz w:val="14"/>
          <w:szCs w:val="14"/>
          <w:spacing w:val="-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3"/>
        </w:rPr>
        <w:t>.</w:t>
      </w:r>
      <w:r>
        <w:rPr>
          <w:rFonts w:ascii="FangSong" w:hAnsi="FangSong" w:eastAsia="FangSong" w:cs="FangSong"/>
          <w:sz w:val="14"/>
          <w:szCs w:val="14"/>
          <w:spacing w:val="-2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3"/>
        </w:rPr>
        <w:t>中国</w:t>
      </w:r>
      <w:r>
        <w:rPr>
          <w:rFonts w:ascii="FangSong" w:hAnsi="FangSong" w:eastAsia="FangSong" w:cs="FangSong"/>
          <w:sz w:val="14"/>
          <w:szCs w:val="14"/>
        </w:rPr>
        <w:t>CT</w:t>
      </w:r>
      <w:r>
        <w:rPr>
          <w:rFonts w:ascii="FangSong" w:hAnsi="FangSong" w:eastAsia="FangSong" w:cs="FangSong"/>
          <w:sz w:val="14"/>
          <w:szCs w:val="14"/>
          <w:spacing w:val="23"/>
        </w:rPr>
        <w:t>和</w:t>
      </w:r>
      <w:r>
        <w:rPr>
          <w:rFonts w:ascii="FangSong" w:hAnsi="FangSong" w:eastAsia="FangSong" w:cs="FangSong"/>
          <w:sz w:val="14"/>
          <w:szCs w:val="14"/>
        </w:rPr>
        <w:t>MRI</w:t>
      </w:r>
      <w:r>
        <w:rPr>
          <w:rFonts w:ascii="FangSong" w:hAnsi="FangSong" w:eastAsia="FangSong" w:cs="FangSong"/>
          <w:sz w:val="14"/>
          <w:szCs w:val="14"/>
          <w:spacing w:val="23"/>
        </w:rPr>
        <w:t>杂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志,2021,19(3):138-141.</w:t>
      </w:r>
    </w:p>
    <w:p>
      <w:pPr>
        <w:ind w:left="255" w:right="318" w:hanging="255"/>
        <w:spacing w:before="54" w:line="25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[7]权隆芳,李宇飞,孙杰,等.肛管直肠环肌群有限</w:t>
      </w:r>
      <w:r>
        <w:rPr>
          <w:rFonts w:ascii="FangSong" w:hAnsi="FangSong" w:eastAsia="FangSong" w:cs="FangSong"/>
          <w:sz w:val="14"/>
          <w:szCs w:val="14"/>
          <w:spacing w:val="1"/>
        </w:rPr>
        <w:t>元模型应力分析[J].中国中西医结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合外科杂志,2022,28(4):538-542.</w:t>
      </w:r>
    </w:p>
    <w:p>
      <w:pPr>
        <w:ind w:left="257" w:right="315" w:hanging="257"/>
        <w:spacing w:before="54" w:line="26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2"/>
        </w:rPr>
        <w:t>[8]Luft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F,Fynne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L,Gregersen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H,et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al.Functional</w:t>
      </w:r>
      <w:r>
        <w:rPr>
          <w:rFonts w:ascii="FangSong" w:hAnsi="FangSong" w:eastAsia="FangSong" w:cs="FangSong"/>
          <w:sz w:val="14"/>
          <w:szCs w:val="14"/>
          <w:spacing w:val="2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luminal</w:t>
      </w:r>
      <w:r>
        <w:rPr>
          <w:rFonts w:ascii="FangSong" w:hAnsi="FangSong" w:eastAsia="FangSong" w:cs="FangSong"/>
          <w:sz w:val="14"/>
          <w:szCs w:val="14"/>
          <w:spacing w:val="2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imaging</w:t>
      </w:r>
      <w:r>
        <w:rPr>
          <w:rFonts w:ascii="FangSong" w:hAnsi="FangSong" w:eastAsia="FangSong" w:cs="FangSong"/>
          <w:sz w:val="14"/>
          <w:szCs w:val="14"/>
          <w:spacing w:val="1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pro</w:t>
      </w:r>
      <w:r>
        <w:rPr>
          <w:rFonts w:ascii="FangSong" w:hAnsi="FangSong" w:eastAsia="FangSong" w:cs="FangSong"/>
          <w:sz w:val="14"/>
          <w:szCs w:val="14"/>
          <w:spacing w:val="-3"/>
        </w:rPr>
        <w:t>be:a</w:t>
      </w:r>
      <w:r>
        <w:rPr>
          <w:rFonts w:ascii="FangSong" w:hAnsi="FangSong" w:eastAsia="FangSong" w:cs="FangSong"/>
          <w:sz w:val="14"/>
          <w:szCs w:val="14"/>
          <w:spacing w:val="-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3"/>
        </w:rPr>
        <w:t>new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technique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for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dynamic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evaluation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of</w:t>
      </w:r>
      <w:r>
        <w:rPr>
          <w:rFonts w:ascii="FangSong" w:hAnsi="FangSong" w:eastAsia="FangSong" w:cs="FangSong"/>
          <w:sz w:val="14"/>
          <w:szCs w:val="14"/>
          <w:spacing w:val="1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me</w:t>
      </w:r>
      <w:r>
        <w:rPr>
          <w:rFonts w:ascii="FangSong" w:hAnsi="FangSong" w:eastAsia="FangSong" w:cs="FangSong"/>
          <w:sz w:val="14"/>
          <w:szCs w:val="14"/>
          <w:spacing w:val="-2"/>
        </w:rPr>
        <w:t>chanical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properties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the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anal-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canal[J].Tech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Coloproctol,2012,16(6):451-457.</w:t>
      </w:r>
    </w:p>
    <w:p>
      <w:pPr>
        <w:ind w:left="258" w:right="315" w:hanging="259"/>
        <w:spacing w:before="59" w:line="25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2"/>
        </w:rPr>
        <w:t>[9]肖元宏,刘贵麟.肛管压力的对称性变化趋势对括约肌功能</w:t>
      </w:r>
      <w:r>
        <w:rPr>
          <w:rFonts w:ascii="FangSong" w:hAnsi="FangSong" w:eastAsia="FangSong" w:cs="FangSong"/>
          <w:sz w:val="14"/>
          <w:szCs w:val="14"/>
          <w:spacing w:val="1"/>
        </w:rPr>
        <w:t>状态的定量评价[J].中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华医学杂志,2002,115(3):413-417.</w:t>
      </w:r>
    </w:p>
    <w:p>
      <w:pPr>
        <w:ind w:left="248" w:right="317" w:hanging="249"/>
        <w:spacing w:before="55" w:line="25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[10]肖元宏,刘贵麟.肛门外括约肌压力偏位产生的解剖学基础及其特征[J].中国</w:t>
      </w:r>
      <w:r>
        <w:rPr>
          <w:rFonts w:ascii="FangSong" w:hAnsi="FangSong" w:eastAsia="FangSong" w:cs="FangSong"/>
          <w:sz w:val="14"/>
          <w:szCs w:val="14"/>
          <w:spacing w:val="-1"/>
        </w:rPr>
        <w:t>临床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康复,2005,9(18):92-94.</w:t>
      </w:r>
    </w:p>
    <w:p>
      <w:pPr>
        <w:ind w:left="261" w:right="313" w:hanging="261"/>
        <w:spacing w:before="56" w:line="26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[11]Wang</w:t>
      </w:r>
      <w:r>
        <w:rPr>
          <w:rFonts w:ascii="FangSong" w:hAnsi="FangSong" w:eastAsia="FangSong" w:cs="FangSong"/>
          <w:sz w:val="14"/>
          <w:szCs w:val="1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X,Wang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C,Qi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R.Effectiveness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and</w:t>
      </w:r>
      <w:r>
        <w:rPr>
          <w:rFonts w:ascii="FangSong" w:hAnsi="FangSong" w:eastAsia="FangSong" w:cs="FangSong"/>
          <w:sz w:val="14"/>
          <w:szCs w:val="14"/>
          <w:spacing w:val="3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prognosis:drainage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skin-bridge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sparing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surgery</w:t>
      </w:r>
      <w:r>
        <w:rPr>
          <w:rFonts w:ascii="FangSong" w:hAnsi="FangSong" w:eastAsia="FangSong" w:cs="FangSong"/>
          <w:sz w:val="14"/>
          <w:szCs w:val="14"/>
          <w:spacing w:val="3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combined</w:t>
      </w:r>
      <w:r>
        <w:rPr>
          <w:rFonts w:ascii="FangSong" w:hAnsi="FangSong" w:eastAsia="FangSong" w:cs="FangSong"/>
          <w:sz w:val="14"/>
          <w:szCs w:val="14"/>
          <w:spacing w:val="2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w</w:t>
      </w:r>
      <w:r>
        <w:rPr>
          <w:rFonts w:ascii="FangSong" w:hAnsi="FangSong" w:eastAsia="FangSong" w:cs="FangSong"/>
          <w:sz w:val="14"/>
          <w:szCs w:val="14"/>
          <w:spacing w:val="-2"/>
        </w:rPr>
        <w:t>ith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fistulotomy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versus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fistulotomy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only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in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the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treatment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of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anal</w:t>
      </w:r>
      <w:r>
        <w:rPr>
          <w:rFonts w:ascii="FangSong" w:hAnsi="FangSong" w:eastAsia="FangSong" w:cs="FangSong"/>
          <w:sz w:val="14"/>
          <w:szCs w:val="14"/>
          <w:spacing w:val="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fistula[J].J</w:t>
      </w:r>
      <w:r>
        <w:rPr>
          <w:rFonts w:ascii="FangSong" w:hAnsi="FangSong" w:eastAsia="FangSong" w:cs="FangSong"/>
          <w:sz w:val="14"/>
          <w:szCs w:val="14"/>
          <w:spacing w:val="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Healthc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Eng,2021,2021</w:t>
      </w:r>
      <w:r>
        <w:rPr>
          <w:rFonts w:ascii="FangSong" w:hAnsi="FangSong" w:eastAsia="FangSong" w:cs="FangSong"/>
          <w:sz w:val="14"/>
          <w:szCs w:val="14"/>
          <w:spacing w:val="-2"/>
        </w:rPr>
        <w:t>:6940072.</w:t>
      </w:r>
    </w:p>
    <w:p>
      <w:pPr>
        <w:ind w:left="253" w:right="312" w:hanging="254"/>
        <w:spacing w:before="61" w:line="26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3"/>
        </w:rPr>
        <w:t>[12]Liu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J,Guader</w:t>
      </w:r>
      <w:r>
        <w:rPr>
          <w:rFonts w:ascii="FangSong" w:hAnsi="FangSong" w:eastAsia="FangSong" w:cs="FangSong"/>
          <w:sz w:val="14"/>
          <w:szCs w:val="14"/>
          <w:spacing w:val="-5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rama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N,Nager</w:t>
      </w:r>
      <w:r>
        <w:rPr>
          <w:rFonts w:ascii="FangSong" w:hAnsi="FangSong" w:eastAsia="FangSong" w:cs="FangSong"/>
          <w:sz w:val="14"/>
          <w:szCs w:val="14"/>
          <w:spacing w:val="4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CW,et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al.Functional</w:t>
      </w:r>
      <w:r>
        <w:rPr>
          <w:rFonts w:ascii="FangSong" w:hAnsi="FangSong" w:eastAsia="FangSong" w:cs="FangSong"/>
          <w:sz w:val="14"/>
          <w:szCs w:val="14"/>
          <w:spacing w:val="4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correlates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of</w:t>
      </w:r>
      <w:r>
        <w:rPr>
          <w:rFonts w:ascii="FangSong" w:hAnsi="FangSong" w:eastAsia="FangSong" w:cs="FangSong"/>
          <w:sz w:val="14"/>
          <w:szCs w:val="14"/>
          <w:spacing w:val="4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</w:t>
      </w:r>
      <w:r>
        <w:rPr>
          <w:rFonts w:ascii="FangSong" w:hAnsi="FangSong" w:eastAsia="FangSong" w:cs="FangSong"/>
          <w:sz w:val="14"/>
          <w:szCs w:val="14"/>
          <w:spacing w:val="2"/>
        </w:rPr>
        <w:t>nal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canal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anatomy:puborectalis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muscle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and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anal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canal</w:t>
      </w:r>
      <w:r>
        <w:rPr>
          <w:rFonts w:ascii="FangSong" w:hAnsi="FangSong" w:eastAsia="FangSong" w:cs="FangSong"/>
          <w:sz w:val="14"/>
          <w:szCs w:val="14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pressure[J].A</w:t>
      </w:r>
      <w:r>
        <w:rPr>
          <w:rFonts w:ascii="FangSong" w:hAnsi="FangSong" w:eastAsia="FangSong" w:cs="FangSong"/>
          <w:sz w:val="14"/>
          <w:szCs w:val="14"/>
          <w:spacing w:val="1"/>
        </w:rPr>
        <w:t>m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1"/>
        </w:rPr>
        <w:t>J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Gastroenterol</w:t>
      </w:r>
      <w:r>
        <w:rPr>
          <w:rFonts w:ascii="FangSong" w:hAnsi="FangSong" w:eastAsia="FangSong" w:cs="FangSong"/>
          <w:sz w:val="14"/>
          <w:szCs w:val="14"/>
          <w:spacing w:val="4"/>
        </w:rPr>
        <w:t>,2006,101(5):1092-1097.</w:t>
      </w: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846"/>
        <w:spacing w:before="82" w:line="17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(收稿日期：2024-05-09)</w:t>
      </w:r>
    </w:p>
    <w:p>
      <w:pPr>
        <w:ind w:left="2846"/>
        <w:spacing w:before="1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(校对编辑：翁佳鸿)</w:t>
      </w:r>
    </w:p>
    <w:p>
      <w:pPr>
        <w:spacing w:line="186" w:lineRule="auto"/>
        <w:sectPr>
          <w:type w:val="continuous"/>
          <w:pgSz w:w="11906" w:h="16158"/>
          <w:pgMar w:top="462" w:right="251" w:bottom="544" w:left="424" w:header="216" w:footer="284" w:gutter="0"/>
          <w:cols w:equalWidth="0" w:num="2">
            <w:col w:w="5634" w:space="100"/>
            <w:col w:w="5497" w:space="0"/>
          </w:cols>
        </w:sectPr>
        <w:rPr>
          <w:rFonts w:ascii="Microsoft YaHei" w:hAnsi="Microsoft YaHei" w:eastAsia="Microsoft YaHei" w:cs="Microsoft YaHei"/>
          <w:sz w:val="19"/>
          <w:szCs w:val="19"/>
        </w:rPr>
      </w:pPr>
    </w:p>
    <w:p>
      <w:pPr>
        <w:spacing w:line="316" w:lineRule="auto"/>
        <w:rPr>
          <w:rFonts w:ascii="Arial"/>
          <w:sz w:val="21"/>
        </w:rPr>
      </w:pPr>
      <w:r>
        <w:pict>
          <v:shape id="_x0000_s82" style="position:absolute;margin-left:319.889pt;margin-top:-329.272pt;mso-position-vertical-relative:text;mso-position-horizontal-relative:text;width:226.25pt;height:0.75pt;z-index:251703296;" filled="false" strokecolor="#000000" strokeweight="0.71pt" coordsize="4525,15" coordorigin="0,0" path="m0,7l4524,7e">
            <v:stroke joinstyle="miter" miterlimit="4"/>
          </v:shape>
        </w:pict>
      </w: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firstLine="468"/>
        <w:spacing w:line="107" w:lineRule="exact"/>
        <w:rPr/>
      </w:pPr>
      <w:r>
        <w:rPr>
          <w:position w:val="-2"/>
        </w:rPr>
        <w:pict>
          <v:shape id="_x0000_s84" style="mso-position-vertical-relative:line;mso-position-horizontal-relative:char;width:511.75pt;height:5.35pt;" filled="false" strokecolor="#000000" strokeweight="0.51pt" coordsize="10235,106" coordorigin="0,0" path="m3,53l55,3l108,53l55,103l3,53xm117,53l169,3l221,53l169,103l117,53xm230,53l283,3l335,53l283,103l230,53xm344,53l397,3l449,53l397,103l344,53xm458,53l510,3l563,53l510,103l458,53xm572,53l624,3l676,53l624,103l572,53xm685,53l738,3l790,53l738,103l685,53xm799,53l852,3l904,53l852,103l799,53xm913,53l965,3l1018,53l965,103l913,53xm1027,53l1079,3l1131,53l1079,103l1027,53xm1140,53l1193,3l1245,53l1193,103l1140,53xm1254,53l1306,3l1359,53l1306,103l1254,53xm1368,53l1420,3l1473,53l1420,103l1368,53xm1482,53l1534,3l1586,53l1534,103l1482,53xm1595,53l1648,3l1700,53l1648,103l1595,53xm1709,53l1761,3l1814,53l1761,103l1709,53xm1823,53l1875,3l1927,53l1875,103l1823,53xm1937,53l1989,3l2041,53l1989,103l1937,53xm2050,53l2103,3l2155,53l2103,103l2050,53xm2164,53l2216,3l2269,53l2216,103l2164,53xm2278,53l2330,3l2382,53l2330,103l2278,53xm2392,53l2444,3l2496,53l2444,103l2392,53xm2505,53l2558,3l2610,53l2558,103l2505,53xm2619,53l2671,3l2724,53l2671,103l2619,53xm2733,53l2785,3l2837,53l2785,103l2733,53xm2847,53l2899,3l2951,53l2899,103l2847,53xm2960,53l3013,3l3065,53l3013,103l2960,53xm3074,53l3126,3l3179,53l3126,103l3074,53xm3188,53l3240,3l3292,53l3240,103l3188,53xm3302,53l3354,3l3406,53l3354,103l3302,53xm3415,53l3468,3l3520,53l3468,103l3415,53xm3529,53l3581,3l3634,53l3581,103l3529,53xm3643,53l3695,3l3747,53l3695,103l3643,53xm3757,53l3809,3l3861,53l3809,103l3757,53xm3870,53l3923,3l3975,53l3923,103l3870,53xm3984,53l4036,3l4089,53l4036,103l3984,53xm4098,53l4150,3l4202,53l4150,103l4098,53xm4211,53l4264,3l4316,53l4264,103l4211,53xm4325,53l4378,3l4430,53l4378,103l4325,53xm4439,53l4491,3l4544,53l4491,103l4439,53xm4553,53l4605,3l4657,53l4605,103l4553,53xm4666,53l4719,3l4771,53l4719,103l4666,53xm4780,53l4833,3l4885,53l4833,103l4780,53xm4894,53l4946,3l4999,53l4946,103l4894,53xm5008,53l5060,3l5112,53l5060,103l5008,53xm5121,53l5174,3l5226,53l5174,103l5121,53xm5235,53l5287,3l5340,53l5287,103l5235,53xm5349,53l5401,3l5454,53l5401,103l5349,53xm5463,53l5515,3l5567,53l5515,103l5463,53xm5576,53l5629,3l5681,53l5629,103l5576,53xm5690,53l5742,3l5795,53l5742,103l5690,53xm5804,53l5856,3l5908,53l5856,103l5804,53xm5918,53l5970,3l6022,53l5970,103l5918,53xm6031,53l6084,3l6136,53l6084,103l6031,53xm6145,53l6197,3l6250,53l6197,103l6145,53xm6259,53l6311,3l6363,53l6311,103l6259,53xm6373,53l6425,3l6477,53l6425,103l6373,53xm6486,53l6539,3l6591,53l6539,103l6486,53xm6600,53l6652,3l6705,53l6652,103l6600,53xm6714,53l6766,3l6818,53l6766,103l6714,53xm6828,53l6880,3l6932,53l6880,103l6828,53xm6941,53l6994,3l7046,53l6994,103l6941,53xm7055,53l7107,3l7160,53l7107,103l7055,53xm7169,53l7221,3l7273,53l7221,103l7169,53xm7283,53l7335,3l7387,53l7335,103l7283,53xm7396,53l7449,3l7501,53l7449,103l7396,53xm7510,53l7562,3l7615,53l7562,103l7510,53xm7624,53l7676,3l7728,53l7676,103l7624,53xm7738,53l7790,3l7842,53l7790,103l7738,53xm7851,53l7904,3l7956,53l7904,103l7851,53xm7965,53l8017,3l8070,53l8017,103l7965,53xm8079,53l8131,3l8183,53l8131,103l8079,53xm8192,53l8245,3l8297,53l8245,103l8192,53xm8306,53l8359,3l8411,53l8359,103l8306,53xm8420,53l8472,3l8525,53l8472,103l8420,53xm8534,53l8586,3l8638,53l8586,103l8534,53xm8647,53l8700,3l8752,53l8700,103l8647,53xm8761,53l8814,3l8866,53l8814,103l8761,53xm8875,53l8927,3l8980,53l8927,103l8875,53xm8989,53l9041,3l9093,53l9041,103l8989,53xm9102,53l9155,3l9207,53l9155,103l9102,53xm9216,53l9268,3l9321,53l9268,103l9216,53xm9330,53l9382,3l9435,53l9382,103l9330,53xm9444,53l9496,3l9548,53l9496,103l9444,53xm9557,53l9610,3l9662,53l9610,103l9557,53xm9671,53l9723,3l9776,53l9723,103l9671,53xm9785,53l9837,3l9889,53l9837,103l9785,53xm9899,53l9951,3l10003,53l9951,103l9899,53xm10012,53l10065,3l10117,53l10065,103l10012,53xm10126,53l10178,3l10231,53l10178,103l10126,53xe">
            <v:stroke joinstyle="miter" miterlimit="300"/>
          </v:shape>
        </w:pict>
      </w:r>
    </w:p>
    <w:p>
      <w:pPr>
        <w:ind w:left="288"/>
        <w:spacing w:before="204" w:line="175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15"/>
        </w:rPr>
        <w:t>（上接第156页）</w:t>
      </w:r>
    </w:p>
    <w:p>
      <w:pPr>
        <w:spacing w:before="57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pacing w:before="57"/>
        <w:rPr/>
      </w:pPr>
      <w:r/>
    </w:p>
    <w:p>
      <w:pPr>
        <w:sectPr>
          <w:type w:val="continuous"/>
          <w:pgSz w:w="11906" w:h="16158"/>
          <w:pgMar w:top="462" w:right="251" w:bottom="544" w:left="424" w:header="216" w:footer="284" w:gutter="0"/>
          <w:cols w:equalWidth="0" w:num="1">
            <w:col w:w="11231" w:space="0"/>
          </w:cols>
        </w:sectPr>
        <w:rPr/>
      </w:pPr>
    </w:p>
    <w:p>
      <w:pPr>
        <w:ind w:left="263" w:right="159"/>
        <w:spacing w:before="44" w:line="177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尾炎)出现了阑尾腔外气体，其可能原因分析如下：(1</w:t>
      </w:r>
      <w:r>
        <w:rPr>
          <w:rFonts w:ascii="Microsoft YaHei" w:hAnsi="Microsoft YaHei" w:eastAsia="Microsoft YaHei" w:cs="Microsoft YaHei"/>
          <w:sz w:val="19"/>
          <w:szCs w:val="19"/>
          <w:spacing w:val="-8"/>
        </w:rPr>
        <w:t>)病理显微镜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检查选取了未穿孔部分阑尾，对穿孔部位未检查</w:t>
      </w: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到；(2)对于一些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  <w:w w:val="99"/>
        </w:rPr>
        <w:t>体型偏瘦的患者，容易把肠腔内气体错误的定位在腹膜内。</w:t>
      </w:r>
    </w:p>
    <w:p>
      <w:pPr>
        <w:ind w:left="265" w:right="162" w:firstLine="368"/>
        <w:spacing w:before="1" w:line="17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脓肿与阑尾腔外粪石由于样本量过少，因此，无法进行单因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10"/>
        </w:rPr>
        <w:t>素和多因素分析。</w:t>
      </w:r>
    </w:p>
    <w:p>
      <w:pPr>
        <w:ind w:left="262" w:right="161" w:firstLine="374"/>
        <w:spacing w:before="9" w:line="176" w:lineRule="auto"/>
        <w:jc w:val="both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本研究的局限性如下：首先，本研究为回顾性研究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，在病例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上可能存在选择偏移；而且，本研究中复杂性阑尾炎组(31例)和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3"/>
        </w:rPr>
        <w:t>非复杂性阑尾炎组(83例)病例数相差较大，可能会对结果造成一</w:t>
      </w:r>
      <w:r>
        <w:rPr>
          <w:rFonts w:ascii="Microsoft YaHei" w:hAnsi="Microsoft YaHei" w:eastAsia="Microsoft YaHei" w:cs="Microsoft YaHei"/>
          <w:sz w:val="19"/>
          <w:szCs w:val="19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3"/>
        </w:rPr>
        <w:t>定的偏移影响；其次，对于体型偏瘦、腹腔内脂肪含量</w:t>
      </w:r>
      <w:r>
        <w:rPr>
          <w:rFonts w:ascii="Microsoft YaHei" w:hAnsi="Microsoft YaHei" w:eastAsia="Microsoft YaHei" w:cs="Microsoft YaHei"/>
          <w:sz w:val="19"/>
          <w:szCs w:val="19"/>
          <w:spacing w:val="2"/>
        </w:rPr>
        <w:t>少的患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者，由于缺乏脂肪密度作背景对比，观察阑尾壁包埋征则较为困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难；第三，阑尾壁周围的邻近肠管容易形成部分容积效应，从而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4"/>
        </w:rPr>
        <w:t>导致诊断假阳性发生，此时可以通过多方位观察阑尾壁来避免诊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5"/>
        </w:rPr>
        <w:t>断假阳性；最后，本研究未纳入年龄小于14周岁患者，研究结果</w:t>
      </w:r>
      <w:r>
        <w:rPr>
          <w:rFonts w:ascii="Microsoft YaHei" w:hAnsi="Microsoft YaHei" w:eastAsia="Microsoft YaHei" w:cs="Microsoft YaHei"/>
          <w:sz w:val="19"/>
          <w:szCs w:val="19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9"/>
        </w:rPr>
        <w:t>的推广适用存在一定的限制。</w:t>
      </w:r>
    </w:p>
    <w:p>
      <w:pPr>
        <w:ind w:left="264" w:right="160" w:firstLine="369"/>
        <w:spacing w:line="187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6"/>
        </w:rPr>
        <w:t>综上所述，通过CT平扫观察阑尾壁包埋征对复杂性阑尾炎具</w:t>
      </w:r>
      <w:r>
        <w:rPr>
          <w:rFonts w:ascii="Microsoft YaHei" w:hAnsi="Microsoft YaHei" w:eastAsia="Microsoft YaHei" w:cs="Microsoft YaHei"/>
          <w:sz w:val="19"/>
          <w:szCs w:val="19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spacing w:val="-6"/>
          <w:w w:val="98"/>
        </w:rPr>
        <w:t>有重要诊断价值。</w:t>
      </w:r>
    </w:p>
    <w:p>
      <w:pPr>
        <w:ind w:left="265"/>
        <w:spacing w:before="172" w:line="214" w:lineRule="exact"/>
        <w:outlineLvl w:val="1"/>
        <w:rPr>
          <w:rFonts w:ascii="Microsoft YaHei" w:hAnsi="Microsoft YaHei" w:eastAsia="Microsoft YaHei" w:cs="Microsoft YaHei"/>
          <w:sz w:val="20"/>
          <w:szCs w:val="20"/>
        </w:rPr>
      </w:pPr>
      <w:r>
        <w:rPr>
          <w:shd w:val="clear" w:fill="F0F1F1"/>
          <w:rFonts w:ascii="Microsoft YaHei" w:hAnsi="Microsoft YaHei" w:eastAsia="Microsoft YaHei" w:cs="Microsoft YaHei"/>
          <w:sz w:val="20"/>
          <w:szCs w:val="20"/>
          <w:b/>
          <w:bCs/>
          <w:spacing w:val="7"/>
        </w:rPr>
        <w:t>参考文献</w:t>
      </w:r>
    </w:p>
    <w:p>
      <w:pPr>
        <w:ind w:left="545" w:right="159" w:hanging="254"/>
        <w:spacing w:before="38" w:line="26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"/>
        </w:rPr>
        <w:t>[1]Mandeville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K,Monut</w:t>
      </w:r>
      <w:r>
        <w:rPr>
          <w:rFonts w:ascii="FangSong" w:hAnsi="FangSong" w:eastAsia="FangSong" w:cs="FangSong"/>
          <w:sz w:val="14"/>
          <w:szCs w:val="14"/>
          <w:spacing w:val="-2"/>
        </w:rPr>
        <w:t>eaux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M,Pottker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T,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et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al.Effects</w:t>
      </w:r>
      <w:r>
        <w:rPr>
          <w:rFonts w:ascii="FangSong" w:hAnsi="FangSong" w:eastAsia="FangSong" w:cs="FangSong"/>
          <w:sz w:val="14"/>
          <w:szCs w:val="14"/>
          <w:spacing w:val="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timing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to</w:t>
      </w:r>
      <w:r>
        <w:rPr>
          <w:rFonts w:ascii="FangSong" w:hAnsi="FangSong" w:eastAsia="FangSong" w:cs="FangSong"/>
          <w:sz w:val="14"/>
          <w:szCs w:val="14"/>
          <w:spacing w:val="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diagnosis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and</w:t>
      </w:r>
      <w:r>
        <w:rPr>
          <w:rFonts w:ascii="FangSong" w:hAnsi="FangSong" w:eastAsia="FangSong" w:cs="FangSong"/>
          <w:sz w:val="14"/>
          <w:szCs w:val="14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appendectomy</w:t>
      </w:r>
      <w:r>
        <w:rPr>
          <w:rFonts w:ascii="FangSong" w:hAnsi="FangSong" w:eastAsia="FangSong" w:cs="FangSong"/>
          <w:sz w:val="14"/>
          <w:szCs w:val="14"/>
          <w:spacing w:val="5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in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pediatric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appendicitis[J].Pediatr</w:t>
      </w:r>
      <w:r>
        <w:rPr>
          <w:rFonts w:ascii="FangSong" w:hAnsi="FangSong" w:eastAsia="FangSong" w:cs="FangSong"/>
          <w:sz w:val="14"/>
          <w:szCs w:val="14"/>
          <w:spacing w:val="2"/>
        </w:rPr>
        <w:t>ic</w:t>
      </w:r>
      <w:r>
        <w:rPr>
          <w:rFonts w:ascii="FangSong" w:hAnsi="FangSong" w:eastAsia="FangSong" w:cs="FangSong"/>
          <w:sz w:val="14"/>
          <w:szCs w:val="14"/>
          <w:spacing w:val="3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2"/>
        </w:rPr>
        <w:t>Emergency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Care,2014,31(11):753-758.</w:t>
      </w:r>
    </w:p>
    <w:p>
      <w:pPr>
        <w:ind w:left="574" w:right="161" w:hanging="283"/>
        <w:spacing w:before="55" w:line="25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6"/>
        </w:rPr>
        <w:t>[2]王康,赵泽华,王之,等.应用多层</w:t>
      </w:r>
      <w:r>
        <w:rPr>
          <w:rFonts w:ascii="FangSong" w:hAnsi="FangSong" w:eastAsia="FangSong" w:cs="FangSong"/>
          <w:sz w:val="14"/>
          <w:szCs w:val="14"/>
          <w:spacing w:val="5"/>
        </w:rPr>
        <w:t>螺旋</w:t>
      </w:r>
      <w:r>
        <w:rPr>
          <w:rFonts w:ascii="FangSong" w:hAnsi="FangSong" w:eastAsia="FangSong" w:cs="FangSong"/>
          <w:sz w:val="14"/>
          <w:szCs w:val="14"/>
        </w:rPr>
        <w:t>CT</w:t>
      </w:r>
      <w:r>
        <w:rPr>
          <w:rFonts w:ascii="FangSong" w:hAnsi="FangSong" w:eastAsia="FangSong" w:cs="FangSong"/>
          <w:sz w:val="14"/>
          <w:szCs w:val="14"/>
          <w:spacing w:val="5"/>
        </w:rPr>
        <w:t>多方位重建技术诊断急性阑尾炎的价值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[J].</w:t>
      </w:r>
      <w:r>
        <w:rPr>
          <w:rFonts w:ascii="FangSong" w:hAnsi="FangSong" w:eastAsia="FangSong" w:cs="FangSong"/>
          <w:sz w:val="14"/>
          <w:szCs w:val="14"/>
          <w:spacing w:val="2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中华放射学杂志,2004,39(2)</w:t>
      </w:r>
      <w:r>
        <w:rPr>
          <w:rFonts w:ascii="FangSong" w:hAnsi="FangSong" w:eastAsia="FangSong" w:cs="FangSong"/>
          <w:sz w:val="14"/>
          <w:szCs w:val="14"/>
          <w:spacing w:val="-3"/>
        </w:rPr>
        <w:t>:177-180.</w:t>
      </w:r>
    </w:p>
    <w:p>
      <w:pPr>
        <w:ind w:left="550" w:right="163" w:hanging="259"/>
        <w:spacing w:before="54" w:line="238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</w:rPr>
        <w:t>[3]刘新爱,王同明,任月勤.三种病理类型急性阑尾炎患者的临床体征及多层螺旋</w:t>
      </w:r>
      <w:r>
        <w:rPr>
          <w:rFonts w:ascii="FangSong" w:hAnsi="FangSong" w:eastAsia="FangSong" w:cs="FangSong"/>
          <w:sz w:val="14"/>
          <w:szCs w:val="14"/>
          <w:spacing w:val="-1"/>
        </w:rPr>
        <w:t>CT征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象特点差异性分析[J].中国CT和MRI杂志,2017,15(8):124-127.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56" w:right="315" w:hanging="256"/>
        <w:spacing w:before="40" w:line="26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2"/>
        </w:rPr>
        <w:t>[4]Di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Saverio</w:t>
      </w:r>
      <w:r>
        <w:rPr>
          <w:rFonts w:ascii="FangSong" w:hAnsi="FangSong" w:eastAsia="FangSong" w:cs="FangSong"/>
          <w:sz w:val="14"/>
          <w:szCs w:val="14"/>
          <w:spacing w:val="1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S,Podda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M,De</w:t>
      </w:r>
      <w:r>
        <w:rPr>
          <w:rFonts w:ascii="FangSong" w:hAnsi="FangSong" w:eastAsia="FangSong" w:cs="FangSong"/>
          <w:sz w:val="14"/>
          <w:szCs w:val="14"/>
          <w:spacing w:val="1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Simone</w:t>
      </w:r>
      <w:r>
        <w:rPr>
          <w:rFonts w:ascii="FangSong" w:hAnsi="FangSong" w:eastAsia="FangSong" w:cs="FangSong"/>
          <w:sz w:val="14"/>
          <w:szCs w:val="14"/>
          <w:spacing w:val="-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B,et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al.Diagnosis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and</w:t>
      </w:r>
      <w:r>
        <w:rPr>
          <w:rFonts w:ascii="FangSong" w:hAnsi="FangSong" w:eastAsia="FangSong" w:cs="FangSong"/>
          <w:sz w:val="14"/>
          <w:szCs w:val="14"/>
          <w:spacing w:val="2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treatment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of</w:t>
      </w:r>
      <w:r>
        <w:rPr>
          <w:rFonts w:ascii="FangSong" w:hAnsi="FangSong" w:eastAsia="FangSong" w:cs="FangSong"/>
          <w:sz w:val="14"/>
          <w:szCs w:val="14"/>
          <w:spacing w:val="1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2"/>
        </w:rPr>
        <w:t>acu</w:t>
      </w:r>
      <w:r>
        <w:rPr>
          <w:rFonts w:ascii="FangSong" w:hAnsi="FangSong" w:eastAsia="FangSong" w:cs="FangSong"/>
          <w:sz w:val="14"/>
          <w:szCs w:val="14"/>
          <w:spacing w:val="-3"/>
        </w:rPr>
        <w:t>te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appendicitis</w:t>
      </w:r>
      <w:r>
        <w:rPr>
          <w:rFonts w:ascii="FangSong" w:hAnsi="FangSong" w:eastAsia="FangSong" w:cs="FangSong"/>
          <w:sz w:val="14"/>
          <w:szCs w:val="14"/>
          <w:spacing w:val="9"/>
        </w:rPr>
        <w:t>:2020</w:t>
      </w:r>
      <w:r>
        <w:rPr>
          <w:rFonts w:ascii="FangSong" w:hAnsi="FangSong" w:eastAsia="FangSong" w:cs="FangSong"/>
          <w:sz w:val="14"/>
          <w:szCs w:val="14"/>
          <w:spacing w:val="3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update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the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WSES</w:t>
      </w:r>
      <w:r>
        <w:rPr>
          <w:rFonts w:ascii="FangSong" w:hAnsi="FangSong" w:eastAsia="FangSong" w:cs="FangSong"/>
          <w:sz w:val="14"/>
          <w:szCs w:val="14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Jerusalem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guidelines</w:t>
      </w:r>
      <w:r>
        <w:rPr>
          <w:rFonts w:ascii="FangSong" w:hAnsi="FangSong" w:eastAsia="FangSong" w:cs="FangSong"/>
          <w:sz w:val="14"/>
          <w:szCs w:val="14"/>
          <w:spacing w:val="9"/>
        </w:rPr>
        <w:t>[J].</w:t>
      </w:r>
      <w:r>
        <w:rPr>
          <w:rFonts w:ascii="FangSong" w:hAnsi="FangSong" w:eastAsia="FangSong" w:cs="FangSong"/>
          <w:sz w:val="14"/>
          <w:szCs w:val="14"/>
        </w:rPr>
        <w:t>World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Journal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of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Emergency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Surgery</w:t>
      </w:r>
      <w:r>
        <w:rPr>
          <w:rFonts w:ascii="FangSong" w:hAnsi="FangSong" w:eastAsia="FangSong" w:cs="FangSong"/>
          <w:sz w:val="14"/>
          <w:szCs w:val="14"/>
          <w:spacing w:val="1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:WJES,2020,15(1):27.</w:t>
      </w:r>
    </w:p>
    <w:p>
      <w:pPr>
        <w:ind w:left="253" w:right="317" w:hanging="253"/>
        <w:spacing w:before="61" w:line="266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5"/>
        </w:rPr>
        <w:t>[5]Bhangu</w:t>
      </w:r>
      <w:r>
        <w:rPr>
          <w:rFonts w:ascii="FangSong" w:hAnsi="FangSong" w:eastAsia="FangSong" w:cs="FangSong"/>
          <w:sz w:val="14"/>
          <w:szCs w:val="14"/>
          <w:spacing w:val="4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A,Soreide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K,Di</w:t>
      </w:r>
      <w:r>
        <w:rPr>
          <w:rFonts w:ascii="FangSong" w:hAnsi="FangSong" w:eastAsia="FangSong" w:cs="FangSong"/>
          <w:sz w:val="14"/>
          <w:szCs w:val="14"/>
          <w:spacing w:val="4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Saverio</w:t>
      </w:r>
      <w:r>
        <w:rPr>
          <w:rFonts w:ascii="FangSong" w:hAnsi="FangSong" w:eastAsia="FangSong" w:cs="FangSong"/>
          <w:sz w:val="14"/>
          <w:szCs w:val="14"/>
          <w:spacing w:val="4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S,et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al.Acute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appendici</w:t>
      </w:r>
      <w:r>
        <w:rPr>
          <w:rFonts w:ascii="FangSong" w:hAnsi="FangSong" w:eastAsia="FangSong" w:cs="FangSong"/>
          <w:sz w:val="14"/>
          <w:szCs w:val="14"/>
          <w:spacing w:val="4"/>
        </w:rPr>
        <w:t>tis:modern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understanding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of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7"/>
        </w:rPr>
        <w:t>pathogen</w:t>
      </w:r>
      <w:r>
        <w:rPr>
          <w:rFonts w:ascii="FangSong" w:hAnsi="FangSong" w:eastAsia="FangSong" w:cs="FangSong"/>
          <w:sz w:val="14"/>
          <w:szCs w:val="14"/>
          <w:spacing w:val="6"/>
        </w:rPr>
        <w:t>esis,diagnosis,and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management[J].Lanc-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et,2015,386(10000):1278-1287.</w:t>
      </w:r>
    </w:p>
    <w:p>
      <w:pPr>
        <w:ind w:left="253" w:right="317" w:hanging="253"/>
        <w:spacing w:before="54" w:line="25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[6]Hor</w:t>
      </w:r>
      <w:r>
        <w:rPr>
          <w:rFonts w:ascii="FangSong" w:hAnsi="FangSong" w:eastAsia="FangSong" w:cs="FangSong"/>
          <w:sz w:val="14"/>
          <w:szCs w:val="14"/>
          <w:spacing w:val="-3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row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MM,White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DS,Hor</w:t>
      </w:r>
      <w:r>
        <w:rPr>
          <w:rFonts w:ascii="FangSong" w:hAnsi="FangSong" w:eastAsia="FangSong" w:cs="FangSong"/>
          <w:sz w:val="14"/>
          <w:szCs w:val="14"/>
          <w:spacing w:val="-5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row</w:t>
      </w:r>
      <w:r>
        <w:rPr>
          <w:rFonts w:ascii="FangSong" w:hAnsi="FangSong" w:eastAsia="FangSong" w:cs="FangSong"/>
          <w:sz w:val="14"/>
          <w:szCs w:val="14"/>
          <w:spacing w:val="4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JC.Differentiation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of</w:t>
      </w:r>
      <w:r>
        <w:rPr>
          <w:rFonts w:ascii="FangSong" w:hAnsi="FangSong" w:eastAsia="FangSong" w:cs="FangSong"/>
          <w:sz w:val="14"/>
          <w:szCs w:val="14"/>
          <w:spacing w:val="4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perforated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from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nonperforated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appendi</w:t>
      </w:r>
      <w:r>
        <w:rPr>
          <w:rFonts w:ascii="FangSong" w:hAnsi="FangSong" w:eastAsia="FangSong" w:cs="FangSong"/>
          <w:sz w:val="14"/>
          <w:szCs w:val="14"/>
          <w:spacing w:val="-1"/>
        </w:rPr>
        <w:t>citis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at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CT[J].Radiology,2002,227(1):46-51.</w:t>
      </w:r>
    </w:p>
    <w:p>
      <w:pPr>
        <w:ind w:left="256" w:right="314" w:hanging="256"/>
        <w:spacing w:before="61" w:line="27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[7]</w:t>
      </w:r>
      <w:r>
        <w:rPr>
          <w:rFonts w:ascii="FangSong" w:hAnsi="FangSong" w:eastAsia="FangSong" w:cs="FangSong"/>
          <w:sz w:val="14"/>
          <w:szCs w:val="14"/>
        </w:rPr>
        <w:t>An</w:t>
      </w:r>
      <w:r>
        <w:rPr>
          <w:rFonts w:ascii="FangSong" w:hAnsi="FangSong" w:eastAsia="FangSong" w:cs="FangSong"/>
          <w:sz w:val="14"/>
          <w:szCs w:val="14"/>
          <w:spacing w:val="-5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salon</w:t>
      </w:r>
      <w:r>
        <w:rPr>
          <w:rFonts w:ascii="FangSong" w:hAnsi="FangSong" w:eastAsia="FangSong" w:cs="FangSong"/>
          <w:sz w:val="14"/>
          <w:szCs w:val="14"/>
          <w:spacing w:val="-4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L</w:t>
      </w:r>
      <w:r>
        <w:rPr>
          <w:rFonts w:ascii="FangSong" w:hAnsi="FangSong" w:eastAsia="FangSong" w:cs="FangSong"/>
          <w:sz w:val="14"/>
          <w:szCs w:val="14"/>
          <w:spacing w:val="4"/>
        </w:rPr>
        <w:t>,</w:t>
      </w:r>
      <w:r>
        <w:rPr>
          <w:rFonts w:ascii="FangSong" w:hAnsi="FangSong" w:eastAsia="FangSong" w:cs="FangSong"/>
          <w:sz w:val="14"/>
          <w:szCs w:val="14"/>
        </w:rPr>
        <w:t>Catena</w:t>
      </w:r>
      <w:r>
        <w:rPr>
          <w:rFonts w:ascii="FangSong" w:hAnsi="FangSong" w:eastAsia="FangSong" w:cs="FangSong"/>
          <w:sz w:val="14"/>
          <w:szCs w:val="1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</w:t>
      </w:r>
      <w:r>
        <w:rPr>
          <w:rFonts w:ascii="FangSong" w:hAnsi="FangSong" w:eastAsia="FangSong" w:cs="FangSong"/>
          <w:sz w:val="14"/>
          <w:szCs w:val="14"/>
          <w:spacing w:val="4"/>
        </w:rPr>
        <w:t>,</w:t>
      </w:r>
      <w:r>
        <w:rPr>
          <w:rFonts w:ascii="FangSong" w:hAnsi="FangSong" w:eastAsia="FangSong" w:cs="FangSong"/>
          <w:sz w:val="14"/>
          <w:szCs w:val="14"/>
        </w:rPr>
        <w:t>Coccolin</w:t>
      </w:r>
      <w:r>
        <w:rPr>
          <w:rFonts w:ascii="FangSong" w:hAnsi="FangSong" w:eastAsia="FangSong" w:cs="FangSong"/>
          <w:sz w:val="14"/>
          <w:szCs w:val="14"/>
          <w:spacing w:val="-4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</w:t>
      </w:r>
      <w:r>
        <w:rPr>
          <w:rFonts w:ascii="FangSong" w:hAnsi="FangSong" w:eastAsia="FangSong" w:cs="FangSong"/>
          <w:sz w:val="14"/>
          <w:szCs w:val="1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</w:t>
      </w:r>
      <w:r>
        <w:rPr>
          <w:rFonts w:ascii="FangSong" w:hAnsi="FangSong" w:eastAsia="FangSong" w:cs="FangSong"/>
          <w:sz w:val="14"/>
          <w:szCs w:val="14"/>
          <w:spacing w:val="4"/>
        </w:rPr>
        <w:t>,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et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al</w:t>
      </w:r>
      <w:r>
        <w:rPr>
          <w:rFonts w:ascii="FangSong" w:hAnsi="FangSong" w:eastAsia="FangSong" w:cs="FangSong"/>
          <w:sz w:val="14"/>
          <w:szCs w:val="14"/>
          <w:spacing w:val="4"/>
        </w:rPr>
        <w:t>.</w:t>
      </w:r>
      <w:r>
        <w:rPr>
          <w:rFonts w:ascii="FangSong" w:hAnsi="FangSong" w:eastAsia="FangSong" w:cs="FangSong"/>
          <w:sz w:val="14"/>
          <w:szCs w:val="14"/>
        </w:rPr>
        <w:t>Surgery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versus</w:t>
      </w:r>
      <w:r>
        <w:rPr>
          <w:rFonts w:ascii="FangSong" w:hAnsi="FangSong" w:eastAsia="FangSong" w:cs="FangSong"/>
          <w:sz w:val="14"/>
          <w:szCs w:val="14"/>
          <w:spacing w:val="38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conservative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antibiotic</w:t>
      </w:r>
      <w:r>
        <w:rPr>
          <w:rFonts w:ascii="FangSong" w:hAnsi="FangSong" w:eastAsia="FangSong" w:cs="FangSong"/>
          <w:sz w:val="14"/>
          <w:szCs w:val="14"/>
          <w:spacing w:val="5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treatment</w:t>
      </w:r>
      <w:r>
        <w:rPr>
          <w:rFonts w:ascii="FangSong" w:hAnsi="FangSong" w:eastAsia="FangSong" w:cs="FangSong"/>
          <w:sz w:val="14"/>
          <w:szCs w:val="14"/>
          <w:spacing w:val="5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in</w:t>
      </w:r>
      <w:r>
        <w:rPr>
          <w:rFonts w:ascii="FangSong" w:hAnsi="FangSong" w:eastAsia="FangSong" w:cs="FangSong"/>
          <w:sz w:val="14"/>
          <w:szCs w:val="14"/>
          <w:spacing w:val="4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acute</w:t>
      </w:r>
      <w:r>
        <w:rPr>
          <w:rFonts w:ascii="FangSong" w:hAnsi="FangSong" w:eastAsia="FangSong" w:cs="FangSong"/>
          <w:sz w:val="14"/>
          <w:szCs w:val="14"/>
          <w:spacing w:val="4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appendicitis:a</w:t>
      </w:r>
      <w:r>
        <w:rPr>
          <w:rFonts w:ascii="FangSong" w:hAnsi="FangSong" w:eastAsia="FangSong" w:cs="FangSong"/>
          <w:sz w:val="14"/>
          <w:szCs w:val="14"/>
          <w:spacing w:val="51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systematic</w:t>
      </w:r>
      <w:r>
        <w:rPr>
          <w:rFonts w:ascii="FangSong" w:hAnsi="FangSong" w:eastAsia="FangSong" w:cs="FangSong"/>
          <w:sz w:val="14"/>
          <w:szCs w:val="14"/>
          <w:spacing w:val="4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revi</w:t>
      </w:r>
      <w:r>
        <w:rPr>
          <w:rFonts w:ascii="FangSong" w:hAnsi="FangSong" w:eastAsia="FangSong" w:cs="FangSong"/>
          <w:sz w:val="14"/>
          <w:szCs w:val="14"/>
          <w:spacing w:val="4"/>
        </w:rPr>
        <w:t>ew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and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meta-analysis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of</w:t>
      </w:r>
      <w:r>
        <w:rPr>
          <w:rFonts w:ascii="FangSong" w:hAnsi="FangSong" w:eastAsia="FangSong" w:cs="FangSong"/>
          <w:sz w:val="14"/>
          <w:szCs w:val="14"/>
          <w:spacing w:val="5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randomized</w:t>
      </w:r>
      <w:r>
        <w:rPr>
          <w:rFonts w:ascii="FangSong" w:hAnsi="FangSong" w:eastAsia="FangSong" w:cs="FangSong"/>
          <w:sz w:val="14"/>
          <w:szCs w:val="14"/>
          <w:spacing w:val="4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controlled</w:t>
      </w:r>
      <w:r>
        <w:rPr>
          <w:rFonts w:ascii="FangSong" w:hAnsi="FangSong" w:eastAsia="FangSong" w:cs="FangSong"/>
          <w:sz w:val="14"/>
          <w:szCs w:val="14"/>
          <w:spacing w:val="55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6"/>
        </w:rPr>
        <w:t>trials[J].Digestive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Surgery,2010,28(3):210-221.</w:t>
      </w:r>
    </w:p>
    <w:p>
      <w:pPr>
        <w:ind w:left="256" w:right="313" w:hanging="256"/>
        <w:spacing w:before="61" w:line="26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-1"/>
        </w:rPr>
        <w:t>[8]Simillis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C,Symeon</w:t>
      </w:r>
      <w:r>
        <w:rPr>
          <w:rFonts w:ascii="FangSong" w:hAnsi="FangSong" w:eastAsia="FangSong" w:cs="FangSong"/>
          <w:sz w:val="14"/>
          <w:szCs w:val="14"/>
          <w:spacing w:val="-5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ides</w:t>
      </w:r>
      <w:r>
        <w:rPr>
          <w:rFonts w:ascii="FangSong" w:hAnsi="FangSong" w:eastAsia="FangSong" w:cs="FangSong"/>
          <w:sz w:val="14"/>
          <w:szCs w:val="14"/>
          <w:spacing w:val="3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P,Shorthouse</w:t>
      </w:r>
      <w:r>
        <w:rPr>
          <w:rFonts w:ascii="FangSong" w:hAnsi="FangSong" w:eastAsia="FangSong" w:cs="FangSong"/>
          <w:sz w:val="14"/>
          <w:szCs w:val="14"/>
          <w:spacing w:val="2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AJ,et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al.A</w:t>
      </w:r>
      <w:r>
        <w:rPr>
          <w:rFonts w:ascii="FangSong" w:hAnsi="FangSong" w:eastAsia="FangSong" w:cs="FangSong"/>
          <w:sz w:val="14"/>
          <w:szCs w:val="14"/>
          <w:spacing w:val="2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meta-analysis</w:t>
      </w:r>
      <w:r>
        <w:rPr>
          <w:rFonts w:ascii="FangSong" w:hAnsi="FangSong" w:eastAsia="FangSong" w:cs="FangSong"/>
          <w:sz w:val="14"/>
          <w:szCs w:val="14"/>
          <w:spacing w:val="3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comparing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conservative</w:t>
      </w:r>
      <w:r>
        <w:rPr>
          <w:rFonts w:ascii="FangSong" w:hAnsi="FangSong" w:eastAsia="FangSong" w:cs="FangSong"/>
          <w:sz w:val="14"/>
          <w:szCs w:val="14"/>
          <w:spacing w:val="6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treatment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versus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acute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appendectomy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for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complicated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appendicitis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(abscess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or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phlegmon)[J].Surge</w:t>
      </w:r>
      <w:r>
        <w:rPr>
          <w:rFonts w:ascii="FangSong" w:hAnsi="FangSong" w:eastAsia="FangSong" w:cs="FangSong"/>
          <w:sz w:val="14"/>
          <w:szCs w:val="14"/>
          <w:spacing w:val="-2"/>
        </w:rPr>
        <w:t>ry,2009,147(6):818-829.</w:t>
      </w:r>
    </w:p>
    <w:p>
      <w:pPr>
        <w:ind w:left="256" w:right="314" w:hanging="256"/>
        <w:spacing w:before="60" w:line="264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3"/>
        </w:rPr>
        <w:t>[9]Suthikeeree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W,Lertdomrongdej</w:t>
      </w:r>
      <w:r>
        <w:rPr>
          <w:rFonts w:ascii="FangSong" w:hAnsi="FangSong" w:eastAsia="FangSong" w:cs="FangSong"/>
          <w:sz w:val="14"/>
          <w:szCs w:val="14"/>
          <w:spacing w:val="3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L,Charoen</w:t>
      </w:r>
      <w:r>
        <w:rPr>
          <w:rFonts w:ascii="FangSong" w:hAnsi="FangSong" w:eastAsia="FangSong" w:cs="FangSong"/>
          <w:sz w:val="14"/>
          <w:szCs w:val="14"/>
          <w:spacing w:val="-5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sak</w:t>
      </w:r>
      <w:r>
        <w:rPr>
          <w:rFonts w:ascii="FangSong" w:hAnsi="FangSong" w:eastAsia="FangSong" w:cs="FangSong"/>
          <w:sz w:val="14"/>
          <w:szCs w:val="14"/>
          <w:spacing w:val="3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A.Diagnostic</w:t>
      </w:r>
      <w:r>
        <w:rPr>
          <w:rFonts w:ascii="FangSong" w:hAnsi="FangSong" w:eastAsia="FangSong" w:cs="FangSong"/>
          <w:sz w:val="14"/>
          <w:szCs w:val="14"/>
          <w:spacing w:val="40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pe</w:t>
      </w:r>
      <w:r>
        <w:rPr>
          <w:rFonts w:ascii="FangSong" w:hAnsi="FangSong" w:eastAsia="FangSong" w:cs="FangSong"/>
          <w:sz w:val="14"/>
          <w:szCs w:val="14"/>
          <w:spacing w:val="2"/>
        </w:rPr>
        <w:t>rformance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47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CT</w:t>
      </w:r>
      <w:r>
        <w:rPr>
          <w:rFonts w:ascii="FangSong" w:hAnsi="FangSong" w:eastAsia="FangSong" w:cs="FangSong"/>
          <w:sz w:val="14"/>
          <w:szCs w:val="14"/>
          <w:spacing w:val="3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findings</w:t>
      </w:r>
      <w:r>
        <w:rPr>
          <w:rFonts w:ascii="FangSong" w:hAnsi="FangSong" w:eastAsia="FangSong" w:cs="FangSong"/>
          <w:sz w:val="14"/>
          <w:szCs w:val="14"/>
          <w:spacing w:val="4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in</w:t>
      </w:r>
      <w:r>
        <w:rPr>
          <w:rFonts w:ascii="FangSong" w:hAnsi="FangSong" w:eastAsia="FangSong" w:cs="FangSong"/>
          <w:sz w:val="14"/>
          <w:szCs w:val="14"/>
          <w:spacing w:val="34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differentiation</w:t>
      </w:r>
      <w:r>
        <w:rPr>
          <w:rFonts w:ascii="FangSong" w:hAnsi="FangSong" w:eastAsia="FangSong" w:cs="FangSong"/>
          <w:sz w:val="14"/>
          <w:szCs w:val="14"/>
          <w:spacing w:val="35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of</w:t>
      </w:r>
      <w:r>
        <w:rPr>
          <w:rFonts w:ascii="FangSong" w:hAnsi="FangSong" w:eastAsia="FangSong" w:cs="FangSong"/>
          <w:sz w:val="14"/>
          <w:szCs w:val="14"/>
          <w:spacing w:val="3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perforated</w:t>
      </w:r>
      <w:r>
        <w:rPr>
          <w:rFonts w:ascii="FangSong" w:hAnsi="FangSong" w:eastAsia="FangSong" w:cs="FangSong"/>
          <w:sz w:val="14"/>
          <w:szCs w:val="14"/>
          <w:spacing w:val="36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from</w:t>
      </w:r>
      <w:r>
        <w:rPr>
          <w:rFonts w:ascii="FangSong" w:hAnsi="FangSong" w:eastAsia="FangSong" w:cs="FangSong"/>
          <w:sz w:val="14"/>
          <w:szCs w:val="14"/>
          <w:spacing w:val="32"/>
        </w:rPr>
        <w:t xml:space="preserve"> </w:t>
      </w:r>
      <w:r>
        <w:rPr>
          <w:rFonts w:ascii="FangSong" w:hAnsi="FangSong" w:eastAsia="FangSong" w:cs="FangSong"/>
          <w:sz w:val="14"/>
          <w:szCs w:val="14"/>
        </w:rPr>
        <w:t>nonperforated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appendicitis[J].J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Med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Assoc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Thai,2010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,93(12):1422-1429.</w:t>
      </w:r>
    </w:p>
    <w:p>
      <w:pPr>
        <w:ind w:left="250" w:right="313" w:hanging="250"/>
        <w:spacing w:before="61" w:line="263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5"/>
        </w:rPr>
        <w:t>[10]Tsubo</w:t>
      </w:r>
      <w:r>
        <w:rPr>
          <w:rFonts w:ascii="FangSong" w:hAnsi="FangSong" w:eastAsia="FangSong" w:cs="FangSong"/>
          <w:sz w:val="14"/>
          <w:szCs w:val="14"/>
          <w:spacing w:val="-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i</w:t>
      </w:r>
      <w:r>
        <w:rPr>
          <w:rFonts w:ascii="FangSong" w:hAnsi="FangSong" w:eastAsia="FangSong" w:cs="FangSong"/>
          <w:sz w:val="14"/>
          <w:szCs w:val="14"/>
          <w:spacing w:val="40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M,Taka</w:t>
      </w:r>
      <w:r>
        <w:rPr>
          <w:rFonts w:ascii="FangSong" w:hAnsi="FangSong" w:eastAsia="FangSong" w:cs="FangSong"/>
          <w:sz w:val="14"/>
          <w:szCs w:val="14"/>
          <w:spacing w:val="-4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se</w:t>
      </w:r>
      <w:r>
        <w:rPr>
          <w:rFonts w:ascii="FangSong" w:hAnsi="FangSong" w:eastAsia="FangSong" w:cs="FangSong"/>
          <w:sz w:val="14"/>
          <w:szCs w:val="14"/>
          <w:spacing w:val="45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K,Kaneda</w:t>
      </w:r>
      <w:r>
        <w:rPr>
          <w:rFonts w:ascii="FangSong" w:hAnsi="FangSong" w:eastAsia="FangSong" w:cs="FangSong"/>
          <w:sz w:val="14"/>
          <w:szCs w:val="14"/>
          <w:spacing w:val="56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I,et</w:t>
      </w:r>
      <w:r>
        <w:rPr>
          <w:rFonts w:ascii="FangSong" w:hAnsi="FangSong" w:eastAsia="FangSong" w:cs="FangSong"/>
          <w:sz w:val="14"/>
          <w:szCs w:val="14"/>
          <w:spacing w:val="47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al.Perforated</w:t>
      </w:r>
      <w:r>
        <w:rPr>
          <w:rFonts w:ascii="FangSong" w:hAnsi="FangSong" w:eastAsia="FangSong" w:cs="FangSong"/>
          <w:sz w:val="14"/>
          <w:szCs w:val="14"/>
          <w:spacing w:val="47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and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5"/>
        </w:rPr>
        <w:t>no</w:t>
      </w:r>
      <w:r>
        <w:rPr>
          <w:rFonts w:ascii="FangSong" w:hAnsi="FangSong" w:eastAsia="FangSong" w:cs="FangSong"/>
          <w:sz w:val="14"/>
          <w:szCs w:val="14"/>
          <w:spacing w:val="4"/>
        </w:rPr>
        <w:t>n</w:t>
      </w:r>
      <w:r>
        <w:rPr>
          <w:rFonts w:ascii="FangSong" w:hAnsi="FangSong" w:eastAsia="FangSong" w:cs="FangSong"/>
          <w:sz w:val="14"/>
          <w:szCs w:val="14"/>
          <w:spacing w:val="-5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perforated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appendicitis:defect</w:t>
      </w:r>
      <w:r>
        <w:rPr>
          <w:rFonts w:ascii="FangSong" w:hAnsi="FangSong" w:eastAsia="FangSong" w:cs="FangSong"/>
          <w:sz w:val="14"/>
          <w:szCs w:val="14"/>
          <w:spacing w:val="56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in</w:t>
      </w:r>
      <w:r>
        <w:rPr>
          <w:rFonts w:ascii="FangSong" w:hAnsi="FangSong" w:eastAsia="FangSong" w:cs="FangSong"/>
          <w:sz w:val="14"/>
          <w:szCs w:val="14"/>
          <w:spacing w:val="39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enhancing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appendiceal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wall--depiction</w:t>
      </w:r>
      <w:r>
        <w:rPr>
          <w:rFonts w:ascii="FangSong" w:hAnsi="FangSong" w:eastAsia="FangSong" w:cs="FangSong"/>
          <w:sz w:val="14"/>
          <w:szCs w:val="14"/>
          <w:spacing w:val="3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3"/>
        </w:rPr>
        <w:t>with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multi-detector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row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CT</w:t>
      </w:r>
      <w:r>
        <w:rPr>
          <w:rFonts w:ascii="FangSong" w:hAnsi="FangSong" w:eastAsia="FangSong" w:cs="FangSong"/>
          <w:sz w:val="14"/>
          <w:szCs w:val="14"/>
          <w:spacing w:val="33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[J].Radiology,2008,24</w:t>
      </w:r>
      <w:r>
        <w:rPr>
          <w:rFonts w:ascii="FangSong" w:hAnsi="FangSong" w:eastAsia="FangSong" w:cs="FangSong"/>
          <w:sz w:val="14"/>
          <w:szCs w:val="14"/>
          <w:spacing w:val="-2"/>
        </w:rPr>
        <w:t>6(1):142-147.</w:t>
      </w:r>
    </w:p>
    <w:p>
      <w:pPr>
        <w:ind w:left="256" w:right="313" w:hanging="256"/>
        <w:spacing w:before="61" w:line="250" w:lineRule="auto"/>
        <w:rPr>
          <w:rFonts w:ascii="FangSong" w:hAnsi="FangSong" w:eastAsia="FangSong" w:cs="FangSong"/>
          <w:sz w:val="14"/>
          <w:szCs w:val="14"/>
        </w:rPr>
      </w:pPr>
      <w:r>
        <w:rPr>
          <w:rFonts w:ascii="FangSong" w:hAnsi="FangSong" w:eastAsia="FangSong" w:cs="FangSong"/>
          <w:sz w:val="14"/>
          <w:szCs w:val="14"/>
          <w:spacing w:val="4"/>
        </w:rPr>
        <w:t>[11]Mori</w:t>
      </w:r>
      <w:r>
        <w:rPr>
          <w:rFonts w:ascii="FangSong" w:hAnsi="FangSong" w:eastAsia="FangSong" w:cs="FangSong"/>
          <w:sz w:val="14"/>
          <w:szCs w:val="14"/>
          <w:spacing w:val="-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s</w:t>
      </w:r>
      <w:r>
        <w:rPr>
          <w:rFonts w:ascii="FangSong" w:hAnsi="FangSong" w:eastAsia="FangSong" w:cs="FangSong"/>
          <w:sz w:val="14"/>
          <w:szCs w:val="14"/>
          <w:spacing w:val="42"/>
          <w:w w:val="10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D,Paulson</w:t>
      </w:r>
      <w:r>
        <w:rPr>
          <w:rFonts w:ascii="FangSong" w:hAnsi="FangSong" w:eastAsia="FangSong" w:cs="FangSong"/>
          <w:sz w:val="14"/>
          <w:szCs w:val="14"/>
          <w:spacing w:val="42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EK,Pappas</w:t>
      </w:r>
      <w:r>
        <w:rPr>
          <w:rFonts w:ascii="FangSong" w:hAnsi="FangSong" w:eastAsia="FangSong" w:cs="FangSong"/>
          <w:sz w:val="14"/>
          <w:szCs w:val="14"/>
          <w:spacing w:val="43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TN.Diagnosis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and</w:t>
      </w:r>
      <w:r>
        <w:rPr>
          <w:rFonts w:ascii="FangSong" w:hAnsi="FangSong" w:eastAsia="FangSong" w:cs="FangSong"/>
          <w:sz w:val="14"/>
          <w:szCs w:val="14"/>
          <w:spacing w:val="39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management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of</w:t>
      </w:r>
      <w:r>
        <w:rPr>
          <w:rFonts w:ascii="FangSong" w:hAnsi="FangSong" w:eastAsia="FangSong" w:cs="FangSong"/>
          <w:sz w:val="14"/>
          <w:szCs w:val="14"/>
          <w:spacing w:val="4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4"/>
        </w:rPr>
        <w:t>acute</w:t>
      </w:r>
      <w:r>
        <w:rPr>
          <w:rFonts w:ascii="FangSong" w:hAnsi="FangSong" w:eastAsia="FangSong" w:cs="FangSong"/>
          <w:sz w:val="14"/>
          <w:szCs w:val="14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appendicitis</w:t>
      </w:r>
      <w:r>
        <w:rPr>
          <w:rFonts w:ascii="FangSong" w:hAnsi="FangSong" w:eastAsia="FangSong" w:cs="FangSong"/>
          <w:sz w:val="14"/>
          <w:szCs w:val="14"/>
          <w:spacing w:val="18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in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adults:a</w:t>
      </w:r>
      <w:r>
        <w:rPr>
          <w:rFonts w:ascii="FangSong" w:hAnsi="FangSong" w:eastAsia="FangSong" w:cs="FangSong"/>
          <w:sz w:val="14"/>
          <w:szCs w:val="14"/>
          <w:spacing w:val="-1"/>
        </w:rPr>
        <w:t xml:space="preserve"> </w:t>
      </w:r>
      <w:r>
        <w:rPr>
          <w:rFonts w:ascii="FangSong" w:hAnsi="FangSong" w:eastAsia="FangSong" w:cs="FangSong"/>
          <w:sz w:val="14"/>
          <w:szCs w:val="14"/>
          <w:spacing w:val="-1"/>
        </w:rPr>
        <w:t>review[J].JAMA,2021,326(22):2299-2311.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ind w:left="238"/>
        <w:spacing w:before="83" w:line="158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spacing w:val="-7"/>
        </w:rPr>
        <w:t>(收稿日期：2024-02-28)            (校对编辑：翁佳鸿)</w:t>
      </w:r>
    </w:p>
    <w:sectPr>
      <w:type w:val="continuous"/>
      <w:pgSz w:w="11906" w:h="16158"/>
      <w:pgMar w:top="462" w:right="251" w:bottom="544" w:left="424" w:header="216" w:footer="284" w:gutter="0"/>
      <w:cols w:equalWidth="0" w:num="2">
        <w:col w:w="5635" w:space="100"/>
        <w:col w:w="54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rFonts w:ascii="SimHei" w:hAnsi="SimHei" w:eastAsia="SimHei" w:cs="SimHei"/>
        <w:sz w:val="18"/>
        <w:szCs w:val="18"/>
      </w:rPr>
    </w:pPr>
    <w:r>
      <w:rPr>
        <w:rFonts w:ascii="SimHei" w:hAnsi="SimHei" w:eastAsia="SimHei" w:cs="SimHei"/>
        <w:sz w:val="20"/>
        <w:szCs w:val="20"/>
        <w:b/>
        <w:bCs/>
        <w:spacing w:val="-26"/>
      </w:rPr>
      <w:t>·</w:t>
    </w:r>
    <w:r>
      <w:rPr>
        <w:rFonts w:ascii="SimHei" w:hAnsi="SimHei" w:eastAsia="SimHei" w:cs="SimHei"/>
        <w:sz w:val="18"/>
        <w:szCs w:val="18"/>
        <w:b/>
        <w:bCs/>
        <w:spacing w:val="-26"/>
      </w:rPr>
      <w:t>1</w:t>
    </w:r>
    <w:r>
      <w:rPr>
        <w:rFonts w:ascii="SimHei" w:hAnsi="SimHei" w:eastAsia="SimHei" w:cs="SimHei"/>
        <w:sz w:val="18"/>
        <w:szCs w:val="18"/>
        <w:b/>
        <w:bCs/>
        <w:spacing w:val="-25"/>
      </w:rPr>
      <w:t>5</w:t>
    </w:r>
    <w:r>
      <w:rPr>
        <w:rFonts w:ascii="SimHei" w:hAnsi="SimHei" w:eastAsia="SimHei" w:cs="SimHei"/>
        <w:sz w:val="18"/>
        <w:szCs w:val="18"/>
        <w:b/>
        <w:bCs/>
        <w:spacing w:val="-11"/>
      </w:rPr>
      <w:t>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5"/>
      <w:spacing w:before="48" w:line="164" w:lineRule="auto"/>
      <w:rPr>
        <w:rFonts w:ascii="Microsoft YaHei" w:hAnsi="Microsoft YaHei" w:eastAsia="Microsoft YaHei" w:cs="Microsoft YaHei"/>
        <w:sz w:val="16"/>
        <w:szCs w:val="16"/>
      </w:rPr>
    </w:pPr>
    <w:r>
      <w:rPr>
        <w:rFonts w:ascii="Microsoft YaHei" w:hAnsi="Microsoft YaHei" w:eastAsia="Microsoft YaHei" w:cs="Microsoft YaHei"/>
        <w:sz w:val="16"/>
        <w:szCs w:val="16"/>
        <w:spacing w:val="-4"/>
      </w:rPr>
      <w:t>中国CT和MRI杂志   2024年12月 第22卷 第12期 总第182期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584"/>
      <w:spacing w:before="57" w:line="186" w:lineRule="auto"/>
      <w:rPr>
        <w:sz w:val="16"/>
        <w:szCs w:val="16"/>
      </w:rPr>
    </w:pPr>
    <w:r>
      <w:pict>
        <v:shape id="WordPictureWatermark80" style="position:absolute;margin-left:21.2pt;margin-top:777.67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6"/>
        <w:szCs w:val="16"/>
        <w:spacing w:val="-8"/>
      </w:rPr>
      <w:t>CHINESE JOURNAL OF CT AND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8"/>
      </w:rPr>
      <w:t>MRI,</w:t>
    </w:r>
    <w:r>
      <w:rPr>
        <w:sz w:val="16"/>
        <w:szCs w:val="16"/>
        <w:spacing w:val="8"/>
      </w:rPr>
      <w:t xml:space="preserve"> </w:t>
    </w:r>
    <w:r>
      <w:rPr>
        <w:sz w:val="16"/>
        <w:szCs w:val="16"/>
        <w:spacing w:val="-8"/>
      </w:rPr>
      <w:t>DEC.</w:t>
    </w:r>
    <w:r>
      <w:rPr>
        <w:sz w:val="16"/>
        <w:szCs w:val="16"/>
        <w:spacing w:val="4"/>
      </w:rPr>
      <w:t xml:space="preserve"> </w:t>
    </w:r>
    <w:r>
      <w:rPr>
        <w:sz w:val="16"/>
        <w:szCs w:val="16"/>
        <w:spacing w:val="-8"/>
      </w:rPr>
      <w:t>2024, Vol.22,</w:t>
    </w:r>
    <w:r>
      <w:rPr>
        <w:sz w:val="16"/>
        <w:szCs w:val="16"/>
        <w:spacing w:val="9"/>
      </w:rPr>
      <w:t xml:space="preserve"> </w:t>
    </w:r>
    <w:r>
      <w:rPr>
        <w:sz w:val="16"/>
        <w:szCs w:val="16"/>
        <w:spacing w:val="-9"/>
      </w:rPr>
      <w:t>No.12 Total</w:t>
    </w:r>
    <w:r>
      <w:rPr>
        <w:sz w:val="16"/>
        <w:szCs w:val="16"/>
        <w:spacing w:val="8"/>
      </w:rPr>
      <w:t xml:space="preserve"> </w:t>
    </w:r>
    <w:r>
      <w:rPr>
        <w:sz w:val="16"/>
        <w:szCs w:val="16"/>
        <w:spacing w:val="-9"/>
      </w:rPr>
      <w:t>No.182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image" Target="media/image8.png"/><Relationship Id="rId7" Type="http://schemas.openxmlformats.org/officeDocument/2006/relationships/image" Target="media/image7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image" Target="media/image4.png"/><Relationship Id="rId39" Type="http://schemas.openxmlformats.org/officeDocument/2006/relationships/settings" Target="settings.xml"/><Relationship Id="rId38" Type="http://schemas.openxmlformats.org/officeDocument/2006/relationships/footer" Target="footer1.xml"/><Relationship Id="rId37" Type="http://schemas.openxmlformats.org/officeDocument/2006/relationships/header" Target="header2.xml"/><Relationship Id="rId36" Type="http://schemas.openxmlformats.org/officeDocument/2006/relationships/header" Target="header1.xml"/><Relationship Id="rId35" Type="http://schemas.openxmlformats.org/officeDocument/2006/relationships/image" Target="media/image35.png"/><Relationship Id="rId34" Type="http://schemas.openxmlformats.org/officeDocument/2006/relationships/image" Target="media/image34.png"/><Relationship Id="rId33" Type="http://schemas.openxmlformats.org/officeDocument/2006/relationships/image" Target="media/image33.png"/><Relationship Id="rId32" Type="http://schemas.openxmlformats.org/officeDocument/2006/relationships/image" Target="media/image32.png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image" Target="media/image3.png"/><Relationship Id="rId29" Type="http://schemas.openxmlformats.org/officeDocument/2006/relationships/image" Target="media/image29.png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image" Target="media/image26.png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image" Target="media/image23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0" Type="http://schemas.openxmlformats.org/officeDocument/2006/relationships/image" Target="media/image20.png"/><Relationship Id="rId2" Type="http://schemas.openxmlformats.org/officeDocument/2006/relationships/image" Target="media/image2.png"/><Relationship Id="rId19" Type="http://schemas.openxmlformats.org/officeDocument/2006/relationships/image" Target="media/image19.png"/><Relationship Id="rId18" Type="http://schemas.openxmlformats.org/officeDocument/2006/relationships/image" Target="media/image18.png"/><Relationship Id="rId17" Type="http://schemas.openxmlformats.org/officeDocument/2006/relationships/image" Target="media/image17.png"/><Relationship Id="rId16" Type="http://schemas.openxmlformats.org/officeDocument/2006/relationships/image" Target="media/image16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3" Type="http://schemas.openxmlformats.org/officeDocument/2006/relationships/image" Target="media/image13.png"/><Relationship Id="rId12" Type="http://schemas.openxmlformats.org/officeDocument/2006/relationships/image" Target="media/image12.png"/><Relationship Id="rId11" Type="http://schemas.openxmlformats.org/officeDocument/2006/relationships/image" Target="media/image11.png"/><Relationship Id="rId10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2024-12-28T15:52:10Z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2025-10-28T21:32:46</vt:filetime>
  </property>
</Properties>
</file>