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ind w:left="512"/>
        <w:spacing w:before="150" w:line="203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231F20"/>
          <w:spacing w:val="8"/>
        </w:rPr>
        <w:t>单孔腹腔镜阑尾切除术治疗急性阑尾炎的临床效果分析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495"/>
        <w:spacing w:before="86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刘峰</w:t>
      </w:r>
    </w:p>
    <w:p>
      <w:pPr>
        <w:pStyle w:val="BodyText"/>
        <w:ind w:left="493"/>
        <w:spacing w:before="24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276400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临沂市沂水县杨庄镇中心卫生院普通外科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山东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临沂</w:t>
      </w:r>
    </w:p>
    <w:p>
      <w:pPr>
        <w:pStyle w:val="BodyText"/>
        <w:ind w:left="914"/>
        <w:spacing w:before="259" w:line="232" w:lineRule="auto"/>
        <w:rPr/>
      </w:pPr>
      <w:r>
        <w:rPr>
          <w:color w:val="231F20"/>
          <w:spacing w:val="-3"/>
        </w:rPr>
        <w:t>doi:10.3969/j.issn.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1007-614x.2024.29.009</w:t>
      </w:r>
    </w:p>
    <w:p>
      <w:pPr>
        <w:ind w:left="913"/>
        <w:spacing w:before="73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摘   要   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目的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：探究单孔腹腔镜阑尾切除术治疗急性阑尾炎的临床效果。方法</w:t>
      </w:r>
      <w:r>
        <w:rPr>
          <w:rFonts w:ascii="SimSun" w:hAnsi="SimSun" w:eastAsia="SimSun" w:cs="SimSun"/>
          <w:sz w:val="17"/>
          <w:szCs w:val="17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：选取沂水县杨庄镇中心卫生院收治的</w:t>
      </w:r>
    </w:p>
    <w:p>
      <w:pPr>
        <w:pStyle w:val="BodyText"/>
        <w:ind w:left="910" w:right="428" w:firstLine="17"/>
        <w:spacing w:before="36" w:line="314" w:lineRule="auto"/>
        <w:jc w:val="both"/>
        <w:rPr>
          <w:rFonts w:ascii="SimSun" w:hAnsi="SimSun" w:eastAsia="SimSun" w:cs="SimSun"/>
        </w:rPr>
      </w:pPr>
      <w:r>
        <w:rPr>
          <w:color w:val="231F20"/>
          <w:spacing w:val="1"/>
        </w:rPr>
        <w:t>100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例急性阑尾炎患者</w:t>
      </w:r>
      <w:r>
        <w:rPr>
          <w:color w:val="231F20"/>
          <w:spacing w:val="1"/>
        </w:rPr>
        <w:t>(</w:t>
      </w:r>
      <w:r>
        <w:rPr>
          <w:rFonts w:ascii="SimSun" w:hAnsi="SimSun" w:eastAsia="SimSun" w:cs="SimSun"/>
          <w:color w:val="231F20"/>
          <w:spacing w:val="1"/>
        </w:rPr>
        <w:t>收治时间：</w:t>
      </w:r>
      <w:r>
        <w:rPr>
          <w:color w:val="231F20"/>
          <w:spacing w:val="1"/>
        </w:rPr>
        <w:t>2021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年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1"/>
        </w:rPr>
        <w:t>1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月—</w:t>
      </w:r>
      <w:r>
        <w:rPr>
          <w:color w:val="231F20"/>
          <w:spacing w:val="1"/>
        </w:rPr>
        <w:t>2023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年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1"/>
        </w:rPr>
        <w:t>1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月</w:t>
      </w:r>
      <w:r>
        <w:rPr>
          <w:color w:val="231F20"/>
          <w:spacing w:val="1"/>
        </w:rPr>
        <w:t>)</w:t>
      </w:r>
      <w:r>
        <w:rPr>
          <w:rFonts w:ascii="SimSun" w:hAnsi="SimSun" w:eastAsia="SimSun" w:cs="SimSun"/>
          <w:color w:val="231F20"/>
          <w:spacing w:val="1"/>
        </w:rPr>
        <w:t>作为研究对象，随机分为对照组</w:t>
      </w:r>
      <w:r>
        <w:rPr>
          <w:color w:val="231F20"/>
        </w:rPr>
        <w:t>(</w:t>
      </w:r>
      <w:r>
        <w:rPr>
          <w:i/>
          <w:iCs/>
          <w:color w:val="231F20"/>
        </w:rPr>
        <w:t>n</w:t>
      </w:r>
      <w:r>
        <w:rPr>
          <w:color w:val="231F20"/>
        </w:rPr>
        <w:t>=46)</w:t>
      </w:r>
      <w:r>
        <w:rPr>
          <w:rFonts w:ascii="SimSun" w:hAnsi="SimSun" w:eastAsia="SimSun" w:cs="SimSun"/>
          <w:color w:val="231F20"/>
        </w:rPr>
        <w:t>和观察组</w:t>
      </w:r>
      <w:r>
        <w:rPr>
          <w:color w:val="231F20"/>
        </w:rPr>
        <w:t>(</w:t>
      </w:r>
      <w:r>
        <w:rPr>
          <w:i/>
          <w:iCs/>
          <w:color w:val="231F20"/>
        </w:rPr>
        <w:t>n</w:t>
      </w:r>
      <w:r>
        <w:rPr>
          <w:color w:val="231F20"/>
        </w:rPr>
        <w:t>=54)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</w:rPr>
        <w:t>。对照 </w:t>
      </w:r>
      <w:r>
        <w:rPr>
          <w:rFonts w:ascii="SimSun" w:hAnsi="SimSun" w:eastAsia="SimSun" w:cs="SimSun"/>
          <w:color w:val="231F20"/>
          <w:spacing w:val="11"/>
        </w:rPr>
        <w:t>组实施传统多孔腹腔镜阑尾切除术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，观察组实施单</w:t>
      </w:r>
      <w:r>
        <w:rPr>
          <w:rFonts w:ascii="SimSun" w:hAnsi="SimSun" w:eastAsia="SimSun" w:cs="SimSun"/>
          <w:color w:val="231F20"/>
          <w:spacing w:val="10"/>
        </w:rPr>
        <w:t>孔腹腔镜阑尾切除术。比较两组治疗效果。结果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：观察组术中出血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量少于对照组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，排气时间、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胃肠功能恢复时间早</w:t>
      </w:r>
      <w:r>
        <w:rPr>
          <w:rFonts w:ascii="SimSun" w:hAnsi="SimSun" w:eastAsia="SimSun" w:cs="SimSun"/>
          <w:color w:val="231F20"/>
          <w:spacing w:val="12"/>
        </w:rPr>
        <w:t>于对照组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，手术时间、住院时间短于对照组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，住院费用高于对照组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4"/>
        </w:rPr>
        <w:t>(</w:t>
      </w:r>
      <w:r>
        <w:rPr>
          <w:i/>
          <w:iCs/>
          <w:color w:val="231F20"/>
          <w:spacing w:val="4"/>
        </w:rPr>
        <w:t>P</w:t>
      </w:r>
      <w:r>
        <w:rPr>
          <w:rFonts w:ascii="SimSun" w:hAnsi="SimSun" w:eastAsia="SimSun" w:cs="SimSun"/>
          <w:color w:val="231F20"/>
          <w:spacing w:val="4"/>
        </w:rPr>
        <w:t>＜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color w:val="231F20"/>
          <w:spacing w:val="4"/>
        </w:rPr>
        <w:t>0.05)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。术前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，两组血清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color w:val="231F20"/>
          <w:spacing w:val="4"/>
        </w:rPr>
        <w:t>C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反应蛋白</w:t>
      </w:r>
      <w:r>
        <w:rPr>
          <w:color w:val="231F20"/>
          <w:spacing w:val="4"/>
        </w:rPr>
        <w:t>(</w:t>
      </w:r>
      <w:r>
        <w:rPr>
          <w:color w:val="231F20"/>
        </w:rPr>
        <w:t>CRP</w:t>
      </w:r>
      <w:r>
        <w:rPr>
          <w:color w:val="231F20"/>
          <w:spacing w:val="4"/>
        </w:rPr>
        <w:t>)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、白细胞介素</w:t>
      </w:r>
      <w:r>
        <w:rPr>
          <w:color w:val="231F20"/>
          <w:spacing w:val="4"/>
        </w:rPr>
        <w:t>-8(</w:t>
      </w:r>
      <w:r>
        <w:rPr>
          <w:color w:val="231F20"/>
        </w:rPr>
        <w:t>IL</w:t>
      </w:r>
      <w:r>
        <w:rPr>
          <w:color w:val="231F20"/>
          <w:spacing w:val="4"/>
        </w:rPr>
        <w:t>-8)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、细胞间</w:t>
      </w:r>
      <w:r>
        <w:rPr>
          <w:rFonts w:ascii="SimSun" w:hAnsi="SimSun" w:eastAsia="SimSun" w:cs="SimSun"/>
          <w:color w:val="231F20"/>
          <w:spacing w:val="3"/>
        </w:rPr>
        <w:t>黏附分子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3"/>
        </w:rPr>
        <w:t>1(</w:t>
      </w:r>
      <w:r>
        <w:rPr>
          <w:color w:val="231F20"/>
        </w:rPr>
        <w:t>ICAM</w:t>
      </w:r>
      <w:r>
        <w:rPr>
          <w:color w:val="231F20"/>
          <w:spacing w:val="3"/>
        </w:rPr>
        <w:t>-1)</w:t>
      </w:r>
      <w:r>
        <w:rPr>
          <w:rFonts w:ascii="SimSun" w:hAnsi="SimSun" w:eastAsia="SimSun" w:cs="SimSun"/>
          <w:color w:val="231F20"/>
          <w:spacing w:val="3"/>
        </w:rPr>
        <w:t>水平对比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，无统计学差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异</w:t>
      </w:r>
      <w:r>
        <w:rPr>
          <w:color w:val="231F20"/>
          <w:spacing w:val="1"/>
        </w:rPr>
        <w:t>(</w:t>
      </w:r>
      <w:r>
        <w:rPr>
          <w:i/>
          <w:iCs/>
          <w:color w:val="231F20"/>
          <w:spacing w:val="1"/>
        </w:rPr>
        <w:t>P</w:t>
      </w:r>
      <w:r>
        <w:rPr>
          <w:rFonts w:ascii="SimSun" w:hAnsi="SimSun" w:eastAsia="SimSun" w:cs="SimSun"/>
          <w:color w:val="231F20"/>
          <w:spacing w:val="1"/>
        </w:rPr>
        <w:t>＞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color w:val="231F20"/>
          <w:spacing w:val="1"/>
        </w:rPr>
        <w:t>0.05)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；术后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color w:val="231F20"/>
          <w:spacing w:val="1"/>
        </w:rPr>
        <w:t>3 d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，两组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、</w:t>
      </w:r>
      <w:r>
        <w:rPr>
          <w:color w:val="231F20"/>
        </w:rPr>
        <w:t>IL</w:t>
      </w:r>
      <w:r>
        <w:rPr>
          <w:color w:val="231F20"/>
          <w:spacing w:val="1"/>
        </w:rPr>
        <w:t>-8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、</w:t>
      </w:r>
      <w:r>
        <w:rPr>
          <w:color w:val="231F20"/>
        </w:rPr>
        <w:t>ICAM</w:t>
      </w:r>
      <w:r>
        <w:rPr>
          <w:color w:val="231F20"/>
          <w:spacing w:val="1"/>
        </w:rPr>
        <w:t>-1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水平均升高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，但观察组低于对照组</w:t>
      </w:r>
      <w:r>
        <w:rPr>
          <w:color w:val="231F20"/>
          <w:spacing w:val="1"/>
        </w:rPr>
        <w:t>(</w:t>
      </w:r>
      <w:r>
        <w:rPr>
          <w:i/>
          <w:iCs/>
          <w:color w:val="231F20"/>
          <w:spacing w:val="1"/>
        </w:rPr>
        <w:t>P</w:t>
      </w:r>
      <w:r>
        <w:rPr>
          <w:rFonts w:ascii="SimSun" w:hAnsi="SimSun" w:eastAsia="SimSun" w:cs="SimSun"/>
          <w:color w:val="231F20"/>
          <w:spacing w:val="1"/>
        </w:rPr>
        <w:t>＜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color w:val="231F20"/>
          <w:spacing w:val="1"/>
        </w:rPr>
        <w:t>0.05)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。术后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个月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，观察组切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口美观总满意度高于对照组</w:t>
      </w:r>
      <w:r>
        <w:rPr>
          <w:color w:val="231F20"/>
          <w:spacing w:val="9"/>
        </w:rPr>
        <w:t>(</w:t>
      </w:r>
      <w:r>
        <w:rPr>
          <w:i/>
          <w:iCs/>
          <w:color w:val="231F20"/>
          <w:spacing w:val="9"/>
        </w:rPr>
        <w:t>P</w:t>
      </w:r>
      <w:r>
        <w:rPr>
          <w:rFonts w:ascii="SimSun" w:hAnsi="SimSun" w:eastAsia="SimSun" w:cs="SimSun"/>
          <w:color w:val="231F20"/>
          <w:spacing w:val="9"/>
        </w:rPr>
        <w:t>＜</w:t>
      </w:r>
      <w:r>
        <w:rPr>
          <w:color w:val="231F20"/>
          <w:spacing w:val="9"/>
        </w:rPr>
        <w:t>0.05)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。结</w:t>
      </w:r>
      <w:r>
        <w:rPr>
          <w:rFonts w:ascii="SimSun" w:hAnsi="SimSun" w:eastAsia="SimSun" w:cs="SimSun"/>
          <w:color w:val="231F20"/>
          <w:spacing w:val="8"/>
        </w:rPr>
        <w:t>论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：单孔腹腔镜阑尾切除术治疗急性阑尾炎的临床效果较好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，可减少术中出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血量，减轻炎性反应，提高切口美观满意度，利于患者康复。</w:t>
      </w:r>
    </w:p>
    <w:p>
      <w:pPr>
        <w:ind w:left="914"/>
        <w:spacing w:before="15" w:line="209" w:lineRule="auto"/>
        <w:rPr>
          <w:rFonts w:ascii="SimSun" w:hAnsi="SimSun" w:eastAsia="SimSun" w:cs="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关键词  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单孔腹腔镜阑尾切除术；急性阑尾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炎；多孔腹腔镜阑尾切除术</w:t>
      </w:r>
    </w:p>
    <w:p>
      <w:pPr>
        <w:pStyle w:val="BodyText"/>
        <w:ind w:left="929"/>
        <w:spacing w:before="38" w:line="208" w:lineRule="auto"/>
        <w:rPr/>
      </w:pPr>
      <w:r>
        <w:rPr>
          <w:rFonts w:ascii="Microsoft YaHei" w:hAnsi="Microsoft YaHei" w:eastAsia="Microsoft YaHei" w:cs="Microsoft YaHei"/>
          <w:color w:val="231F20"/>
          <w:spacing w:val="1"/>
        </w:rPr>
        <w:t>中图分类号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  </w:t>
      </w:r>
      <w:r>
        <w:rPr>
          <w:color w:val="231F20"/>
          <w:spacing w:val="1"/>
        </w:rPr>
        <w:t>R574.61</w:t>
      </w:r>
      <w:r>
        <w:rPr>
          <w:color w:val="231F20"/>
          <w:spacing w:val="5"/>
        </w:rPr>
        <w:t xml:space="preserve">       </w:t>
      </w:r>
      <w:r>
        <w:rPr>
          <w:rFonts w:ascii="Microsoft YaHei" w:hAnsi="Microsoft YaHei" w:eastAsia="Microsoft YaHei" w:cs="Microsoft YaHei"/>
          <w:color w:val="231F20"/>
          <w:spacing w:val="1"/>
        </w:rPr>
        <w:t>文献标识码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  </w:t>
      </w:r>
      <w:r>
        <w:rPr>
          <w:color w:val="231F20"/>
          <w:spacing w:val="1"/>
        </w:rPr>
        <w:t>A</w:t>
      </w:r>
    </w:p>
    <w:p>
      <w:pPr>
        <w:pStyle w:val="BodyText"/>
        <w:ind w:left="904"/>
        <w:spacing w:before="65" w:line="210" w:lineRule="auto"/>
        <w:rPr/>
      </w:pPr>
      <w:r>
        <w:rPr>
          <w:color w:val="231F20"/>
          <w:spacing w:val="5"/>
        </w:rPr>
        <w:t>Analysis of Clinical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5"/>
        </w:rPr>
        <w:t>Effec</w:t>
      </w:r>
      <w:r>
        <w:rPr>
          <w:color w:val="231F20"/>
          <w:spacing w:val="4"/>
        </w:rPr>
        <w:t>t of Single-Port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Laparoscopic Appendectomy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in Treatment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of Acute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Appendicitis</w:t>
      </w:r>
    </w:p>
    <w:p>
      <w:pPr>
        <w:pStyle w:val="BodyText"/>
        <w:ind w:left="908"/>
        <w:spacing w:before="101" w:line="232" w:lineRule="auto"/>
        <w:rPr/>
      </w:pPr>
      <w:r>
        <w:rPr>
          <w:color w:val="231F20"/>
          <w:spacing w:val="3"/>
        </w:rPr>
        <w:t>Liu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Feng</w:t>
      </w:r>
    </w:p>
    <w:p>
      <w:pPr>
        <w:pStyle w:val="BodyText"/>
        <w:ind w:left="918" w:right="425" w:firstLine="5"/>
        <w:spacing w:before="71" w:line="353" w:lineRule="auto"/>
        <w:rPr/>
      </w:pPr>
      <w:r>
        <w:rPr>
          <w:i/>
          <w:iCs/>
          <w:color w:val="231F20"/>
          <w:spacing w:val="-7"/>
        </w:rPr>
        <w:t>Department</w:t>
      </w:r>
      <w:r>
        <w:rPr>
          <w:i/>
          <w:iCs/>
          <w:color w:val="231F20"/>
          <w:spacing w:val="29"/>
        </w:rPr>
        <w:t xml:space="preserve"> </w:t>
      </w:r>
      <w:r>
        <w:rPr>
          <w:i/>
          <w:iCs/>
          <w:color w:val="231F20"/>
          <w:spacing w:val="-7"/>
        </w:rPr>
        <w:t>of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7"/>
        </w:rPr>
        <w:t>General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-7"/>
        </w:rPr>
        <w:t>Surgery,   Yangzhuang  Town  Central</w:t>
      </w:r>
      <w:r>
        <w:rPr>
          <w:i/>
          <w:iCs/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-7"/>
        </w:rPr>
        <w:t>Health  Center  in  Yishui  County,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-7"/>
        </w:rPr>
        <w:t>Linyi</w:t>
      </w:r>
      <w:r>
        <w:rPr>
          <w:i/>
          <w:iCs/>
          <w:color w:val="231F20"/>
          <w:spacing w:val="29"/>
        </w:rPr>
        <w:t xml:space="preserve"> </w:t>
      </w:r>
      <w:r>
        <w:rPr>
          <w:i/>
          <w:iCs/>
          <w:color w:val="231F20"/>
          <w:spacing w:val="-7"/>
        </w:rPr>
        <w:t>2764</w:t>
      </w:r>
      <w:r>
        <w:rPr>
          <w:i/>
          <w:iCs/>
          <w:color w:val="231F20"/>
          <w:spacing w:val="-8"/>
        </w:rPr>
        <w:t>00,</w:t>
      </w:r>
      <w:r>
        <w:rPr>
          <w:i/>
          <w:iCs/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  <w:spacing w:val="-8"/>
        </w:rPr>
        <w:t>Shandong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-8"/>
        </w:rPr>
        <w:t>Province,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5"/>
        </w:rPr>
        <w:t>China</w:t>
      </w:r>
    </w:p>
    <w:p>
      <w:pPr>
        <w:pStyle w:val="BodyText"/>
        <w:ind w:left="910" w:right="425"/>
        <w:spacing w:before="42" w:line="356" w:lineRule="auto"/>
        <w:rPr/>
      </w:pPr>
      <w:r>
        <w:rPr>
          <w:color w:val="231F20"/>
          <w:spacing w:val="-3"/>
        </w:rPr>
        <w:t>Abstract    Objective: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explore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clinical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effect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of sin</w:t>
      </w:r>
      <w:r>
        <w:rPr>
          <w:color w:val="231F20"/>
          <w:spacing w:val="-4"/>
        </w:rPr>
        <w:t>gle-port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laparoscopic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appendectomy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treatment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of acute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appendicitis.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Methods: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total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100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ppendicitis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admitted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Yangzhuang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Town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Central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Center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Yishui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County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(admission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time: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January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2021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Ja</w:t>
      </w:r>
      <w:r>
        <w:rPr>
          <w:color w:val="231F20"/>
          <w:spacing w:val="-7"/>
        </w:rPr>
        <w:t>nuary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2023)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selected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study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subjects.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They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randomly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divided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into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control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(</w:t>
      </w:r>
      <w:r>
        <w:rPr>
          <w:i/>
          <w:iCs/>
          <w:color w:val="231F20"/>
          <w:spacing w:val="-5"/>
        </w:rPr>
        <w:t>n</w:t>
      </w:r>
      <w:r>
        <w:rPr>
          <w:color w:val="231F20"/>
          <w:spacing w:val="-5"/>
        </w:rPr>
        <w:t>=46)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observation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(</w:t>
      </w:r>
      <w:r>
        <w:rPr>
          <w:i/>
          <w:iCs/>
          <w:color w:val="231F20"/>
          <w:spacing w:val="-5"/>
        </w:rPr>
        <w:t>n</w:t>
      </w:r>
      <w:r>
        <w:rPr>
          <w:color w:val="231F20"/>
          <w:spacing w:val="-5"/>
        </w:rPr>
        <w:t>=54).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control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underwent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traditional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multi-port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laparoscopic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appendectomy, while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observation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group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underwent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single-port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lap</w:t>
      </w:r>
      <w:r>
        <w:rPr>
          <w:color w:val="231F20"/>
          <w:spacing w:val="-7"/>
        </w:rPr>
        <w:t>aroscopic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appendectomy.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treatment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effects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of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two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groups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compared.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Results: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intraoperative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b</w:t>
      </w:r>
      <w:r>
        <w:rPr>
          <w:color w:val="231F20"/>
          <w:spacing w:val="-7"/>
        </w:rPr>
        <w:t>lood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loss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observation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group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was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less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than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control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group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exhaust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time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gastrointestinal function recovery time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observatio</w:t>
      </w:r>
      <w:r>
        <w:rPr>
          <w:color w:val="231F20"/>
          <w:spacing w:val="-6"/>
        </w:rPr>
        <w:t>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group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earlier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than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those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control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group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operation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time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 length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 hospital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stay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observation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group were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shorter than those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control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group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hospita</w:t>
      </w:r>
      <w:r>
        <w:rPr>
          <w:color w:val="231F20"/>
          <w:spacing w:val="-7"/>
        </w:rPr>
        <w:t>lization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expenses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observation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group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higher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than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control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group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(</w:t>
      </w:r>
      <w:r>
        <w:rPr>
          <w:i/>
          <w:iCs/>
          <w:color w:val="231F20"/>
          <w:spacing w:val="-6"/>
        </w:rPr>
        <w:t>P</w:t>
      </w:r>
      <w:r>
        <w:rPr>
          <w:color w:val="231F20"/>
          <w:spacing w:val="-6"/>
        </w:rPr>
        <w:t>&lt;0.05).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Before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operation,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there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no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significant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diff</w:t>
      </w:r>
      <w:r>
        <w:rPr>
          <w:color w:val="231F20"/>
          <w:spacing w:val="-7"/>
        </w:rPr>
        <w:t>erence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levels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of serum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3"/>
        </w:rPr>
        <w:t>C-reactive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protein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(CRP),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interleukin-8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(IL-8)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interc</w:t>
      </w:r>
      <w:r>
        <w:rPr>
          <w:color w:val="231F20"/>
          <w:spacing w:val="-4"/>
        </w:rPr>
        <w:t>ellular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adhesion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molecule  1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(ICAM-1)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between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two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groups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(</w:t>
      </w:r>
      <w:r>
        <w:rPr>
          <w:i/>
          <w:iCs/>
          <w:color w:val="231F20"/>
          <w:spacing w:val="-5"/>
        </w:rPr>
        <w:t>P</w:t>
      </w:r>
      <w:r>
        <w:rPr>
          <w:color w:val="231F20"/>
          <w:spacing w:val="-5"/>
        </w:rPr>
        <w:t>&gt;0.05).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3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operation,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levels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CRP,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IL-8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ICAM-1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t</w:t>
      </w:r>
      <w:r>
        <w:rPr>
          <w:color w:val="231F20"/>
          <w:spacing w:val="-6"/>
        </w:rPr>
        <w:t>wo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groups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increased,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but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levels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observation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group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lower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than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those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control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group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(</w:t>
      </w:r>
      <w:r>
        <w:rPr>
          <w:i/>
          <w:iCs/>
          <w:color w:val="231F20"/>
          <w:spacing w:val="-6"/>
        </w:rPr>
        <w:t>P</w:t>
      </w:r>
      <w:r>
        <w:rPr>
          <w:color w:val="231F20"/>
          <w:spacing w:val="-6"/>
        </w:rPr>
        <w:t>&lt;0.05).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3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months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after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operation,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total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satisf</w:t>
      </w:r>
      <w:r>
        <w:rPr>
          <w:color w:val="231F20"/>
          <w:spacing w:val="-7"/>
        </w:rPr>
        <w:t>action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  incision  aesthetics  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5"/>
        </w:rPr>
        <w:t>the  observation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5"/>
        </w:rPr>
        <w:t>was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higher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5"/>
        </w:rPr>
        <w:t>than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5"/>
        </w:rPr>
        <w:t>the  control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group  (</w:t>
      </w:r>
      <w:r>
        <w:rPr>
          <w:i/>
          <w:iCs/>
          <w:color w:val="231F20"/>
          <w:spacing w:val="-5"/>
        </w:rPr>
        <w:t>P</w:t>
      </w:r>
      <w:r>
        <w:rPr>
          <w:color w:val="231F20"/>
          <w:spacing w:val="-5"/>
        </w:rPr>
        <w:t>&lt;0.05).  Conclusion:  Singl</w:t>
      </w:r>
      <w:r>
        <w:rPr>
          <w:color w:val="231F20"/>
          <w:spacing w:val="-6"/>
        </w:rPr>
        <w:t>e-port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laparoscopic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appendectomy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treatment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of acute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appendicitis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has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good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effects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reduce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intraoperat</w:t>
      </w:r>
      <w:r>
        <w:rPr>
          <w:color w:val="231F20"/>
          <w:spacing w:val="-7"/>
        </w:rPr>
        <w:t>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blood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loss,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relieve inflammatory reaction, improve the satisfaction 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incision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aesthetics,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and facilitate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patient/s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recovery.</w:t>
      </w:r>
    </w:p>
    <w:p>
      <w:pPr>
        <w:pStyle w:val="BodyText"/>
        <w:ind w:left="921"/>
        <w:spacing w:before="32" w:line="232" w:lineRule="auto"/>
        <w:rPr/>
      </w:pPr>
      <w:r>
        <w:rPr>
          <w:color w:val="231F20"/>
          <w:spacing w:val="-3"/>
        </w:rPr>
        <w:t>Key words    Single-port laparoscopic appendectomy; Acute appendicitis;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Multi-port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laparosc</w:t>
      </w:r>
      <w:r>
        <w:rPr>
          <w:color w:val="231F20"/>
          <w:spacing w:val="-4"/>
        </w:rPr>
        <w:t>opic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appendectomy</w:t>
      </w:r>
    </w:p>
    <w:p>
      <w:pPr>
        <w:spacing w:before="118"/>
        <w:rPr/>
      </w:pPr>
      <w:r/>
    </w:p>
    <w:p>
      <w:pPr>
        <w:sectPr>
          <w:headerReference w:type="default" r:id="rId1"/>
          <w:pgSz w:w="11906" w:h="16158"/>
          <w:pgMar w:top="1031" w:right="866" w:bottom="0" w:left="424" w:header="730" w:footer="0" w:gutter="0"/>
          <w:cols w:equalWidth="0" w:num="1">
            <w:col w:w="10616" w:space="0"/>
          </w:cols>
        </w:sectPr>
        <w:rPr/>
      </w:pPr>
    </w:p>
    <w:p>
      <w:pPr>
        <w:pStyle w:val="BodyText"/>
        <w:ind w:left="492" w:right="369" w:firstLine="423"/>
        <w:spacing w:before="39" w:line="29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急性阑尾炎是临床常见的急腹症，发病原因多为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阑尾管腔堵塞、细菌感染、不健康的饮食习惯等，患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者疼痛剧烈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，需及时进行治疗</w:t>
      </w:r>
      <w:r>
        <w:rPr>
          <w:sz w:val="10"/>
          <w:szCs w:val="10"/>
          <w:color w:val="231F20"/>
          <w:spacing w:val="9"/>
          <w:position w:val="8"/>
        </w:rPr>
        <w:t>[1]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。腹腔镜阑尾切除术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是治疗急性阑尾炎的常用方法，包括单孔腹腔镜阑尾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切除术、多孔腹腔镜阑尾切除术。多孔腹腔镜阑尾切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除术采用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4"/>
        </w:rPr>
        <w:t>3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孔操作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，创口较多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，影响腹部美观</w:t>
      </w:r>
      <w:r>
        <w:rPr>
          <w:sz w:val="10"/>
          <w:szCs w:val="10"/>
          <w:color w:val="231F20"/>
          <w:spacing w:val="4"/>
          <w:position w:val="8"/>
        </w:rPr>
        <w:t>[2-3]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孔腹腔镜阑尾切除术是在脐部放置观察孔，经单一孔</w:t>
      </w:r>
    </w:p>
    <w:p>
      <w:pPr>
        <w:spacing w:line="1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8" w:firstLine="1"/>
        <w:spacing w:before="38" w:line="30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道进行操作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，手术难度适中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，可以减少创口</w:t>
      </w:r>
      <w:r>
        <w:rPr>
          <w:sz w:val="10"/>
          <w:szCs w:val="10"/>
          <w:color w:val="231F20"/>
          <w:spacing w:val="7"/>
          <w:position w:val="8"/>
        </w:rPr>
        <w:t>[4]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。本研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究旨在探讨单孔腹腔镜阑尾切除术治疗急性阑尾炎的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临床效果，现报告如下。</w:t>
      </w:r>
    </w:p>
    <w:p>
      <w:pPr>
        <w:ind w:left="8"/>
        <w:spacing w:before="307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资料与方法</w:t>
      </w:r>
    </w:p>
    <w:p>
      <w:pPr>
        <w:pStyle w:val="BodyText"/>
        <w:ind w:left="19" w:right="8" w:firstLine="400"/>
        <w:spacing w:before="37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选取沂水县杨庄镇中心卫生院收治的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8"/>
        </w:rPr>
        <w:t>100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急性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阑尾炎患者</w:t>
      </w:r>
      <w:r>
        <w:rPr>
          <w:sz w:val="20"/>
          <w:szCs w:val="20"/>
          <w:color w:val="231F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收治时间：</w:t>
      </w:r>
      <w:r>
        <w:rPr>
          <w:sz w:val="20"/>
          <w:szCs w:val="20"/>
          <w:color w:val="231F20"/>
          <w:spacing w:val="-3"/>
        </w:rPr>
        <w:t>2021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-3"/>
        </w:rPr>
        <w:t>1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月—</w:t>
      </w:r>
      <w:r>
        <w:rPr>
          <w:sz w:val="20"/>
          <w:szCs w:val="20"/>
          <w:color w:val="231F20"/>
          <w:spacing w:val="-3"/>
        </w:rPr>
        <w:t>2023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  <w:spacing w:val="-3"/>
        </w:rPr>
        <w:t>1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月</w:t>
      </w:r>
      <w:r>
        <w:rPr>
          <w:sz w:val="20"/>
          <w:szCs w:val="20"/>
          <w:color w:val="231F20"/>
          <w:spacing w:val="-3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作为</w:t>
      </w:r>
    </w:p>
    <w:p>
      <w:pPr>
        <w:spacing w:line="291" w:lineRule="auto"/>
        <w:sectPr>
          <w:type w:val="continuous"/>
          <w:pgSz w:w="11906" w:h="16158"/>
          <w:pgMar w:top="1031" w:right="866" w:bottom="0" w:left="424" w:header="730" w:footer="0" w:gutter="0"/>
          <w:cols w:equalWidth="0" w:num="2">
            <w:col w:w="5685" w:space="100"/>
            <w:col w:w="483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488"/>
        <w:spacing w:before="112" w:line="218" w:lineRule="auto"/>
        <w:tabs>
          <w:tab w:val="left" w:pos="7234"/>
        </w:tabs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17"/>
          <w:szCs w:val="17"/>
          <w:u w:val="single" w:color="auto"/>
          <w:color w:val="231F20"/>
        </w:rPr>
        <w:tab/>
      </w:r>
      <w:r>
        <w:rPr>
          <w:rFonts w:ascii="SimHei" w:hAnsi="SimHei" w:eastAsia="SimHei" w:cs="SimHei"/>
          <w:sz w:val="17"/>
          <w:szCs w:val="17"/>
          <w:color w:val="231F20"/>
          <w:spacing w:val="4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中国社区医师2024年第40卷第29期</w:t>
      </w:r>
      <w:r>
        <w:rPr>
          <w:rFonts w:ascii="SimHei" w:hAnsi="SimHei" w:eastAsia="SimHei" w:cs="SimHei"/>
          <w:sz w:val="17"/>
          <w:szCs w:val="17"/>
          <w:color w:val="231F20"/>
          <w:spacing w:val="28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3"/>
          <w:position w:val="-1"/>
        </w:rPr>
        <w:t>27</w:t>
      </w:r>
    </w:p>
    <w:p>
      <w:pPr>
        <w:spacing w:line="218" w:lineRule="auto"/>
        <w:sectPr>
          <w:type w:val="continuous"/>
          <w:pgSz w:w="11906" w:h="16158"/>
          <w:pgMar w:top="1031" w:right="866" w:bottom="0" w:left="424" w:header="730" w:footer="0" w:gutter="0"/>
          <w:cols w:equalWidth="0" w:num="1">
            <w:col w:w="1061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2"/>
          <w:pgSz w:w="11906" w:h="16158"/>
          <w:pgMar w:top="1031" w:right="793" w:bottom="0" w:left="424" w:header="730" w:footer="0" w:gutter="0"/>
          <w:cols w:equalWidth="0" w:num="1">
            <w:col w:w="10689" w:space="0"/>
          </w:cols>
        </w:sectPr>
        <w:rPr/>
      </w:pPr>
    </w:p>
    <w:p>
      <w:pPr>
        <w:pStyle w:val="BodyText"/>
        <w:ind w:left="491" w:right="299"/>
        <w:spacing w:before="46" w:line="22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研究对象，随机分为对照组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(</w:t>
      </w:r>
      <w:r>
        <w:rPr>
          <w:sz w:val="20"/>
          <w:szCs w:val="20"/>
          <w:i/>
          <w:iCs/>
          <w:color w:val="231F20"/>
          <w:spacing w:val="-2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=46)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和观察组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(</w:t>
      </w:r>
      <w:r>
        <w:rPr>
          <w:sz w:val="20"/>
          <w:szCs w:val="20"/>
          <w:i/>
          <w:iCs/>
          <w:color w:val="231F20"/>
          <w:spacing w:val="-2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=54)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照组男、女分别有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例、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；年龄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19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岁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，平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(32.21±5.25)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岁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；疾病类型：单纯性阑尾炎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例，化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脓性阑尾炎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18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例，坏疽性阑尾炎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13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例。观察组男、女分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别有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32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例、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22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例；年龄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20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40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岁，平均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(33.58±5.93)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岁；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疾病类型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：单纯性阑尾炎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例，化脓性阑尾炎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例，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坏疽性阑尾炎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例。两组性别、年龄、疾病类型比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较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，无统计学差异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(</w:t>
      </w:r>
      <w:r>
        <w:rPr>
          <w:sz w:val="20"/>
          <w:szCs w:val="20"/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＞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0.05)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。本研究经医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院医学伦理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委员会审核批准。</w:t>
      </w:r>
    </w:p>
    <w:p>
      <w:pPr>
        <w:ind w:left="491" w:right="368" w:firstLine="424"/>
        <w:spacing w:before="25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纳入标准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符合《临床常见病症急救诊疗指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南》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[5]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中关于急性阑尾炎的诊断标准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，经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超或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查确诊；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符合手术治疗指征；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③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临床资料完整。</w:t>
      </w:r>
    </w:p>
    <w:p>
      <w:pPr>
        <w:ind w:left="495" w:right="368" w:firstLine="416"/>
        <w:spacing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排除标准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慢性阑尾炎急性发作者；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存在腹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腔手术史；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③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存在认知障碍。</w:t>
      </w:r>
    </w:p>
    <w:p>
      <w:pPr>
        <w:ind w:left="491" w:right="302" w:firstLine="420"/>
        <w:spacing w:before="8" w:line="27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方法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：对照组实施多孔腹腔镜阑尾切除术，患者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取仰卧位，常规消毒铺巾，给予全身麻醉。于脐部外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缘做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10 mm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小切口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，穿刺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，建立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CO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-4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-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气腹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，取脐水平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线与右侧腹直肌外侧缘交点处做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切口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，作为腹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腔镜主操作孔。于麦氏点与耻骨联合做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切口，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置入普通套管针及腹腔镜，在阑尾根部结扎并切除阑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尾，经套管取出阑尾并送病理室进行检验。于阑尾根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部进行间断缝合，如腹腔内脓液较多则应用吸引器吸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净，必要时应用生理盐水局部冲洗腹腔，如积液积脓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难以吸净则留置引流管。</w:t>
      </w:r>
    </w:p>
    <w:p>
      <w:pPr>
        <w:ind w:left="491" w:right="287" w:firstLine="424"/>
        <w:spacing w:before="10" w:line="27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观察组实施单孔腹腔镜阑尾切除术，患者取仰卧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位，常规消毒铺巾，给予全身麻醉。于腹部正中脐下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25 mm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进行穿刺，建立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CO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-4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-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气腹，置入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10 mm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套管针、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腹腔镜镜头，延长切口，置入单孔多通道装置、腹腔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镜操作器械、腹腔镜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，探查阑尾情况。提起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阑尾盲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端，用超声刀游离阑尾系膜至根部，分段结扎切断阑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尾系膜，切断阑尾，残端不进行荷包缝合。打开单孔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多通道装置上盖，消除气腹，将阑尾通过单孔装置通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道内取出，取出单孔装置，缝合切口，用切口胶黏合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切缘皮肤。两组均观察至出院，并随访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个月。</w:t>
      </w:r>
    </w:p>
    <w:p>
      <w:pPr>
        <w:ind w:left="499" w:right="368" w:firstLine="417"/>
        <w:spacing w:before="2" w:line="25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观察指标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围术期指标：术中出血量、排气时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间、胃肠功能恢复时间、手术时间、住院时间、住院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费用。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实验室指标：分别于术前、术后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3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，采集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81"/>
        <w:spacing w:before="43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两组患者清晨空腹外周静脉血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，置入肝素抗凝试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管，轻轻摇匀，分离血清后，以离心式血液成分分离</w:t>
      </w:r>
    </w:p>
    <w:p>
      <w:pPr>
        <w:ind w:right="15" w:firstLine="2"/>
        <w:spacing w:before="19" w:line="22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(</w:t>
      </w:r>
      <w:r>
        <w:rPr>
          <w:rFonts w:ascii="SimSun" w:hAnsi="SimSun" w:eastAsia="SimSun" w:cs="SimSun"/>
          <w:sz w:val="20"/>
          <w:szCs w:val="20"/>
          <w:color w:val="231F20"/>
        </w:rPr>
        <w:t>生产厂家：西安铭朗医疗设备有限公司；批准文号：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国械注准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20233100689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；型号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CS15)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离心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min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转速为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3 500 r/min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，取血清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，采用酶联免疫吸附法检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测血清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反应蛋白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、白细胞介素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-8(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-8)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、细胞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间黏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附分子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1(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ICAM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-1)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水平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切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口美观满意度：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术后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个月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，采用本院自制满意度调查问卷表评估，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总分为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分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，＞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分为非常满意，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70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89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分为满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意，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&lt;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分为不满意。总满意度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=(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非常满意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+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满意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总例数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×100%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。</w:t>
      </w:r>
    </w:p>
    <w:p>
      <w:pPr>
        <w:spacing w:line="165" w:lineRule="auto"/>
        <w:jc w:val="right"/>
        <w:rPr>
          <w:rFonts w:ascii="SimSun" w:hAnsi="SimSun" w:eastAsia="SimSun" w:cs="SimSun"/>
          <w:sz w:val="20"/>
          <w:szCs w:val="20"/>
        </w:rPr>
      </w:pPr>
      <w:r>
        <w:pict>
          <v:shape id="_x0000_s6" style="position:absolute;margin-left:54.6507pt;margin-top:5.23044pt;mso-position-vertical-relative:text;mso-position-horizontal-relative:text;width:6.7pt;height:14.1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113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统计学方法：应用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SPSS 25.0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统计学软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件分析数据；</w:t>
      </w:r>
    </w:p>
    <w:p>
      <w:pPr>
        <w:pStyle w:val="BodyText"/>
        <w:ind w:left="3" w:right="78" w:hanging="3"/>
        <w:spacing w:before="89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计量资料以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sz w:val="20"/>
          <w:szCs w:val="20"/>
          <w:i/>
          <w:iCs/>
          <w:color w:val="231F20"/>
          <w:spacing w:val="5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±</w:t>
      </w:r>
      <w:r>
        <w:rPr>
          <w:sz w:val="20"/>
          <w:szCs w:val="20"/>
          <w:i/>
          <w:iCs/>
          <w:color w:val="231F20"/>
          <w:spacing w:val="5"/>
        </w:rPr>
        <w:t>s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表示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，采用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i/>
          <w:iCs/>
          <w:color w:val="231F20"/>
          <w:spacing w:val="5"/>
        </w:rPr>
        <w:t>t</w:t>
      </w:r>
      <w:r>
        <w:rPr>
          <w:sz w:val="20"/>
          <w:szCs w:val="20"/>
          <w:i/>
          <w:iCs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检验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；计数资料以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i/>
          <w:iCs/>
          <w:color w:val="231F20"/>
          <w:spacing w:val="5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(%)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表示，采用</w:t>
      </w:r>
      <w:r>
        <w:rPr>
          <w:sz w:val="20"/>
          <w:szCs w:val="20"/>
          <w:i/>
          <w:iCs/>
          <w:color w:val="231F20"/>
          <w:spacing w:val="1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检验；</w:t>
      </w:r>
      <w:r>
        <w:rPr>
          <w:sz w:val="20"/>
          <w:szCs w:val="20"/>
          <w:i/>
          <w:iCs/>
          <w:color w:val="231F20"/>
          <w:spacing w:val="1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0.05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表明差异有统计</w:t>
      </w:r>
      <w:r>
        <w:rPr>
          <w:rFonts w:ascii="SimSun" w:hAnsi="SimSun" w:eastAsia="SimSun" w:cs="SimSun"/>
          <w:sz w:val="20"/>
          <w:szCs w:val="20"/>
          <w:color w:val="231F20"/>
        </w:rPr>
        <w:t>学意义。</w:t>
      </w:r>
    </w:p>
    <w:p>
      <w:pPr>
        <w:ind w:left="10"/>
        <w:spacing w:before="296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果</w:t>
      </w:r>
    </w:p>
    <w:p>
      <w:pPr>
        <w:pStyle w:val="BodyText"/>
        <w:ind w:right="81" w:firstLine="422"/>
        <w:spacing w:before="30" w:line="27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两组围术期指标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：观察组术中出血量少于对照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组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，排气时间、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胃肠功能恢复时间早于对照组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，手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术时间、住院时间短于对照组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，住院费用高于对照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(</w:t>
      </w:r>
      <w:r>
        <w:rPr>
          <w:sz w:val="20"/>
          <w:szCs w:val="20"/>
          <w:i/>
          <w:iCs/>
          <w:color w:val="231F20"/>
          <w:spacing w:val="-9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＜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0.05)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。如表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。</w:t>
      </w:r>
    </w:p>
    <w:p>
      <w:pPr>
        <w:pStyle w:val="BodyText"/>
        <w:ind w:left="3" w:firstLine="420"/>
        <w:spacing w:before="3" w:line="22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两组实验室指标比较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：术前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，两组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-8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ICAM-1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水平对比，无统计学差异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(</w:t>
      </w:r>
      <w:r>
        <w:rPr>
          <w:sz w:val="20"/>
          <w:szCs w:val="20"/>
          <w:i/>
          <w:iCs/>
          <w:color w:val="231F20"/>
          <w:spacing w:val="-1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0.05)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；术后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 d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两组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-8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ICAM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-1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水平均升高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，但观察组低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于对照组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(</w:t>
      </w:r>
      <w:r>
        <w:rPr>
          <w:sz w:val="20"/>
          <w:szCs w:val="20"/>
          <w:i/>
          <w:iCs/>
          <w:color w:val="231F20"/>
          <w:spacing w:val="-3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＜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0.05)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。如表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</w:t>
      </w:r>
    </w:p>
    <w:p>
      <w:pPr>
        <w:pStyle w:val="BodyText"/>
        <w:ind w:left="1" w:right="81" w:firstLine="421"/>
        <w:spacing w:before="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两组切口美观满意度比较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：术后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个月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，观察组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切口美观总满意度高于对照组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(</w:t>
      </w:r>
      <w:r>
        <w:rPr>
          <w:sz w:val="20"/>
          <w:szCs w:val="20"/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＜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0.05)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。如表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</w:t>
      </w:r>
    </w:p>
    <w:p>
      <w:pPr>
        <w:ind w:left="3"/>
        <w:spacing w:before="303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论</w:t>
      </w:r>
    </w:p>
    <w:p>
      <w:pPr>
        <w:ind w:right="81" w:firstLine="439"/>
        <w:spacing w:before="34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阑尾炎是临床常见外科急症，典型症状包括右下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腹疼痛、恶心、呕吐、厌食、全身不适、乏力等。多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孔腹腔镜阑尾切除术为临床治疗急性阑尾炎的常用方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式，但切口美观度欠佳，难以满足患者的需求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[6]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。</w:t>
      </w:r>
    </w:p>
    <w:p>
      <w:pPr>
        <w:ind w:right="81" w:firstLine="420"/>
        <w:spacing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pict>
          <v:shape id="_x0000_s8" style="position:absolute;margin-left:33.3782pt;margin-top:87.2532pt;mso-position-vertical-relative:text;mso-position-horizontal-relative:text;width:4.5pt;height:0.3pt;z-index:-251658240;" filled="false" strokecolor="#231F20" strokeweight="0.28pt" coordsize="90,6" coordorigin="0,0" path="m0,2l90,2e">
            <v:stroke joinstyle="miter" miterlimit="4"/>
          </v:shape>
        </w:pic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本研究结果显示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，观察组术中出血量少于对照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组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，排气时间、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胃肠功能恢复时间早于对照组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，手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术时间、住院时间短于对照组。分析原因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：单孔腹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腔镜阑尾切除术通过单孔操作通道置入腹腔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镜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，手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术创口较小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，能够减轻器械移动时对组织器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官造成</w:t>
      </w:r>
    </w:p>
    <w:p>
      <w:pPr>
        <w:spacing w:line="295" w:lineRule="auto"/>
        <w:sectPr>
          <w:type w:val="continuous"/>
          <w:pgSz w:w="11906" w:h="16158"/>
          <w:pgMar w:top="1031" w:right="793" w:bottom="0" w:left="424" w:header="730" w:footer="0" w:gutter="0"/>
          <w:cols w:equalWidth="0" w:num="2">
            <w:col w:w="5684" w:space="100"/>
            <w:col w:w="490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4293"/>
        <w:spacing w:before="95" w:line="17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表 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两组围术期指标比较(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±s)</w:t>
      </w:r>
    </w:p>
    <w:tbl>
      <w:tblPr>
        <w:tblStyle w:val="TableNormal"/>
        <w:tblW w:w="10122" w:type="dxa"/>
        <w:tblInd w:w="4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5"/>
        <w:gridCol w:w="424"/>
        <w:gridCol w:w="1529"/>
        <w:gridCol w:w="1265"/>
        <w:gridCol w:w="1925"/>
        <w:gridCol w:w="1395"/>
        <w:gridCol w:w="1227"/>
        <w:gridCol w:w="1582"/>
      </w:tblGrid>
      <w:tr>
        <w:trPr>
          <w:trHeight w:val="304" w:hRule="atLeast"/>
        </w:trPr>
        <w:tc>
          <w:tcPr>
            <w:tcW w:w="77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16"/>
              <w:spacing w:before="77" w:line="219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组别</w:t>
            </w:r>
          </w:p>
        </w:tc>
        <w:tc>
          <w:tcPr>
            <w:tcW w:w="42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79"/>
              <w:spacing w:before="153" w:line="1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152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9"/>
              <w:spacing w:before="76" w:line="179" w:lineRule="auto"/>
              <w:rPr/>
            </w:pPr>
            <w:r>
              <w:rPr>
                <w:rFonts w:ascii="SimSun" w:hAnsi="SimSun" w:eastAsia="SimSun" w:cs="SimSun"/>
                <w:color w:val="231F20"/>
                <w:spacing w:val="3"/>
              </w:rPr>
              <w:t>术中出血量</w:t>
            </w:r>
            <w:r>
              <w:rPr>
                <w:color w:val="231F20"/>
                <w:spacing w:val="3"/>
              </w:rPr>
              <w:t>(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3"/>
              </w:rPr>
              <w:t>)</w:t>
            </w:r>
          </w:p>
        </w:tc>
        <w:tc>
          <w:tcPr>
            <w:tcW w:w="126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85"/>
              <w:spacing w:before="66" w:line="187" w:lineRule="auto"/>
              <w:rPr/>
            </w:pPr>
            <w:r>
              <w:rPr>
                <w:rFonts w:ascii="SimSun" w:hAnsi="SimSun" w:eastAsia="SimSun" w:cs="SimSun"/>
                <w:color w:val="231F20"/>
                <w:spacing w:val="1"/>
              </w:rPr>
              <w:t>排气时间</w:t>
            </w:r>
            <w:r>
              <w:rPr>
                <w:color w:val="231F20"/>
                <w:spacing w:val="1"/>
              </w:rPr>
              <w:t>(h)</w:t>
            </w:r>
          </w:p>
        </w:tc>
        <w:tc>
          <w:tcPr>
            <w:tcW w:w="19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4"/>
              <w:spacing w:before="76" w:line="179" w:lineRule="auto"/>
              <w:rPr/>
            </w:pPr>
            <w:r>
              <w:rPr>
                <w:rFonts w:ascii="SimSun" w:hAnsi="SimSun" w:eastAsia="SimSun" w:cs="SimSun"/>
                <w:color w:val="231F20"/>
                <w:spacing w:val="2"/>
              </w:rPr>
              <w:t>胃肠功能恢复时间</w:t>
            </w:r>
            <w:r>
              <w:rPr>
                <w:color w:val="231F20"/>
                <w:spacing w:val="2"/>
              </w:rPr>
              <w:t>(h)</w:t>
            </w:r>
          </w:p>
        </w:tc>
        <w:tc>
          <w:tcPr>
            <w:tcW w:w="13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1"/>
              <w:spacing w:before="76" w:line="179" w:lineRule="auto"/>
              <w:rPr/>
            </w:pPr>
            <w:r>
              <w:rPr>
                <w:rFonts w:ascii="SimSun" w:hAnsi="SimSun" w:eastAsia="SimSun" w:cs="SimSun"/>
                <w:color w:val="231F20"/>
                <w:spacing w:val="-2"/>
              </w:rPr>
              <w:t>手术时间</w:t>
            </w:r>
            <w:r>
              <w:rPr>
                <w:color w:val="231F20"/>
                <w:spacing w:val="-2"/>
              </w:rPr>
              <w:t>(min)</w:t>
            </w:r>
          </w:p>
        </w:tc>
        <w:tc>
          <w:tcPr>
            <w:tcW w:w="122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1"/>
              <w:spacing w:before="76" w:line="179" w:lineRule="auto"/>
              <w:rPr/>
            </w:pPr>
            <w:r>
              <w:rPr>
                <w:rFonts w:ascii="SimSun" w:hAnsi="SimSun" w:eastAsia="SimSun" w:cs="SimSun"/>
                <w:color w:val="231F20"/>
                <w:spacing w:val="1"/>
              </w:rPr>
              <w:t>住院时间</w:t>
            </w:r>
            <w:r>
              <w:rPr>
                <w:color w:val="231F20"/>
                <w:spacing w:val="1"/>
              </w:rPr>
              <w:t>(d)</w:t>
            </w:r>
          </w:p>
        </w:tc>
        <w:tc>
          <w:tcPr>
            <w:tcW w:w="158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01"/>
              <w:spacing w:before="76" w:line="179" w:lineRule="auto"/>
              <w:rPr/>
            </w:pPr>
            <w:r>
              <w:rPr>
                <w:rFonts w:ascii="SimSun" w:hAnsi="SimSun" w:eastAsia="SimSun" w:cs="SimSun"/>
                <w:color w:val="231F20"/>
                <w:spacing w:val="5"/>
              </w:rPr>
              <w:t>住院费用</w:t>
            </w:r>
            <w:r>
              <w:rPr>
                <w:color w:val="231F20"/>
                <w:spacing w:val="5"/>
              </w:rPr>
              <w:t>(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元</w:t>
            </w:r>
            <w:r>
              <w:rPr>
                <w:color w:val="231F20"/>
                <w:spacing w:val="5"/>
              </w:rPr>
              <w:t>)</w:t>
            </w:r>
          </w:p>
        </w:tc>
      </w:tr>
      <w:tr>
        <w:trPr>
          <w:trHeight w:val="286" w:hRule="atLeast"/>
        </w:trPr>
        <w:tc>
          <w:tcPr>
            <w:tcW w:w="775" w:type="dxa"/>
            <w:vAlign w:val="top"/>
            <w:tcBorders>
              <w:top w:val="single" w:color="231F20" w:sz="2" w:space="0"/>
            </w:tcBorders>
          </w:tcPr>
          <w:p>
            <w:pPr>
              <w:ind w:left="115"/>
              <w:spacing w:before="65" w:line="21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7"/>
              </w:rPr>
              <w:t>对照组</w:t>
            </w:r>
          </w:p>
        </w:tc>
        <w:tc>
          <w:tcPr>
            <w:tcW w:w="4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3"/>
              <w:spacing w:before="60" w:line="177" w:lineRule="auto"/>
              <w:rPr/>
            </w:pPr>
            <w:r>
              <w:rPr>
                <w:color w:val="231F20"/>
                <w:spacing w:val="-7"/>
              </w:rPr>
              <w:t>46</w:t>
            </w:r>
          </w:p>
        </w:tc>
        <w:tc>
          <w:tcPr>
            <w:tcW w:w="15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7"/>
              <w:spacing w:before="60" w:line="177" w:lineRule="auto"/>
              <w:rPr/>
            </w:pPr>
            <w:r>
              <w:rPr>
                <w:color w:val="231F20"/>
                <w:spacing w:val="-9"/>
              </w:rPr>
              <w:t>21.75±3.45</w:t>
            </w:r>
          </w:p>
        </w:tc>
        <w:tc>
          <w:tcPr>
            <w:tcW w:w="12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5"/>
              <w:spacing w:before="60" w:line="177" w:lineRule="auto"/>
              <w:rPr/>
            </w:pPr>
            <w:r>
              <w:rPr>
                <w:color w:val="231F20"/>
                <w:spacing w:val="-9"/>
              </w:rPr>
              <w:t>35.66±7.08</w:t>
            </w:r>
          </w:p>
        </w:tc>
        <w:tc>
          <w:tcPr>
            <w:tcW w:w="19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1"/>
              <w:spacing w:before="60" w:line="177" w:lineRule="auto"/>
              <w:rPr/>
            </w:pPr>
            <w:r>
              <w:rPr>
                <w:color w:val="231F20"/>
                <w:spacing w:val="-13"/>
              </w:rPr>
              <w:t>12.85±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3"/>
              </w:rPr>
              <w:t>1.42</w:t>
            </w:r>
          </w:p>
        </w:tc>
        <w:tc>
          <w:tcPr>
            <w:tcW w:w="13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2"/>
              <w:spacing w:before="60" w:line="177" w:lineRule="auto"/>
              <w:rPr/>
            </w:pPr>
            <w:r>
              <w:rPr>
                <w:color w:val="231F20"/>
                <w:spacing w:val="-11"/>
              </w:rPr>
              <w:t>63.44±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1"/>
              </w:rPr>
              <w:t>15.79</w:t>
            </w:r>
          </w:p>
        </w:tc>
        <w:tc>
          <w:tcPr>
            <w:tcW w:w="12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4"/>
              <w:spacing w:before="60" w:line="177" w:lineRule="auto"/>
              <w:rPr/>
            </w:pPr>
            <w:r>
              <w:rPr>
                <w:color w:val="231F20"/>
                <w:spacing w:val="-9"/>
              </w:rPr>
              <w:t>5.77±0.32</w:t>
            </w:r>
          </w:p>
        </w:tc>
        <w:tc>
          <w:tcPr>
            <w:tcW w:w="15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1"/>
              <w:spacing w:before="60" w:line="177" w:lineRule="auto"/>
              <w:rPr/>
            </w:pPr>
            <w:r>
              <w:rPr>
                <w:color w:val="231F20"/>
                <w:spacing w:val="-11"/>
              </w:rPr>
              <w:t>10 721.54±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1"/>
              </w:rPr>
              <w:t>103.11</w:t>
            </w:r>
          </w:p>
        </w:tc>
      </w:tr>
      <w:tr>
        <w:trPr>
          <w:trHeight w:val="304" w:hRule="atLeast"/>
        </w:trPr>
        <w:tc>
          <w:tcPr>
            <w:tcW w:w="775" w:type="dxa"/>
            <w:vAlign w:val="top"/>
          </w:tcPr>
          <w:p>
            <w:pPr>
              <w:ind w:left="120"/>
              <w:spacing w:before="67" w:line="218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观察组</w:t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ind w:left="136"/>
              <w:spacing w:before="66" w:line="187" w:lineRule="auto"/>
              <w:rPr/>
            </w:pPr>
            <w:r>
              <w:rPr>
                <w:color w:val="231F20"/>
                <w:spacing w:val="-9"/>
              </w:rPr>
              <w:t>54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341"/>
              <w:spacing w:before="66" w:line="187" w:lineRule="auto"/>
              <w:rPr/>
            </w:pPr>
            <w:r>
              <w:rPr>
                <w:color w:val="231F20"/>
                <w:spacing w:val="-10"/>
              </w:rPr>
              <w:t>17.79±3.37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232"/>
              <w:spacing w:before="66" w:line="187" w:lineRule="auto"/>
              <w:rPr/>
            </w:pPr>
            <w:r>
              <w:rPr>
                <w:color w:val="231F20"/>
                <w:spacing w:val="-9"/>
              </w:rPr>
              <w:t>29.98±6.56</w:t>
            </w:r>
          </w:p>
        </w:tc>
        <w:tc>
          <w:tcPr>
            <w:tcW w:w="1925" w:type="dxa"/>
            <w:vAlign w:val="top"/>
          </w:tcPr>
          <w:p>
            <w:pPr>
              <w:pStyle w:val="TableText"/>
              <w:ind w:left="571"/>
              <w:spacing w:before="66" w:line="187" w:lineRule="auto"/>
              <w:rPr/>
            </w:pPr>
            <w:r>
              <w:rPr>
                <w:color w:val="231F20"/>
                <w:spacing w:val="-13"/>
              </w:rPr>
              <w:t>11.36±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3"/>
              </w:rPr>
              <w:t>1.38</w:t>
            </w:r>
          </w:p>
        </w:tc>
        <w:tc>
          <w:tcPr>
            <w:tcW w:w="1395" w:type="dxa"/>
            <w:vAlign w:val="top"/>
          </w:tcPr>
          <w:p>
            <w:pPr>
              <w:pStyle w:val="TableText"/>
              <w:ind w:left="242"/>
              <w:spacing w:before="66" w:line="187" w:lineRule="auto"/>
              <w:rPr/>
            </w:pPr>
            <w:r>
              <w:rPr>
                <w:color w:val="231F20"/>
                <w:spacing w:val="-11"/>
              </w:rPr>
              <w:t>51.58±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1"/>
              </w:rPr>
              <w:t>12.81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250"/>
              <w:spacing w:before="66" w:line="187" w:lineRule="auto"/>
              <w:rPr/>
            </w:pPr>
            <w:r>
              <w:rPr>
                <w:color w:val="231F20"/>
                <w:spacing w:val="-8"/>
              </w:rPr>
              <w:t>4.69±0.29</w:t>
            </w:r>
          </w:p>
        </w:tc>
        <w:tc>
          <w:tcPr>
            <w:tcW w:w="1582" w:type="dxa"/>
            <w:vAlign w:val="top"/>
          </w:tcPr>
          <w:p>
            <w:pPr>
              <w:pStyle w:val="TableText"/>
              <w:ind w:left="161"/>
              <w:spacing w:before="66" w:line="187" w:lineRule="auto"/>
              <w:rPr/>
            </w:pPr>
            <w:r>
              <w:rPr>
                <w:color w:val="231F20"/>
                <w:spacing w:val="-11"/>
              </w:rPr>
              <w:t>11 578.63±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1"/>
              </w:rPr>
              <w:t>123.72</w:t>
            </w:r>
          </w:p>
        </w:tc>
      </w:tr>
      <w:tr>
        <w:trPr>
          <w:trHeight w:val="283" w:hRule="atLeast"/>
        </w:trPr>
        <w:tc>
          <w:tcPr>
            <w:tcW w:w="775" w:type="dxa"/>
            <w:vAlign w:val="top"/>
          </w:tcPr>
          <w:p>
            <w:pPr>
              <w:ind w:left="115"/>
              <w:spacing w:before="113" w:line="12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position w:val="-2"/>
              </w:rPr>
              <w:t>t</w:t>
            </w:r>
          </w:p>
        </w:tc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9" w:type="dxa"/>
            <w:vAlign w:val="top"/>
          </w:tcPr>
          <w:p>
            <w:pPr>
              <w:pStyle w:val="TableText"/>
              <w:ind w:left="534"/>
              <w:spacing w:before="55" w:line="179" w:lineRule="auto"/>
              <w:rPr/>
            </w:pPr>
            <w:r>
              <w:rPr>
                <w:color w:val="231F20"/>
                <w:spacing w:val="-7"/>
              </w:rPr>
              <w:t>5.793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436"/>
              <w:spacing w:before="55" w:line="179" w:lineRule="auto"/>
              <w:rPr/>
            </w:pPr>
            <w:r>
              <w:rPr>
                <w:color w:val="231F20"/>
                <w:spacing w:val="-6"/>
              </w:rPr>
              <w:t>4.161</w:t>
            </w:r>
          </w:p>
        </w:tc>
        <w:tc>
          <w:tcPr>
            <w:tcW w:w="1925" w:type="dxa"/>
            <w:vAlign w:val="top"/>
          </w:tcPr>
          <w:p>
            <w:pPr>
              <w:pStyle w:val="TableText"/>
              <w:ind w:left="763"/>
              <w:spacing w:before="55" w:line="179" w:lineRule="auto"/>
              <w:rPr/>
            </w:pPr>
            <w:r>
              <w:rPr>
                <w:color w:val="231F20"/>
                <w:spacing w:val="-7"/>
              </w:rPr>
              <w:t>5.310</w:t>
            </w:r>
          </w:p>
        </w:tc>
        <w:tc>
          <w:tcPr>
            <w:tcW w:w="1395" w:type="dxa"/>
            <w:vAlign w:val="top"/>
          </w:tcPr>
          <w:p>
            <w:pPr>
              <w:pStyle w:val="TableText"/>
              <w:ind w:left="490"/>
              <w:spacing w:before="55" w:line="179" w:lineRule="auto"/>
              <w:rPr/>
            </w:pPr>
            <w:r>
              <w:rPr>
                <w:color w:val="231F20"/>
                <w:spacing w:val="-6"/>
              </w:rPr>
              <w:t>4.077</w:t>
            </w:r>
          </w:p>
        </w:tc>
        <w:tc>
          <w:tcPr>
            <w:tcW w:w="1227" w:type="dxa"/>
            <w:vAlign w:val="top"/>
          </w:tcPr>
          <w:p>
            <w:pPr>
              <w:pStyle w:val="TableText"/>
              <w:ind w:left="385"/>
              <w:spacing w:before="55" w:line="179" w:lineRule="auto"/>
              <w:rPr/>
            </w:pPr>
            <w:r>
              <w:rPr>
                <w:color w:val="231F20"/>
                <w:spacing w:val="-10"/>
              </w:rPr>
              <w:t>17.698</w:t>
            </w:r>
          </w:p>
        </w:tc>
        <w:tc>
          <w:tcPr>
            <w:tcW w:w="1582" w:type="dxa"/>
            <w:vAlign w:val="top"/>
          </w:tcPr>
          <w:p>
            <w:pPr>
              <w:pStyle w:val="TableText"/>
              <w:ind w:left="558"/>
              <w:spacing w:before="55" w:line="179" w:lineRule="auto"/>
              <w:rPr/>
            </w:pPr>
            <w:r>
              <w:rPr>
                <w:color w:val="231F20"/>
                <w:spacing w:val="-8"/>
              </w:rPr>
              <w:t>37.789</w:t>
            </w:r>
          </w:p>
        </w:tc>
      </w:tr>
      <w:tr>
        <w:trPr>
          <w:trHeight w:val="278" w:hRule="atLeast"/>
        </w:trPr>
        <w:tc>
          <w:tcPr>
            <w:tcW w:w="775" w:type="dxa"/>
            <w:vAlign w:val="top"/>
            <w:tcBorders>
              <w:bottom w:val="single" w:color="231F20" w:sz="4" w:space="0"/>
            </w:tcBorders>
          </w:tcPr>
          <w:p>
            <w:pPr>
              <w:ind w:left="112"/>
              <w:spacing w:before="93" w:line="19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</w:rPr>
              <w:t>P</w:t>
            </w:r>
          </w:p>
        </w:tc>
        <w:tc>
          <w:tcPr>
            <w:tcW w:w="42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5"/>
              <w:spacing w:before="63" w:line="168" w:lineRule="auto"/>
              <w:rPr/>
            </w:pPr>
            <w:r>
              <w:rPr>
                <w:rFonts w:ascii="SimSun" w:hAnsi="SimSun" w:eastAsia="SimSun" w:cs="SimSun"/>
                <w:color w:val="231F20"/>
                <w:spacing w:val="-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126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1"/>
              <w:spacing w:before="63" w:line="168" w:lineRule="auto"/>
              <w:rPr/>
            </w:pPr>
            <w:r>
              <w:rPr>
                <w:rFonts w:ascii="SimSun" w:hAnsi="SimSun" w:eastAsia="SimSun" w:cs="SimSun"/>
                <w:color w:val="231F20"/>
                <w:spacing w:val="-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19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5"/>
              <w:spacing w:before="63" w:line="168" w:lineRule="auto"/>
              <w:rPr/>
            </w:pPr>
            <w:r>
              <w:rPr>
                <w:rFonts w:ascii="SimSun" w:hAnsi="SimSun" w:eastAsia="SimSun" w:cs="SimSun"/>
                <w:color w:val="231F20"/>
                <w:spacing w:val="-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139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5"/>
              <w:spacing w:before="63" w:line="168" w:lineRule="auto"/>
              <w:rPr/>
            </w:pPr>
            <w:r>
              <w:rPr>
                <w:rFonts w:ascii="SimSun" w:hAnsi="SimSun" w:eastAsia="SimSun" w:cs="SimSun"/>
                <w:color w:val="231F20"/>
                <w:spacing w:val="-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122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2"/>
              <w:spacing w:before="63" w:line="168" w:lineRule="auto"/>
              <w:rPr/>
            </w:pPr>
            <w:r>
              <w:rPr>
                <w:rFonts w:ascii="SimSun" w:hAnsi="SimSun" w:eastAsia="SimSun" w:cs="SimSun"/>
                <w:color w:val="231F20"/>
                <w:spacing w:val="-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158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08"/>
              <w:spacing w:before="63" w:line="168" w:lineRule="auto"/>
              <w:rPr/>
            </w:pPr>
            <w:r>
              <w:rPr>
                <w:rFonts w:ascii="SimSun" w:hAnsi="SimSun" w:eastAsia="SimSun" w:cs="SimSun"/>
                <w:color w:val="231F20"/>
                <w:spacing w:val="-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0.001</w:t>
            </w:r>
          </w:p>
        </w:tc>
      </w:tr>
    </w:tbl>
    <w:p>
      <w:pPr>
        <w:ind w:left="488"/>
        <w:spacing w:before="220" w:line="218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color w:val="231F20"/>
          <w:spacing w:val="14"/>
          <w:position w:val="-1"/>
        </w:rPr>
        <w:t>28  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中国社区医师2024年第40卷第29期</w:t>
      </w:r>
      <w:r>
        <w:rPr>
          <w:rFonts w:ascii="SimHei" w:hAnsi="SimHei" w:eastAsia="SimHei" w:cs="SimHei"/>
          <w:sz w:val="17"/>
          <w:szCs w:val="17"/>
          <w:color w:val="231F20"/>
          <w:spacing w:val="18"/>
        </w:rPr>
        <w:t xml:space="preserve"> </w:t>
      </w:r>
      <w:r>
        <w:rPr>
          <w:rFonts w:ascii="SimHei" w:hAnsi="SimHei" w:eastAsia="SimHei" w:cs="SimHei"/>
          <w:sz w:val="17"/>
          <w:szCs w:val="17"/>
          <w:u w:val="single" w:color="auto"/>
          <w:color w:val="231F20"/>
        </w:rPr>
        <w:t xml:space="preserve">                                                                                </w:t>
      </w:r>
    </w:p>
    <w:p>
      <w:pPr>
        <w:spacing w:line="218" w:lineRule="auto"/>
        <w:sectPr>
          <w:type w:val="continuous"/>
          <w:pgSz w:w="11906" w:h="16158"/>
          <w:pgMar w:top="1031" w:right="793" w:bottom="0" w:left="424" w:header="730" w:footer="0" w:gutter="0"/>
          <w:cols w:equalWidth="0" w:num="1">
            <w:col w:w="10689" w:space="0"/>
          </w:cols>
        </w:sectPr>
        <w:rPr>
          <w:rFonts w:ascii="SimHei" w:hAnsi="SimHei" w:eastAsia="SimHei" w:cs="SimHei"/>
          <w:sz w:val="17"/>
          <w:szCs w:val="17"/>
        </w:rPr>
      </w:pPr>
    </w:p>
    <w:p>
      <w:pPr>
        <w:pStyle w:val="BodyText"/>
        <w:ind w:left="4263"/>
        <w:spacing w:before="167" w:line="177" w:lineRule="auto"/>
        <w:rPr/>
      </w:pPr>
      <w:r>
        <w:pict>
          <v:shape id="_x0000_s10" style="position:absolute;margin-left:321.046pt;margin-top:8.62249pt;mso-position-vertical-relative:text;mso-position-horizontal-relative:text;width:4.5pt;height:0.3pt;z-index:-251656192;" filled="false" strokecolor="#231F20" strokeweight="0.28pt" coordsize="90,6" coordorigin="0,0" path="m0,2l90,2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7"/>
        </w:rPr>
        <w:t>表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7"/>
        </w:rPr>
        <w:t>2</w:t>
      </w:r>
      <w:r>
        <w:rPr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color w:val="231F20"/>
          <w:spacing w:val="7"/>
        </w:rPr>
        <w:t>两组实验室指标比较</w:t>
      </w:r>
      <w:r>
        <w:rPr>
          <w:color w:val="231F20"/>
          <w:spacing w:val="7"/>
        </w:rPr>
        <w:t>(</w:t>
      </w:r>
      <w:r>
        <w:rPr>
          <w:color w:val="231F20"/>
          <w:spacing w:val="7"/>
        </w:rPr>
        <w:t>x</w:t>
      </w:r>
      <w:r>
        <w:rPr>
          <w:color w:val="231F20"/>
          <w:spacing w:val="7"/>
        </w:rPr>
        <w:t>±s)</w:t>
      </w:r>
    </w:p>
    <w:tbl>
      <w:tblPr>
        <w:tblStyle w:val="TableNormal"/>
        <w:tblW w:w="10119" w:type="dxa"/>
        <w:tblInd w:w="4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24"/>
        <w:gridCol w:w="762"/>
        <w:gridCol w:w="1192"/>
        <w:gridCol w:w="1455"/>
        <w:gridCol w:w="1522"/>
        <w:gridCol w:w="1477"/>
        <w:gridCol w:w="2887"/>
      </w:tblGrid>
      <w:tr>
        <w:trPr>
          <w:trHeight w:val="283" w:hRule="atLeast"/>
        </w:trPr>
        <w:tc>
          <w:tcPr>
            <w:tcW w:w="82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32"/>
              <w:spacing w:before="191" w:line="219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组别</w:t>
            </w:r>
          </w:p>
        </w:tc>
        <w:tc>
          <w:tcPr>
            <w:tcW w:w="762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213"/>
              <w:spacing w:before="266" w:line="11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2647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50"/>
              <w:spacing w:before="77" w:line="23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8"/>
              </w:rPr>
              <w:t>CRP(mg/L)</w:t>
            </w:r>
          </w:p>
        </w:tc>
        <w:tc>
          <w:tcPr>
            <w:tcW w:w="2999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162"/>
              <w:spacing w:before="77" w:line="23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</w:rPr>
              <w:t>IL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5"/>
              </w:rPr>
              <w:t>-8(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</w:rPr>
              <w:t>ng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5"/>
              </w:rPr>
              <w:t>/L)</w:t>
            </w:r>
          </w:p>
        </w:tc>
        <w:tc>
          <w:tcPr>
            <w:tcW w:w="2887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255"/>
              <w:spacing w:before="77" w:line="232" w:lineRule="auto"/>
              <w:tabs>
                <w:tab w:val="left" w:pos="998"/>
              </w:tabs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u w:val="single" w:color="auto"/>
                <w:color w:val="231F20"/>
              </w:rPr>
              <w:tab/>
            </w:r>
            <w:r>
              <w:rPr>
                <w:rFonts w:ascii="Arial" w:hAnsi="Arial" w:eastAsia="Arial" w:cs="Arial"/>
                <w:sz w:val="17"/>
                <w:szCs w:val="17"/>
                <w:u w:val="single" w:color="auto"/>
                <w:color w:val="231F20"/>
              </w:rPr>
              <w:t>ICAM</w:t>
            </w:r>
            <w:r>
              <w:rPr>
                <w:rFonts w:ascii="Arial" w:hAnsi="Arial" w:eastAsia="Arial" w:cs="Arial"/>
                <w:sz w:val="17"/>
                <w:szCs w:val="17"/>
                <w:u w:val="single" w:color="auto"/>
                <w:color w:val="231F20"/>
                <w:spacing w:val="2"/>
              </w:rPr>
              <w:t>-1(μg/L)             </w:t>
            </w:r>
          </w:p>
          <w:p>
            <w:pPr>
              <w:ind w:left="629"/>
              <w:spacing w:before="10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14"/>
              </w:rPr>
              <w:t>术前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3"/>
              </w:rPr>
              <w:t xml:space="preserve">          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14"/>
              </w:rPr>
              <w:t>术后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14"/>
              </w:rPr>
              <w:t>3d</w:t>
            </w:r>
          </w:p>
        </w:tc>
      </w:tr>
      <w:tr>
        <w:trPr>
          <w:trHeight w:val="314" w:hRule="atLeast"/>
        </w:trPr>
        <w:tc>
          <w:tcPr>
            <w:tcW w:w="82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33"/>
              <w:spacing w:before="82" w:line="21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术前</w:t>
            </w:r>
          </w:p>
        </w:tc>
        <w:tc>
          <w:tcPr>
            <w:tcW w:w="145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10"/>
              <w:spacing w:before="8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7"/>
              </w:rPr>
              <w:t>术后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7"/>
              </w:rPr>
              <w:t>3 d</w:t>
            </w:r>
          </w:p>
        </w:tc>
        <w:tc>
          <w:tcPr>
            <w:tcW w:w="152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688"/>
              <w:spacing w:before="82" w:line="21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术前</w:t>
            </w:r>
          </w:p>
        </w:tc>
        <w:tc>
          <w:tcPr>
            <w:tcW w:w="147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83"/>
              <w:spacing w:before="8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7"/>
              </w:rPr>
              <w:t>术后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7"/>
              </w:rPr>
              <w:t>3 d</w:t>
            </w:r>
          </w:p>
        </w:tc>
        <w:tc>
          <w:tcPr>
            <w:tcW w:w="288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9" w:hRule="atLeast"/>
        </w:trPr>
        <w:tc>
          <w:tcPr>
            <w:tcW w:w="824" w:type="dxa"/>
            <w:vAlign w:val="top"/>
            <w:tcBorders>
              <w:top w:val="single" w:color="231F20" w:sz="2" w:space="0"/>
            </w:tcBorders>
          </w:tcPr>
          <w:p>
            <w:pPr>
              <w:ind w:left="132"/>
              <w:spacing w:before="60" w:line="21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7"/>
              </w:rPr>
              <w:t>对照组</w:t>
            </w:r>
          </w:p>
        </w:tc>
        <w:tc>
          <w:tcPr>
            <w:tcW w:w="762" w:type="dxa"/>
            <w:vAlign w:val="top"/>
            <w:tcBorders>
              <w:top w:val="single" w:color="231F20" w:sz="2" w:space="0"/>
            </w:tcBorders>
          </w:tcPr>
          <w:p>
            <w:pPr>
              <w:ind w:left="166"/>
              <w:spacing w:before="54" w:line="215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</w:rPr>
              <w:t>46</w:t>
            </w:r>
          </w:p>
        </w:tc>
        <w:tc>
          <w:tcPr>
            <w:tcW w:w="1192" w:type="dxa"/>
            <w:vAlign w:val="top"/>
            <w:tcBorders>
              <w:top w:val="single" w:color="231F20" w:sz="2" w:space="0"/>
            </w:tcBorders>
          </w:tcPr>
          <w:p>
            <w:pPr>
              <w:ind w:left="103"/>
              <w:spacing w:before="54" w:line="215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4"/>
              </w:rPr>
              <w:t>41.71±3.17</w:t>
            </w:r>
          </w:p>
        </w:tc>
        <w:tc>
          <w:tcPr>
            <w:tcW w:w="1455" w:type="dxa"/>
            <w:vAlign w:val="top"/>
            <w:tcBorders>
              <w:top w:val="single" w:color="231F20" w:sz="2" w:space="0"/>
            </w:tcBorders>
          </w:tcPr>
          <w:p>
            <w:pPr>
              <w:ind w:left="284"/>
              <w:spacing w:before="54" w:line="215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3"/>
              </w:rPr>
              <w:t>60.83±5.73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3"/>
                <w:position w:val="6"/>
              </w:rPr>
              <w:t>*</w:t>
            </w:r>
          </w:p>
        </w:tc>
        <w:tc>
          <w:tcPr>
            <w:tcW w:w="1522" w:type="dxa"/>
            <w:vAlign w:val="top"/>
            <w:tcBorders>
              <w:top w:val="single" w:color="231F20" w:sz="2" w:space="0"/>
            </w:tcBorders>
          </w:tcPr>
          <w:p>
            <w:pPr>
              <w:ind w:left="458"/>
              <w:spacing w:before="54" w:line="215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3"/>
              </w:rPr>
              <w:t>42.18±5.03</w:t>
            </w:r>
          </w:p>
        </w:tc>
        <w:tc>
          <w:tcPr>
            <w:tcW w:w="1477" w:type="dxa"/>
            <w:vAlign w:val="top"/>
            <w:tcBorders>
              <w:top w:val="single" w:color="231F20" w:sz="2" w:space="0"/>
            </w:tcBorders>
          </w:tcPr>
          <w:p>
            <w:pPr>
              <w:ind w:left="254"/>
              <w:spacing w:before="54" w:line="215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3"/>
              </w:rPr>
              <w:t>74.12±7.63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3"/>
                <w:position w:val="6"/>
              </w:rPr>
              <w:t>*</w:t>
            </w:r>
          </w:p>
        </w:tc>
        <w:tc>
          <w:tcPr>
            <w:tcW w:w="2887" w:type="dxa"/>
            <w:vAlign w:val="top"/>
            <w:tcBorders>
              <w:top w:val="single" w:color="231F20" w:sz="2" w:space="0"/>
            </w:tcBorders>
          </w:tcPr>
          <w:p>
            <w:pPr>
              <w:ind w:left="446"/>
              <w:spacing w:before="54" w:line="215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3"/>
              </w:rPr>
              <w:t>0.42±0.05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4"/>
              </w:rPr>
              <w:t xml:space="preserve">            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3"/>
              </w:rPr>
              <w:t>0.53±0.09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3"/>
                <w:position w:val="7"/>
              </w:rPr>
              <w:t>*</w:t>
            </w:r>
          </w:p>
        </w:tc>
      </w:tr>
      <w:tr>
        <w:trPr>
          <w:trHeight w:val="305" w:hRule="atLeast"/>
        </w:trPr>
        <w:tc>
          <w:tcPr>
            <w:tcW w:w="824" w:type="dxa"/>
            <w:vAlign w:val="top"/>
          </w:tcPr>
          <w:p>
            <w:pPr>
              <w:ind w:left="136"/>
              <w:spacing w:before="68" w:line="218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观察组</w:t>
            </w:r>
          </w:p>
        </w:tc>
        <w:tc>
          <w:tcPr>
            <w:tcW w:w="762" w:type="dxa"/>
            <w:vAlign w:val="top"/>
          </w:tcPr>
          <w:p>
            <w:pPr>
              <w:ind w:left="170"/>
              <w:spacing w:before="68"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6"/>
                <w:position w:val="1"/>
              </w:rPr>
              <w:t>54</w:t>
            </w:r>
          </w:p>
        </w:tc>
        <w:tc>
          <w:tcPr>
            <w:tcW w:w="1192" w:type="dxa"/>
            <w:vAlign w:val="top"/>
          </w:tcPr>
          <w:p>
            <w:pPr>
              <w:ind w:left="103"/>
              <w:spacing w:before="68"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4"/>
                <w:position w:val="1"/>
              </w:rPr>
              <w:t>41.47±3.55</w:t>
            </w:r>
          </w:p>
        </w:tc>
        <w:tc>
          <w:tcPr>
            <w:tcW w:w="1455" w:type="dxa"/>
            <w:vAlign w:val="top"/>
          </w:tcPr>
          <w:p>
            <w:pPr>
              <w:ind w:left="283"/>
              <w:spacing w:before="67" w:line="224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3"/>
                <w:position w:val="1"/>
              </w:rPr>
              <w:t>51.75±5.41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3"/>
                <w:position w:val="7"/>
              </w:rPr>
              <w:t>*</w:t>
            </w:r>
          </w:p>
        </w:tc>
        <w:tc>
          <w:tcPr>
            <w:tcW w:w="1522" w:type="dxa"/>
            <w:vAlign w:val="top"/>
          </w:tcPr>
          <w:p>
            <w:pPr>
              <w:ind w:left="458"/>
              <w:spacing w:before="68"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3"/>
                <w:position w:val="1"/>
              </w:rPr>
              <w:t>43.19±5.24</w:t>
            </w:r>
          </w:p>
        </w:tc>
        <w:tc>
          <w:tcPr>
            <w:tcW w:w="1477" w:type="dxa"/>
            <w:vAlign w:val="top"/>
          </w:tcPr>
          <w:p>
            <w:pPr>
              <w:ind w:left="256"/>
              <w:spacing w:before="67" w:line="224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3"/>
                <w:position w:val="1"/>
              </w:rPr>
              <w:t>62.09±7.62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3"/>
                <w:position w:val="7"/>
              </w:rPr>
              <w:t>*</w:t>
            </w:r>
          </w:p>
        </w:tc>
        <w:tc>
          <w:tcPr>
            <w:tcW w:w="2887" w:type="dxa"/>
            <w:vAlign w:val="top"/>
          </w:tcPr>
          <w:p>
            <w:pPr>
              <w:ind w:left="446"/>
              <w:spacing w:before="67" w:line="224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3"/>
              </w:rPr>
              <w:t>0.41±0.06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4"/>
              </w:rPr>
              <w:t xml:space="preserve">            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3"/>
              </w:rPr>
              <w:t>0.44±0.08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3"/>
                <w:position w:val="7"/>
              </w:rPr>
              <w:t>*</w:t>
            </w:r>
          </w:p>
        </w:tc>
      </w:tr>
      <w:tr>
        <w:trPr>
          <w:trHeight w:val="283" w:hRule="atLeast"/>
        </w:trPr>
        <w:tc>
          <w:tcPr>
            <w:tcW w:w="824" w:type="dxa"/>
            <w:vAlign w:val="top"/>
          </w:tcPr>
          <w:p>
            <w:pPr>
              <w:ind w:left="131"/>
              <w:spacing w:before="114" w:line="126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position w:val="-2"/>
              </w:rPr>
              <w:t>t</w:t>
            </w:r>
          </w:p>
        </w:tc>
        <w:tc>
          <w:tcPr>
            <w:tcW w:w="7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</w:tcPr>
          <w:p>
            <w:pPr>
              <w:ind w:left="312"/>
              <w:spacing w:before="55" w:line="218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  <w:position w:val="1"/>
              </w:rPr>
              <w:t>0.354</w:t>
            </w:r>
          </w:p>
        </w:tc>
        <w:tc>
          <w:tcPr>
            <w:tcW w:w="1455" w:type="dxa"/>
            <w:vAlign w:val="top"/>
          </w:tcPr>
          <w:p>
            <w:pPr>
              <w:ind w:left="518"/>
              <w:spacing w:before="55" w:line="218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6"/>
                <w:position w:val="1"/>
              </w:rPr>
              <w:t>8.102</w:t>
            </w:r>
          </w:p>
        </w:tc>
        <w:tc>
          <w:tcPr>
            <w:tcW w:w="1522" w:type="dxa"/>
            <w:vAlign w:val="top"/>
          </w:tcPr>
          <w:p>
            <w:pPr>
              <w:ind w:left="667"/>
              <w:spacing w:before="55" w:line="218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  <w:position w:val="1"/>
              </w:rPr>
              <w:t>0.978</w:t>
            </w:r>
          </w:p>
        </w:tc>
        <w:tc>
          <w:tcPr>
            <w:tcW w:w="1477" w:type="dxa"/>
            <w:vAlign w:val="top"/>
          </w:tcPr>
          <w:p>
            <w:pPr>
              <w:ind w:left="485"/>
              <w:spacing w:before="55" w:line="218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  <w:position w:val="1"/>
              </w:rPr>
              <w:t>7.863</w:t>
            </w:r>
          </w:p>
        </w:tc>
        <w:tc>
          <w:tcPr>
            <w:tcW w:w="2887" w:type="dxa"/>
            <w:vAlign w:val="top"/>
          </w:tcPr>
          <w:p>
            <w:pPr>
              <w:ind w:left="608"/>
              <w:spacing w:before="55" w:line="218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  <w:position w:val="1"/>
              </w:rPr>
              <w:t>0.896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position w:val="1"/>
              </w:rPr>
              <w:t xml:space="preserve">                    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  <w:position w:val="1"/>
              </w:rPr>
              <w:t>5.243</w:t>
            </w:r>
          </w:p>
        </w:tc>
      </w:tr>
      <w:tr>
        <w:trPr>
          <w:trHeight w:val="279" w:hRule="atLeast"/>
        </w:trPr>
        <w:tc>
          <w:tcPr>
            <w:tcW w:w="824" w:type="dxa"/>
            <w:vAlign w:val="top"/>
            <w:tcBorders>
              <w:bottom w:val="single" w:color="231F20" w:sz="4" w:space="0"/>
            </w:tcBorders>
          </w:tcPr>
          <w:p>
            <w:pPr>
              <w:ind w:left="128"/>
              <w:spacing w:before="94" w:line="19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</w:rPr>
              <w:t>P</w:t>
            </w:r>
          </w:p>
        </w:tc>
        <w:tc>
          <w:tcPr>
            <w:tcW w:w="76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2" w:type="dxa"/>
            <w:vAlign w:val="top"/>
            <w:tcBorders>
              <w:bottom w:val="single" w:color="231F20" w:sz="4" w:space="0"/>
            </w:tcBorders>
          </w:tcPr>
          <w:p>
            <w:pPr>
              <w:ind w:left="312"/>
              <w:spacing w:before="64" w:line="205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</w:rPr>
              <w:t>0.724</w:t>
            </w:r>
          </w:p>
        </w:tc>
        <w:tc>
          <w:tcPr>
            <w:tcW w:w="1455" w:type="dxa"/>
            <w:vAlign w:val="top"/>
            <w:tcBorders>
              <w:bottom w:val="single" w:color="231F20" w:sz="4" w:space="0"/>
            </w:tcBorders>
          </w:tcPr>
          <w:p>
            <w:pPr>
              <w:ind w:left="375"/>
              <w:spacing w:before="64" w:line="22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5"/>
              </w:rPr>
              <w:t>&lt;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</w:rPr>
              <w:t>0.001</w:t>
            </w:r>
          </w:p>
        </w:tc>
        <w:tc>
          <w:tcPr>
            <w:tcW w:w="1522" w:type="dxa"/>
            <w:vAlign w:val="top"/>
            <w:tcBorders>
              <w:bottom w:val="single" w:color="231F20" w:sz="4" w:space="0"/>
            </w:tcBorders>
          </w:tcPr>
          <w:p>
            <w:pPr>
              <w:ind w:left="667"/>
              <w:spacing w:before="64" w:line="205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</w:rPr>
              <w:t>0.330</w:t>
            </w:r>
          </w:p>
        </w:tc>
        <w:tc>
          <w:tcPr>
            <w:tcW w:w="1477" w:type="dxa"/>
            <w:vAlign w:val="top"/>
            <w:tcBorders>
              <w:bottom w:val="single" w:color="231F20" w:sz="4" w:space="0"/>
            </w:tcBorders>
          </w:tcPr>
          <w:p>
            <w:pPr>
              <w:ind w:left="348"/>
              <w:spacing w:before="64" w:line="22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5"/>
              </w:rPr>
              <w:t>&lt;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6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</w:rPr>
              <w:t>0.001</w:t>
            </w:r>
          </w:p>
        </w:tc>
        <w:tc>
          <w:tcPr>
            <w:tcW w:w="2887" w:type="dxa"/>
            <w:vAlign w:val="top"/>
            <w:tcBorders>
              <w:bottom w:val="single" w:color="231F20" w:sz="4" w:space="0"/>
            </w:tcBorders>
          </w:tcPr>
          <w:p>
            <w:pPr>
              <w:ind w:left="608"/>
              <w:spacing w:before="64" w:line="22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9"/>
              </w:rPr>
              <w:t>0.373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</w:rPr>
              <w:t xml:space="preserve">                 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9"/>
              </w:rPr>
              <w:t>＜</w: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48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9"/>
              </w:rPr>
              <w:t>0.001</w:t>
            </w:r>
          </w:p>
        </w:tc>
      </w:tr>
    </w:tbl>
    <w:p>
      <w:pPr>
        <w:pStyle w:val="BodyText"/>
        <w:ind w:left="623"/>
        <w:spacing w:before="64" w:line="234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  <w:position w:val="1"/>
        </w:rPr>
        <w:t>注</w:t>
      </w:r>
      <w:r>
        <w:rPr>
          <w:rFonts w:ascii="SimSun" w:hAnsi="SimSun" w:eastAsia="SimSun" w:cs="SimSun"/>
          <w:color w:val="231F20"/>
          <w:spacing w:val="-39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-1"/>
          <w:position w:val="1"/>
        </w:rPr>
        <w:t>：与同组术前相比，</w:t>
      </w:r>
      <w:r>
        <w:rPr>
          <w:sz w:val="9"/>
          <w:szCs w:val="9"/>
          <w:color w:val="231F20"/>
          <w:spacing w:val="-1"/>
          <w:position w:val="8"/>
        </w:rPr>
        <w:t>*</w:t>
      </w:r>
      <w:r>
        <w:rPr>
          <w:i/>
          <w:iCs/>
          <w:color w:val="231F20"/>
          <w:spacing w:val="-1"/>
          <w:position w:val="1"/>
        </w:rPr>
        <w:t>P</w:t>
      </w:r>
      <w:r>
        <w:rPr>
          <w:i/>
          <w:iCs/>
          <w:color w:val="231F20"/>
          <w:spacing w:val="-18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-1"/>
          <w:position w:val="1"/>
        </w:rPr>
        <w:t>＜</w:t>
      </w:r>
      <w:r>
        <w:rPr>
          <w:rFonts w:ascii="SimSun" w:hAnsi="SimSun" w:eastAsia="SimSun" w:cs="SimSun"/>
          <w:color w:val="231F20"/>
          <w:spacing w:val="-50"/>
          <w:position w:val="1"/>
        </w:rPr>
        <w:t xml:space="preserve"> </w:t>
      </w:r>
      <w:r>
        <w:rPr>
          <w:color w:val="231F20"/>
          <w:spacing w:val="-1"/>
          <w:position w:val="1"/>
        </w:rPr>
        <w:t>0.05</w:t>
      </w:r>
      <w:r>
        <w:rPr>
          <w:rFonts w:ascii="SimSun" w:hAnsi="SimSun" w:eastAsia="SimSun" w:cs="SimSun"/>
          <w:color w:val="231F20"/>
          <w:spacing w:val="-1"/>
          <w:position w:val="1"/>
        </w:rPr>
        <w:t>。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4021"/>
        <w:spacing w:before="73" w:line="177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6"/>
        </w:rPr>
        <w:t>表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color w:val="231F20"/>
          <w:spacing w:val="6"/>
        </w:rPr>
        <w:t>两组切口美观满意度比较</w:t>
      </w:r>
      <w:r>
        <w:rPr>
          <w:color w:val="231F20"/>
          <w:spacing w:val="6"/>
        </w:rPr>
        <w:t>[</w:t>
      </w:r>
      <w:r>
        <w:rPr>
          <w:i/>
          <w:iCs/>
          <w:color w:val="231F20"/>
          <w:spacing w:val="6"/>
        </w:rPr>
        <w:t>n</w:t>
      </w:r>
      <w:r>
        <w:rPr>
          <w:color w:val="231F20"/>
          <w:spacing w:val="6"/>
        </w:rPr>
        <w:t>(%)]</w:t>
      </w:r>
    </w:p>
    <w:tbl>
      <w:tblPr>
        <w:tblStyle w:val="TableNormal"/>
        <w:tblW w:w="10122" w:type="dxa"/>
        <w:tblInd w:w="4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4"/>
        <w:gridCol w:w="1181"/>
        <w:gridCol w:w="1935"/>
        <w:gridCol w:w="2147"/>
        <w:gridCol w:w="2099"/>
        <w:gridCol w:w="1656"/>
      </w:tblGrid>
      <w:tr>
        <w:trPr>
          <w:trHeight w:val="304" w:hRule="atLeast"/>
        </w:trPr>
        <w:tc>
          <w:tcPr>
            <w:tcW w:w="110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16"/>
              <w:spacing w:before="77" w:line="219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组别</w:t>
            </w:r>
          </w:p>
        </w:tc>
        <w:tc>
          <w:tcPr>
            <w:tcW w:w="118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09"/>
              <w:spacing w:before="153" w:line="1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193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46"/>
              <w:spacing w:before="78" w:line="21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8"/>
              </w:rPr>
              <w:t>非常满意</w:t>
            </w:r>
          </w:p>
        </w:tc>
        <w:tc>
          <w:tcPr>
            <w:tcW w:w="214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44"/>
              <w:spacing w:before="78" w:line="21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满意</w:t>
            </w:r>
          </w:p>
        </w:tc>
        <w:tc>
          <w:tcPr>
            <w:tcW w:w="209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14"/>
              <w:spacing w:before="78" w:line="21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7"/>
              </w:rPr>
              <w:t>不满意</w:t>
            </w:r>
          </w:p>
        </w:tc>
        <w:tc>
          <w:tcPr>
            <w:tcW w:w="165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02"/>
              <w:spacing w:before="78" w:line="21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5"/>
              </w:rPr>
              <w:t>总满意</w:t>
            </w:r>
          </w:p>
        </w:tc>
      </w:tr>
      <w:tr>
        <w:trPr>
          <w:trHeight w:val="292" w:hRule="atLeast"/>
        </w:trPr>
        <w:tc>
          <w:tcPr>
            <w:tcW w:w="1104" w:type="dxa"/>
            <w:vAlign w:val="top"/>
            <w:tcBorders>
              <w:top w:val="single" w:color="231F20" w:sz="2" w:space="0"/>
            </w:tcBorders>
          </w:tcPr>
          <w:p>
            <w:pPr>
              <w:ind w:left="115"/>
              <w:spacing w:before="65" w:line="21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7"/>
              </w:rPr>
              <w:t>对照组</w:t>
            </w:r>
          </w:p>
        </w:tc>
        <w:tc>
          <w:tcPr>
            <w:tcW w:w="1181" w:type="dxa"/>
            <w:vAlign w:val="top"/>
            <w:tcBorders>
              <w:top w:val="single" w:color="231F20" w:sz="2" w:space="0"/>
            </w:tcBorders>
          </w:tcPr>
          <w:p>
            <w:pPr>
              <w:ind w:left="463"/>
              <w:spacing w:before="60" w:line="221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  <w:position w:val="1"/>
              </w:rPr>
              <w:t>46</w:t>
            </w:r>
          </w:p>
        </w:tc>
        <w:tc>
          <w:tcPr>
            <w:tcW w:w="1935" w:type="dxa"/>
            <w:vAlign w:val="top"/>
            <w:tcBorders>
              <w:top w:val="single" w:color="231F20" w:sz="2" w:space="0"/>
            </w:tcBorders>
          </w:tcPr>
          <w:p>
            <w:pPr>
              <w:ind w:left="654"/>
              <w:spacing w:before="60" w:line="23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</w:rPr>
              <w:t>9(19.57)</w:t>
            </w:r>
          </w:p>
        </w:tc>
        <w:tc>
          <w:tcPr>
            <w:tcW w:w="2147" w:type="dxa"/>
            <w:vAlign w:val="top"/>
            <w:tcBorders>
              <w:top w:val="single" w:color="231F20" w:sz="2" w:space="0"/>
            </w:tcBorders>
          </w:tcPr>
          <w:p>
            <w:pPr>
              <w:ind w:left="683"/>
              <w:spacing w:before="60" w:line="23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</w:rPr>
              <w:t>29(63.04)</w:t>
            </w:r>
          </w:p>
        </w:tc>
        <w:tc>
          <w:tcPr>
            <w:tcW w:w="2099" w:type="dxa"/>
            <w:vAlign w:val="top"/>
            <w:tcBorders>
              <w:top w:val="single" w:color="231F20" w:sz="2" w:space="0"/>
            </w:tcBorders>
          </w:tcPr>
          <w:p>
            <w:pPr>
              <w:ind w:left="792"/>
              <w:spacing w:before="60" w:line="23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6"/>
              </w:rPr>
              <w:t>8(17.39)</w:t>
            </w:r>
          </w:p>
        </w:tc>
        <w:tc>
          <w:tcPr>
            <w:tcW w:w="1656" w:type="dxa"/>
            <w:vAlign w:val="top"/>
            <w:tcBorders>
              <w:top w:val="single" w:color="231F20" w:sz="2" w:space="0"/>
            </w:tcBorders>
          </w:tcPr>
          <w:p>
            <w:pPr>
              <w:ind w:left="727"/>
              <w:spacing w:before="60" w:line="23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6"/>
              </w:rPr>
              <w:t>38(82.61)</w:t>
            </w:r>
          </w:p>
        </w:tc>
      </w:tr>
      <w:tr>
        <w:trPr>
          <w:trHeight w:val="296" w:hRule="atLeast"/>
        </w:trPr>
        <w:tc>
          <w:tcPr>
            <w:tcW w:w="1104" w:type="dxa"/>
            <w:vAlign w:val="top"/>
          </w:tcPr>
          <w:p>
            <w:pPr>
              <w:ind w:left="120"/>
              <w:spacing w:before="61" w:line="218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观察组</w:t>
            </w:r>
          </w:p>
        </w:tc>
        <w:tc>
          <w:tcPr>
            <w:tcW w:w="1181" w:type="dxa"/>
            <w:vAlign w:val="top"/>
          </w:tcPr>
          <w:p>
            <w:pPr>
              <w:ind w:left="466"/>
              <w:spacing w:before="60"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6"/>
                <w:position w:val="1"/>
              </w:rPr>
              <w:t>54</w:t>
            </w:r>
          </w:p>
        </w:tc>
        <w:tc>
          <w:tcPr>
            <w:tcW w:w="1935" w:type="dxa"/>
            <w:vAlign w:val="top"/>
          </w:tcPr>
          <w:p>
            <w:pPr>
              <w:ind w:left="579"/>
              <w:spacing w:before="61" w:line="23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7"/>
              </w:rPr>
              <w:t>15(27.78)</w:t>
            </w:r>
          </w:p>
        </w:tc>
        <w:tc>
          <w:tcPr>
            <w:tcW w:w="2147" w:type="dxa"/>
            <w:vAlign w:val="top"/>
          </w:tcPr>
          <w:p>
            <w:pPr>
              <w:ind w:left="685"/>
              <w:spacing w:before="61" w:line="23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6"/>
              </w:rPr>
              <w:t>37(68.52)</w:t>
            </w:r>
          </w:p>
        </w:tc>
        <w:tc>
          <w:tcPr>
            <w:tcW w:w="2099" w:type="dxa"/>
            <w:vAlign w:val="top"/>
          </w:tcPr>
          <w:p>
            <w:pPr>
              <w:ind w:left="788"/>
              <w:spacing w:before="61" w:line="23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</w:rPr>
              <w:t>2(3.70)</w:t>
            </w:r>
          </w:p>
        </w:tc>
        <w:tc>
          <w:tcPr>
            <w:tcW w:w="1656" w:type="dxa"/>
            <w:vAlign w:val="top"/>
          </w:tcPr>
          <w:p>
            <w:pPr>
              <w:ind w:left="725"/>
              <w:spacing w:before="61" w:line="232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</w:rPr>
              <w:t>52(96.30)</w:t>
            </w:r>
          </w:p>
        </w:tc>
      </w:tr>
      <w:tr>
        <w:trPr>
          <w:trHeight w:val="301" w:hRule="atLeast"/>
        </w:trPr>
        <w:tc>
          <w:tcPr>
            <w:tcW w:w="1104" w:type="dxa"/>
            <w:vAlign w:val="top"/>
          </w:tcPr>
          <w:p>
            <w:pPr>
              <w:ind w:left="120"/>
              <w:spacing w:before="56" w:line="219" w:lineRule="auto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231F20"/>
                <w:spacing w:val="-1"/>
                <w:position w:val="-3"/>
              </w:rPr>
              <w:t>χ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1"/>
                <w:position w:val="4"/>
              </w:rPr>
              <w:t>2</w:t>
            </w:r>
          </w:p>
        </w:tc>
        <w:tc>
          <w:tcPr>
            <w:tcW w:w="11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6" w:type="dxa"/>
            <w:vAlign w:val="top"/>
          </w:tcPr>
          <w:p>
            <w:pPr>
              <w:ind w:left="865"/>
              <w:spacing w:before="57" w:line="22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  <w:position w:val="1"/>
              </w:rPr>
              <w:t>5.171</w:t>
            </w:r>
          </w:p>
        </w:tc>
      </w:tr>
      <w:tr>
        <w:trPr>
          <w:trHeight w:val="262" w:hRule="atLeast"/>
        </w:trPr>
        <w:tc>
          <w:tcPr>
            <w:tcW w:w="1104" w:type="dxa"/>
            <w:vAlign w:val="top"/>
            <w:tcBorders>
              <w:bottom w:val="single" w:color="231F20" w:sz="4" w:space="0"/>
            </w:tcBorders>
          </w:tcPr>
          <w:p>
            <w:pPr>
              <w:ind w:left="112"/>
              <w:spacing w:before="77" w:line="19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</w:rPr>
              <w:t>P</w:t>
            </w:r>
          </w:p>
        </w:tc>
        <w:tc>
          <w:tcPr>
            <w:tcW w:w="1181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3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4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6" w:type="dxa"/>
            <w:vAlign w:val="top"/>
            <w:tcBorders>
              <w:bottom w:val="single" w:color="231F20" w:sz="4" w:space="0"/>
            </w:tcBorders>
          </w:tcPr>
          <w:p>
            <w:pPr>
              <w:ind w:left="863"/>
              <w:spacing w:before="48" w:line="20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231F20"/>
                <w:spacing w:val="-5"/>
              </w:rPr>
              <w:t>0.023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1"/>
          <w:footerReference w:type="default" r:id="rId3"/>
          <w:pgSz w:w="11906" w:h="16158"/>
          <w:pgMar w:top="1031" w:right="866" w:bottom="977" w:left="424" w:header="730" w:footer="690" w:gutter="0"/>
          <w:cols w:equalWidth="0" w:num="1">
            <w:col w:w="10616" w:space="0"/>
          </w:cols>
        </w:sectPr>
        <w:rPr/>
      </w:pPr>
    </w:p>
    <w:p>
      <w:pPr>
        <w:pStyle w:val="BodyText"/>
        <w:ind w:left="491" w:right="374" w:firstLine="17"/>
        <w:spacing w:before="58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的创伤、减少术中出血量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，有利于促进患者术后胃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-1"/>
        </w:rPr>
        <w:t>肠功能恢复</w:t>
      </w:r>
      <w:r>
        <w:rPr>
          <w:sz w:val="10"/>
          <w:szCs w:val="10"/>
          <w:color w:val="231F20"/>
          <w:spacing w:val="4"/>
          <w:position w:val="7"/>
        </w:rPr>
        <w:t>[7]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-1"/>
        </w:rPr>
        <w:t>。</w:t>
      </w:r>
    </w:p>
    <w:p>
      <w:pPr>
        <w:ind w:left="492" w:right="374" w:firstLine="419"/>
        <w:spacing w:before="2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本研究结果显示，观察组住院费用高于对照组，单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孔腹腔镜阑尾切除术使用的建立气腹装置特殊</w:t>
      </w:r>
      <w:r>
        <w:rPr>
          <w:rFonts w:ascii="SimSun" w:hAnsi="SimSun" w:eastAsia="SimSun" w:cs="SimSun"/>
          <w:sz w:val="20"/>
          <w:szCs w:val="20"/>
          <w:color w:val="231F20"/>
        </w:rPr>
        <w:t>，会增加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器械费用，因此手术费用高于多孔腹腔镜阑尾切除术。</w:t>
      </w:r>
    </w:p>
    <w:p>
      <w:pPr>
        <w:pStyle w:val="BodyText"/>
        <w:ind w:left="491" w:right="292" w:firstLine="419"/>
        <w:spacing w:before="12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本研究结果显示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，术后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sz w:val="20"/>
          <w:szCs w:val="20"/>
          <w:color w:val="231F20"/>
          <w:spacing w:val="2"/>
        </w:rPr>
        <w:t>3 d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，观察组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、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2"/>
        </w:rPr>
        <w:t>-8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ICAM</w:t>
      </w:r>
      <w:r>
        <w:rPr>
          <w:sz w:val="20"/>
          <w:szCs w:val="20"/>
          <w:color w:val="231F20"/>
          <w:spacing w:val="10"/>
        </w:rPr>
        <w:t>-1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水平低于对照组。分析原因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：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是由肝脏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合成的蛋白质，在机体受到刺激时会急剧增加，能够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反映机体炎性水平以及感染程度，急性阑尾炎患者血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清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浓度与感染程度密切相关。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16"/>
        </w:rPr>
        <w:t>-8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是一种白细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胞趋化因子，在炎性反应发生过程中发挥传递信息的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作用，可以促使多种促炎因子活化、增殖与分化，加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重炎性反应。</w:t>
      </w:r>
      <w:r>
        <w:rPr>
          <w:sz w:val="20"/>
          <w:szCs w:val="20"/>
          <w:color w:val="231F20"/>
        </w:rPr>
        <w:t>ICAM</w:t>
      </w:r>
      <w:r>
        <w:rPr>
          <w:sz w:val="20"/>
          <w:szCs w:val="20"/>
          <w:color w:val="231F20"/>
          <w:spacing w:val="12"/>
        </w:rPr>
        <w:t>-1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可促进细胞间黏附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，促进多种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炎性介质浸润而加重机体炎性反应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，可用于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确认急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性阑尾炎患者术后炎症严重程度。单孔腹腔镜阑尾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切除术的手术创伤小，因此炎性损伤轻，利于患者术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  <w:position w:val="-2"/>
        </w:rPr>
        <w:t>后恢复</w:t>
      </w:r>
      <w:r>
        <w:rPr>
          <w:sz w:val="10"/>
          <w:szCs w:val="10"/>
          <w:color w:val="231F20"/>
          <w:spacing w:val="3"/>
          <w:position w:val="6"/>
        </w:rPr>
        <w:t>[8]</w:t>
      </w:r>
      <w:r>
        <w:rPr>
          <w:rFonts w:ascii="SimSun" w:hAnsi="SimSun" w:eastAsia="SimSun" w:cs="SimSun"/>
          <w:sz w:val="20"/>
          <w:szCs w:val="20"/>
          <w:color w:val="231F20"/>
          <w:spacing w:val="3"/>
          <w:position w:val="-2"/>
        </w:rPr>
        <w:t>。</w:t>
      </w:r>
    </w:p>
    <w:p>
      <w:pPr>
        <w:pStyle w:val="BodyText"/>
        <w:ind w:left="491" w:right="374" w:firstLine="419"/>
        <w:spacing w:before="9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本研究结果显示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，术后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sz w:val="20"/>
          <w:szCs w:val="20"/>
          <w:color w:val="231F20"/>
          <w:spacing w:val="6"/>
        </w:rPr>
        <w:t>3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个月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，观察组切口美观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总满意度高于对照组。分析原因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：单孔腹腔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镜阑尾切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除术采用单个操作孔，相较于常规</w:t>
      </w:r>
      <w:r>
        <w:rPr>
          <w:sz w:val="20"/>
          <w:szCs w:val="20"/>
          <w:color w:val="231F20"/>
          <w:spacing w:val="4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孔腹腔镜阑尾切除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术更加微创，可明显缩短手术切口长度，满足患者对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腹部美观的要求，美容效果好，患者更容易接受</w:t>
      </w:r>
      <w:r>
        <w:rPr>
          <w:sz w:val="10"/>
          <w:szCs w:val="10"/>
          <w:color w:val="231F20"/>
          <w:spacing w:val="1"/>
          <w:position w:val="8"/>
        </w:rPr>
        <w:t>[9-10]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</w:t>
      </w:r>
    </w:p>
    <w:p>
      <w:pPr>
        <w:ind w:left="491" w:right="374" w:firstLine="419"/>
        <w:spacing w:before="18" w:line="26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综上所述，单孔腹腔镜阑尾切除术治疗急性阑尾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炎的临床效果较好，可减少术中出血量，减轻炎性反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应，提高切口美观满意度，利于患者康复。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207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参考文献</w:t>
      </w:r>
    </w:p>
    <w:p>
      <w:pPr>
        <w:pStyle w:val="BodyText"/>
        <w:ind w:left="376" w:right="5" w:hanging="376"/>
        <w:spacing w:before="40" w:line="295" w:lineRule="auto"/>
        <w:rPr/>
      </w:pPr>
      <w:r>
        <w:rPr>
          <w:color w:val="231F20"/>
          <w:spacing w:val="8"/>
        </w:rPr>
        <w:t>[1]   </w:t>
      </w:r>
      <w:r>
        <w:rPr>
          <w:rFonts w:ascii="SimSun" w:hAnsi="SimSun" w:eastAsia="SimSun" w:cs="SimSun"/>
          <w:color w:val="231F20"/>
          <w:spacing w:val="8"/>
        </w:rPr>
        <w:t>冯健</w:t>
      </w:r>
      <w:r>
        <w:rPr>
          <w:color w:val="231F20"/>
          <w:spacing w:val="8"/>
        </w:rPr>
        <w:t>,</w:t>
      </w:r>
      <w:r>
        <w:rPr>
          <w:rFonts w:ascii="SimSun" w:hAnsi="SimSun" w:eastAsia="SimSun" w:cs="SimSun"/>
          <w:color w:val="231F20"/>
          <w:spacing w:val="8"/>
        </w:rPr>
        <w:t>崔乃强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老年急性阑尾</w:t>
      </w:r>
      <w:r>
        <w:rPr>
          <w:rFonts w:ascii="SimSun" w:hAnsi="SimSun" w:eastAsia="SimSun" w:cs="SimSun"/>
          <w:color w:val="231F20"/>
          <w:spacing w:val="7"/>
        </w:rPr>
        <w:t>炎患者单孔腹腔镜和腹腔镜与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开腹阑尾切除术的对比研究</w:t>
      </w:r>
      <w:r>
        <w:rPr>
          <w:color w:val="231F20"/>
          <w:spacing w:val="9"/>
        </w:rPr>
        <w:t>[J]. </w:t>
      </w:r>
      <w:r>
        <w:rPr>
          <w:rFonts w:ascii="SimSun" w:hAnsi="SimSun" w:eastAsia="SimSun" w:cs="SimSun"/>
          <w:color w:val="231F20"/>
          <w:spacing w:val="9"/>
        </w:rPr>
        <w:t>中华老年医学杂志</w:t>
      </w:r>
      <w:r>
        <w:rPr>
          <w:color w:val="231F20"/>
          <w:spacing w:val="9"/>
        </w:rPr>
        <w:t>,2019,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38(11):1266-1269.</w:t>
      </w:r>
    </w:p>
    <w:p>
      <w:pPr>
        <w:pStyle w:val="BodyText"/>
        <w:ind w:left="371" w:right="8" w:hanging="371"/>
        <w:spacing w:before="108" w:line="288" w:lineRule="auto"/>
        <w:rPr/>
      </w:pPr>
      <w:r>
        <w:rPr>
          <w:color w:val="231F20"/>
          <w:spacing w:val="11"/>
        </w:rPr>
        <w:t>[2]   </w:t>
      </w:r>
      <w:r>
        <w:rPr>
          <w:rFonts w:ascii="SimSun" w:hAnsi="SimSun" w:eastAsia="SimSun" w:cs="SimSun"/>
          <w:color w:val="231F20"/>
          <w:spacing w:val="11"/>
        </w:rPr>
        <w:t>刘洋</w:t>
      </w:r>
      <w:r>
        <w:rPr>
          <w:color w:val="231F20"/>
          <w:spacing w:val="11"/>
        </w:rPr>
        <w:t>,</w:t>
      </w:r>
      <w:r>
        <w:rPr>
          <w:rFonts w:ascii="SimSun" w:hAnsi="SimSun" w:eastAsia="SimSun" w:cs="SimSun"/>
          <w:color w:val="231F20"/>
          <w:spacing w:val="11"/>
        </w:rPr>
        <w:t>王星</w:t>
      </w:r>
      <w:r>
        <w:rPr>
          <w:color w:val="231F20"/>
          <w:spacing w:val="11"/>
        </w:rPr>
        <w:t>,</w:t>
      </w:r>
      <w:r>
        <w:rPr>
          <w:rFonts w:ascii="SimSun" w:hAnsi="SimSun" w:eastAsia="SimSun" w:cs="SimSun"/>
          <w:color w:val="231F20"/>
          <w:spacing w:val="11"/>
        </w:rPr>
        <w:t>高明太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11"/>
        </w:rPr>
        <w:t>.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经脐单孔腹腔镜与传统腹腔镜手术治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疗小儿急性阑尾炎疗效的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分析</w:t>
      </w:r>
      <w:r>
        <w:rPr>
          <w:color w:val="231F20"/>
          <w:spacing w:val="8"/>
        </w:rPr>
        <w:t>[J].</w:t>
      </w:r>
      <w:r>
        <w:rPr>
          <w:rFonts w:ascii="SimSun" w:hAnsi="SimSun" w:eastAsia="SimSun" w:cs="SimSun"/>
          <w:color w:val="231F20"/>
          <w:spacing w:val="8"/>
        </w:rPr>
        <w:t>中华内分泌外科杂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志</w:t>
      </w:r>
      <w:r>
        <w:rPr>
          <w:color w:val="231F20"/>
          <w:spacing w:val="-2"/>
        </w:rPr>
        <w:t>,2023,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17(1):110-116.</w:t>
      </w:r>
    </w:p>
    <w:p>
      <w:pPr>
        <w:pStyle w:val="BodyText"/>
        <w:ind w:left="372" w:right="8" w:hanging="372"/>
        <w:spacing w:before="94" w:line="288" w:lineRule="auto"/>
        <w:rPr/>
      </w:pPr>
      <w:r>
        <w:rPr>
          <w:color w:val="231F20"/>
          <w:spacing w:val="7"/>
        </w:rPr>
        <w:t>[3]    </w:t>
      </w:r>
      <w:r>
        <w:rPr>
          <w:rFonts w:ascii="SimSun" w:hAnsi="SimSun" w:eastAsia="SimSun" w:cs="SimSun"/>
          <w:color w:val="231F20"/>
          <w:spacing w:val="7"/>
        </w:rPr>
        <w:t>陶波圆</w:t>
      </w:r>
      <w:r>
        <w:rPr>
          <w:color w:val="231F20"/>
          <w:spacing w:val="7"/>
        </w:rPr>
        <w:t>,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曾纪晓</w:t>
      </w:r>
      <w:r>
        <w:rPr>
          <w:color w:val="231F20"/>
          <w:spacing w:val="7"/>
        </w:rPr>
        <w:t>,</w:t>
      </w:r>
      <w:r>
        <w:rPr>
          <w:rFonts w:ascii="SimSun" w:hAnsi="SimSun" w:eastAsia="SimSun" w:cs="SimSun"/>
          <w:color w:val="231F20"/>
          <w:spacing w:val="7"/>
        </w:rPr>
        <w:t>刘斐</w:t>
      </w:r>
      <w:r>
        <w:rPr>
          <w:color w:val="231F20"/>
          <w:spacing w:val="7"/>
        </w:rPr>
        <w:t>,</w:t>
      </w:r>
      <w:r>
        <w:rPr>
          <w:rFonts w:ascii="SimSun" w:hAnsi="SimSun" w:eastAsia="SimSun" w:cs="SimSun"/>
          <w:color w:val="231F20"/>
          <w:spacing w:val="7"/>
        </w:rPr>
        <w:t>等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基于常规器械行经脐单孔腹腔镜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辅助腹内法与腹外法阑尾切除术的临床比较</w:t>
      </w:r>
      <w:r>
        <w:rPr>
          <w:color w:val="231F20"/>
          <w:spacing w:val="11"/>
        </w:rPr>
        <w:t>[J].</w:t>
      </w:r>
      <w:r>
        <w:rPr>
          <w:rFonts w:ascii="SimSun" w:hAnsi="SimSun" w:eastAsia="SimSun" w:cs="SimSun"/>
          <w:color w:val="231F20"/>
          <w:spacing w:val="11"/>
        </w:rPr>
        <w:t>临床小儿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外科杂志</w:t>
      </w:r>
      <w:r>
        <w:rPr>
          <w:color w:val="231F20"/>
          <w:spacing w:val="1"/>
        </w:rPr>
        <w:t>,2023,22(1):12-1</w:t>
      </w:r>
      <w:r>
        <w:rPr>
          <w:color w:val="231F20"/>
        </w:rPr>
        <w:t>7.</w:t>
      </w:r>
    </w:p>
    <w:p>
      <w:pPr>
        <w:pStyle w:val="BodyText"/>
        <w:spacing w:before="93" w:line="223" w:lineRule="auto"/>
        <w:jc w:val="right"/>
        <w:rPr/>
      </w:pPr>
      <w:r>
        <w:rPr>
          <w:color w:val="231F20"/>
          <w:spacing w:val="2"/>
        </w:rPr>
        <w:t>[4]   </w:t>
      </w:r>
      <w:r>
        <w:rPr>
          <w:rFonts w:ascii="SimSun" w:hAnsi="SimSun" w:eastAsia="SimSun" w:cs="SimSun"/>
          <w:color w:val="231F20"/>
          <w:spacing w:val="2"/>
        </w:rPr>
        <w:t>尹克宁</w:t>
      </w:r>
      <w:r>
        <w:rPr>
          <w:color w:val="231F20"/>
          <w:spacing w:val="2"/>
        </w:rPr>
        <w:t>,</w:t>
      </w:r>
      <w:r>
        <w:rPr>
          <w:rFonts w:ascii="SimSun" w:hAnsi="SimSun" w:eastAsia="SimSun" w:cs="SimSun"/>
          <w:color w:val="231F20"/>
          <w:spacing w:val="2"/>
        </w:rPr>
        <w:t>卓凡</w:t>
      </w:r>
      <w:r>
        <w:rPr>
          <w:color w:val="231F20"/>
          <w:spacing w:val="2"/>
        </w:rPr>
        <w:t>.</w:t>
      </w:r>
      <w:r>
        <w:rPr>
          <w:rFonts w:ascii="SimSun" w:hAnsi="SimSun" w:eastAsia="SimSun" w:cs="SimSun"/>
          <w:color w:val="231F20"/>
          <w:spacing w:val="2"/>
        </w:rPr>
        <w:t>单孔腹腔镜手术治疗急性阑尾炎的临床疗效</w:t>
      </w:r>
      <w:r>
        <w:rPr>
          <w:color w:val="231F20"/>
          <w:spacing w:val="2"/>
        </w:rPr>
        <w:t>[J].</w:t>
      </w:r>
    </w:p>
    <w:p>
      <w:pPr>
        <w:pStyle w:val="BodyText"/>
        <w:ind w:left="372"/>
        <w:spacing w:before="92" w:line="220" w:lineRule="auto"/>
        <w:rPr/>
      </w:pPr>
      <w:r>
        <w:rPr>
          <w:rFonts w:ascii="SimSun" w:hAnsi="SimSun" w:eastAsia="SimSun" w:cs="SimSun"/>
          <w:color w:val="231F20"/>
          <w:spacing w:val="1"/>
        </w:rPr>
        <w:t>腹腔镜外科杂志</w:t>
      </w:r>
      <w:r>
        <w:rPr>
          <w:color w:val="231F20"/>
          <w:spacing w:val="1"/>
        </w:rPr>
        <w:t>,2018,23(2):109-112.</w:t>
      </w:r>
    </w:p>
    <w:p>
      <w:pPr>
        <w:pStyle w:val="BodyText"/>
        <w:spacing w:before="94" w:line="222" w:lineRule="auto"/>
        <w:jc w:val="right"/>
        <w:rPr/>
      </w:pPr>
      <w:r>
        <w:rPr>
          <w:color w:val="231F20"/>
          <w:spacing w:val="10"/>
        </w:rPr>
        <w:t>[5]   </w:t>
      </w:r>
      <w:r>
        <w:rPr>
          <w:rFonts w:ascii="SimSun" w:hAnsi="SimSun" w:eastAsia="SimSun" w:cs="SimSun"/>
          <w:color w:val="231F20"/>
          <w:spacing w:val="10"/>
        </w:rPr>
        <w:t>李莉</w:t>
      </w:r>
      <w:r>
        <w:rPr>
          <w:color w:val="231F20"/>
          <w:spacing w:val="10"/>
        </w:rPr>
        <w:t>,</w:t>
      </w:r>
      <w:r>
        <w:rPr>
          <w:rFonts w:ascii="SimSun" w:hAnsi="SimSun" w:eastAsia="SimSun" w:cs="SimSun"/>
          <w:color w:val="231F20"/>
          <w:spacing w:val="10"/>
        </w:rPr>
        <w:t>李福琴</w:t>
      </w:r>
      <w:r>
        <w:rPr>
          <w:color w:val="231F20"/>
          <w:spacing w:val="10"/>
        </w:rPr>
        <w:t>,</w:t>
      </w:r>
      <w:r>
        <w:rPr>
          <w:rFonts w:ascii="SimSun" w:hAnsi="SimSun" w:eastAsia="SimSun" w:cs="SimSun"/>
          <w:color w:val="231F20"/>
          <w:spacing w:val="10"/>
        </w:rPr>
        <w:t>刘毅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10"/>
        </w:rPr>
        <w:t>. </w:t>
      </w:r>
      <w:r>
        <w:rPr>
          <w:rFonts w:ascii="SimSun" w:hAnsi="SimSun" w:eastAsia="SimSun" w:cs="SimSun"/>
          <w:color w:val="231F20"/>
          <w:spacing w:val="10"/>
        </w:rPr>
        <w:t>临床常见病症急救诊疗指南</w:t>
      </w:r>
      <w:r>
        <w:rPr>
          <w:color w:val="231F20"/>
          <w:spacing w:val="10"/>
        </w:rPr>
        <w:t>[M</w:t>
      </w:r>
      <w:r>
        <w:rPr>
          <w:color w:val="231F20"/>
          <w:spacing w:val="9"/>
        </w:rPr>
        <w:t>].</w:t>
      </w:r>
      <w:r>
        <w:rPr>
          <w:rFonts w:ascii="SimSun" w:hAnsi="SimSun" w:eastAsia="SimSun" w:cs="SimSun"/>
          <w:color w:val="231F20"/>
          <w:spacing w:val="9"/>
        </w:rPr>
        <w:t>郑州</w:t>
      </w:r>
      <w:r>
        <w:rPr>
          <w:color w:val="231F20"/>
          <w:spacing w:val="9"/>
        </w:rPr>
        <w:t>:</w:t>
      </w:r>
    </w:p>
    <w:p>
      <w:pPr>
        <w:pStyle w:val="BodyText"/>
        <w:ind w:left="373"/>
        <w:spacing w:before="92" w:line="233" w:lineRule="auto"/>
        <w:rPr/>
      </w:pPr>
      <w:r>
        <w:rPr>
          <w:rFonts w:ascii="SimSun" w:hAnsi="SimSun" w:eastAsia="SimSun" w:cs="SimSun"/>
          <w:color w:val="231F20"/>
          <w:spacing w:val="4"/>
        </w:rPr>
        <w:t>河南大学出版社</w:t>
      </w:r>
      <w:r>
        <w:rPr>
          <w:color w:val="231F20"/>
          <w:spacing w:val="4"/>
        </w:rPr>
        <w:t>,2010:56-68.</w:t>
      </w:r>
    </w:p>
    <w:p>
      <w:pPr>
        <w:pStyle w:val="BodyText"/>
        <w:ind w:left="383" w:right="8" w:hanging="383"/>
        <w:spacing w:before="82" w:line="271" w:lineRule="auto"/>
        <w:rPr/>
      </w:pPr>
      <w:r>
        <w:rPr>
          <w:color w:val="231F20"/>
          <w:spacing w:val="8"/>
        </w:rPr>
        <w:t>[6]   </w:t>
      </w:r>
      <w:r>
        <w:rPr>
          <w:rFonts w:ascii="SimSun" w:hAnsi="SimSun" w:eastAsia="SimSun" w:cs="SimSun"/>
          <w:color w:val="231F20"/>
          <w:spacing w:val="8"/>
        </w:rPr>
        <w:t>宋恩东</w:t>
      </w:r>
      <w:r>
        <w:rPr>
          <w:color w:val="231F20"/>
          <w:spacing w:val="8"/>
        </w:rPr>
        <w:t>,</w:t>
      </w:r>
      <w:r>
        <w:rPr>
          <w:rFonts w:ascii="SimSun" w:hAnsi="SimSun" w:eastAsia="SimSun" w:cs="SimSun"/>
          <w:color w:val="231F20"/>
          <w:spacing w:val="8"/>
        </w:rPr>
        <w:t>方寅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单孔腹腔镜与三孔腹腔</w:t>
      </w:r>
      <w:r>
        <w:rPr>
          <w:rFonts w:ascii="SimSun" w:hAnsi="SimSun" w:eastAsia="SimSun" w:cs="SimSun"/>
          <w:color w:val="231F20"/>
          <w:spacing w:val="7"/>
        </w:rPr>
        <w:t>镜阑尾切除术疗效的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临床分析</w:t>
      </w:r>
      <w:r>
        <w:rPr>
          <w:color w:val="231F20"/>
          <w:spacing w:val="1"/>
        </w:rPr>
        <w:t>[J].</w:t>
      </w:r>
      <w:r>
        <w:rPr>
          <w:rFonts w:ascii="SimSun" w:hAnsi="SimSun" w:eastAsia="SimSun" w:cs="SimSun"/>
          <w:color w:val="231F20"/>
          <w:spacing w:val="1"/>
        </w:rPr>
        <w:t>安徽医药</w:t>
      </w:r>
      <w:r>
        <w:rPr>
          <w:color w:val="231F20"/>
          <w:spacing w:val="1"/>
        </w:rPr>
        <w:t>,2021,25(4):730-732.</w:t>
      </w:r>
    </w:p>
    <w:p>
      <w:pPr>
        <w:pStyle w:val="BodyText"/>
        <w:ind w:left="372" w:right="8" w:hanging="372"/>
        <w:spacing w:before="94" w:line="271" w:lineRule="auto"/>
        <w:rPr/>
      </w:pPr>
      <w:r>
        <w:rPr>
          <w:color w:val="231F20"/>
          <w:spacing w:val="9"/>
        </w:rPr>
        <w:t>[7]</w:t>
      </w:r>
      <w:r>
        <w:rPr>
          <w:color w:val="231F20"/>
        </w:rPr>
        <w:t xml:space="preserve">    </w:t>
      </w:r>
      <w:r>
        <w:rPr>
          <w:rFonts w:ascii="SimSun" w:hAnsi="SimSun" w:eastAsia="SimSun" w:cs="SimSun"/>
          <w:color w:val="231F20"/>
          <w:spacing w:val="9"/>
        </w:rPr>
        <w:t>黄初东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王磊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杨荣华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等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9"/>
        </w:rPr>
        <w:t>.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单孔与传统多孔腹腔镜</w:t>
      </w:r>
      <w:r>
        <w:rPr>
          <w:rFonts w:ascii="SimSun" w:hAnsi="SimSun" w:eastAsia="SimSun" w:cs="SimSun"/>
          <w:color w:val="231F20"/>
          <w:spacing w:val="8"/>
        </w:rPr>
        <w:t>阑尾切除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术的临床应用比较</w:t>
      </w:r>
      <w:r>
        <w:rPr>
          <w:color w:val="231F20"/>
          <w:spacing w:val="2"/>
        </w:rPr>
        <w:t>[J]. </w:t>
      </w:r>
      <w:r>
        <w:rPr>
          <w:rFonts w:ascii="SimSun" w:hAnsi="SimSun" w:eastAsia="SimSun" w:cs="SimSun"/>
          <w:color w:val="231F20"/>
          <w:spacing w:val="2"/>
        </w:rPr>
        <w:t>中国内镜杂志</w:t>
      </w:r>
      <w:r>
        <w:rPr>
          <w:color w:val="231F20"/>
          <w:spacing w:val="2"/>
        </w:rPr>
        <w:t>,2018,24(12):12-16.</w:t>
      </w:r>
    </w:p>
    <w:p>
      <w:pPr>
        <w:pStyle w:val="BodyText"/>
        <w:ind w:left="372" w:right="8" w:hanging="372"/>
        <w:spacing w:before="94" w:line="288" w:lineRule="auto"/>
        <w:rPr/>
      </w:pPr>
      <w:r>
        <w:rPr>
          <w:color w:val="231F20"/>
          <w:spacing w:val="9"/>
        </w:rPr>
        <w:t>[8]    </w:t>
      </w:r>
      <w:r>
        <w:rPr>
          <w:rFonts w:ascii="SimSun" w:hAnsi="SimSun" w:eastAsia="SimSun" w:cs="SimSun"/>
          <w:color w:val="231F20"/>
          <w:spacing w:val="9"/>
        </w:rPr>
        <w:t>陶新光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谢应海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张仁泉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9"/>
        </w:rPr>
        <w:t>.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改良双孔腹腔镜阑尾切除术对急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性阑尾炎患者血清疼痛应激指标及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</w:rPr>
        <w:t>ICAM</w:t>
      </w:r>
      <w:r>
        <w:rPr>
          <w:color w:val="231F20"/>
          <w:spacing w:val="14"/>
        </w:rPr>
        <w:t>-1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、</w:t>
      </w:r>
      <w:r>
        <w:rPr>
          <w:color w:val="231F20"/>
        </w:rPr>
        <w:t>MMP</w:t>
      </w:r>
      <w:r>
        <w:rPr>
          <w:color w:val="231F20"/>
          <w:spacing w:val="14"/>
        </w:rPr>
        <w:t>-9 </w:t>
      </w:r>
      <w:r>
        <w:rPr>
          <w:rFonts w:ascii="SimSun" w:hAnsi="SimSun" w:eastAsia="SimSun" w:cs="SimSun"/>
          <w:color w:val="231F20"/>
          <w:spacing w:val="14"/>
        </w:rPr>
        <w:t>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影响</w:t>
      </w:r>
      <w:r>
        <w:rPr>
          <w:color w:val="231F20"/>
          <w:spacing w:val="2"/>
        </w:rPr>
        <w:t>[J].</w:t>
      </w:r>
      <w:r>
        <w:rPr>
          <w:rFonts w:ascii="SimSun" w:hAnsi="SimSun" w:eastAsia="SimSun" w:cs="SimSun"/>
          <w:color w:val="231F20"/>
          <w:spacing w:val="2"/>
        </w:rPr>
        <w:t>贵州医科大学学报</w:t>
      </w:r>
      <w:r>
        <w:rPr>
          <w:color w:val="231F20"/>
          <w:spacing w:val="2"/>
        </w:rPr>
        <w:t>,2020,45(11):1355</w:t>
      </w:r>
      <w:r>
        <w:rPr>
          <w:color w:val="231F20"/>
          <w:spacing w:val="1"/>
        </w:rPr>
        <w:t>-1359.</w:t>
      </w:r>
    </w:p>
    <w:p>
      <w:pPr>
        <w:pStyle w:val="BodyText"/>
        <w:ind w:left="372" w:right="8" w:hanging="372"/>
        <w:spacing w:before="94" w:line="288" w:lineRule="auto"/>
        <w:rPr/>
      </w:pPr>
      <w:r>
        <w:rPr>
          <w:color w:val="231F20"/>
          <w:spacing w:val="9"/>
        </w:rPr>
        <w:t>[9]</w:t>
      </w:r>
      <w:r>
        <w:rPr>
          <w:color w:val="231F20"/>
        </w:rPr>
        <w:t xml:space="preserve">    </w:t>
      </w:r>
      <w:r>
        <w:rPr>
          <w:rFonts w:ascii="SimSun" w:hAnsi="SimSun" w:eastAsia="SimSun" w:cs="SimSun"/>
          <w:color w:val="231F20"/>
          <w:spacing w:val="9"/>
        </w:rPr>
        <w:t>沈刚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李功俊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周立军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等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9"/>
        </w:rPr>
        <w:t>.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经脐单孔腹腔镜辅</w:t>
      </w:r>
      <w:r>
        <w:rPr>
          <w:rFonts w:ascii="SimSun" w:hAnsi="SimSun" w:eastAsia="SimSun" w:cs="SimSun"/>
          <w:color w:val="231F20"/>
          <w:spacing w:val="8"/>
        </w:rPr>
        <w:t>助与传统腹腔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镜手术治疗小儿复杂性阑尾炎的对比分析</w:t>
      </w:r>
      <w:r>
        <w:rPr>
          <w:color w:val="231F20"/>
          <w:spacing w:val="11"/>
        </w:rPr>
        <w:t>[J].</w:t>
      </w:r>
      <w:r>
        <w:rPr>
          <w:rFonts w:ascii="SimSun" w:hAnsi="SimSun" w:eastAsia="SimSun" w:cs="SimSun"/>
          <w:color w:val="231F20"/>
          <w:spacing w:val="11"/>
        </w:rPr>
        <w:t>腹腔镜外科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杂志</w:t>
      </w:r>
      <w:r>
        <w:rPr>
          <w:color w:val="231F20"/>
          <w:spacing w:val="-1"/>
        </w:rPr>
        <w:t>,2020,25(6):447-450.</w:t>
      </w:r>
    </w:p>
    <w:p>
      <w:pPr>
        <w:pStyle w:val="BodyText"/>
        <w:ind w:left="372" w:right="8" w:hanging="372"/>
        <w:spacing w:before="94" w:line="286" w:lineRule="auto"/>
        <w:rPr/>
      </w:pPr>
      <w:r>
        <w:rPr>
          <w:color w:val="231F20"/>
          <w:spacing w:val="9"/>
        </w:rPr>
        <w:t>[10]</w:t>
      </w:r>
      <w:r>
        <w:rPr>
          <w:color w:val="231F20"/>
          <w:spacing w:val="10"/>
        </w:rPr>
        <w:t xml:space="preserve">  </w:t>
      </w:r>
      <w:r>
        <w:rPr>
          <w:rFonts w:ascii="SimSun" w:hAnsi="SimSun" w:eastAsia="SimSun" w:cs="SimSun"/>
          <w:color w:val="231F20"/>
          <w:spacing w:val="9"/>
        </w:rPr>
        <w:t>方静静</w:t>
      </w:r>
      <w:r>
        <w:rPr>
          <w:color w:val="231F20"/>
          <w:spacing w:val="9"/>
        </w:rPr>
        <w:t>,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陈伟飞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黄敏燕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9"/>
        </w:rPr>
        <w:t>.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经脐单孔腹腔镜阑尾切除术对急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性复杂性阑尾炎患儿术后肠道功能的影响</w:t>
      </w:r>
      <w:r>
        <w:rPr>
          <w:color w:val="231F20"/>
          <w:spacing w:val="11"/>
        </w:rPr>
        <w:t>[J].</w:t>
      </w:r>
      <w:r>
        <w:rPr>
          <w:rFonts w:ascii="SimSun" w:hAnsi="SimSun" w:eastAsia="SimSun" w:cs="SimSun"/>
          <w:color w:val="231F20"/>
          <w:spacing w:val="11"/>
        </w:rPr>
        <w:t>中国妇幼保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健</w:t>
      </w:r>
      <w:r>
        <w:rPr>
          <w:color w:val="231F20"/>
          <w:spacing w:val="-1"/>
        </w:rPr>
        <w:t>,2023,38(1):175-178.</w:t>
      </w:r>
    </w:p>
    <w:sectPr>
      <w:type w:val="continuous"/>
      <w:pgSz w:w="11906" w:h="16158"/>
      <w:pgMar w:top="1031" w:right="866" w:bottom="977" w:left="424" w:header="730" w:footer="690" w:gutter="0"/>
      <w:cols w:equalWidth="0" w:num="2">
        <w:col w:w="5689" w:space="100"/>
        <w:col w:w="482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"/>
      <w:spacing w:line="255" w:lineRule="auto"/>
      <w:tabs>
        <w:tab w:val="left" w:pos="7234"/>
      </w:tabs>
      <w:rPr>
        <w:rFonts w:ascii="SimSun" w:hAnsi="SimSun" w:eastAsia="SimSun" w:cs="SimSun"/>
        <w:sz w:val="20"/>
        <w:szCs w:val="20"/>
      </w:rPr>
    </w:pPr>
    <w:r>
      <w:rPr>
        <w:rFonts w:ascii="SimHei" w:hAnsi="SimHei" w:eastAsia="SimHei" w:cs="SimHei"/>
        <w:sz w:val="17"/>
        <w:szCs w:val="17"/>
        <w:u w:val="single" w:color="auto"/>
        <w:color w:val="231F20"/>
      </w:rPr>
      <w:tab/>
    </w:r>
    <w:r>
      <w:rPr>
        <w:rFonts w:ascii="SimHei" w:hAnsi="SimHei" w:eastAsia="SimHei" w:cs="SimHei"/>
        <w:sz w:val="17"/>
        <w:szCs w:val="17"/>
        <w:color w:val="231F20"/>
        <w:spacing w:val="43"/>
      </w:rPr>
      <w:t xml:space="preserve"> </w:t>
    </w:r>
    <w:r>
      <w:rPr>
        <w:rFonts w:ascii="SimHei" w:hAnsi="SimHei" w:eastAsia="SimHei" w:cs="SimHei"/>
        <w:sz w:val="17"/>
        <w:szCs w:val="17"/>
        <w:color w:val="231F20"/>
        <w:spacing w:val="13"/>
      </w:rPr>
      <w:t>中国社区医师2024年第40卷第29期</w:t>
    </w:r>
    <w:r>
      <w:rPr>
        <w:rFonts w:ascii="SimHei" w:hAnsi="SimHei" w:eastAsia="SimHei" w:cs="SimHei"/>
        <w:sz w:val="17"/>
        <w:szCs w:val="17"/>
        <w:color w:val="231F20"/>
        <w:spacing w:val="28"/>
        <w:w w:val="101"/>
      </w:rPr>
      <w:t xml:space="preserve">  </w:t>
    </w:r>
    <w:r>
      <w:rPr>
        <w:rFonts w:ascii="SimSun" w:hAnsi="SimSun" w:eastAsia="SimSun" w:cs="SimSun"/>
        <w:sz w:val="20"/>
        <w:szCs w:val="20"/>
        <w:color w:val="231F20"/>
        <w:spacing w:val="13"/>
        <w:position w:val="-1"/>
      </w:rPr>
      <w:t>29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227" w:lineRule="auto"/>
      <w:jc w:val="right"/>
      <w:rPr>
        <w:rFonts w:ascii="DengXian" w:hAnsi="DengXian" w:eastAsia="DengXian" w:cs="DengXian"/>
        <w:sz w:val="19"/>
        <w:szCs w:val="19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CHINESE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COMMUNITY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DOCTORS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                                                                                                                  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 xml:space="preserve">                                       </w:t>
    </w:r>
    <w:r>
      <w:rPr>
        <w:rFonts w:ascii="DengXian" w:hAnsi="DengXian" w:eastAsia="DengXian" w:cs="DengXian"/>
        <w:sz w:val="15"/>
        <w:szCs w:val="15"/>
        <w:color w:val="231F20"/>
        <w:position w:val="1"/>
      </w:rPr>
      <w:t xml:space="preserve">   </w:t>
    </w:r>
    <w:r>
      <w:rPr>
        <w:rFonts w:ascii="DengXian" w:hAnsi="DengXian" w:eastAsia="DengXian" w:cs="DengXian"/>
        <w:sz w:val="19"/>
        <w:szCs w:val="19"/>
        <w:color w:val="231F20"/>
        <w:position w:val="-1"/>
      </w:rPr>
      <w:t>论著</w:t>
    </w:r>
    <w:r>
      <w:rPr>
        <w:rFonts w:ascii="SimHei" w:hAnsi="SimHei" w:eastAsia="SimHei" w:cs="SimHei"/>
        <w:sz w:val="19"/>
        <w:szCs w:val="19"/>
        <w:color w:val="231F20"/>
        <w:position w:val="-1"/>
      </w:rPr>
      <w:t>·</w:t>
    </w:r>
    <w:r>
      <w:rPr>
        <w:rFonts w:ascii="DengXian" w:hAnsi="DengXian" w:eastAsia="DengXian" w:cs="DengXian"/>
        <w:sz w:val="19"/>
        <w:szCs w:val="19"/>
        <w:color w:val="231F20"/>
        <w:position w:val="-1"/>
      </w:rPr>
      <w:t>临床论坛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6"/>
      <w:spacing w:before="39" w:line="227" w:lineRule="auto"/>
      <w:rPr>
        <w:rFonts w:ascii="DengXian" w:hAnsi="DengXian" w:eastAsia="DengXian" w:cs="DengXian"/>
        <w:sz w:val="15"/>
        <w:szCs w:val="15"/>
      </w:rPr>
    </w:pPr>
    <w:r>
      <w:pict>
        <v:shape id="WordPictureWatermark4" style="position:absolute;margin-left:21.2pt;margin-top:777.674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rFonts w:ascii="DengXian" w:hAnsi="DengXian" w:eastAsia="DengXian" w:cs="DengXian"/>
        <w:sz w:val="19"/>
        <w:szCs w:val="19"/>
        <w:color w:val="231F20"/>
        <w:spacing w:val="1"/>
        <w:position w:val="-1"/>
      </w:rPr>
      <w:t>论著</w:t>
    </w:r>
    <w:r>
      <w:rPr>
        <w:rFonts w:ascii="SimHei" w:hAnsi="SimHei" w:eastAsia="SimHei" w:cs="SimHei"/>
        <w:sz w:val="19"/>
        <w:szCs w:val="19"/>
        <w:color w:val="231F20"/>
        <w:spacing w:val="1"/>
        <w:position w:val="-1"/>
      </w:rPr>
      <w:t>·</w:t>
    </w:r>
    <w:r>
      <w:rPr>
        <w:rFonts w:ascii="DengXian" w:hAnsi="DengXian" w:eastAsia="DengXian" w:cs="DengXian"/>
        <w:sz w:val="19"/>
        <w:szCs w:val="19"/>
        <w:color w:val="231F20"/>
        <w:spacing w:val="1"/>
        <w:position w:val="-1"/>
      </w:rPr>
      <w:t>临床论坛 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                                                                                                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 xml:space="preserve">                                                          CHINESE COMMUNITY DOCTORS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2024-11-16T12:58:40Z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2025-10-28T21:32:19</vt:filetime>
  </property>
</Properties>
</file>