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ind w:left="720" w:right="2667" w:firstLine="2"/>
        <w:spacing w:before="117" w:line="309" w:lineRule="auto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color w:val="231F20"/>
          <w:spacing w:val="-26"/>
          <w:w w:val="92"/>
        </w:rPr>
        <w:t>基于儿童医疗辅助模式的术前宣教对改善阑尾炎患儿</w:t>
      </w:r>
      <w:r>
        <w:rPr>
          <w:rFonts w:ascii="SimHei" w:hAnsi="SimHei" w:eastAsia="SimHei" w:cs="SimHei"/>
          <w:sz w:val="36"/>
          <w:szCs w:val="36"/>
          <w:color w:val="231F20"/>
          <w:spacing w:val="4"/>
        </w:rPr>
        <w:t xml:space="preserve"> </w:t>
      </w:r>
      <w:r>
        <w:rPr>
          <w:rFonts w:ascii="SimHei" w:hAnsi="SimHei" w:eastAsia="SimHei" w:cs="SimHei"/>
          <w:sz w:val="36"/>
          <w:szCs w:val="36"/>
          <w:color w:val="231F20"/>
          <w:spacing w:val="-26"/>
          <w:w w:val="93"/>
        </w:rPr>
        <w:t>术前心理状态效果观察</w:t>
      </w:r>
    </w:p>
    <w:p>
      <w:pPr>
        <w:ind w:left="724"/>
        <w:spacing w:before="32" w:line="228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color w:val="231F20"/>
          <w:spacing w:val="-3"/>
        </w:rPr>
        <w:t>贺佳艳</w:t>
      </w:r>
      <w:r>
        <w:rPr>
          <w:rFonts w:ascii="KaiTi" w:hAnsi="KaiTi" w:eastAsia="KaiTi" w:cs="KaiTi"/>
          <w:sz w:val="24"/>
          <w:szCs w:val="24"/>
          <w:color w:val="231F20"/>
          <w:spacing w:val="-3"/>
        </w:rPr>
        <w:t xml:space="preserve">  </w:t>
      </w:r>
      <w:r>
        <w:rPr>
          <w:rFonts w:ascii="KaiTi" w:hAnsi="KaiTi" w:eastAsia="KaiTi" w:cs="KaiTi"/>
          <w:sz w:val="24"/>
          <w:szCs w:val="24"/>
          <w:color w:val="231F20"/>
          <w:spacing w:val="-3"/>
        </w:rPr>
        <w:t>王青青</w:t>
      </w:r>
      <w:r>
        <w:rPr>
          <w:rFonts w:ascii="KaiTi" w:hAnsi="KaiTi" w:eastAsia="KaiTi" w:cs="KaiTi"/>
          <w:sz w:val="24"/>
          <w:szCs w:val="24"/>
          <w:color w:val="231F20"/>
          <w:spacing w:val="10"/>
        </w:rPr>
        <w:t xml:space="preserve">  </w:t>
      </w:r>
      <w:r>
        <w:rPr>
          <w:rFonts w:ascii="KaiTi" w:hAnsi="KaiTi" w:eastAsia="KaiTi" w:cs="KaiTi"/>
          <w:sz w:val="24"/>
          <w:szCs w:val="24"/>
          <w:color w:val="231F20"/>
          <w:spacing w:val="-3"/>
        </w:rPr>
        <w:t>黄剑虹</w:t>
      </w:r>
      <w:r>
        <w:rPr>
          <w:rFonts w:ascii="KaiTi" w:hAnsi="KaiTi" w:eastAsia="KaiTi" w:cs="KaiTi"/>
          <w:sz w:val="24"/>
          <w:szCs w:val="24"/>
          <w:color w:val="231F20"/>
          <w:spacing w:val="5"/>
        </w:rPr>
        <w:t xml:space="preserve">  </w:t>
      </w:r>
      <w:r>
        <w:rPr>
          <w:rFonts w:ascii="KaiTi" w:hAnsi="KaiTi" w:eastAsia="KaiTi" w:cs="KaiTi"/>
          <w:sz w:val="24"/>
          <w:szCs w:val="24"/>
          <w:color w:val="231F20"/>
          <w:spacing w:val="-3"/>
        </w:rPr>
        <w:t>毛姗姗</w:t>
      </w:r>
    </w:p>
    <w:p>
      <w:pPr>
        <w:spacing w:line="372" w:lineRule="auto"/>
        <w:rPr>
          <w:rFonts w:ascii="Arial"/>
          <w:sz w:val="21"/>
        </w:rPr>
      </w:pPr>
      <w:r/>
    </w:p>
    <w:p>
      <w:pPr>
        <w:pStyle w:val="BodyText"/>
        <w:ind w:left="715" w:right="14" w:firstLine="296"/>
        <w:spacing w:before="62" w:line="289" w:lineRule="auto"/>
        <w:jc w:val="both"/>
        <w:rPr/>
      </w:pPr>
      <w:r>
        <w:rPr>
          <w:rFonts w:ascii="SimHei" w:hAnsi="SimHei" w:eastAsia="SimHei" w:cs="SimHei"/>
          <w:color w:val="231F20"/>
          <w:spacing w:val="4"/>
        </w:rPr>
        <w:t>【摘要】</w:t>
      </w:r>
      <w:r>
        <w:rPr>
          <w:rFonts w:ascii="SimHei" w:hAnsi="SimHei" w:eastAsia="SimHei" w:cs="SimHei"/>
          <w:color w:val="231F20"/>
          <w:spacing w:val="27"/>
          <w:w w:val="101"/>
        </w:rPr>
        <w:t xml:space="preserve">  </w:t>
      </w:r>
      <w:r>
        <w:rPr>
          <w:rFonts w:ascii="SimHei" w:hAnsi="SimHei" w:eastAsia="SimHei" w:cs="SimHei"/>
          <w:color w:val="231F20"/>
          <w:spacing w:val="4"/>
        </w:rPr>
        <w:t>目的</w:t>
      </w:r>
      <w:r>
        <w:rPr>
          <w:rFonts w:ascii="SimHei" w:hAnsi="SimHei" w:eastAsia="SimHei" w:cs="SimHei"/>
          <w:color w:val="231F20"/>
          <w:spacing w:val="4"/>
        </w:rPr>
        <w:t xml:space="preserve">  </w:t>
      </w:r>
      <w:r>
        <w:rPr>
          <w:color w:val="231F20"/>
          <w:spacing w:val="4"/>
        </w:rPr>
        <w:t>观察基于儿童医疗辅助（</w:t>
      </w:r>
      <w:r>
        <w:rPr>
          <w:color w:val="231F20"/>
        </w:rPr>
        <w:t>Child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Life</w:t>
      </w:r>
      <w:r>
        <w:rPr>
          <w:color w:val="231F20"/>
          <w:spacing w:val="3"/>
        </w:rPr>
        <w:t>）模式的术前宣教方法改善阑尾炎手术儿童术前心理状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态的效果，为临床提供参考。</w:t>
      </w:r>
      <w:r>
        <w:rPr>
          <w:rFonts w:ascii="SimHei" w:hAnsi="SimHei" w:eastAsia="SimHei" w:cs="SimHei"/>
          <w:color w:val="231F20"/>
          <w:spacing w:val="1"/>
        </w:rPr>
        <w:t>方法</w:t>
      </w:r>
      <w:r>
        <w:rPr>
          <w:rFonts w:ascii="SimHei" w:hAnsi="SimHei" w:eastAsia="SimHei" w:cs="SimHei"/>
          <w:color w:val="231F20"/>
          <w:spacing w:val="1"/>
        </w:rPr>
        <w:t xml:space="preserve">  </w:t>
      </w:r>
      <w:r>
        <w:rPr>
          <w:color w:val="231F20"/>
          <w:spacing w:val="1"/>
        </w:rPr>
        <w:t>选取该院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"/>
        </w:rPr>
        <w:t>2021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"/>
        </w:rPr>
        <w:t>年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"/>
        </w:rPr>
        <w:t>1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"/>
        </w:rPr>
        <w:t>月至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"/>
        </w:rPr>
        <w:t>2024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"/>
        </w:rPr>
        <w:t>年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"/>
        </w:rPr>
        <w:t>3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"/>
        </w:rPr>
        <w:t>月间收确</w:t>
      </w:r>
      <w:r>
        <w:rPr>
          <w:color w:val="231F20"/>
        </w:rPr>
        <w:t>诊为阑尾炎拟行经腹腔镜阑尾切除 </w:t>
      </w:r>
      <w:r>
        <w:rPr>
          <w:color w:val="231F20"/>
        </w:rPr>
        <w:t>术的患儿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80</w:t>
      </w:r>
      <w:r>
        <w:rPr>
          <w:color w:val="231F20"/>
          <w:spacing w:val="-41"/>
        </w:rPr>
        <w:t xml:space="preserve"> </w:t>
      </w:r>
      <w:r>
        <w:rPr>
          <w:color w:val="231F20"/>
        </w:rPr>
        <w:t>例，根据术前宣教方式的不同将患儿分为观察组</w:t>
      </w:r>
      <w:r>
        <w:rPr>
          <w:color w:val="231F20"/>
          <w:spacing w:val="-34"/>
        </w:rPr>
        <w:t xml:space="preserve"> </w:t>
      </w:r>
      <w:r>
        <w:rPr>
          <w:color w:val="231F20"/>
        </w:rPr>
        <w:t>43</w:t>
      </w:r>
      <w:r>
        <w:rPr>
          <w:color w:val="231F20"/>
          <w:spacing w:val="-40"/>
        </w:rPr>
        <w:t xml:space="preserve"> </w:t>
      </w:r>
      <w:r>
        <w:rPr>
          <w:color w:val="231F20"/>
        </w:rPr>
        <w:t>例（</w:t>
      </w:r>
      <w:r>
        <w:rPr>
          <w:color w:val="231F20"/>
          <w:spacing w:val="-1"/>
        </w:rPr>
        <w:t>接受基于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Child Life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"/>
        </w:rPr>
        <w:t>模式的术前宣教）与对照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组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"/>
        </w:rPr>
        <w:t>37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"/>
        </w:rPr>
        <w:t>例（接受常规术前宣教），比较两组患儿治疗过程中不同时间点（入院后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6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"/>
        </w:rPr>
        <w:t>h、等待手术时、术后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6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"/>
        </w:rPr>
        <w:t>h）的焦虑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情绪情况，同时比较干预后患儿恐惧、穿刺过程中配合度及患儿</w:t>
      </w:r>
      <w:r>
        <w:rPr>
          <w:color w:val="231F20"/>
          <w:spacing w:val="2"/>
        </w:rPr>
        <w:t>主要照护者的心理状态。</w:t>
      </w:r>
      <w:r>
        <w:rPr>
          <w:rFonts w:ascii="SimHei" w:hAnsi="SimHei" w:eastAsia="SimHei" w:cs="SimHei"/>
          <w:color w:val="231F20"/>
          <w:spacing w:val="2"/>
        </w:rPr>
        <w:t>结果</w:t>
      </w:r>
      <w:r>
        <w:rPr>
          <w:rFonts w:ascii="SimHei" w:hAnsi="SimHei" w:eastAsia="SimHei" w:cs="SimHei"/>
          <w:color w:val="231F20"/>
          <w:spacing w:val="2"/>
        </w:rPr>
        <w:t xml:space="preserve">  </w:t>
      </w:r>
      <w:r>
        <w:rPr>
          <w:color w:val="231F20"/>
          <w:spacing w:val="2"/>
        </w:rPr>
        <w:t>观察组患儿等待手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术时及术后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"/>
        </w:rPr>
        <w:t>6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"/>
        </w:rPr>
        <w:t>h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"/>
        </w:rPr>
        <w:t>焦虑程度均低于对照组；干</w:t>
      </w:r>
      <w:r>
        <w:rPr>
          <w:color w:val="231F20"/>
        </w:rPr>
        <w:t>预后观察组患儿恐惧程度低于对照组，主要照护者心理状态好于对照组； </w:t>
      </w:r>
      <w:r>
        <w:rPr>
          <w:color w:val="231F20"/>
          <w:spacing w:val="-1"/>
        </w:rPr>
        <w:t>观察组患儿穿刺过程中总配合度为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"/>
        </w:rPr>
        <w:t>95.3%（41/43</w:t>
      </w:r>
      <w:r>
        <w:rPr>
          <w:color w:val="231F20"/>
          <w:spacing w:val="4"/>
        </w:rPr>
        <w:t>），</w:t>
      </w:r>
      <w:r>
        <w:rPr>
          <w:color w:val="231F20"/>
          <w:spacing w:val="-1"/>
        </w:rPr>
        <w:t>高</w:t>
      </w:r>
      <w:r>
        <w:rPr>
          <w:color w:val="231F20"/>
          <w:spacing w:val="-2"/>
        </w:rPr>
        <w:t>于对照组的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2"/>
        </w:rPr>
        <w:t>78.4%（29/37）。</w:t>
      </w:r>
      <w:r>
        <w:rPr>
          <w:rFonts w:ascii="SimHei" w:hAnsi="SimHei" w:eastAsia="SimHei" w:cs="SimHei"/>
          <w:color w:val="231F20"/>
          <w:spacing w:val="-2"/>
        </w:rPr>
        <w:t>结论</w:t>
      </w:r>
      <w:r>
        <w:rPr>
          <w:rFonts w:ascii="SimHei" w:hAnsi="SimHei" w:eastAsia="SimHei" w:cs="SimHei"/>
          <w:color w:val="231F20"/>
          <w:spacing w:val="-2"/>
        </w:rPr>
        <w:t xml:space="preserve">  </w:t>
      </w:r>
      <w:r>
        <w:rPr>
          <w:color w:val="231F20"/>
          <w:spacing w:val="-2"/>
        </w:rPr>
        <w:t>基于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2"/>
        </w:rPr>
        <w:t>Child Life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2"/>
        </w:rPr>
        <w:t>模式的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术前宣教能改善阑尾炎手术患儿术前焦虑，减轻恐惧程度，提高治疗配合度，同时帮助改善主要照护者的心理状态。</w:t>
      </w:r>
    </w:p>
    <w:p>
      <w:pPr>
        <w:pStyle w:val="BodyText"/>
        <w:ind w:left="1012"/>
        <w:spacing w:line="222" w:lineRule="auto"/>
        <w:rPr/>
      </w:pPr>
      <w:r>
        <w:rPr>
          <w:rFonts w:ascii="SimHei" w:hAnsi="SimHei" w:eastAsia="SimHei" w:cs="SimHei"/>
          <w:color w:val="231F20"/>
        </w:rPr>
        <w:t>【关键词】</w:t>
      </w:r>
      <w:r>
        <w:rPr>
          <w:rFonts w:ascii="SimHei" w:hAnsi="SimHei" w:eastAsia="SimHei" w:cs="SimHei"/>
          <w:color w:val="231F20"/>
        </w:rPr>
        <w:t xml:space="preserve">  </w:t>
      </w:r>
      <w:r>
        <w:rPr>
          <w:color w:val="231F20"/>
        </w:rPr>
        <w:t>儿童医疗辅助模式；术前宣教；阑尾炎；手术；儿童；心理状态</w:t>
      </w:r>
    </w:p>
    <w:p>
      <w:pPr>
        <w:pStyle w:val="BodyText"/>
        <w:ind w:left="1092"/>
        <w:spacing w:before="69" w:line="215" w:lineRule="auto"/>
        <w:rPr/>
      </w:pPr>
      <w:r>
        <w:rPr>
          <w:rFonts w:ascii="Times New Roman" w:hAnsi="Times New Roman" w:eastAsia="Times New Roman" w:cs="Times New Roman"/>
          <w:b/>
          <w:bCs/>
          <w:color w:val="231F20"/>
        </w:rPr>
        <w:t>DOI</w:t>
      </w:r>
      <w:r>
        <w:rPr>
          <w:color w:val="231F20"/>
        </w:rPr>
        <w:t>：10.19542/j.cnki.1006-5180.2407</w:t>
      </w:r>
      <w:r>
        <w:rPr>
          <w:color w:val="231F20"/>
          <w:spacing w:val="-1"/>
        </w:rPr>
        <w:t>-176</w:t>
      </w:r>
    </w:p>
    <w:p>
      <w:pPr>
        <w:spacing w:before="221"/>
        <w:rPr/>
      </w:pPr>
      <w:r/>
    </w:p>
    <w:p>
      <w:pPr>
        <w:sectPr>
          <w:headerReference w:type="default" r:id="rId1"/>
          <w:pgSz w:w="11906" w:h="16158"/>
          <w:pgMar w:top="1105" w:right="1066" w:bottom="0" w:left="424" w:header="776" w:footer="0" w:gutter="0"/>
          <w:cols w:equalWidth="0" w:num="1">
            <w:col w:w="10416" w:space="0"/>
          </w:cols>
        </w:sectPr>
        <w:rPr/>
      </w:pPr>
    </w:p>
    <w:p>
      <w:pPr>
        <w:pStyle w:val="BodyText"/>
        <w:ind w:left="717" w:right="213" w:firstLine="395"/>
        <w:spacing w:before="46" w:line="289" w:lineRule="auto"/>
        <w:jc w:val="both"/>
        <w:rPr/>
      </w:pPr>
      <w:r>
        <w:rPr>
          <w:color w:val="231F20"/>
        </w:rPr>
        <w:t>阑尾炎是由于阑尾管腔阻塞、饮食不洁等导致的阑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尾炎症性病变，临床表现常见右下腹部疼痛、发热、呕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2"/>
        </w:rPr>
        <w:t>吐和外周血中性粒细胞增多等。目前临床主要通过腹腔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"/>
        </w:rPr>
        <w:t>镜阑尾切除术进行治疗阑尾炎，其具有手术创伤小、术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后并发症少等优点</w:t>
      </w:r>
      <w:r>
        <w:rPr>
          <w:color w:val="231F20"/>
          <w:spacing w:val="-26"/>
        </w:rPr>
        <w:t xml:space="preserve"> </w:t>
      </w:r>
      <w:r>
        <w:rPr>
          <w:sz w:val="11"/>
          <w:szCs w:val="11"/>
          <w:color w:val="231F20"/>
          <w:spacing w:val="-1"/>
          <w:position w:val="8"/>
        </w:rPr>
        <w:t>[1]</w:t>
      </w:r>
      <w:r>
        <w:rPr>
          <w:sz w:val="11"/>
          <w:szCs w:val="11"/>
          <w:color w:val="231F20"/>
          <w:spacing w:val="-29"/>
          <w:position w:val="8"/>
        </w:rPr>
        <w:t xml:space="preserve"> </w:t>
      </w:r>
      <w:r>
        <w:rPr>
          <w:color w:val="231F20"/>
          <w:spacing w:val="-1"/>
        </w:rPr>
        <w:t>。但由于阑尾炎患儿入院时较</w:t>
      </w:r>
      <w:r>
        <w:rPr>
          <w:color w:val="231F20"/>
          <w:spacing w:val="-2"/>
        </w:rPr>
        <w:t>为痛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苦，同时其对医院环境、检查等存在排斥、恐</w:t>
      </w:r>
      <w:r>
        <w:rPr>
          <w:color w:val="231F20"/>
          <w:spacing w:val="1"/>
        </w:rPr>
        <w:t>惧等，对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治疗的配合度与依从性相对较差，从而影响预后 </w:t>
      </w:r>
      <w:r>
        <w:rPr>
          <w:sz w:val="11"/>
          <w:szCs w:val="11"/>
          <w:color w:val="231F20"/>
          <w:spacing w:val="-1"/>
          <w:position w:val="8"/>
        </w:rPr>
        <w:t>[2]</w:t>
      </w:r>
      <w:r>
        <w:rPr>
          <w:color w:val="231F20"/>
          <w:spacing w:val="-1"/>
        </w:rPr>
        <w:t>。术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前采取合理方式改善阑尾炎手术患儿的心理状态十分必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2"/>
        </w:rPr>
        <w:t>要。儿童医疗辅导模式（</w:t>
      </w:r>
      <w:r>
        <w:rPr>
          <w:color w:val="231F20"/>
        </w:rPr>
        <w:t>Child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Life</w:t>
      </w:r>
      <w:r>
        <w:rPr>
          <w:color w:val="231F20"/>
          <w:spacing w:val="2"/>
        </w:rPr>
        <w:t>）的核心理念是从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2"/>
        </w:rPr>
        <w:t>儿童的心理发展特点出发，提供以医疗性游戏为基础的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2"/>
        </w:rPr>
        <w:t>心理准备，即通过玩具、游戏等儿童社交语</w:t>
      </w:r>
      <w:r>
        <w:rPr>
          <w:color w:val="231F20"/>
          <w:spacing w:val="1"/>
        </w:rPr>
        <w:t>言帮助建立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起患儿与护理人员间的信赖关系，对缓解患儿负面情绪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7"/>
        </w:rPr>
        <w:t>等有一定效果。笔者将基于</w:t>
      </w:r>
      <w:r>
        <w:rPr>
          <w:color w:val="231F20"/>
          <w:spacing w:val="-41"/>
        </w:rPr>
        <w:t xml:space="preserve"> </w:t>
      </w:r>
      <w:r>
        <w:rPr>
          <w:color w:val="231F20"/>
        </w:rPr>
        <w:t>Child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Life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7"/>
        </w:rPr>
        <w:t>模式的术前宣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教方法用于改善阑尾炎手术儿童术前的心理状态，并观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2"/>
        </w:rPr>
        <w:t>察其效果，以期为临床提供参考，现报道如下。</w:t>
      </w:r>
    </w:p>
    <w:p>
      <w:pPr>
        <w:ind w:left="726"/>
        <w:spacing w:before="1" w:line="221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-5"/>
        </w:rPr>
        <w:t>1</w:t>
      </w:r>
      <w:r>
        <w:rPr>
          <w:rFonts w:ascii="SimHei" w:hAnsi="SimHei" w:eastAsia="SimHei" w:cs="SimHei"/>
          <w:sz w:val="19"/>
          <w:szCs w:val="19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231F20"/>
          <w:spacing w:val="-5"/>
        </w:rPr>
        <w:t>资料与方法</w:t>
      </w:r>
    </w:p>
    <w:p>
      <w:pPr>
        <w:pStyle w:val="BodyText"/>
        <w:ind w:left="731"/>
        <w:spacing w:before="71" w:line="220" w:lineRule="auto"/>
        <w:rPr/>
      </w:pPr>
      <w:r>
        <w:rPr>
          <w:color w:val="231F20"/>
          <w:spacing w:val="-3"/>
        </w:rPr>
        <w:t>1.1  对象与分组</w:t>
      </w:r>
    </w:p>
    <w:p>
      <w:pPr>
        <w:pStyle w:val="BodyText"/>
        <w:ind w:left="627" w:right="214" w:firstLine="469"/>
        <w:spacing w:before="68" w:line="277" w:lineRule="auto"/>
        <w:jc w:val="both"/>
        <w:rPr/>
      </w:pPr>
      <w:r>
        <w:pict>
          <v:shape id="_x0000_s10" style="position:absolute;margin-left:35.7055pt;margin-top:114.792pt;mso-position-vertical-relative:text;mso-position-horizontal-relative:text;width:56.7pt;height:0.45pt;z-index:251658240;" filled="false" strokecolor="#231F20" strokeweight="0.43pt" coordsize="1134,8" coordorigin="0,0" path="m0,4l1133,4e">
            <v:stroke joinstyle="miter" miterlimit="4"/>
          </v:shape>
        </w:pict>
      </w:r>
      <w:r>
        <w:rPr>
          <w:color w:val="231F20"/>
          <w:spacing w:val="-2"/>
        </w:rPr>
        <w:t>选取我院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"/>
        </w:rPr>
        <w:t>2021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2"/>
        </w:rPr>
        <w:t>年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1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2"/>
        </w:rPr>
        <w:t>月至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2"/>
        </w:rPr>
        <w:t>2024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2"/>
        </w:rPr>
        <w:t>年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2"/>
        </w:rPr>
        <w:t>3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2"/>
        </w:rPr>
        <w:t>月间收治的确诊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为阑尾炎拟行经腹腔镜阑尾切除术的患儿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9"/>
        </w:rPr>
        <w:t>80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8"/>
        </w:rPr>
        <w:t>例。纳入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标准：年龄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6"/>
        </w:rPr>
        <w:t>3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6"/>
        </w:rPr>
        <w:t>～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6"/>
        </w:rPr>
        <w:t>14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6"/>
        </w:rPr>
        <w:t>岁、首次发病、美国麻醉医师协会</w:t>
      </w:r>
      <w:r>
        <w:rPr>
          <w:color w:val="231F20"/>
        </w:rPr>
        <w:t xml:space="preserve"> </w:t>
      </w:r>
      <w:r>
        <w:rPr>
          <w:color w:val="231F20"/>
        </w:rPr>
        <w:t>（ASA）分级为</w:t>
      </w:r>
      <w:r>
        <w:rPr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Ⅰ</w:t>
      </w:r>
      <w:r>
        <w:rPr>
          <w:color w:val="231F20"/>
        </w:rPr>
        <w:t>~</w:t>
      </w:r>
      <w:r>
        <w:rPr>
          <w:rFonts w:ascii="Microsoft YaHei" w:hAnsi="Microsoft YaHei" w:eastAsia="Microsoft YaHei" w:cs="Microsoft YaHei"/>
          <w:color w:val="231F20"/>
        </w:rPr>
        <w:t>Ⅱ</w:t>
      </w:r>
      <w:r>
        <w:rPr>
          <w:color w:val="231F20"/>
        </w:rPr>
        <w:t>级。排除标准：①</w:t>
      </w:r>
      <w:r>
        <w:rPr>
          <w:color w:val="231F20"/>
          <w:spacing w:val="-33"/>
        </w:rPr>
        <w:t xml:space="preserve"> </w:t>
      </w:r>
      <w:r>
        <w:rPr>
          <w:color w:val="231F20"/>
        </w:rPr>
        <w:t>合并</w:t>
      </w:r>
      <w:r>
        <w:rPr>
          <w:color w:val="231F20"/>
          <w:spacing w:val="-1"/>
        </w:rPr>
        <w:t>传染病、肿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瘤、心脏病等其他严重疾病；②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8"/>
        </w:rPr>
        <w:t>患有精神疾病；③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存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在语言沟通交流以及认知障碍；④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3"/>
        </w:rPr>
        <w:t>主要照护者无法全天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性陪护，沟通交流存在障碍。本方案经该院医学伦理委</w:t>
      </w:r>
    </w:p>
    <w:p>
      <w:pPr>
        <w:pStyle w:val="BodyText"/>
        <w:ind w:left="1036"/>
        <w:spacing w:before="262" w:line="22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作者单位：316000  浙江舟山市妇女儿童医院外科</w:t>
      </w:r>
    </w:p>
    <w:p>
      <w:pPr>
        <w:pStyle w:val="BodyText"/>
        <w:ind w:left="1036"/>
        <w:spacing w:before="114" w:line="215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通信作者：王青青，Email：492614876@q</w:t>
      </w:r>
      <w:r>
        <w:rPr>
          <w:sz w:val="16"/>
          <w:szCs w:val="16"/>
          <w:color w:val="231F20"/>
          <w:spacing w:val="-1"/>
        </w:rPr>
        <w:t>q.com</w:t>
      </w:r>
    </w:p>
    <w:p>
      <w:pPr>
        <w:spacing w:line="8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2" w:right="67" w:firstLine="5"/>
        <w:spacing w:before="38" w:line="289" w:lineRule="auto"/>
        <w:rPr/>
      </w:pPr>
      <w:r>
        <w:rPr>
          <w:color w:val="231F20"/>
          <w:spacing w:val="2"/>
        </w:rPr>
        <w:t>员会审核通过。根据术前所采用宣教方式的不</w:t>
      </w:r>
      <w:r>
        <w:rPr>
          <w:color w:val="231F20"/>
          <w:spacing w:val="1"/>
        </w:rPr>
        <w:t>同将患儿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分为观察组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4"/>
        </w:rPr>
        <w:t>43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4"/>
        </w:rPr>
        <w:t>例与对照组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4"/>
        </w:rPr>
        <w:t>37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4"/>
        </w:rPr>
        <w:t>例。</w:t>
      </w:r>
    </w:p>
    <w:p>
      <w:pPr>
        <w:pStyle w:val="BodyText"/>
        <w:ind w:left="103"/>
        <w:spacing w:line="220" w:lineRule="auto"/>
        <w:rPr/>
      </w:pPr>
      <w:r>
        <w:rPr>
          <w:color w:val="231F20"/>
          <w:spacing w:val="-2"/>
        </w:rPr>
        <w:t>1.2  术前宣教方法</w:t>
      </w:r>
    </w:p>
    <w:p>
      <w:pPr>
        <w:pStyle w:val="BodyText"/>
        <w:ind w:left="102" w:right="75" w:firstLine="366"/>
        <w:spacing w:before="72" w:line="289" w:lineRule="auto"/>
        <w:rPr/>
      </w:pPr>
      <w:r>
        <w:rPr>
          <w:color w:val="231F20"/>
          <w:spacing w:val="2"/>
        </w:rPr>
        <w:t>对照组患儿入院后予常规术前宣教，观察组患儿入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院后予基于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Child Life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3"/>
        </w:rPr>
        <w:t>模式的术前宣教。</w:t>
      </w:r>
    </w:p>
    <w:p>
      <w:pPr>
        <w:pStyle w:val="BodyText"/>
        <w:ind w:left="103"/>
        <w:spacing w:before="1" w:line="220" w:lineRule="auto"/>
        <w:rPr/>
      </w:pPr>
      <w:r>
        <w:rPr>
          <w:color w:val="231F20"/>
          <w:spacing w:val="-2"/>
        </w:rPr>
        <w:t>1.2.1  常规术前宣教</w:t>
      </w:r>
    </w:p>
    <w:p>
      <w:pPr>
        <w:pStyle w:val="BodyText"/>
        <w:ind w:left="90" w:right="67" w:firstLine="380"/>
        <w:spacing w:before="73" w:line="289" w:lineRule="auto"/>
        <w:jc w:val="both"/>
        <w:rPr/>
      </w:pPr>
      <w:r>
        <w:rPr>
          <w:color w:val="231F20"/>
          <w:spacing w:val="1"/>
        </w:rPr>
        <w:t>护士到病房进行术前宣教时，首先向患儿、主要照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2"/>
        </w:rPr>
        <w:t>护者进行自我介绍，随后向患儿及其主要照护者讲解手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"/>
        </w:rPr>
        <w:t>术方式、时间、术前准备工作、注意事项等。解答主要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照护者疑问，并向其发放术前准备清单。</w:t>
      </w:r>
    </w:p>
    <w:p>
      <w:pPr>
        <w:pStyle w:val="BodyText"/>
        <w:ind w:left="103"/>
        <w:spacing w:line="220" w:lineRule="auto"/>
        <w:rPr/>
      </w:pPr>
      <w:r>
        <w:rPr>
          <w:color w:val="231F20"/>
          <w:spacing w:val="-2"/>
        </w:rPr>
        <w:t>1.2.2  基于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Child Life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2"/>
        </w:rPr>
        <w:t>模式的术前宣教</w:t>
      </w:r>
    </w:p>
    <w:p>
      <w:pPr>
        <w:pStyle w:val="BodyText"/>
        <w:ind w:firstLine="471"/>
        <w:spacing w:before="69" w:line="290" w:lineRule="auto"/>
        <w:jc w:val="both"/>
        <w:rPr/>
      </w:pPr>
      <w:r>
        <w:rPr>
          <w:color w:val="231F20"/>
          <w:spacing w:val="3"/>
        </w:rPr>
        <w:t>成立干预小组，小组成员包括护士长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3"/>
        </w:rPr>
        <w:t>1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3"/>
        </w:rPr>
        <w:t>人（组长，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负责对护士进行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Child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Life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1"/>
        </w:rPr>
        <w:t>模式相关知识和操作的培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训和考核）及在外科工作＞ 5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2"/>
        </w:rPr>
        <w:t>年的护士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2"/>
        </w:rPr>
        <w:t>4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2"/>
        </w:rPr>
        <w:t>人（负责研究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过程中护理措施的具体实施）。患儿入院后，根据病历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5"/>
        </w:rPr>
        <w:t>评估其情况，初步了解患儿基本资料，在宣教前与家属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（主要照护者）面对面进行交流，了解患儿兴趣爱好，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如喜爱的动画、玩偶等，通过询问照护者和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4"/>
        </w:rPr>
        <w:t>/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4"/>
        </w:rPr>
        <w:t>或观察获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取患儿目前心理状态，有无焦虑、恐惧等不良情绪。具  </w:t>
      </w:r>
      <w:r>
        <w:rPr>
          <w:color w:val="231F20"/>
          <w:spacing w:val="3"/>
        </w:rPr>
        <w:t>体宣教方式如下：①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3"/>
        </w:rPr>
        <w:t>护理人员根据患儿兴趣爱好，在科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室或病房墙面上装饰贴画并配备积木、毛绒玩偶、医疗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2"/>
        </w:rPr>
        <w:t>模拟玩具等。②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医疗操作角色演绎：术前宣教时护士在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病房内利用患儿喜爱的玩偶进行监测血压、手术麻醉、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穿刺等相关操作过程演绎，演绎完毕后，鼓励患儿体验</w:t>
      </w:r>
    </w:p>
    <w:p>
      <w:pPr>
        <w:spacing w:line="290" w:lineRule="auto"/>
        <w:sectPr>
          <w:type w:val="continuous"/>
          <w:pgSz w:w="11906" w:h="16158"/>
          <w:pgMar w:top="1105" w:right="1066" w:bottom="0" w:left="424" w:header="776" w:footer="0" w:gutter="0"/>
          <w:cols w:equalWidth="0" w:num="2">
            <w:col w:w="5545" w:space="100"/>
            <w:col w:w="4771" w:space="0"/>
          </w:cols>
        </w:sectPr>
        <w:rPr/>
      </w:pPr>
    </w:p>
    <w:p>
      <w:pPr>
        <w:ind w:left="10274"/>
        <w:spacing w:before="173" w:line="18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1</w:t>
      </w:r>
    </w:p>
    <w:p>
      <w:pPr>
        <w:spacing w:before="79" w:line="159" w:lineRule="auto"/>
        <w:rPr>
          <w:rFonts w:ascii="Arial" w:hAnsi="Arial" w:eastAsia="Arial" w:cs="Arial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10"/>
          <w:position w:val="-1"/>
        </w:rPr>
        <w:t>中国知网</w:t>
      </w: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1"/>
          <w:position w:val="-1"/>
        </w:rPr>
        <w:t xml:space="preserve">     </w:t>
      </w:r>
      <w:r>
        <w:rPr>
          <w:rFonts w:ascii="Arial" w:hAnsi="Arial" w:eastAsia="Arial" w:cs="Arial"/>
          <w:sz w:val="22"/>
          <w:szCs w:val="22"/>
          <w:color w:val="999999"/>
          <w:position w:val="-1"/>
        </w:rPr>
        <w:t>https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-1"/>
        </w:rPr>
        <w:t>:</w:t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Www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</w:rPr>
        <w:t>cnki</w:t>
      </w:r>
      <w:r>
        <w:rPr>
          <w:rFonts w:ascii="Arial" w:hAnsi="Arial" w:eastAsia="Arial" w:cs="Arial"/>
          <w:sz w:val="22"/>
          <w:szCs w:val="22"/>
          <w:color w:val="999999"/>
          <w:spacing w:val="-16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  <w:spacing w:val="-35"/>
          <w:position w:val="1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net</w:t>
      </w:r>
    </w:p>
    <w:p>
      <w:pPr>
        <w:spacing w:line="159" w:lineRule="auto"/>
        <w:sectPr>
          <w:type w:val="continuous"/>
          <w:pgSz w:w="11906" w:h="16158"/>
          <w:pgMar w:top="1105" w:right="1066" w:bottom="0" w:left="424" w:header="776" w:footer="0" w:gutter="0"/>
          <w:cols w:equalWidth="0" w:num="1">
            <w:col w:w="10416" w:space="0"/>
          </w:cols>
        </w:sectPr>
        <w:rPr>
          <w:rFonts w:ascii="Arial" w:hAnsi="Arial" w:eastAsia="Arial" w:cs="Arial"/>
          <w:sz w:val="22"/>
          <w:szCs w:val="22"/>
        </w:rPr>
      </w:pPr>
    </w:p>
    <w:p>
      <w:pPr>
        <w:spacing w:before="31"/>
        <w:rPr/>
      </w:pPr>
      <w:r/>
    </w:p>
    <w:p>
      <w:pPr>
        <w:sectPr>
          <w:headerReference w:type="default" r:id="rId4"/>
          <w:footerReference w:type="default" r:id="rId5"/>
          <w:pgSz w:w="11906" w:h="16158"/>
          <w:pgMar w:top="1105" w:right="1066" w:bottom="849" w:left="424" w:header="776" w:footer="679" w:gutter="0"/>
          <w:cols w:equalWidth="0" w:num="1">
            <w:col w:w="10416" w:space="0"/>
          </w:cols>
        </w:sectPr>
        <w:rPr/>
      </w:pPr>
    </w:p>
    <w:p>
      <w:pPr>
        <w:pStyle w:val="BodyText"/>
        <w:ind w:left="716" w:right="214" w:firstLine="22"/>
        <w:spacing w:before="43" w:line="289" w:lineRule="auto"/>
        <w:jc w:val="both"/>
        <w:rPr/>
      </w:pPr>
      <w:r>
        <w:rPr>
          <w:color w:val="231F20"/>
          <w:spacing w:val="9"/>
        </w:rPr>
        <w:t>以上操作内容。在患儿体验过程中需进行正性语言暗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2"/>
        </w:rPr>
        <w:t>示，在护理人员演示完毕后，鼓励患儿穿上医</w:t>
      </w:r>
      <w:r>
        <w:rPr>
          <w:color w:val="231F20"/>
          <w:spacing w:val="1"/>
        </w:rPr>
        <w:t>护人员服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装，扮演医护人员，在玩偶上进行模拟，内</w:t>
      </w:r>
      <w:r>
        <w:rPr>
          <w:color w:val="231F20"/>
          <w:spacing w:val="1"/>
        </w:rPr>
        <w:t>容包括术前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麻醉、穿刺、生命体征监测等，并将其录制下来。之后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2"/>
        </w:rPr>
        <w:t>为患儿与其主要照护者播放录像，对表现好的患儿进行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夸奖，同时引导其主要照护者对患儿进行鼓励。③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宣教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视频：在术前宣教前，穿上患儿喜欢的玩偶</w:t>
      </w:r>
      <w:r>
        <w:rPr>
          <w:color w:val="231F20"/>
          <w:spacing w:val="1"/>
        </w:rPr>
        <w:t>服装录制关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于手术穿刺、血压监测、麻醉等相关科普视频，</w:t>
      </w:r>
      <w:r>
        <w:rPr>
          <w:color w:val="231F20"/>
          <w:spacing w:val="1"/>
        </w:rPr>
        <w:t>并收集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动画中的手术相关内容。与患儿约定结束手术后的物质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奖励。</w:t>
      </w:r>
    </w:p>
    <w:p>
      <w:pPr>
        <w:pStyle w:val="BodyText"/>
        <w:ind w:left="731"/>
        <w:spacing w:line="220" w:lineRule="auto"/>
        <w:rPr/>
      </w:pPr>
      <w:r>
        <w:rPr>
          <w:color w:val="231F20"/>
          <w:spacing w:val="-4"/>
        </w:rPr>
        <w:t>1.3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4"/>
        </w:rPr>
        <w:t>观察指标</w:t>
      </w:r>
    </w:p>
    <w:p>
      <w:pPr>
        <w:pStyle w:val="BodyText"/>
        <w:ind w:left="731"/>
        <w:spacing w:before="70" w:line="220" w:lineRule="auto"/>
        <w:rPr/>
      </w:pPr>
      <w:r>
        <w:rPr>
          <w:color w:val="231F20"/>
          <w:spacing w:val="-2"/>
        </w:rPr>
        <w:t>1.3.1  焦虑情况</w:t>
      </w:r>
    </w:p>
    <w:p>
      <w:pPr>
        <w:pStyle w:val="BodyText"/>
        <w:ind w:left="718" w:right="160" w:firstLine="380"/>
        <w:spacing w:before="71" w:line="288" w:lineRule="auto"/>
        <w:jc w:val="both"/>
        <w:rPr/>
      </w:pPr>
      <w:r>
        <w:rPr>
          <w:color w:val="231F20"/>
          <w:spacing w:val="-5"/>
        </w:rPr>
        <w:t>护理人员分别于入院后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6</w:t>
      </w:r>
      <w:r>
        <w:rPr>
          <w:color w:val="231F20"/>
          <w:spacing w:val="-50"/>
        </w:rPr>
        <w:t xml:space="preserve"> </w:t>
      </w:r>
      <w:r>
        <w:rPr>
          <w:color w:val="231F20"/>
          <w:spacing w:val="-5"/>
        </w:rPr>
        <w:t>h、等待手术时及术后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6</w:t>
      </w:r>
      <w:r>
        <w:rPr>
          <w:color w:val="231F20"/>
          <w:spacing w:val="-50"/>
        </w:rPr>
        <w:t xml:space="preserve"> </w:t>
      </w:r>
      <w:r>
        <w:rPr>
          <w:color w:val="231F20"/>
          <w:spacing w:val="-5"/>
        </w:rPr>
        <w:t>h，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使用改良版耶鲁围手术期焦虑量表（m-</w:t>
      </w:r>
      <w:r>
        <w:rPr>
          <w:color w:val="231F20"/>
        </w:rPr>
        <w:t>YPAS</w:t>
      </w:r>
      <w:r>
        <w:rPr>
          <w:color w:val="231F20"/>
          <w:spacing w:val="1"/>
        </w:rPr>
        <w:t>）</w:t>
      </w:r>
      <w:r>
        <w:rPr>
          <w:sz w:val="11"/>
          <w:szCs w:val="11"/>
          <w:color w:val="231F20"/>
          <w:spacing w:val="1"/>
          <w:position w:val="8"/>
        </w:rPr>
        <w:t>[3</w:t>
      </w:r>
      <w:r>
        <w:rPr>
          <w:sz w:val="11"/>
          <w:szCs w:val="11"/>
          <w:color w:val="231F20"/>
          <w:position w:val="8"/>
        </w:rPr>
        <w:t>] </w:t>
      </w:r>
      <w:r>
        <w:rPr>
          <w:color w:val="231F20"/>
        </w:rPr>
        <w:t>评估患 </w:t>
      </w:r>
      <w:r>
        <w:rPr>
          <w:color w:val="231F20"/>
          <w:spacing w:val="3"/>
        </w:rPr>
        <w:t>儿焦虑情况。该量表包括精神状态、语言等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5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3"/>
        </w:rPr>
        <w:t>个维度，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总分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21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4"/>
        </w:rPr>
        <w:t>～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100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4"/>
        </w:rPr>
        <w:t>分；得分越高提示患儿焦虑程度越高。</w:t>
      </w:r>
    </w:p>
    <w:p>
      <w:pPr>
        <w:pStyle w:val="BodyText"/>
        <w:ind w:left="731"/>
        <w:spacing w:before="8" w:line="221" w:lineRule="auto"/>
        <w:rPr/>
      </w:pPr>
      <w:r>
        <w:rPr>
          <w:color w:val="231F20"/>
          <w:spacing w:val="-4"/>
        </w:rPr>
        <w:t>1.3.2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4"/>
        </w:rPr>
        <w:t>恐惧情况</w:t>
      </w:r>
    </w:p>
    <w:p>
      <w:pPr>
        <w:pStyle w:val="BodyText"/>
        <w:ind w:left="716" w:right="213" w:firstLine="379"/>
        <w:spacing w:before="47" w:line="294" w:lineRule="auto"/>
        <w:jc w:val="both"/>
        <w:rPr/>
      </w:pPr>
      <w:r>
        <w:rPr>
          <w:color w:val="231F20"/>
          <w:spacing w:val="1"/>
        </w:rPr>
        <w:t>采用中文版儿童医疗恐惧调查量表（</w:t>
      </w:r>
      <w:r>
        <w:rPr>
          <w:color w:val="231F20"/>
        </w:rPr>
        <w:t>CMFS</w:t>
      </w:r>
      <w:r>
        <w:rPr>
          <w:color w:val="231F20"/>
          <w:spacing w:val="1"/>
        </w:rPr>
        <w:t>）</w:t>
      </w:r>
      <w:r>
        <w:rPr>
          <w:sz w:val="11"/>
          <w:szCs w:val="11"/>
          <w:color w:val="231F20"/>
          <w:spacing w:val="1"/>
          <w:position w:val="8"/>
        </w:rPr>
        <w:t>[4] </w:t>
      </w:r>
      <w:r>
        <w:rPr>
          <w:color w:val="231F20"/>
          <w:spacing w:val="1"/>
        </w:rPr>
        <w:t>对两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组患儿干预前后医疗恐惧情况进行评价。该量表包括医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疗环境、医疗操作等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4"/>
        </w:rPr>
        <w:t>4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4"/>
        </w:rPr>
        <w:t>个维度（共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4"/>
        </w:rPr>
        <w:t>17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4"/>
        </w:rPr>
        <w:t>个问题，每题最</w:t>
      </w:r>
      <w:r>
        <w:rPr>
          <w:color w:val="231F20"/>
        </w:rPr>
        <w:t xml:space="preserve"> </w:t>
      </w:r>
      <w:r>
        <w:rPr>
          <w:color w:val="231F20"/>
        </w:rPr>
        <w:t>高</w:t>
      </w:r>
      <w:r>
        <w:rPr>
          <w:color w:val="231F20"/>
          <w:spacing w:val="-36"/>
        </w:rPr>
        <w:t xml:space="preserve"> </w:t>
      </w:r>
      <w:r>
        <w:rPr>
          <w:color w:val="231F20"/>
        </w:rPr>
        <w:t>3</w:t>
      </w:r>
      <w:r>
        <w:rPr>
          <w:color w:val="231F20"/>
          <w:spacing w:val="-38"/>
        </w:rPr>
        <w:t xml:space="preserve"> </w:t>
      </w:r>
      <w:r>
        <w:rPr>
          <w:color w:val="231F20"/>
        </w:rPr>
        <w:t>分</w:t>
      </w:r>
      <w:r>
        <w:rPr>
          <w:color w:val="231F20"/>
          <w:spacing w:val="-23"/>
        </w:rPr>
        <w:t>），</w:t>
      </w:r>
      <w:r>
        <w:rPr>
          <w:color w:val="231F20"/>
        </w:rPr>
        <w:t>总分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17</w:t>
      </w:r>
      <w:r>
        <w:rPr>
          <w:color w:val="231F20"/>
          <w:spacing w:val="-31"/>
        </w:rPr>
        <w:t xml:space="preserve"> </w:t>
      </w:r>
      <w:r>
        <w:rPr>
          <w:color w:val="231F20"/>
        </w:rPr>
        <w:t>～</w:t>
      </w:r>
      <w:r>
        <w:rPr>
          <w:color w:val="231F20"/>
          <w:spacing w:val="-34"/>
        </w:rPr>
        <w:t xml:space="preserve"> </w:t>
      </w:r>
      <w:r>
        <w:rPr>
          <w:color w:val="231F20"/>
        </w:rPr>
        <w:t>51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分，评分越高表明患儿恐惧程 </w:t>
      </w:r>
      <w:r>
        <w:rPr>
          <w:color w:val="231F20"/>
          <w:spacing w:val="-7"/>
        </w:rPr>
        <w:t>度越高。</w:t>
      </w:r>
    </w:p>
    <w:p>
      <w:pPr>
        <w:pStyle w:val="BodyText"/>
        <w:ind w:left="731"/>
        <w:spacing w:before="1" w:line="220" w:lineRule="auto"/>
        <w:rPr/>
      </w:pPr>
      <w:r>
        <w:rPr>
          <w:color w:val="231F20"/>
          <w:spacing w:val="-4"/>
        </w:rPr>
        <w:t>1.3.3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配合度</w:t>
      </w:r>
    </w:p>
    <w:p>
      <w:pPr>
        <w:pStyle w:val="BodyText"/>
        <w:ind w:left="716" w:right="214" w:firstLine="380"/>
        <w:spacing w:before="75" w:line="289" w:lineRule="auto"/>
        <w:jc w:val="both"/>
        <w:rPr/>
      </w:pPr>
      <w:r>
        <w:rPr>
          <w:color w:val="231F20"/>
          <w:spacing w:val="2"/>
        </w:rPr>
        <w:t>观察穿刺过程中患儿的配合度，分为完全配合、基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本配合、一般配合及不配合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9"/>
        </w:rPr>
        <w:t>4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9"/>
        </w:rPr>
        <w:t>个等级，并计算总配合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度。将“主动配合，基本无哭闹”视为完全配合；“存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2"/>
        </w:rPr>
        <w:t>在轻微抗拒，经安抚后才能顺利进行操作”视为基本配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6"/>
        </w:rPr>
        <w:t>合；“存在明显抗拒，经安抚后仅能进行短时间配合”视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6"/>
        </w:rPr>
        <w:t>为一般配合；“抗拒情绪强烈，经安抚后难以顺</w:t>
      </w:r>
      <w:r>
        <w:rPr>
          <w:color w:val="231F20"/>
          <w:spacing w:val="-7"/>
        </w:rPr>
        <w:t>利进行穿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刺操作”视为不配合。总配合度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3"/>
        </w:rPr>
        <w:t>=（完全配合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3"/>
        </w:rPr>
        <w:t>+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3"/>
        </w:rPr>
        <w:t>基本配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合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+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6"/>
        </w:rPr>
        <w:t>一般配合）例数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6"/>
        </w:rPr>
        <w:t>/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6"/>
        </w:rPr>
        <w:t>总例数 ×100%。</w:t>
      </w:r>
    </w:p>
    <w:p>
      <w:pPr>
        <w:pStyle w:val="BodyText"/>
        <w:ind w:left="731"/>
        <w:spacing w:line="220" w:lineRule="auto"/>
        <w:rPr/>
      </w:pPr>
      <w:r>
        <w:rPr>
          <w:color w:val="231F20"/>
          <w:spacing w:val="-2"/>
        </w:rPr>
        <w:t>1.3.4  主要照护者心理状态</w:t>
      </w:r>
    </w:p>
    <w:p>
      <w:pPr>
        <w:pStyle w:val="BodyText"/>
        <w:ind w:left="717" w:right="147" w:firstLine="402"/>
        <w:spacing w:before="68" w:line="290" w:lineRule="auto"/>
        <w:jc w:val="both"/>
        <w:rPr/>
      </w:pPr>
      <w:r>
        <w:rPr>
          <w:color w:val="231F20"/>
          <w:spacing w:val="-1"/>
        </w:rPr>
        <w:t>由护理人员选取患儿身边的主要照护者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1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"/>
        </w:rPr>
        <w:t>人，分别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于干预前（收治入院前）、后（出院时）采用</w:t>
      </w:r>
      <w:r>
        <w:rPr>
          <w:color w:val="231F20"/>
          <w:spacing w:val="1"/>
        </w:rPr>
        <w:t>汉密尔顿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抑郁量表（</w:t>
      </w:r>
      <w:r>
        <w:rPr>
          <w:color w:val="231F20"/>
        </w:rPr>
        <w:t>HAMD</w:t>
      </w:r>
      <w:r>
        <w:rPr>
          <w:color w:val="231F20"/>
          <w:spacing w:val="1"/>
        </w:rPr>
        <w:t>）与汉密尔顿焦虑量表（</w:t>
      </w:r>
      <w:r>
        <w:rPr>
          <w:color w:val="231F20"/>
        </w:rPr>
        <w:t>HAMA</w:t>
      </w:r>
      <w:r>
        <w:rPr>
          <w:color w:val="231F20"/>
          <w:spacing w:val="1"/>
        </w:rPr>
        <w:t>）</w:t>
      </w:r>
      <w:r>
        <w:rPr>
          <w:sz w:val="11"/>
          <w:szCs w:val="11"/>
          <w:color w:val="231F20"/>
          <w:spacing w:val="1"/>
          <w:position w:val="8"/>
        </w:rPr>
        <w:t>[5] </w:t>
      </w:r>
      <w:r>
        <w:rPr>
          <w:color w:val="231F20"/>
          <w:spacing w:val="1"/>
        </w:rPr>
        <w:t>评定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其心理状态。其中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HAMD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5"/>
        </w:rPr>
        <w:t>量表包括日夜变化、睡眠障碍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等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7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5"/>
        </w:rPr>
        <w:t>个方面共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5"/>
        </w:rPr>
        <w:t>24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5"/>
        </w:rPr>
        <w:t>个问题；</w:t>
      </w:r>
      <w:r>
        <w:rPr>
          <w:color w:val="231F20"/>
        </w:rPr>
        <w:t>HAMA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5"/>
        </w:rPr>
        <w:t>量表包括躯体醒焦虑、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精神性焦虑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2"/>
        </w:rPr>
        <w:t>2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2"/>
        </w:rPr>
        <w:t>个方面功能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14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2"/>
        </w:rPr>
        <w:t>个问题。2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2"/>
        </w:rPr>
        <w:t>个量表各项问题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均计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2"/>
        </w:rPr>
        <w:t>0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2"/>
        </w:rPr>
        <w:t>～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2"/>
        </w:rPr>
        <w:t>4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2"/>
        </w:rPr>
        <w:t>分，HAMD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2"/>
        </w:rPr>
        <w:t>量表总分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2"/>
        </w:rPr>
        <w:t>0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2"/>
        </w:rPr>
        <w:t>～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2"/>
        </w:rPr>
        <w:t>96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2"/>
        </w:rPr>
        <w:t>分，HAMA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2"/>
        </w:rPr>
        <w:t>量表总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分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0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～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3"/>
        </w:rPr>
        <w:t>56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3"/>
        </w:rPr>
        <w:t>分。得分越低提示患儿主要照护者心理状态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9"/>
        <w:spacing w:before="37" w:line="220" w:lineRule="auto"/>
        <w:rPr/>
      </w:pPr>
      <w:r>
        <w:rPr>
          <w:color w:val="231F20"/>
          <w:spacing w:val="-8"/>
        </w:rPr>
        <w:t>越好。</w:t>
      </w:r>
    </w:p>
    <w:p>
      <w:pPr>
        <w:pStyle w:val="BodyText"/>
        <w:ind w:left="103"/>
        <w:spacing w:before="70" w:line="222" w:lineRule="auto"/>
        <w:rPr/>
      </w:pPr>
      <w:r>
        <w:rPr>
          <w:color w:val="231F20"/>
          <w:spacing w:val="-4"/>
        </w:rPr>
        <w:t>1.4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统计学方法</w:t>
      </w:r>
    </w:p>
    <w:p>
      <w:pPr>
        <w:pStyle w:val="BodyText"/>
        <w:ind w:right="13" w:firstLine="469"/>
        <w:spacing w:before="67" w:line="290" w:lineRule="auto"/>
        <w:jc w:val="both"/>
        <w:rPr/>
      </w:pPr>
      <w:r>
        <w:rPr>
          <w:color w:val="231F20"/>
          <w:spacing w:val="12"/>
        </w:rPr>
        <w:t>应用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SPSS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2"/>
        </w:rPr>
        <w:t>21.0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2"/>
        </w:rPr>
        <w:t>统计学软件处理数据。计数资料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（性别、文化程度等）以百分率（%）表示；符合正态分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0"/>
        </w:rPr>
        <w:t>布的计量资料（年龄、手术时间等）以</w:t>
      </w:r>
      <w:r>
        <w:rPr>
          <w:color w:val="231F20"/>
          <w:spacing w:val="-3"/>
        </w:rPr>
        <w:t>（</w:t>
      </w:r>
      <w:r>
        <w:rPr>
          <w:color w:val="231F20"/>
          <w:spacing w:val="-53"/>
        </w:rPr>
        <w:t xml:space="preserve"> </w:t>
      </w:r>
      <w:r>
        <w:rPr>
          <w:position w:val="1"/>
        </w:rPr>
        <w:drawing>
          <wp:inline distT="0" distB="0" distL="0" distR="0">
            <wp:extent cx="189954" cy="63609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954" cy="6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-55"/>
        </w:rPr>
        <w:t xml:space="preserve"> </w:t>
      </w:r>
      <w:r>
        <w:rPr>
          <w:color w:val="231F20"/>
          <w:spacing w:val="-3"/>
        </w:rPr>
        <w:t>）</w:t>
      </w:r>
      <w:r>
        <w:rPr>
          <w:color w:val="231F20"/>
          <w:spacing w:val="10"/>
        </w:rPr>
        <w:t>表示，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组内比较采用配对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6"/>
        </w:rPr>
        <w:t>t</w:t>
      </w:r>
      <w:r>
        <w:rPr>
          <w:color w:val="231F20"/>
          <w:spacing w:val="-57"/>
        </w:rPr>
        <w:t xml:space="preserve"> </w:t>
      </w:r>
      <w:r>
        <w:rPr>
          <w:color w:val="231F20"/>
          <w:spacing w:val="6"/>
        </w:rPr>
        <w:t>检验；不符合正态分布的计量资料</w:t>
      </w:r>
      <w:r>
        <w:rPr>
          <w:color w:val="231F20"/>
        </w:rPr>
        <w:t xml:space="preserve"> </w:t>
      </w:r>
      <w:r>
        <w:rPr>
          <w:color w:val="231F20"/>
        </w:rPr>
        <w:t>（m-YPAS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量表评分）采用非参数方差分析；P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＜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0.05</w:t>
      </w:r>
      <w:r>
        <w:rPr>
          <w:color w:val="231F20"/>
          <w:spacing w:val="-38"/>
        </w:rPr>
        <w:t xml:space="preserve"> </w:t>
      </w:r>
      <w:r>
        <w:rPr>
          <w:color w:val="231F20"/>
        </w:rPr>
        <w:t>为 </w:t>
      </w:r>
      <w:r>
        <w:rPr>
          <w:color w:val="231F20"/>
          <w:spacing w:val="6"/>
        </w:rPr>
        <w:t>差异有统计学意义。</w:t>
      </w:r>
    </w:p>
    <w:p>
      <w:pPr>
        <w:ind w:left="88"/>
        <w:spacing w:before="1" w:line="225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-4"/>
        </w:rPr>
        <w:t>2</w:t>
      </w:r>
      <w:r>
        <w:rPr>
          <w:rFonts w:ascii="SimHei" w:hAnsi="SimHei" w:eastAsia="SimHei" w:cs="SimHei"/>
          <w:sz w:val="19"/>
          <w:szCs w:val="19"/>
          <w:color w:val="231F20"/>
          <w:spacing w:val="4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231F20"/>
          <w:spacing w:val="-4"/>
        </w:rPr>
        <w:t>结果</w:t>
      </w:r>
    </w:p>
    <w:p>
      <w:pPr>
        <w:pStyle w:val="BodyText"/>
        <w:ind w:left="92"/>
        <w:spacing w:before="65" w:line="221" w:lineRule="auto"/>
        <w:rPr/>
      </w:pPr>
      <w:r>
        <w:rPr>
          <w:color w:val="231F20"/>
          <w:spacing w:val="-1"/>
        </w:rPr>
        <w:t>2.1  两组一般资料比较</w:t>
      </w:r>
    </w:p>
    <w:p>
      <w:pPr>
        <w:pStyle w:val="BodyText"/>
        <w:ind w:right="13" w:firstLine="469"/>
        <w:spacing w:before="71" w:line="261" w:lineRule="auto"/>
        <w:jc w:val="both"/>
        <w:rPr/>
      </w:pPr>
      <w:r>
        <w:rPr>
          <w:color w:val="231F20"/>
          <w:spacing w:val="-6"/>
        </w:rPr>
        <w:t>观察组：男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25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6"/>
        </w:rPr>
        <w:t>例（58.1%</w:t>
      </w:r>
      <w:r>
        <w:rPr>
          <w:color w:val="231F20"/>
          <w:spacing w:val="-49"/>
          <w:w w:val="97"/>
        </w:rPr>
        <w:t>），</w:t>
      </w:r>
      <w:r>
        <w:rPr>
          <w:color w:val="231F20"/>
          <w:spacing w:val="-6"/>
        </w:rPr>
        <w:t>女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6"/>
        </w:rPr>
        <w:t>18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6"/>
        </w:rPr>
        <w:t>例（</w:t>
      </w:r>
      <w:r>
        <w:rPr>
          <w:color w:val="231F20"/>
          <w:spacing w:val="-7"/>
        </w:rPr>
        <w:t>41.9%</w:t>
      </w:r>
      <w:r>
        <w:rPr>
          <w:color w:val="231F20"/>
          <w:spacing w:val="-49"/>
          <w:w w:val="97"/>
        </w:rPr>
        <w:t>），</w:t>
      </w:r>
      <w:r>
        <w:rPr>
          <w:color w:val="231F20"/>
          <w:spacing w:val="-7"/>
        </w:rPr>
        <w:t>年龄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（5.1±1.8）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2"/>
        </w:rPr>
        <w:t>岁，</w:t>
      </w:r>
      <w:r>
        <w:rPr>
          <w:color w:val="231F20"/>
          <w:spacing w:val="-51"/>
        </w:rPr>
        <w:t xml:space="preserve"> </w:t>
      </w:r>
      <w:r>
        <w:rPr>
          <w:color w:val="231F20"/>
          <w:spacing w:val="-12"/>
        </w:rPr>
        <w:t>手术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12"/>
        </w:rPr>
        <w:t>时长（1.0±0.3）h，ASA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12"/>
        </w:rPr>
        <w:t>分</w:t>
      </w:r>
      <w:r>
        <w:rPr>
          <w:color w:val="231F20"/>
          <w:spacing w:val="-50"/>
        </w:rPr>
        <w:t xml:space="preserve"> </w:t>
      </w:r>
      <w:r>
        <w:rPr>
          <w:color w:val="231F20"/>
          <w:spacing w:val="-12"/>
        </w:rPr>
        <w:t>级 </w:t>
      </w:r>
      <w:r>
        <w:rPr>
          <w:rFonts w:ascii="Microsoft YaHei" w:hAnsi="Microsoft YaHei" w:eastAsia="Microsoft YaHei" w:cs="Microsoft YaHei"/>
          <w:color w:val="231F20"/>
          <w:spacing w:val="-12"/>
        </w:rPr>
        <w:t>Ⅰ</w:t>
      </w:r>
      <w:r>
        <w:rPr>
          <w:rFonts w:ascii="Microsoft YaHei" w:hAnsi="Microsoft YaHei" w:eastAsia="Microsoft YaHei" w:cs="Microsoft YaHei"/>
          <w:color w:val="231F20"/>
          <w:spacing w:val="-39"/>
        </w:rPr>
        <w:t xml:space="preserve"> </w:t>
      </w:r>
      <w:r>
        <w:rPr>
          <w:color w:val="231F20"/>
          <w:spacing w:val="-12"/>
        </w:rPr>
        <w:t>级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23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6"/>
        </w:rPr>
        <w:t>例（53.5%</w:t>
      </w:r>
      <w:r>
        <w:rPr>
          <w:color w:val="231F20"/>
          <w:spacing w:val="-48"/>
          <w:w w:val="95"/>
        </w:rPr>
        <w:t>），</w:t>
      </w:r>
      <w:r>
        <w:rPr>
          <w:rFonts w:ascii="Microsoft YaHei" w:hAnsi="Microsoft YaHei" w:eastAsia="Microsoft YaHei" w:cs="Microsoft YaHei"/>
          <w:color w:val="231F20"/>
          <w:spacing w:val="-6"/>
        </w:rPr>
        <w:t>Ⅱ</w:t>
      </w:r>
      <w:r>
        <w:rPr>
          <w:color w:val="231F20"/>
          <w:spacing w:val="-6"/>
        </w:rPr>
        <w:t>级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6"/>
        </w:rPr>
        <w:t>20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6"/>
        </w:rPr>
        <w:t>例（46.5%</w:t>
      </w:r>
      <w:r>
        <w:rPr>
          <w:color w:val="231F20"/>
          <w:spacing w:val="-48"/>
          <w:w w:val="95"/>
        </w:rPr>
        <w:t>）；</w:t>
      </w:r>
      <w:r>
        <w:rPr>
          <w:color w:val="231F20"/>
          <w:spacing w:val="-6"/>
        </w:rPr>
        <w:t>主要照护者年龄平均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（35.5±7.1）岁，学历为本科以下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-7"/>
        </w:rPr>
        <w:t>28</w:t>
      </w:r>
      <w:r>
        <w:rPr>
          <w:color w:val="231F20"/>
          <w:spacing w:val="-56"/>
        </w:rPr>
        <w:t xml:space="preserve"> </w:t>
      </w:r>
      <w:r>
        <w:rPr>
          <w:color w:val="231F20"/>
          <w:spacing w:val="-7"/>
        </w:rPr>
        <w:t>人（65.1%</w:t>
      </w:r>
      <w:r>
        <w:rPr>
          <w:color w:val="231F20"/>
          <w:spacing w:val="-48"/>
          <w:w w:val="97"/>
        </w:rPr>
        <w:t>），</w:t>
      </w:r>
      <w:r>
        <w:rPr>
          <w:color w:val="231F20"/>
          <w:spacing w:val="-7"/>
        </w:rPr>
        <w:t>本科及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以上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8"/>
        </w:rPr>
        <w:t>15人（34.9%）。对照组：男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17</w:t>
      </w:r>
      <w:r>
        <w:rPr>
          <w:color w:val="231F20"/>
          <w:spacing w:val="-53"/>
        </w:rPr>
        <w:t xml:space="preserve"> </w:t>
      </w:r>
      <w:r>
        <w:rPr>
          <w:color w:val="231F20"/>
          <w:spacing w:val="-8"/>
        </w:rPr>
        <w:t>例（45.9%</w:t>
      </w:r>
      <w:r>
        <w:rPr>
          <w:color w:val="231F20"/>
          <w:spacing w:val="-50"/>
        </w:rPr>
        <w:t>），</w:t>
      </w:r>
      <w:r>
        <w:rPr>
          <w:color w:val="231F20"/>
          <w:spacing w:val="-8"/>
        </w:rPr>
        <w:t>女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8"/>
        </w:rPr>
        <w:t>20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8"/>
        </w:rPr>
        <w:t>例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（54.1%</w:t>
      </w:r>
      <w:r>
        <w:rPr>
          <w:color w:val="231F20"/>
          <w:spacing w:val="-46"/>
          <w:w w:val="92"/>
        </w:rPr>
        <w:t>），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0"/>
        </w:rPr>
        <w:t>年龄（5.3±1.3）</w:t>
      </w:r>
      <w:r>
        <w:rPr>
          <w:color w:val="231F20"/>
          <w:spacing w:val="-54"/>
        </w:rPr>
        <w:t xml:space="preserve"> </w:t>
      </w:r>
      <w:r>
        <w:rPr>
          <w:color w:val="231F20"/>
          <w:spacing w:val="-10"/>
        </w:rPr>
        <w:t>岁，手术时长（1.1±0</w:t>
      </w:r>
      <w:r>
        <w:rPr>
          <w:color w:val="231F20"/>
          <w:spacing w:val="-11"/>
        </w:rPr>
        <w:t>.4）h，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ASA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12"/>
        </w:rPr>
        <w:t>分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2"/>
        </w:rPr>
        <w:t>级 </w:t>
      </w:r>
      <w:r>
        <w:rPr>
          <w:rFonts w:ascii="Microsoft YaHei" w:hAnsi="Microsoft YaHei" w:eastAsia="Microsoft YaHei" w:cs="Microsoft YaHei"/>
          <w:color w:val="231F20"/>
          <w:spacing w:val="-12"/>
        </w:rPr>
        <w:t>Ⅰ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color w:val="231F20"/>
          <w:spacing w:val="-12"/>
        </w:rPr>
        <w:t>级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2"/>
        </w:rPr>
        <w:t>18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12"/>
        </w:rPr>
        <w:t>例（48.6%</w:t>
      </w:r>
      <w:r>
        <w:rPr>
          <w:color w:val="231F20"/>
          <w:spacing w:val="-48"/>
        </w:rPr>
        <w:t>），</w:t>
      </w:r>
      <w:r>
        <w:rPr>
          <w:rFonts w:ascii="Microsoft YaHei" w:hAnsi="Microsoft YaHei" w:eastAsia="Microsoft YaHei" w:cs="Microsoft YaHei"/>
          <w:color w:val="231F20"/>
          <w:spacing w:val="-12"/>
        </w:rPr>
        <w:t>Ⅱ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color w:val="231F20"/>
          <w:spacing w:val="-12"/>
        </w:rPr>
        <w:t>级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2"/>
        </w:rPr>
        <w:t>19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2"/>
        </w:rPr>
        <w:t>例（51.4%</w:t>
      </w:r>
      <w:r>
        <w:rPr>
          <w:color w:val="231F20"/>
          <w:spacing w:val="-48"/>
        </w:rPr>
        <w:t>）；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2"/>
        </w:rPr>
        <w:t>主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2"/>
        </w:rPr>
        <w:t>要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照护者年龄平均（34.3±6.7）岁，</w:t>
      </w:r>
      <w:r>
        <w:rPr>
          <w:color w:val="231F20"/>
          <w:spacing w:val="-2"/>
        </w:rPr>
        <w:t>学历为本科以下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-2"/>
        </w:rPr>
        <w:t>26</w:t>
      </w:r>
      <w:r>
        <w:rPr>
          <w:color w:val="231F20"/>
          <w:spacing w:val="-56"/>
        </w:rPr>
        <w:t xml:space="preserve"> </w:t>
      </w:r>
      <w:r>
        <w:rPr>
          <w:color w:val="231F20"/>
          <w:spacing w:val="-2"/>
        </w:rPr>
        <w:t>人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（70.3%</w:t>
      </w:r>
      <w:r>
        <w:rPr>
          <w:color w:val="231F20"/>
          <w:spacing w:val="-47"/>
          <w:w w:val="94"/>
        </w:rPr>
        <w:t>），</w:t>
      </w:r>
      <w:r>
        <w:rPr>
          <w:color w:val="231F20"/>
          <w:spacing w:val="-15"/>
        </w:rPr>
        <w:t>本科及以上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5"/>
        </w:rPr>
        <w:t>11</w:t>
      </w:r>
      <w:r>
        <w:rPr>
          <w:color w:val="231F20"/>
          <w:spacing w:val="-53"/>
        </w:rPr>
        <w:t xml:space="preserve"> </w:t>
      </w:r>
      <w:r>
        <w:rPr>
          <w:color w:val="231F20"/>
          <w:spacing w:val="-15"/>
        </w:rPr>
        <w:t>人（29.7%）。</w:t>
      </w:r>
    </w:p>
    <w:p>
      <w:pPr>
        <w:pStyle w:val="BodyText"/>
        <w:ind w:left="92"/>
        <w:spacing w:before="5" w:line="220" w:lineRule="auto"/>
        <w:rPr/>
      </w:pPr>
      <w:r>
        <w:rPr>
          <w:color w:val="231F20"/>
          <w:spacing w:val="-1"/>
        </w:rPr>
        <w:t>2.2  两组入院不同时间患儿焦虑情况比较</w:t>
      </w:r>
    </w:p>
    <w:p>
      <w:pPr>
        <w:pStyle w:val="BodyText"/>
        <w:ind w:left="90" w:right="67" w:firstLine="378"/>
        <w:spacing w:before="74" w:line="290" w:lineRule="auto"/>
        <w:jc w:val="both"/>
        <w:rPr/>
      </w:pPr>
      <w:r>
        <w:rPr>
          <w:color w:val="231F20"/>
          <w:spacing w:val="1"/>
        </w:rPr>
        <w:t>入院后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"/>
        </w:rPr>
        <w:t>6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"/>
        </w:rPr>
        <w:t>h，两组患儿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"/>
        </w:rPr>
        <w:t>m-</w:t>
      </w:r>
      <w:r>
        <w:rPr>
          <w:color w:val="231F20"/>
        </w:rPr>
        <w:t>YPAS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"/>
        </w:rPr>
        <w:t>量表评分接近。随着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时间推移，观察组患儿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5"/>
        </w:rPr>
        <w:t>m-</w:t>
      </w:r>
      <w:r>
        <w:rPr>
          <w:color w:val="231F20"/>
        </w:rPr>
        <w:t>YPAS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5"/>
        </w:rPr>
        <w:t>量表评分逐渐升高；对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照组等待手术时评分较前提高明显，术后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"/>
        </w:rPr>
        <w:t>6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2"/>
        </w:rPr>
        <w:t>h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2"/>
        </w:rPr>
        <w:t>评分较等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待手术时有所降低，差异均有统计学意义；观察组各时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间点评分均低于对照组。详见表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1。</w:t>
      </w:r>
    </w:p>
    <w:p>
      <w:pPr>
        <w:pStyle w:val="BodyText"/>
        <w:ind w:left="232"/>
        <w:spacing w:before="95" w:line="222" w:lineRule="auto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25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1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两组患儿入院后不同时间</w:t>
      </w:r>
      <w:r>
        <w:rPr>
          <w:rFonts w:ascii="SimHei" w:hAnsi="SimHei" w:eastAsia="SimHei" w:cs="SimHei"/>
          <w:sz w:val="16"/>
          <w:szCs w:val="16"/>
          <w:color w:val="231F20"/>
          <w:spacing w:val="-38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m-YPAS</w:t>
      </w:r>
      <w:r>
        <w:rPr>
          <w:rFonts w:ascii="SimHei" w:hAnsi="SimHei" w:eastAsia="SimHei" w:cs="SimHei"/>
          <w:sz w:val="16"/>
          <w:szCs w:val="16"/>
          <w:color w:val="231F20"/>
          <w:spacing w:val="-31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量表评分比较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 xml:space="preserve"> </w:t>
      </w:r>
      <w:r>
        <w:rPr>
          <w:sz w:val="16"/>
          <w:szCs w:val="16"/>
          <w:color w:val="231F20"/>
          <w:spacing w:val="-3"/>
        </w:rPr>
        <w:t>（</w:t>
      </w:r>
      <w:r>
        <w:rPr>
          <w:rFonts w:ascii="Arial" w:hAnsi="Arial" w:eastAsia="Arial" w:cs="Arial"/>
          <w:sz w:val="16"/>
          <w:szCs w:val="16"/>
          <w:color w:val="231F20"/>
          <w:spacing w:val="-3"/>
          <w:position w:val="1"/>
        </w:rPr>
        <w:t>X</w:t>
      </w:r>
      <w:r>
        <w:rPr>
          <w:sz w:val="16"/>
          <w:szCs w:val="16"/>
          <w:position w:val="9"/>
        </w:rPr>
        <w:drawing>
          <wp:inline distT="0" distB="0" distL="0" distR="0">
            <wp:extent cx="2623" cy="3594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23" cy="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6"/>
          <w:szCs w:val="16"/>
          <w:color w:val="231F20"/>
          <w:spacing w:val="-15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3"/>
          <w:position w:val="1"/>
        </w:rPr>
        <w:t>±S</w:t>
      </w:r>
      <w:r>
        <w:rPr>
          <w:sz w:val="16"/>
          <w:szCs w:val="16"/>
          <w:color w:val="231F20"/>
          <w:spacing w:val="-3"/>
        </w:rPr>
        <w:t>）</w:t>
      </w:r>
    </w:p>
    <w:p>
      <w:pPr>
        <w:pStyle w:val="BodyText"/>
        <w:ind w:firstLine="82"/>
        <w:spacing w:before="40" w:line="935" w:lineRule="exact"/>
        <w:rPr/>
      </w:pPr>
      <w:r>
        <w:rPr>
          <w:position w:val="-18"/>
        </w:rPr>
        <w:pict>
          <v:group id="_x0000_s22" style="mso-position-vertical-relative:line;mso-position-horizontal-relative:char;width:231.05pt;height:46.8pt;" filled="false" stroked="false" coordsize="4621,935" coordorigin="0,0">
            <v:shape id="_x0000_s24" style="position:absolute;left:0;top:0;width:4621;height:935;" filled="false" stroked="false" type="#_x0000_t75">
              <v:imagedata o:title="" r:id="rId8"/>
            </v:shape>
            <v:shape id="_x0000_s26" style="position:absolute;left:-20;top:-20;width:4661;height:9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2"/>
                      <w:spacing w:before="100" w:line="220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10"/>
                      </w:rPr>
                      <w:t>组  别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3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10"/>
                      </w:rPr>
                      <w:t>例数  入院后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3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10"/>
                      </w:rPr>
                      <w:t>6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3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10"/>
                      </w:rPr>
                      <w:t>h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4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10"/>
                      </w:rPr>
                      <w:t>等待手术时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10"/>
                      </w:rPr>
                      <w:t>术后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3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10"/>
                      </w:rPr>
                      <w:t>6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3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10"/>
                      </w:rPr>
                      <w:t>h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8"/>
                      </w:rPr>
                      <w:t xml:space="preserve">     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10"/>
                      </w:rPr>
                      <w:t>F，P</w:t>
                    </w:r>
                  </w:p>
                  <w:p>
                    <w:pPr>
                      <w:ind w:left="110"/>
                      <w:spacing w:before="116" w:line="220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12"/>
                      </w:rPr>
                      <w:t>观察组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11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12"/>
                      </w:rPr>
                      <w:t>43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9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12"/>
                      </w:rPr>
                      <w:t>29.4±5.3   33.4±10.8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13"/>
                      </w:rPr>
                      <w:t xml:space="preserve">  38.8±12.5   9.53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11"/>
                      </w:rPr>
                      <w:t>，＜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4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13"/>
                      </w:rPr>
                      <w:t>0.01</w:t>
                    </w:r>
                  </w:p>
                  <w:p>
                    <w:pPr>
                      <w:ind w:left="110"/>
                      <w:spacing w:before="116" w:line="222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13"/>
                      </w:rPr>
                      <w:t>对照组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14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13"/>
                      </w:rPr>
                      <w:t>37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9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13"/>
                      </w:rPr>
                      <w:t>30.8±6.4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41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13"/>
                      </w:rPr>
                      <w:t>47.1±15.7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14"/>
                      </w:rPr>
                      <w:t xml:space="preserve">   43.5±14.4  16.45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12"/>
                      </w:rPr>
                      <w:t>，＜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4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14"/>
                      </w:rPr>
                      <w:t>0.01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92"/>
        <w:spacing w:before="227" w:line="220" w:lineRule="auto"/>
        <w:rPr/>
      </w:pPr>
      <w:r>
        <w:rPr>
          <w:color w:val="231F20"/>
          <w:spacing w:val="-1"/>
        </w:rPr>
        <w:t>2.3  两组患儿干预前后恐惧情况比较</w:t>
      </w:r>
    </w:p>
    <w:p>
      <w:pPr>
        <w:pStyle w:val="BodyText"/>
        <w:ind w:left="89" w:firstLine="379"/>
        <w:spacing w:before="69" w:line="285" w:lineRule="auto"/>
        <w:jc w:val="both"/>
        <w:rPr/>
      </w:pPr>
      <w:r>
        <w:rPr>
          <w:color w:val="231F20"/>
          <w:spacing w:val="-3"/>
        </w:rPr>
        <w:t>干预前两组患儿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3"/>
        </w:rPr>
        <w:t>CMFS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3"/>
        </w:rPr>
        <w:t>各维度评分接近。干预后两组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患儿医疗环境、医疗操作、人际关系、自我恐惧得分均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2"/>
        </w:rPr>
        <w:t>较前降低，差异均有统计学意义（t</w:t>
      </w:r>
      <w:r>
        <w:rPr>
          <w:sz w:val="11"/>
          <w:szCs w:val="11"/>
          <w:color w:val="231F20"/>
          <w:spacing w:val="2"/>
          <w:position w:val="-3"/>
        </w:rPr>
        <w:t>观察组 </w:t>
      </w:r>
      <w:r>
        <w:rPr>
          <w:color w:val="231F20"/>
          <w:spacing w:val="2"/>
        </w:rPr>
        <w:t>=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2"/>
        </w:rPr>
        <w:t>8.86、4.98、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11.42、7.47，t</w:t>
      </w:r>
      <w:r>
        <w:rPr>
          <w:sz w:val="11"/>
          <w:szCs w:val="11"/>
          <w:color w:val="231F20"/>
          <w:spacing w:val="-2"/>
          <w:position w:val="-3"/>
        </w:rPr>
        <w:t>对照组</w:t>
      </w:r>
      <w:r>
        <w:rPr>
          <w:sz w:val="11"/>
          <w:szCs w:val="11"/>
          <w:color w:val="231F20"/>
          <w:spacing w:val="-14"/>
          <w:position w:val="-3"/>
        </w:rPr>
        <w:t xml:space="preserve"> </w:t>
      </w:r>
      <w:r>
        <w:rPr>
          <w:color w:val="231F20"/>
          <w:spacing w:val="-2"/>
        </w:rPr>
        <w:t>=</w:t>
      </w:r>
      <w:r>
        <w:rPr>
          <w:color w:val="231F20"/>
          <w:spacing w:val="-56"/>
        </w:rPr>
        <w:t xml:space="preserve"> </w:t>
      </w:r>
      <w:r>
        <w:rPr>
          <w:color w:val="231F20"/>
          <w:spacing w:val="-14"/>
        </w:rPr>
        <w:t>4.33、4.06、6.14、2.93，P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14"/>
        </w:rPr>
        <w:t>＜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14"/>
        </w:rPr>
        <w:t>0.01</w:t>
      </w:r>
      <w:r>
        <w:rPr>
          <w:color w:val="231F20"/>
          <w:spacing w:val="-38"/>
        </w:rPr>
        <w:t>）；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观察组各项得分均低于对照组。详见表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2。</w:t>
      </w:r>
    </w:p>
    <w:p>
      <w:pPr>
        <w:pStyle w:val="BodyText"/>
        <w:ind w:left="92"/>
        <w:spacing w:before="13" w:line="220" w:lineRule="auto"/>
        <w:rPr/>
      </w:pPr>
      <w:r>
        <w:rPr>
          <w:color w:val="231F20"/>
          <w:spacing w:val="-1"/>
        </w:rPr>
        <w:t>2.4  两组患儿穿刺过程中配合度比较</w:t>
      </w:r>
    </w:p>
    <w:p>
      <w:pPr>
        <w:pStyle w:val="BodyText"/>
        <w:ind w:left="89" w:right="13" w:firstLine="387"/>
        <w:spacing w:before="73" w:line="289" w:lineRule="auto"/>
        <w:jc w:val="both"/>
        <w:rPr/>
      </w:pPr>
      <w:r>
        <w:rPr>
          <w:color w:val="231F20"/>
          <w:spacing w:val="1"/>
        </w:rPr>
        <w:t>穿刺过程中，观察组患儿完全配合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"/>
        </w:rPr>
        <w:t>28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"/>
        </w:rPr>
        <w:t>例（65.1%</w:t>
      </w:r>
      <w:r>
        <w:rPr>
          <w:color w:val="231F20"/>
          <w:spacing w:val="-44"/>
          <w:w w:val="88"/>
        </w:rPr>
        <w:t>），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基本配合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10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5"/>
        </w:rPr>
        <w:t>例（23.3%</w:t>
      </w:r>
      <w:r>
        <w:rPr>
          <w:color w:val="231F20"/>
          <w:spacing w:val="-14"/>
        </w:rPr>
        <w:t>），</w:t>
      </w:r>
      <w:r>
        <w:rPr>
          <w:color w:val="231F20"/>
          <w:spacing w:val="-5"/>
        </w:rPr>
        <w:t>一般配合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5"/>
        </w:rPr>
        <w:t>3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5"/>
        </w:rPr>
        <w:t>例（7.0%</w:t>
      </w:r>
      <w:r>
        <w:rPr>
          <w:color w:val="231F20"/>
          <w:spacing w:val="-14"/>
        </w:rPr>
        <w:t>），</w:t>
      </w:r>
      <w:r>
        <w:rPr>
          <w:color w:val="231F20"/>
          <w:spacing w:val="-5"/>
        </w:rPr>
        <w:t>不配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合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5"/>
        </w:rPr>
        <w:t>2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5"/>
        </w:rPr>
        <w:t>例（4.7%</w:t>
      </w:r>
      <w:r>
        <w:rPr>
          <w:color w:val="231F20"/>
          <w:spacing w:val="-14"/>
        </w:rPr>
        <w:t>）；</w:t>
      </w:r>
      <w:r>
        <w:rPr>
          <w:color w:val="231F20"/>
          <w:spacing w:val="-5"/>
        </w:rPr>
        <w:t>对照组完全配合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10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5"/>
        </w:rPr>
        <w:t>例（27.0%</w:t>
      </w:r>
      <w:r>
        <w:rPr>
          <w:color w:val="231F20"/>
          <w:spacing w:val="-14"/>
        </w:rPr>
        <w:t>），</w:t>
      </w:r>
      <w:r>
        <w:rPr>
          <w:color w:val="231F20"/>
          <w:spacing w:val="-5"/>
        </w:rPr>
        <w:t>基本</w:t>
      </w:r>
    </w:p>
    <w:p>
      <w:pPr>
        <w:spacing w:line="289" w:lineRule="auto"/>
        <w:sectPr>
          <w:type w:val="continuous"/>
          <w:pgSz w:w="11906" w:h="16158"/>
          <w:pgMar w:top="1105" w:right="1066" w:bottom="849" w:left="424" w:header="776" w:footer="679" w:gutter="0"/>
          <w:cols w:equalWidth="0" w:num="2">
            <w:col w:w="5545" w:space="100"/>
            <w:col w:w="4771" w:space="0"/>
          </w:cols>
        </w:sectPr>
        <w:rPr/>
      </w:pPr>
    </w:p>
    <w:p>
      <w:pPr>
        <w:pStyle w:val="BodyText"/>
        <w:ind w:left="3848"/>
        <w:spacing w:before="145" w:line="222" w:lineRule="auto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29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2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两组患儿干预前后</w:t>
      </w:r>
      <w:r>
        <w:rPr>
          <w:rFonts w:ascii="SimHei" w:hAnsi="SimHei" w:eastAsia="SimHei" w:cs="SimHei"/>
          <w:sz w:val="16"/>
          <w:szCs w:val="16"/>
          <w:color w:val="231F20"/>
          <w:spacing w:val="-35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CMFS</w:t>
      </w:r>
      <w:r>
        <w:rPr>
          <w:rFonts w:ascii="SimHei" w:hAnsi="SimHei" w:eastAsia="SimHei" w:cs="SimHei"/>
          <w:sz w:val="16"/>
          <w:szCs w:val="16"/>
          <w:color w:val="231F20"/>
          <w:spacing w:val="-34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评分比较</w:t>
      </w:r>
      <w:r>
        <w:rPr>
          <w:rFonts w:ascii="SimHei" w:hAnsi="SimHei" w:eastAsia="SimHei" w:cs="SimHei"/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  <w:spacing w:val="-3"/>
        </w:rPr>
        <w:t>(</w:t>
      </w:r>
      <w:r>
        <w:rPr>
          <w:sz w:val="16"/>
          <w:szCs w:val="16"/>
          <w:color w:val="231F20"/>
          <w:spacing w:val="-56"/>
        </w:rPr>
        <w:t xml:space="preserve"> </w:t>
      </w:r>
      <w:r>
        <w:rPr>
          <w:sz w:val="16"/>
          <w:szCs w:val="16"/>
        </w:rPr>
        <w:drawing>
          <wp:inline distT="0" distB="0" distL="0" distR="0">
            <wp:extent cx="189954" cy="6361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954" cy="6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color w:val="231F20"/>
          <w:spacing w:val="-3"/>
        </w:rPr>
        <w:t>)</w:t>
      </w:r>
    </w:p>
    <w:p>
      <w:pPr>
        <w:spacing w:line="72" w:lineRule="exact"/>
        <w:rPr/>
      </w:pPr>
      <w:r/>
    </w:p>
    <w:p>
      <w:pPr>
        <w:spacing w:line="72" w:lineRule="exact"/>
        <w:sectPr>
          <w:type w:val="continuous"/>
          <w:pgSz w:w="11906" w:h="16158"/>
          <w:pgMar w:top="1105" w:right="1066" w:bottom="849" w:left="424" w:header="776" w:footer="679" w:gutter="0"/>
          <w:cols w:equalWidth="0" w:num="1">
            <w:col w:w="10416" w:space="0"/>
          </w:cols>
        </w:sectPr>
        <w:rPr/>
      </w:pPr>
    </w:p>
    <w:p>
      <w:pPr>
        <w:pStyle w:val="BodyText"/>
        <w:ind w:left="803"/>
        <w:spacing w:before="169" w:line="220" w:lineRule="auto"/>
        <w:rPr>
          <w:sz w:val="16"/>
          <w:szCs w:val="16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450759</wp:posOffset>
            </wp:positionH>
            <wp:positionV relativeFrom="paragraph">
              <wp:posOffset>-20030</wp:posOffset>
            </wp:positionV>
            <wp:extent cx="6120005" cy="703404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0005" cy="703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color w:val="231F20"/>
          <w:spacing w:val="-5"/>
        </w:rPr>
        <w:t>组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  <w:spacing w:val="-5"/>
        </w:rPr>
        <w:t>别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-5"/>
        </w:rPr>
        <w:t>例数</w:t>
      </w:r>
    </w:p>
    <w:sdt>
      <w:sdtPr>
        <w:rPr>
          <w:rFonts w:ascii="SimSun" w:hAnsi="SimSun" w:eastAsia="SimSun" w:cs="SimSun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SimSun" w:hAnsi="SimSun" w:eastAsia="SimSun" w:cs="SimSun"/>
          <w:sz w:val="16"/>
          <w:szCs w:val="16"/>
        </w:rPr>
      </w:sdtEndPr>
      <w:sdtContent>
        <w:p>
          <w:pPr>
            <w:pStyle w:val="BodyText"/>
            <w:ind w:left="800"/>
            <w:spacing w:before="219" w:line="220" w:lineRule="auto"/>
            <w:rPr>
              <w:sz w:val="16"/>
              <w:szCs w:val="16"/>
            </w:rPr>
          </w:pPr>
          <w:hyperlink w:history="true" w:anchor="bookmark1">
            <w:r>
              <w:rPr>
                <w:sz w:val="16"/>
                <w:szCs w:val="16"/>
                <w:color w:val="231F20"/>
                <w:spacing w:val="-2"/>
              </w:rPr>
              <w:t>观察组</w:t>
            </w:r>
            <w:r>
              <w:rPr>
                <w:sz w:val="16"/>
                <w:szCs w:val="16"/>
                <w:color w:val="231F20"/>
                <w:spacing w:val="13"/>
              </w:rPr>
              <w:t xml:space="preserve">  </w:t>
            </w:r>
            <w:r>
              <w:rPr>
                <w:sz w:val="16"/>
                <w:szCs w:val="16"/>
                <w:color w:val="231F20"/>
                <w:spacing w:val="-2"/>
              </w:rPr>
              <w:t>43</w:t>
            </w:r>
          </w:hyperlink>
        </w:p>
        <w:p>
          <w:pPr>
            <w:pStyle w:val="BodyText"/>
            <w:ind w:left="799"/>
            <w:spacing w:before="83" w:line="185" w:lineRule="auto"/>
            <w:rPr>
              <w:sz w:val="16"/>
              <w:szCs w:val="16"/>
            </w:rPr>
          </w:pPr>
          <w:hyperlink w:history="true" w:anchor="bookmark2">
            <w:r>
              <w:rPr>
                <w:sz w:val="16"/>
                <w:szCs w:val="16"/>
                <w:color w:val="231F20"/>
                <w:spacing w:val="-3"/>
              </w:rPr>
              <w:t>对照组</w:t>
            </w:r>
            <w:r>
              <w:rPr>
                <w:sz w:val="16"/>
                <w:szCs w:val="16"/>
                <w:color w:val="231F20"/>
                <w:spacing w:val="16"/>
              </w:rPr>
              <w:t xml:space="preserve">  </w:t>
            </w:r>
            <w:r>
              <w:rPr>
                <w:sz w:val="16"/>
                <w:szCs w:val="16"/>
                <w:color w:val="231F20"/>
                <w:spacing w:val="-3"/>
              </w:rPr>
              <w:t>37</w:t>
            </w:r>
          </w:hyperlink>
        </w:p>
      </w:sdtContent>
    </w:sdt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46"/>
        <w:spacing w:before="31" w:line="22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医疗环境</w:t>
      </w:r>
    </w:p>
    <w:p>
      <w:pPr>
        <w:pStyle w:val="BodyText"/>
        <w:ind w:left="79"/>
        <w:spacing w:before="81" w:line="22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干预前</w:t>
      </w:r>
      <w:r>
        <w:rPr>
          <w:sz w:val="16"/>
          <w:szCs w:val="16"/>
          <w:color w:val="231F20"/>
          <w:spacing w:val="6"/>
        </w:rPr>
        <w:t xml:space="preserve">       </w:t>
      </w:r>
      <w:r>
        <w:rPr>
          <w:sz w:val="16"/>
          <w:szCs w:val="16"/>
          <w:color w:val="231F20"/>
          <w:spacing w:val="-2"/>
        </w:rPr>
        <w:t>干预后</w:t>
      </w:r>
    </w:p>
    <w:p>
      <w:pPr>
        <w:pStyle w:val="BodyText"/>
        <w:spacing w:before="83" w:line="23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8.3±1.3</w:t>
      </w:r>
      <w:r>
        <w:rPr>
          <w:sz w:val="16"/>
          <w:szCs w:val="16"/>
          <w:color w:val="231F20"/>
          <w:spacing w:val="11"/>
        </w:rPr>
        <w:t xml:space="preserve">     </w:t>
      </w:r>
      <w:r>
        <w:rPr>
          <w:sz w:val="16"/>
          <w:szCs w:val="16"/>
          <w:color w:val="231F20"/>
          <w:spacing w:val="-2"/>
        </w:rPr>
        <w:t>6.0±1.1</w:t>
      </w:r>
    </w:p>
    <w:p>
      <w:pPr>
        <w:pStyle w:val="BodyText"/>
        <w:spacing w:before="69" w:line="18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8.7±1.9</w:t>
      </w:r>
      <w:r>
        <w:rPr>
          <w:sz w:val="16"/>
          <w:szCs w:val="16"/>
          <w:color w:val="231F20"/>
          <w:spacing w:val="11"/>
        </w:rPr>
        <w:t xml:space="preserve">     </w:t>
      </w:r>
      <w:r>
        <w:rPr>
          <w:sz w:val="16"/>
          <w:szCs w:val="16"/>
          <w:color w:val="231F20"/>
          <w:spacing w:val="-2"/>
        </w:rPr>
        <w:t>7.1±1.2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46"/>
        <w:spacing w:before="31" w:line="22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医疗操作</w:t>
      </w:r>
    </w:p>
    <w:p>
      <w:pPr>
        <w:pStyle w:val="BodyText"/>
        <w:ind w:left="79"/>
        <w:spacing w:before="82" w:line="22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干预前</w:t>
      </w:r>
      <w:r>
        <w:rPr>
          <w:sz w:val="16"/>
          <w:szCs w:val="16"/>
          <w:color w:val="231F20"/>
          <w:spacing w:val="6"/>
        </w:rPr>
        <w:t xml:space="preserve">       </w:t>
      </w:r>
      <w:r>
        <w:rPr>
          <w:sz w:val="16"/>
          <w:szCs w:val="16"/>
          <w:color w:val="231F20"/>
          <w:spacing w:val="-2"/>
        </w:rPr>
        <w:t>干预后</w:t>
      </w:r>
    </w:p>
    <w:p>
      <w:pPr>
        <w:pStyle w:val="BodyText"/>
        <w:ind w:left="3"/>
        <w:spacing w:before="83" w:line="23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7.9±1.5</w:t>
      </w:r>
      <w:r>
        <w:rPr>
          <w:sz w:val="16"/>
          <w:szCs w:val="16"/>
          <w:color w:val="231F20"/>
          <w:spacing w:val="10"/>
        </w:rPr>
        <w:t xml:space="preserve">     </w:t>
      </w:r>
      <w:r>
        <w:rPr>
          <w:sz w:val="16"/>
          <w:szCs w:val="16"/>
          <w:color w:val="231F20"/>
          <w:spacing w:val="-2"/>
        </w:rPr>
        <w:t>6.7±0.5</w:t>
      </w:r>
    </w:p>
    <w:p>
      <w:pPr>
        <w:pStyle w:val="BodyText"/>
        <w:spacing w:before="69" w:line="18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8.2±1.2</w:t>
      </w:r>
      <w:r>
        <w:rPr>
          <w:sz w:val="16"/>
          <w:szCs w:val="16"/>
          <w:color w:val="231F20"/>
          <w:spacing w:val="11"/>
        </w:rPr>
        <w:t xml:space="preserve">     </w:t>
      </w:r>
      <w:r>
        <w:rPr>
          <w:sz w:val="16"/>
          <w:szCs w:val="16"/>
          <w:color w:val="231F20"/>
          <w:spacing w:val="-2"/>
        </w:rPr>
        <w:t>7.2±0.9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40"/>
        <w:spacing w:before="31" w:line="22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人际关系</w:t>
      </w:r>
    </w:p>
    <w:p>
      <w:pPr>
        <w:pStyle w:val="BodyText"/>
        <w:ind w:left="79"/>
        <w:spacing w:before="81" w:line="22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干预前</w:t>
      </w:r>
      <w:r>
        <w:rPr>
          <w:sz w:val="16"/>
          <w:szCs w:val="16"/>
          <w:color w:val="231F20"/>
          <w:spacing w:val="6"/>
        </w:rPr>
        <w:t xml:space="preserve">       </w:t>
      </w:r>
      <w:r>
        <w:rPr>
          <w:sz w:val="16"/>
          <w:szCs w:val="16"/>
          <w:color w:val="231F20"/>
          <w:spacing w:val="-2"/>
        </w:rPr>
        <w:t>干预后</w:t>
      </w:r>
    </w:p>
    <w:p>
      <w:pPr>
        <w:pStyle w:val="BodyText"/>
        <w:spacing w:before="83" w:line="23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8.2±1.1</w:t>
      </w:r>
      <w:r>
        <w:rPr>
          <w:sz w:val="16"/>
          <w:szCs w:val="16"/>
          <w:color w:val="231F20"/>
          <w:spacing w:val="11"/>
        </w:rPr>
        <w:t xml:space="preserve">     </w:t>
      </w:r>
      <w:r>
        <w:rPr>
          <w:sz w:val="16"/>
          <w:szCs w:val="16"/>
          <w:color w:val="231F20"/>
          <w:spacing w:val="-2"/>
        </w:rPr>
        <w:t>5.1±1.4</w:t>
      </w:r>
    </w:p>
    <w:p>
      <w:pPr>
        <w:pStyle w:val="BodyText"/>
        <w:spacing w:before="69" w:line="18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8.4±1.4</w:t>
      </w:r>
      <w:r>
        <w:rPr>
          <w:sz w:val="16"/>
          <w:szCs w:val="16"/>
          <w:color w:val="231F20"/>
          <w:spacing w:val="11"/>
        </w:rPr>
        <w:t xml:space="preserve">     </w:t>
      </w:r>
      <w:r>
        <w:rPr>
          <w:sz w:val="16"/>
          <w:szCs w:val="16"/>
          <w:color w:val="231F20"/>
          <w:spacing w:val="-2"/>
        </w:rPr>
        <w:t>6.1±1.8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65"/>
        <w:spacing w:before="31" w:line="22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7"/>
        </w:rPr>
        <w:t>自我恐惧</w:t>
      </w:r>
    </w:p>
    <w:p>
      <w:pPr>
        <w:pStyle w:val="BodyText"/>
        <w:ind w:left="79"/>
        <w:spacing w:before="81" w:line="22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干预前</w:t>
      </w:r>
      <w:r>
        <w:rPr>
          <w:sz w:val="16"/>
          <w:szCs w:val="16"/>
          <w:color w:val="231F20"/>
          <w:spacing w:val="6"/>
        </w:rPr>
        <w:t xml:space="preserve">       </w:t>
      </w:r>
      <w:r>
        <w:rPr>
          <w:sz w:val="16"/>
          <w:szCs w:val="16"/>
          <w:color w:val="231F20"/>
          <w:spacing w:val="-2"/>
        </w:rPr>
        <w:t>干预后</w:t>
      </w:r>
    </w:p>
    <w:p>
      <w:pPr>
        <w:pStyle w:val="BodyText"/>
        <w:spacing w:before="83" w:line="23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8.8±2.0</w:t>
      </w:r>
      <w:r>
        <w:rPr>
          <w:sz w:val="16"/>
          <w:szCs w:val="16"/>
          <w:color w:val="231F20"/>
          <w:spacing w:val="11"/>
        </w:rPr>
        <w:t xml:space="preserve">     </w:t>
      </w:r>
      <w:r>
        <w:rPr>
          <w:sz w:val="16"/>
          <w:szCs w:val="16"/>
          <w:color w:val="231F20"/>
          <w:spacing w:val="-2"/>
        </w:rPr>
        <w:t>6.2±1.1</w:t>
      </w:r>
    </w:p>
    <w:p>
      <w:pPr>
        <w:pStyle w:val="BodyText"/>
        <w:spacing w:before="69" w:line="18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8.5±2.1</w:t>
      </w:r>
      <w:r>
        <w:rPr>
          <w:sz w:val="16"/>
          <w:szCs w:val="16"/>
          <w:color w:val="231F20"/>
          <w:spacing w:val="11"/>
        </w:rPr>
        <w:t xml:space="preserve">     </w:t>
      </w:r>
      <w:r>
        <w:rPr>
          <w:sz w:val="16"/>
          <w:szCs w:val="16"/>
          <w:color w:val="231F20"/>
          <w:spacing w:val="-2"/>
        </w:rPr>
        <w:t>7.2±1.7</w:t>
      </w:r>
    </w:p>
    <w:p>
      <w:pPr>
        <w:spacing w:line="185" w:lineRule="auto"/>
        <w:sectPr>
          <w:type w:val="continuous"/>
          <w:pgSz w:w="11906" w:h="16158"/>
          <w:pgMar w:top="1105" w:right="1066" w:bottom="849" w:left="424" w:header="776" w:footer="679" w:gutter="0"/>
          <w:cols w:equalWidth="0" w:num="5">
            <w:col w:w="1855" w:space="100"/>
            <w:col w:w="2055" w:space="100"/>
            <w:col w:w="2055" w:space="100"/>
            <w:col w:w="2055" w:space="100"/>
            <w:col w:w="1998" w:space="0"/>
          </w:cols>
        </w:sectPr>
        <w:rPr>
          <w:sz w:val="16"/>
          <w:szCs w:val="16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3528"/>
        <w:spacing w:before="52" w:line="222" w:lineRule="auto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1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34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1"/>
        </w:rPr>
        <w:t>3</w:t>
      </w:r>
      <w:r>
        <w:rPr>
          <w:rFonts w:ascii="SimHei" w:hAnsi="SimHei" w:eastAsia="SimHei" w:cs="SimHei"/>
          <w:sz w:val="16"/>
          <w:szCs w:val="16"/>
          <w:color w:val="231F20"/>
          <w:spacing w:val="-1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1"/>
        </w:rPr>
        <w:t>两组患儿主要照护者</w:t>
      </w:r>
      <w:r>
        <w:rPr>
          <w:rFonts w:ascii="SimHei" w:hAnsi="SimHei" w:eastAsia="SimHei" w:cs="SimHei"/>
          <w:sz w:val="16"/>
          <w:szCs w:val="16"/>
          <w:color w:val="231F20"/>
          <w:spacing w:val="-33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1"/>
        </w:rPr>
        <w:t>HAMD、HAMA</w:t>
      </w:r>
      <w:r>
        <w:rPr>
          <w:rFonts w:ascii="SimHei" w:hAnsi="SimHei" w:eastAsia="SimHei" w:cs="SimHei"/>
          <w:sz w:val="16"/>
          <w:szCs w:val="16"/>
          <w:color w:val="231F20"/>
          <w:spacing w:val="-33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1"/>
        </w:rPr>
        <w:t>得分比较</w:t>
      </w:r>
      <w:r>
        <w:rPr>
          <w:rFonts w:ascii="SimHei" w:hAnsi="SimHei" w:eastAsia="SimHei" w:cs="SimHei"/>
          <w:sz w:val="16"/>
          <w:szCs w:val="16"/>
          <w:color w:val="231F20"/>
          <w:spacing w:val="-1"/>
        </w:rPr>
        <w:t xml:space="preserve"> </w:t>
      </w:r>
      <w:r>
        <w:rPr>
          <w:sz w:val="16"/>
          <w:szCs w:val="16"/>
          <w:color w:val="231F20"/>
          <w:spacing w:val="-1"/>
        </w:rPr>
        <w:t>（</w:t>
      </w:r>
      <w:r>
        <w:rPr>
          <w:rFonts w:ascii="Arial" w:hAnsi="Arial" w:eastAsia="Arial" w:cs="Arial"/>
          <w:sz w:val="12"/>
          <w:szCs w:val="12"/>
          <w:color w:val="231F20"/>
          <w:spacing w:val="-1"/>
          <w:position w:val="1"/>
        </w:rPr>
        <w:t>X</w:t>
      </w:r>
      <w:r>
        <w:rPr>
          <w:sz w:val="12"/>
          <w:szCs w:val="12"/>
          <w:position w:val="11"/>
        </w:rPr>
        <w:drawing>
          <wp:inline distT="0" distB="0" distL="0" distR="0">
            <wp:extent cx="2625" cy="3593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25" cy="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2"/>
          <w:szCs w:val="12"/>
          <w:color w:val="231F20"/>
          <w:spacing w:val="-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1"/>
          <w:position w:val="1"/>
        </w:rPr>
        <w:t>土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2"/>
          <w:position w:val="1"/>
        </w:rPr>
        <w:t>S</w:t>
      </w:r>
      <w:r>
        <w:rPr>
          <w:sz w:val="16"/>
          <w:szCs w:val="16"/>
          <w:color w:val="231F20"/>
          <w:spacing w:val="-2"/>
        </w:rPr>
        <w:t>）</w:t>
      </w:r>
    </w:p>
    <w:p>
      <w:pPr>
        <w:spacing w:line="97" w:lineRule="exact"/>
        <w:rPr/>
      </w:pPr>
      <w:r/>
    </w:p>
    <w:p>
      <w:pPr>
        <w:spacing w:line="97" w:lineRule="exact"/>
        <w:sectPr>
          <w:headerReference w:type="default" r:id="rId11"/>
          <w:footerReference w:type="default" r:id="rId12"/>
          <w:pgSz w:w="11906" w:h="16158"/>
          <w:pgMar w:top="1105" w:right="1064" w:bottom="354" w:left="424" w:header="776" w:footer="0" w:gutter="0"/>
          <w:cols w:equalWidth="0" w:num="1">
            <w:col w:w="10418" w:space="0"/>
          </w:cols>
        </w:sectPr>
        <w:rPr/>
      </w:pPr>
    </w:p>
    <w:p>
      <w:pPr>
        <w:pStyle w:val="BodyText"/>
        <w:ind w:left="803"/>
        <w:spacing w:before="144" w:line="220" w:lineRule="auto"/>
        <w:rPr>
          <w:sz w:val="16"/>
          <w:szCs w:val="16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450759</wp:posOffset>
            </wp:positionH>
            <wp:positionV relativeFrom="paragraph">
              <wp:posOffset>-35270</wp:posOffset>
            </wp:positionV>
            <wp:extent cx="6120005" cy="703404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0005" cy="703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color w:val="231F20"/>
          <w:spacing w:val="-6"/>
        </w:rPr>
        <w:t>组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  <w:spacing w:val="-6"/>
        </w:rPr>
        <w:t>别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-6"/>
        </w:rPr>
        <w:t>人数</w:t>
      </w:r>
    </w:p>
    <w:sdt>
      <w:sdtPr>
        <w:rPr>
          <w:rFonts w:ascii="SimSun" w:hAnsi="SimSun" w:eastAsia="SimSun" w:cs="SimSun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SimSun" w:hAnsi="SimSun" w:eastAsia="SimSun" w:cs="SimSun"/>
          <w:sz w:val="16"/>
          <w:szCs w:val="16"/>
        </w:rPr>
      </w:sdtEndPr>
      <w:sdtContent>
        <w:p>
          <w:pPr>
            <w:pStyle w:val="BodyText"/>
            <w:ind w:left="801"/>
            <w:spacing w:before="219" w:line="220" w:lineRule="auto"/>
            <w:rPr>
              <w:sz w:val="16"/>
              <w:szCs w:val="16"/>
            </w:rPr>
          </w:pPr>
          <w:r>
            <w:rPr>
              <w:sz w:val="16"/>
              <w:szCs w:val="16"/>
              <w:color w:val="231F20"/>
              <w:spacing w:val="-2"/>
            </w:rPr>
            <w:t>观察组</w:t>
          </w:r>
          <w:r>
            <w:rPr>
              <w:sz w:val="16"/>
              <w:szCs w:val="16"/>
              <w:color w:val="231F20"/>
              <w:spacing w:val="14"/>
            </w:rPr>
            <w:t xml:space="preserve">  </w:t>
          </w:r>
          <w:r>
            <w:rPr>
              <w:sz w:val="16"/>
              <w:szCs w:val="16"/>
              <w:color w:val="231F20"/>
              <w:spacing w:val="-2"/>
            </w:rPr>
            <w:t>43</w:t>
          </w:r>
        </w:p>
        <w:p>
          <w:pPr>
            <w:pStyle w:val="BodyText"/>
            <w:ind w:left="800"/>
            <w:spacing w:before="82" w:line="185" w:lineRule="auto"/>
            <w:rPr>
              <w:sz w:val="16"/>
              <w:szCs w:val="16"/>
            </w:rPr>
          </w:pPr>
          <w:r>
            <w:rPr>
              <w:sz w:val="16"/>
              <w:szCs w:val="16"/>
              <w:color w:val="231F20"/>
              <w:spacing w:val="-3"/>
            </w:rPr>
            <w:t>对照组</w:t>
          </w:r>
          <w:r>
            <w:rPr>
              <w:sz w:val="16"/>
              <w:szCs w:val="16"/>
              <w:color w:val="231F20"/>
              <w:spacing w:val="18"/>
            </w:rPr>
            <w:t xml:space="preserve">  </w:t>
          </w:r>
          <w:r>
            <w:rPr>
              <w:sz w:val="16"/>
              <w:szCs w:val="16"/>
              <w:color w:val="231F20"/>
              <w:spacing w:val="-3"/>
            </w:rPr>
            <w:t>37</w:t>
          </w:r>
        </w:p>
      </w:sdtContent>
    </w:sdt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7"/>
        <w:spacing w:before="279" w:line="22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干预前</w:t>
      </w:r>
    </w:p>
    <w:p>
      <w:pPr>
        <w:pStyle w:val="BodyText"/>
        <w:spacing w:before="83" w:line="23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10.8±3.1</w:t>
      </w:r>
    </w:p>
    <w:p>
      <w:pPr>
        <w:pStyle w:val="BodyText"/>
        <w:spacing w:before="69" w:line="18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11.1±3.0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56"/>
        <w:spacing w:before="31" w:line="18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HAMD</w:t>
      </w:r>
    </w:p>
    <w:p>
      <w:pPr>
        <w:pStyle w:val="BodyText"/>
        <w:ind w:left="78"/>
        <w:spacing w:before="89" w:line="22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干预后</w:t>
      </w:r>
    </w:p>
    <w:p>
      <w:pPr>
        <w:pStyle w:val="BodyText"/>
        <w:ind w:left="3"/>
        <w:spacing w:before="83" w:line="23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7.2±1.7</w:t>
      </w:r>
    </w:p>
    <w:p>
      <w:pPr>
        <w:pStyle w:val="BodyText"/>
        <w:spacing w:before="69" w:line="18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9.6±2.4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331"/>
        <w:spacing w:before="52" w:line="18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t，P</w:t>
      </w:r>
    </w:p>
    <w:p>
      <w:pPr>
        <w:pStyle w:val="BodyText"/>
        <w:spacing w:before="89" w:line="23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6.68</w:t>
      </w:r>
      <w:r>
        <w:rPr>
          <w:sz w:val="16"/>
          <w:szCs w:val="16"/>
          <w:color w:val="231F20"/>
          <w:spacing w:val="-5"/>
        </w:rPr>
        <w:t>，＜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1"/>
        </w:rPr>
        <w:t>0.01</w:t>
      </w:r>
    </w:p>
    <w:p>
      <w:pPr>
        <w:pStyle w:val="BodyText"/>
        <w:spacing w:before="72" w:line="18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2.56</w:t>
      </w:r>
      <w:r>
        <w:rPr>
          <w:sz w:val="16"/>
          <w:szCs w:val="16"/>
          <w:color w:val="231F20"/>
          <w:spacing w:val="-5"/>
        </w:rPr>
        <w:t>，＜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  <w:spacing w:val="-1"/>
        </w:rPr>
        <w:t>0.01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7"/>
        <w:spacing w:before="279" w:line="22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干预前</w:t>
      </w:r>
    </w:p>
    <w:p>
      <w:pPr>
        <w:pStyle w:val="BodyText"/>
        <w:spacing w:before="83" w:line="23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12.9±2.1</w:t>
      </w:r>
    </w:p>
    <w:p>
      <w:pPr>
        <w:pStyle w:val="BodyText"/>
        <w:spacing w:before="69" w:line="18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13.4±2.2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84"/>
        <w:spacing w:before="31" w:line="18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HAMA</w:t>
      </w:r>
    </w:p>
    <w:p>
      <w:pPr>
        <w:pStyle w:val="BodyText"/>
        <w:ind w:left="107"/>
        <w:spacing w:before="89" w:line="22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干预后</w:t>
      </w:r>
    </w:p>
    <w:p>
      <w:pPr>
        <w:pStyle w:val="BodyText"/>
        <w:spacing w:before="83" w:line="23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10.1±2.0</w:t>
      </w:r>
    </w:p>
    <w:p>
      <w:pPr>
        <w:pStyle w:val="BodyText"/>
        <w:spacing w:before="69" w:line="18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11.4±2.6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331"/>
        <w:spacing w:before="52" w:line="18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t，P</w:t>
      </w:r>
    </w:p>
    <w:p>
      <w:pPr>
        <w:pStyle w:val="BodyText"/>
        <w:spacing w:before="89" w:line="23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6.33</w:t>
      </w:r>
      <w:r>
        <w:rPr>
          <w:sz w:val="16"/>
          <w:szCs w:val="16"/>
          <w:color w:val="231F20"/>
          <w:spacing w:val="-5"/>
        </w:rPr>
        <w:t>，＜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1"/>
        </w:rPr>
        <w:t>0.01</w:t>
      </w:r>
    </w:p>
    <w:p>
      <w:pPr>
        <w:pStyle w:val="BodyText"/>
        <w:ind w:left="1"/>
        <w:spacing w:before="72" w:line="18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3.85</w:t>
      </w:r>
      <w:r>
        <w:rPr>
          <w:sz w:val="16"/>
          <w:szCs w:val="16"/>
          <w:color w:val="231F20"/>
          <w:spacing w:val="-1"/>
        </w:rPr>
        <w:t>，＜</w:t>
      </w:r>
      <w:r>
        <w:rPr>
          <w:sz w:val="16"/>
          <w:szCs w:val="16"/>
          <w:color w:val="231F20"/>
          <w:spacing w:val="-33"/>
        </w:rPr>
        <w:t xml:space="preserve"> </w:t>
      </w:r>
      <w:r>
        <w:rPr>
          <w:sz w:val="16"/>
          <w:szCs w:val="16"/>
          <w:color w:val="231F20"/>
          <w:spacing w:val="-2"/>
        </w:rPr>
        <w:t>0.01</w:t>
      </w:r>
    </w:p>
    <w:p>
      <w:pPr>
        <w:spacing w:line="185" w:lineRule="auto"/>
        <w:sectPr>
          <w:type w:val="continuous"/>
          <w:pgSz w:w="11906" w:h="16158"/>
          <w:pgMar w:top="1105" w:right="1064" w:bottom="354" w:left="424" w:header="776" w:footer="0" w:gutter="0"/>
          <w:cols w:equalWidth="0" w:num="7">
            <w:col w:w="2007" w:space="100"/>
            <w:col w:w="1365" w:space="100"/>
            <w:col w:w="1158" w:space="100"/>
            <w:col w:w="1487" w:space="100"/>
            <w:col w:w="1337" w:space="100"/>
            <w:col w:w="1186" w:space="100"/>
            <w:col w:w="1281" w:space="0"/>
          </w:cols>
        </w:sectPr>
        <w:rPr>
          <w:sz w:val="16"/>
          <w:szCs w:val="16"/>
        </w:rPr>
      </w:pPr>
    </w:p>
    <w:p>
      <w:pPr>
        <w:spacing w:before="18"/>
        <w:rPr/>
      </w:pPr>
      <w:r/>
    </w:p>
    <w:p>
      <w:pPr>
        <w:sectPr>
          <w:type w:val="continuous"/>
          <w:pgSz w:w="11906" w:h="16158"/>
          <w:pgMar w:top="1105" w:right="1064" w:bottom="354" w:left="424" w:header="776" w:footer="0" w:gutter="0"/>
          <w:cols w:equalWidth="0" w:num="1">
            <w:col w:w="10418" w:space="0"/>
          </w:cols>
        </w:sectPr>
        <w:rPr/>
      </w:pPr>
    </w:p>
    <w:p>
      <w:pPr>
        <w:pStyle w:val="BodyText"/>
        <w:ind w:left="717" w:right="248"/>
        <w:spacing w:before="39" w:line="289" w:lineRule="auto"/>
        <w:jc w:val="both"/>
        <w:rPr/>
      </w:pPr>
      <w:r>
        <w:rPr>
          <w:color w:val="231F20"/>
          <w:spacing w:val="-5"/>
        </w:rPr>
        <w:t>配合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5"/>
        </w:rPr>
        <w:t>18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5"/>
        </w:rPr>
        <w:t>例（48.6%</w:t>
      </w:r>
      <w:r>
        <w:rPr>
          <w:color w:val="231F20"/>
          <w:spacing w:val="-7"/>
        </w:rPr>
        <w:t>），</w:t>
      </w:r>
      <w:r>
        <w:rPr>
          <w:color w:val="231F20"/>
          <w:spacing w:val="-5"/>
        </w:rPr>
        <w:t>一般配合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1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5"/>
        </w:rPr>
        <w:t>例（2.7%</w:t>
      </w:r>
      <w:r>
        <w:rPr>
          <w:color w:val="231F20"/>
          <w:spacing w:val="-7"/>
        </w:rPr>
        <w:t>），</w:t>
      </w:r>
      <w:r>
        <w:rPr>
          <w:color w:val="231F20"/>
          <w:spacing w:val="-5"/>
        </w:rPr>
        <w:t>不配合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5"/>
        </w:rPr>
        <w:t>8</w:t>
      </w:r>
      <w:r>
        <w:rPr>
          <w:color w:val="231F20"/>
        </w:rPr>
        <w:t xml:space="preserve"> </w:t>
      </w:r>
      <w:r>
        <w:rPr>
          <w:color w:val="231F20"/>
        </w:rPr>
        <w:t>例（21.6%）。观察组患儿总配合度为</w:t>
      </w:r>
      <w:r>
        <w:rPr>
          <w:color w:val="231F20"/>
          <w:spacing w:val="-38"/>
        </w:rPr>
        <w:t xml:space="preserve"> </w:t>
      </w:r>
      <w:r>
        <w:rPr>
          <w:color w:val="231F20"/>
        </w:rPr>
        <w:t>95.3%（41/43</w:t>
      </w:r>
      <w:r>
        <w:rPr>
          <w:color w:val="231F20"/>
          <w:spacing w:val="-23"/>
        </w:rPr>
        <w:t>），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高于对照组的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7"/>
        </w:rPr>
        <w:t>78.4%（29/37）。</w:t>
      </w:r>
    </w:p>
    <w:p>
      <w:pPr>
        <w:pStyle w:val="BodyText"/>
        <w:ind w:left="719"/>
        <w:spacing w:line="220" w:lineRule="auto"/>
        <w:rPr/>
      </w:pPr>
      <w:r>
        <w:rPr>
          <w:color w:val="231F20"/>
          <w:spacing w:val="-1"/>
        </w:rPr>
        <w:t>2.5  两组患儿主要照护者心理状态比较</w:t>
      </w:r>
    </w:p>
    <w:p>
      <w:pPr>
        <w:pStyle w:val="BodyText"/>
        <w:ind w:left="716" w:right="233" w:firstLine="379"/>
        <w:spacing w:before="73" w:line="289" w:lineRule="auto"/>
        <w:jc w:val="both"/>
        <w:rPr/>
      </w:pPr>
      <w:r>
        <w:rPr>
          <w:color w:val="231F20"/>
        </w:rPr>
        <w:t>干预前两组患儿主要照护者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HAMD、HAMA</w:t>
      </w:r>
      <w:r>
        <w:rPr>
          <w:color w:val="231F20"/>
          <w:spacing w:val="-40"/>
        </w:rPr>
        <w:t xml:space="preserve"> </w:t>
      </w:r>
      <w:r>
        <w:rPr>
          <w:color w:val="231F20"/>
        </w:rPr>
        <w:t>得分接近。 </w:t>
      </w:r>
      <w:r>
        <w:rPr>
          <w:color w:val="231F20"/>
          <w:spacing w:val="7"/>
        </w:rPr>
        <w:t>干预后两组患儿主要照护者</w:t>
      </w:r>
      <w:r>
        <w:rPr>
          <w:color w:val="231F20"/>
          <w:spacing w:val="-42"/>
        </w:rPr>
        <w:t xml:space="preserve"> </w:t>
      </w:r>
      <w:r>
        <w:rPr>
          <w:color w:val="231F20"/>
        </w:rPr>
        <w:t>HAMD</w:t>
      </w:r>
      <w:r>
        <w:rPr>
          <w:color w:val="231F20"/>
          <w:spacing w:val="7"/>
        </w:rPr>
        <w:t>、</w:t>
      </w:r>
      <w:r>
        <w:rPr>
          <w:color w:val="231F20"/>
        </w:rPr>
        <w:t>HAMA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7"/>
        </w:rPr>
        <w:t>得分均较前降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低，差异有统计学意义；观察组得分均低于对照组。详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见表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5"/>
        </w:rPr>
        <w:t>3。</w:t>
      </w:r>
    </w:p>
    <w:p>
      <w:pPr>
        <w:ind w:left="717"/>
        <w:spacing w:line="22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-4"/>
        </w:rPr>
        <w:t>3</w:t>
      </w:r>
      <w:r>
        <w:rPr>
          <w:rFonts w:ascii="SimHei" w:hAnsi="SimHei" w:eastAsia="SimHei" w:cs="SimHei"/>
          <w:sz w:val="19"/>
          <w:szCs w:val="19"/>
          <w:color w:val="231F20"/>
          <w:spacing w:val="4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231F20"/>
          <w:spacing w:val="-4"/>
        </w:rPr>
        <w:t>讨论</w:t>
      </w:r>
    </w:p>
    <w:p>
      <w:pPr>
        <w:pStyle w:val="BodyText"/>
        <w:ind w:left="716" w:right="234" w:firstLine="403"/>
        <w:spacing w:before="69" w:line="289" w:lineRule="auto"/>
        <w:jc w:val="both"/>
        <w:rPr/>
      </w:pPr>
      <w:r>
        <w:rPr>
          <w:color w:val="231F20"/>
          <w:spacing w:val="10"/>
        </w:rPr>
        <w:t>由于患儿年龄较小，难以充分理解疾病与手术概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念，入院后对医院环境的适应能力较差，易出现焦虑、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恐惧等负性情绪。加之手术刺激可能诱发一系列应激反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应，不利于治疗与术后恢复</w:t>
      </w:r>
      <w:r>
        <w:rPr>
          <w:color w:val="231F20"/>
          <w:spacing w:val="-22"/>
        </w:rPr>
        <w:t xml:space="preserve"> </w:t>
      </w:r>
      <w:r>
        <w:rPr>
          <w:sz w:val="11"/>
          <w:szCs w:val="11"/>
          <w:color w:val="231F20"/>
          <w:spacing w:val="-2"/>
          <w:position w:val="8"/>
        </w:rPr>
        <w:t>[6]</w:t>
      </w:r>
      <w:r>
        <w:rPr>
          <w:color w:val="231F20"/>
          <w:spacing w:val="-2"/>
        </w:rPr>
        <w:t>。</w:t>
      </w:r>
    </w:p>
    <w:p>
      <w:pPr>
        <w:pStyle w:val="BodyText"/>
        <w:ind w:left="716" w:right="302" w:firstLine="391"/>
        <w:spacing w:before="8" w:line="289" w:lineRule="auto"/>
        <w:jc w:val="both"/>
        <w:rPr/>
      </w:pPr>
      <w:r>
        <w:rPr>
          <w:color w:val="231F20"/>
          <w:spacing w:val="1"/>
        </w:rPr>
        <w:t>既往的术前宣教多为与患儿照护者沟通交流，缺少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2"/>
        </w:rPr>
        <w:t>与患儿的互动，忽略了患儿的心理安抚，导</w:t>
      </w:r>
      <w:r>
        <w:rPr>
          <w:color w:val="231F20"/>
          <w:spacing w:val="1"/>
        </w:rPr>
        <w:t>致后续手术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过程出现儿童抵抗情绪强烈的情况，影响手术的顺利进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6"/>
        </w:rPr>
        <w:t>展。而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Child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Life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6"/>
        </w:rPr>
        <w:t>模式的术前宣教主要适用于年龄较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小的患儿，从儿童视角出发，采取游戏、沉浸</w:t>
      </w:r>
      <w:r>
        <w:rPr>
          <w:color w:val="231F20"/>
          <w:spacing w:val="1"/>
        </w:rPr>
        <w:t>式互动等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措施，改善患儿心理状态，提高患儿治疗配</w:t>
      </w:r>
      <w:r>
        <w:rPr>
          <w:color w:val="231F20"/>
          <w:spacing w:val="1"/>
        </w:rPr>
        <w:t>合度和积极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性</w:t>
      </w:r>
      <w:r>
        <w:rPr>
          <w:color w:val="231F20"/>
          <w:spacing w:val="-24"/>
        </w:rPr>
        <w:t xml:space="preserve"> </w:t>
      </w:r>
      <w:r>
        <w:rPr>
          <w:sz w:val="11"/>
          <w:szCs w:val="11"/>
          <w:color w:val="231F20"/>
          <w:spacing w:val="3"/>
          <w:position w:val="8"/>
        </w:rPr>
        <w:t>[7]</w:t>
      </w:r>
      <w:r>
        <w:rPr>
          <w:sz w:val="11"/>
          <w:szCs w:val="11"/>
          <w:color w:val="231F20"/>
          <w:spacing w:val="-29"/>
          <w:position w:val="8"/>
        </w:rPr>
        <w:t xml:space="preserve"> </w:t>
      </w:r>
      <w:r>
        <w:rPr>
          <w:color w:val="231F20"/>
          <w:spacing w:val="3"/>
        </w:rPr>
        <w:t>。笔者将基于</w:t>
      </w:r>
      <w:r>
        <w:rPr>
          <w:color w:val="231F20"/>
          <w:spacing w:val="-41"/>
        </w:rPr>
        <w:t xml:space="preserve"> </w:t>
      </w:r>
      <w:r>
        <w:rPr>
          <w:color w:val="231F20"/>
        </w:rPr>
        <w:t>Child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Life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3"/>
        </w:rPr>
        <w:t>模式的术前宣教应用于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阑尾炎手术患儿，结果显示，观察组患儿干预后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CMFS </w:t>
      </w:r>
      <w:r>
        <w:rPr>
          <w:color w:val="231F20"/>
          <w:spacing w:val="9"/>
        </w:rPr>
        <w:t>量表各维度评分均低于对照组，提示基于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Child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Life </w:t>
      </w:r>
      <w:r>
        <w:rPr>
          <w:color w:val="231F20"/>
          <w:spacing w:val="2"/>
        </w:rPr>
        <w:t>模式的术前宣教能缓解阑尾炎手术患儿的术前焦虑、恐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3"/>
        </w:rPr>
        <w:t>惧程度，改善患儿心理状态。</w:t>
      </w:r>
    </w:p>
    <w:p>
      <w:pPr>
        <w:pStyle w:val="BodyText"/>
        <w:ind w:left="716" w:right="248" w:firstLine="381"/>
        <w:spacing w:before="9" w:line="289" w:lineRule="auto"/>
        <w:jc w:val="both"/>
        <w:rPr/>
      </w:pPr>
      <w:r>
        <w:rPr>
          <w:color w:val="231F20"/>
          <w:spacing w:val="2"/>
        </w:rPr>
        <w:t>本文结果显示，干预后观察组患儿总配合度高于对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照组，说明基于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Child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Life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7"/>
        </w:rPr>
        <w:t>模式的术前宣教有利于阑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尾炎手术患儿配合治疗。在宣教过程中通过趣味性游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"/>
        </w:rPr>
        <w:t>戏、玩具陪伴等方式与患儿积极互动，能够调动其参与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治疗的积极性与治疗依从性</w:t>
      </w:r>
      <w:r>
        <w:rPr>
          <w:color w:val="231F20"/>
          <w:spacing w:val="-26"/>
        </w:rPr>
        <w:t xml:space="preserve"> </w:t>
      </w:r>
      <w:r>
        <w:rPr>
          <w:sz w:val="11"/>
          <w:szCs w:val="11"/>
          <w:color w:val="231F20"/>
          <w:spacing w:val="-1"/>
          <w:position w:val="8"/>
        </w:rPr>
        <w:t>[8]</w:t>
      </w:r>
      <w:r>
        <w:rPr>
          <w:sz w:val="11"/>
          <w:szCs w:val="11"/>
          <w:color w:val="231F20"/>
          <w:spacing w:val="-29"/>
          <w:position w:val="8"/>
        </w:rPr>
        <w:t xml:space="preserve"> </w:t>
      </w:r>
      <w:r>
        <w:rPr>
          <w:color w:val="231F20"/>
          <w:spacing w:val="-1"/>
        </w:rPr>
        <w:t>。术前根据患儿的兴</w:t>
      </w:r>
      <w:r>
        <w:rPr>
          <w:color w:val="231F20"/>
          <w:spacing w:val="-2"/>
        </w:rPr>
        <w:t>趣爱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好布置科室或病房，为患儿营造出舒适、放松的环境，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2"/>
        </w:rPr>
        <w:t>促进患儿内心的放松，同时护理人员在角色演绎全程陪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2"/>
        </w:rPr>
        <w:t>同，有利于护理人员与患儿建立信赖关系，从</w:t>
      </w:r>
      <w:r>
        <w:rPr>
          <w:color w:val="231F20"/>
          <w:spacing w:val="1"/>
        </w:rPr>
        <w:t>而提高其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配合度。另外，本文结果显示，干预后观察组患儿的主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要照护者心理状态好于对照组，提示基于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Child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Life </w:t>
      </w:r>
      <w:r>
        <w:rPr>
          <w:color w:val="231F20"/>
          <w:spacing w:val="2"/>
        </w:rPr>
        <w:t>模式的术前宣教对减轻患儿照护者焦虑、抑郁等负面情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6"/>
        </w:rPr>
        <w:t>绪同样有一定作用。有研究指出，基于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Child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Life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6"/>
        </w:rPr>
        <w:t>模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式的术前宣教有利于建立患儿主要照护者对护理人员和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2"/>
        </w:rPr>
        <w:t>护理手段的信赖关系，重塑主要照护者对患儿治疗与康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复的信心</w:t>
      </w:r>
      <w:r>
        <w:rPr>
          <w:color w:val="231F20"/>
          <w:spacing w:val="-26"/>
        </w:rPr>
        <w:t xml:space="preserve"> </w:t>
      </w:r>
      <w:r>
        <w:rPr>
          <w:sz w:val="11"/>
          <w:szCs w:val="11"/>
          <w:color w:val="231F20"/>
          <w:position w:val="8"/>
        </w:rPr>
        <w:t>[9]</w:t>
      </w:r>
      <w:r>
        <w:rPr>
          <w:sz w:val="11"/>
          <w:szCs w:val="11"/>
          <w:color w:val="231F20"/>
          <w:spacing w:val="-29"/>
          <w:position w:val="8"/>
        </w:rPr>
        <w:t xml:space="preserve"> </w:t>
      </w:r>
      <w:r>
        <w:rPr>
          <w:color w:val="231F20"/>
        </w:rPr>
        <w:t>。张顺娣等</w:t>
      </w:r>
      <w:r>
        <w:rPr>
          <w:color w:val="231F20"/>
          <w:spacing w:val="-17"/>
        </w:rPr>
        <w:t xml:space="preserve"> </w:t>
      </w:r>
      <w:r>
        <w:rPr>
          <w:sz w:val="11"/>
          <w:szCs w:val="11"/>
          <w:color w:val="231F20"/>
          <w:position w:val="8"/>
        </w:rPr>
        <w:t>[10] </w:t>
      </w:r>
      <w:r>
        <w:rPr>
          <w:color w:val="231F20"/>
        </w:rPr>
        <w:t>研究发现，在术前宣教各环 </w:t>
      </w:r>
      <w:r>
        <w:rPr>
          <w:color w:val="231F20"/>
          <w:spacing w:val="2"/>
        </w:rPr>
        <w:t>节对患儿进行口头夸奖、物质奖励等，能充</w:t>
      </w:r>
      <w:r>
        <w:rPr>
          <w:color w:val="231F20"/>
          <w:spacing w:val="1"/>
        </w:rPr>
        <w:t>分调动患儿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15" w:hanging="3"/>
        <w:spacing w:before="39" w:line="289" w:lineRule="auto"/>
        <w:jc w:val="both"/>
        <w:rPr/>
      </w:pPr>
      <w:r>
        <w:rPr>
          <w:color w:val="231F20"/>
          <w:spacing w:val="1"/>
        </w:rPr>
        <w:t>情绪，而患儿情绪的积极转变，能使其主要照护者放松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内心压力，缓解负面情绪，从而改善其心理状态。另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4"/>
        </w:rPr>
        <w:t>外，随着治疗过程中患儿配合度的提高与症状的缓解，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2"/>
        </w:rPr>
        <w:t>患儿主要照护者内心担忧、不安等负面情绪也随之得到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缓解。</w:t>
      </w:r>
    </w:p>
    <w:p>
      <w:pPr>
        <w:pStyle w:val="BodyText"/>
        <w:ind w:left="1" w:right="69" w:firstLine="382"/>
        <w:spacing w:before="1" w:line="290" w:lineRule="auto"/>
        <w:jc w:val="both"/>
        <w:rPr/>
      </w:pPr>
      <w:r>
        <w:rPr>
          <w:color w:val="231F20"/>
          <w:spacing w:val="7"/>
        </w:rPr>
        <w:t>综上所述，基于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Child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Life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7"/>
        </w:rPr>
        <w:t>模式的术前宣教能改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善阑尾炎手术患儿术前焦虑，减轻患儿恐惧</w:t>
      </w:r>
      <w:r>
        <w:rPr>
          <w:color w:val="231F20"/>
          <w:spacing w:val="1"/>
        </w:rPr>
        <w:t>程度，提高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患儿的治疗配合度，同时帮助改善患儿主要照护者心理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状态。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ind w:left="1750"/>
        <w:spacing w:before="52" w:line="222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6"/>
        </w:rPr>
        <w:t>参</w:t>
      </w:r>
      <w:r>
        <w:rPr>
          <w:rFonts w:ascii="SimHei" w:hAnsi="SimHei" w:eastAsia="SimHei" w:cs="SimHei"/>
          <w:sz w:val="16"/>
          <w:szCs w:val="16"/>
          <w:color w:val="231F20"/>
          <w:spacing w:val="4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6"/>
        </w:rPr>
        <w:t>考</w:t>
      </w:r>
      <w:r>
        <w:rPr>
          <w:rFonts w:ascii="SimHei" w:hAnsi="SimHei" w:eastAsia="SimHei" w:cs="SimHei"/>
          <w:sz w:val="16"/>
          <w:szCs w:val="16"/>
          <w:color w:val="231F20"/>
          <w:spacing w:val="4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6"/>
        </w:rPr>
        <w:t>文</w:t>
      </w:r>
      <w:r>
        <w:rPr>
          <w:rFonts w:ascii="SimHei" w:hAnsi="SimHei" w:eastAsia="SimHei" w:cs="SimHei"/>
          <w:sz w:val="16"/>
          <w:szCs w:val="16"/>
          <w:color w:val="231F20"/>
          <w:spacing w:val="3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6"/>
        </w:rPr>
        <w:t>献</w:t>
      </w:r>
    </w:p>
    <w:p>
      <w:pPr>
        <w:pStyle w:val="BodyText"/>
        <w:ind w:left="319" w:right="69" w:hanging="294"/>
        <w:spacing w:before="107" w:line="281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[1] 苗家园，赵晓波，徐渭贤，等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sz w:val="16"/>
          <w:szCs w:val="16"/>
          <w:color w:val="231F20"/>
        </w:rPr>
        <w:t>.</w:t>
      </w:r>
      <w:r>
        <w:rPr>
          <w:sz w:val="16"/>
          <w:szCs w:val="16"/>
          <w:color w:val="231F20"/>
          <w:spacing w:val="41"/>
        </w:rPr>
        <w:t xml:space="preserve"> </w:t>
      </w:r>
      <w:r>
        <w:rPr>
          <w:sz w:val="16"/>
          <w:szCs w:val="16"/>
          <w:color w:val="231F20"/>
        </w:rPr>
        <w:t>高清腹腔镜下阑尾切除术治 </w:t>
      </w:r>
      <w:r>
        <w:rPr>
          <w:sz w:val="16"/>
          <w:szCs w:val="16"/>
          <w:color w:val="231F20"/>
          <w:spacing w:val="-2"/>
        </w:rPr>
        <w:t>疗小儿复杂性阑尾炎的效果 [J].</w:t>
      </w:r>
      <w:r>
        <w:rPr>
          <w:sz w:val="16"/>
          <w:szCs w:val="16"/>
          <w:color w:val="231F20"/>
          <w:spacing w:val="37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局解手术学杂志，2023，32</w:t>
      </w:r>
    </w:p>
    <w:p>
      <w:pPr>
        <w:pStyle w:val="BodyText"/>
        <w:ind w:left="244"/>
        <w:spacing w:before="107" w:line="23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7"/>
        </w:rPr>
        <w:t>（5</w:t>
      </w:r>
      <w:r>
        <w:rPr>
          <w:sz w:val="16"/>
          <w:szCs w:val="16"/>
          <w:color w:val="231F20"/>
          <w:spacing w:val="-20"/>
        </w:rPr>
        <w:t>）：</w:t>
      </w:r>
      <w:r>
        <w:rPr>
          <w:sz w:val="16"/>
          <w:szCs w:val="16"/>
          <w:color w:val="231F20"/>
          <w:spacing w:val="-7"/>
        </w:rPr>
        <w:t>413.</w:t>
      </w:r>
    </w:p>
    <w:p>
      <w:pPr>
        <w:pStyle w:val="BodyText"/>
        <w:ind w:left="318" w:right="69" w:hanging="293"/>
        <w:spacing w:before="96" w:line="303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[2] 张庆芬，李健，安果仙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</w:rPr>
        <w:t>.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</w:rPr>
        <w:t>情志护理联合健康教育对小儿腹腔 </w:t>
      </w:r>
      <w:r>
        <w:rPr>
          <w:sz w:val="16"/>
          <w:szCs w:val="16"/>
          <w:color w:val="231F20"/>
          <w:spacing w:val="3"/>
        </w:rPr>
        <w:t>镜阑尾炎手术预后及护理满意度的影响 [J].</w:t>
      </w:r>
      <w:r>
        <w:rPr>
          <w:sz w:val="16"/>
          <w:szCs w:val="16"/>
          <w:color w:val="231F20"/>
          <w:spacing w:val="54"/>
        </w:rPr>
        <w:t xml:space="preserve"> </w:t>
      </w:r>
      <w:r>
        <w:rPr>
          <w:sz w:val="16"/>
          <w:szCs w:val="16"/>
          <w:color w:val="231F20"/>
          <w:spacing w:val="3"/>
        </w:rPr>
        <w:t>中国</w:t>
      </w:r>
      <w:r>
        <w:rPr>
          <w:sz w:val="16"/>
          <w:szCs w:val="16"/>
          <w:color w:val="231F20"/>
          <w:spacing w:val="2"/>
        </w:rPr>
        <w:t>药物与临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床，2019，19（1</w:t>
      </w:r>
      <w:r>
        <w:rPr>
          <w:sz w:val="16"/>
          <w:szCs w:val="16"/>
          <w:color w:val="231F20"/>
          <w:spacing w:val="-1"/>
        </w:rPr>
        <w:t>）：</w:t>
      </w:r>
      <w:r>
        <w:rPr>
          <w:sz w:val="16"/>
          <w:szCs w:val="16"/>
          <w:color w:val="231F20"/>
          <w:spacing w:val="-5"/>
        </w:rPr>
        <w:t>177.</w:t>
      </w:r>
    </w:p>
    <w:p>
      <w:pPr>
        <w:pStyle w:val="BodyText"/>
        <w:ind w:left="25"/>
        <w:spacing w:before="107" w:line="21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[3] 张鑫杰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3"/>
        </w:rPr>
        <w:t>.</w:t>
      </w:r>
      <w:r>
        <w:rPr>
          <w:sz w:val="16"/>
          <w:szCs w:val="16"/>
          <w:color w:val="231F20"/>
          <w:spacing w:val="47"/>
        </w:rPr>
        <w:t xml:space="preserve"> </w:t>
      </w:r>
      <w:r>
        <w:rPr>
          <w:sz w:val="16"/>
          <w:szCs w:val="16"/>
          <w:color w:val="231F20"/>
          <w:spacing w:val="3"/>
        </w:rPr>
        <w:t>改良耶鲁术前焦虑量表的汉化及信效度评价 [D].</w:t>
      </w:r>
    </w:p>
    <w:p>
      <w:pPr>
        <w:pStyle w:val="BodyText"/>
        <w:ind w:left="322"/>
        <w:spacing w:before="108" w:line="22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大连：大连医科大学，2018．</w:t>
      </w:r>
    </w:p>
    <w:p>
      <w:pPr>
        <w:pStyle w:val="BodyText"/>
        <w:ind w:left="321" w:right="68" w:hanging="296"/>
        <w:spacing w:before="108" w:line="28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[4] 许丽琴，邱雯君，周程慧，等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-4"/>
        </w:rPr>
        <w:t>.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家长协同治疗性游戏</w:t>
      </w:r>
      <w:r>
        <w:rPr>
          <w:sz w:val="16"/>
          <w:szCs w:val="16"/>
          <w:color w:val="231F20"/>
          <w:spacing w:val="-5"/>
        </w:rPr>
        <w:t>在上肢骨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折手术患儿护理中的应用 [J]. 护理学杂志</w:t>
      </w:r>
      <w:r>
        <w:rPr>
          <w:sz w:val="16"/>
          <w:szCs w:val="16"/>
          <w:color w:val="231F20"/>
          <w:spacing w:val="-10"/>
        </w:rPr>
        <w:t>，2022，37（6</w:t>
      </w:r>
      <w:r>
        <w:rPr>
          <w:sz w:val="16"/>
          <w:szCs w:val="16"/>
          <w:color w:val="231F20"/>
          <w:spacing w:val="-13"/>
        </w:rPr>
        <w:t>）：</w:t>
      </w:r>
      <w:r>
        <w:rPr>
          <w:sz w:val="16"/>
          <w:szCs w:val="16"/>
          <w:color w:val="231F20"/>
          <w:spacing w:val="-10"/>
        </w:rPr>
        <w:t>15.</w:t>
      </w:r>
    </w:p>
    <w:p>
      <w:pPr>
        <w:pStyle w:val="BodyText"/>
        <w:ind w:left="319" w:right="68" w:hanging="294"/>
        <w:spacing w:before="107" w:line="28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[5] 刘瑜，田英，张瑞莉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6"/>
        </w:rPr>
        <w:t>.</w:t>
      </w:r>
      <w:r>
        <w:rPr>
          <w:sz w:val="16"/>
          <w:szCs w:val="16"/>
          <w:color w:val="231F20"/>
          <w:spacing w:val="45"/>
        </w:rPr>
        <w:t xml:space="preserve"> </w:t>
      </w:r>
      <w:r>
        <w:rPr>
          <w:sz w:val="16"/>
          <w:szCs w:val="16"/>
          <w:color w:val="231F20"/>
          <w:spacing w:val="6"/>
        </w:rPr>
        <w:t>童趣化理念指导</w:t>
      </w:r>
      <w:r>
        <w:rPr>
          <w:sz w:val="16"/>
          <w:szCs w:val="16"/>
          <w:color w:val="231F20"/>
          <w:spacing w:val="5"/>
        </w:rPr>
        <w:t>下综合干预对视网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膜母细胞瘤患儿治疗依从性、生活质量及家属满意度的影响</w:t>
      </w:r>
    </w:p>
    <w:p>
      <w:pPr>
        <w:pStyle w:val="BodyText"/>
        <w:ind w:left="345"/>
        <w:spacing w:before="108" w:line="21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[J]. 癌症进展，2021，19（14</w:t>
      </w:r>
      <w:r>
        <w:rPr>
          <w:sz w:val="16"/>
          <w:szCs w:val="16"/>
          <w:color w:val="231F20"/>
          <w:spacing w:val="-1"/>
        </w:rPr>
        <w:t>）：</w:t>
      </w:r>
      <w:r>
        <w:rPr>
          <w:sz w:val="16"/>
          <w:szCs w:val="16"/>
          <w:color w:val="231F20"/>
          <w:spacing w:val="-4"/>
        </w:rPr>
        <w:t>1489.</w:t>
      </w:r>
    </w:p>
    <w:p>
      <w:pPr>
        <w:pStyle w:val="BodyText"/>
        <w:ind w:left="320" w:right="69" w:hanging="295"/>
        <w:spacing w:before="107" w:line="303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[6] 雷丽云，王璐，宣向荣，等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</w:rPr>
        <w:t>.</w:t>
      </w:r>
      <w:r>
        <w:rPr>
          <w:sz w:val="16"/>
          <w:szCs w:val="16"/>
          <w:color w:val="231F20"/>
          <w:spacing w:val="37"/>
        </w:rPr>
        <w:t xml:space="preserve"> </w:t>
      </w:r>
      <w:r>
        <w:rPr>
          <w:sz w:val="16"/>
          <w:szCs w:val="16"/>
          <w:color w:val="231F20"/>
        </w:rPr>
        <w:t>个性化心理护理对儿童急性化 </w:t>
      </w:r>
      <w:r>
        <w:rPr>
          <w:sz w:val="16"/>
          <w:szCs w:val="16"/>
          <w:color w:val="231F20"/>
          <w:spacing w:val="-3"/>
        </w:rPr>
        <w:t>脓性阑尾炎围手术期应激反应的干预效果 [J].</w:t>
      </w:r>
      <w:r>
        <w:rPr>
          <w:sz w:val="16"/>
          <w:szCs w:val="16"/>
          <w:color w:val="231F20"/>
          <w:spacing w:val="60"/>
        </w:rPr>
        <w:t xml:space="preserve"> </w:t>
      </w:r>
      <w:r>
        <w:rPr>
          <w:sz w:val="16"/>
          <w:szCs w:val="16"/>
          <w:color w:val="231F20"/>
          <w:spacing w:val="-3"/>
        </w:rPr>
        <w:t>国际精神病学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杂志，2018，45（6</w:t>
      </w:r>
      <w:r>
        <w:rPr>
          <w:sz w:val="16"/>
          <w:szCs w:val="16"/>
          <w:color w:val="231F20"/>
          <w:spacing w:val="-5"/>
        </w:rPr>
        <w:t>）：</w:t>
      </w:r>
      <w:r>
        <w:rPr>
          <w:sz w:val="16"/>
          <w:szCs w:val="16"/>
          <w:color w:val="231F20"/>
          <w:spacing w:val="-4"/>
        </w:rPr>
        <w:t>1142.</w:t>
      </w:r>
    </w:p>
    <w:p>
      <w:pPr>
        <w:pStyle w:val="BodyText"/>
        <w:ind w:left="320" w:right="69" w:hanging="295"/>
        <w:spacing w:before="107" w:line="303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[7] 晁燕燕，崔瑞玲，李梦祥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</w:rPr>
        <w:t>.</w:t>
      </w:r>
      <w:r>
        <w:rPr>
          <w:sz w:val="16"/>
          <w:szCs w:val="16"/>
          <w:color w:val="231F20"/>
          <w:spacing w:val="40"/>
        </w:rPr>
        <w:t xml:space="preserve"> </w:t>
      </w:r>
      <w:r>
        <w:rPr>
          <w:sz w:val="16"/>
          <w:szCs w:val="16"/>
          <w:color w:val="231F20"/>
        </w:rPr>
        <w:t>儿童医疗辅导模式在学龄期重症 </w:t>
      </w:r>
      <w:r>
        <w:rPr>
          <w:sz w:val="16"/>
          <w:szCs w:val="16"/>
          <w:color w:val="231F20"/>
          <w:spacing w:val="-2"/>
        </w:rPr>
        <w:t>支原体肺炎患儿护理中的应用成效分析 [J].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-2"/>
        </w:rPr>
        <w:t>保健医学研究与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实践，2023，20（3</w:t>
      </w:r>
      <w:r>
        <w:rPr>
          <w:sz w:val="16"/>
          <w:szCs w:val="16"/>
          <w:color w:val="231F20"/>
          <w:spacing w:val="-7"/>
        </w:rPr>
        <w:t>）：</w:t>
      </w:r>
      <w:r>
        <w:rPr>
          <w:sz w:val="16"/>
          <w:szCs w:val="16"/>
          <w:color w:val="231F20"/>
          <w:spacing w:val="-4"/>
        </w:rPr>
        <w:t>131.</w:t>
      </w:r>
    </w:p>
    <w:p>
      <w:pPr>
        <w:pStyle w:val="BodyText"/>
        <w:ind w:left="320" w:right="26" w:hanging="295"/>
        <w:spacing w:before="106" w:line="309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[8] 黄丽，邵梦云，朱雷禹，等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</w:rPr>
        <w:t>.</w:t>
      </w:r>
      <w:r>
        <w:rPr>
          <w:sz w:val="16"/>
          <w:szCs w:val="16"/>
          <w:color w:val="231F20"/>
          <w:spacing w:val="40"/>
        </w:rPr>
        <w:t xml:space="preserve"> </w:t>
      </w:r>
      <w:r>
        <w:rPr>
          <w:sz w:val="16"/>
          <w:szCs w:val="16"/>
          <w:color w:val="231F20"/>
        </w:rPr>
        <w:t>儿童医疗辅导对重症肺炎患儿 </w:t>
      </w:r>
      <w:r>
        <w:rPr>
          <w:sz w:val="16"/>
          <w:szCs w:val="16"/>
          <w:color w:val="231F20"/>
          <w:spacing w:val="-6"/>
        </w:rPr>
        <w:t>舒适度及心理状态的影响 [J].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中华全科医学，2023，21（8</w:t>
      </w:r>
      <w:r>
        <w:rPr>
          <w:sz w:val="16"/>
          <w:szCs w:val="16"/>
          <w:color w:val="231F20"/>
          <w:spacing w:val="-27"/>
        </w:rPr>
        <w:t>）：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1433.</w:t>
      </w:r>
    </w:p>
    <w:p>
      <w:pPr>
        <w:pStyle w:val="BodyText"/>
        <w:ind w:left="321" w:right="69" w:hanging="296"/>
        <w:spacing w:before="91" w:line="281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[9] 李雪，杨立利，沈怡，等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</w:rPr>
        <w:t>.</w:t>
      </w:r>
      <w:r>
        <w:rPr>
          <w:sz w:val="16"/>
          <w:szCs w:val="16"/>
          <w:color w:val="231F20"/>
          <w:spacing w:val="40"/>
        </w:rPr>
        <w:t xml:space="preserve"> </w:t>
      </w:r>
      <w:r>
        <w:rPr>
          <w:sz w:val="16"/>
          <w:szCs w:val="16"/>
          <w:color w:val="231F20"/>
        </w:rPr>
        <w:t>儿童医疗辅导在住院患儿中的应 </w:t>
      </w:r>
      <w:r>
        <w:rPr>
          <w:sz w:val="16"/>
          <w:szCs w:val="16"/>
          <w:color w:val="231F20"/>
          <w:spacing w:val="-4"/>
        </w:rPr>
        <w:t>用效果 [J]. 护理实践与研究，2022，19（9</w:t>
      </w:r>
      <w:r>
        <w:rPr>
          <w:sz w:val="16"/>
          <w:szCs w:val="16"/>
          <w:color w:val="231F20"/>
          <w:spacing w:val="3"/>
        </w:rPr>
        <w:t>）：</w:t>
      </w:r>
      <w:r>
        <w:rPr>
          <w:sz w:val="16"/>
          <w:szCs w:val="16"/>
          <w:color w:val="231F20"/>
          <w:spacing w:val="-4"/>
        </w:rPr>
        <w:t>1373.</w:t>
      </w:r>
    </w:p>
    <w:p>
      <w:pPr>
        <w:pStyle w:val="BodyText"/>
        <w:ind w:left="403" w:right="26" w:hanging="378"/>
        <w:spacing w:before="108" w:line="31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[10] 张顺娣，顾莺，胡菲，等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2"/>
        </w:rPr>
        <w:t>.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-2"/>
        </w:rPr>
        <w:t>儿童医疗辅导照护缓解患儿腰椎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穿刺疼痛和父母焦虑研究 [J]. 护理学杂志</w:t>
      </w:r>
      <w:r>
        <w:rPr>
          <w:sz w:val="16"/>
          <w:szCs w:val="16"/>
          <w:color w:val="231F20"/>
          <w:spacing w:val="-6"/>
        </w:rPr>
        <w:t>，2020，35（24</w:t>
      </w:r>
      <w:r>
        <w:rPr>
          <w:sz w:val="16"/>
          <w:szCs w:val="16"/>
          <w:color w:val="231F20"/>
          <w:spacing w:val="-26"/>
        </w:rPr>
        <w:t>）：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3"/>
        </w:rPr>
        <w:t>30.</w:t>
      </w:r>
    </w:p>
    <w:p>
      <w:pPr>
        <w:pStyle w:val="BodyText"/>
        <w:spacing w:before="75" w:line="220" w:lineRule="auto"/>
        <w:jc w:val="right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（收稿：2024-07-10）</w:t>
      </w:r>
    </w:p>
    <w:p>
      <w:pPr>
        <w:pStyle w:val="BodyText"/>
        <w:spacing w:before="107" w:line="220" w:lineRule="auto"/>
        <w:jc w:val="right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（本文编辑：蔡昊然）</w:t>
      </w:r>
    </w:p>
    <w:p>
      <w:pPr>
        <w:spacing w:line="220" w:lineRule="auto"/>
        <w:sectPr>
          <w:type w:val="continuous"/>
          <w:pgSz w:w="11906" w:h="16158"/>
          <w:pgMar w:top="1105" w:right="1064" w:bottom="354" w:left="424" w:header="776" w:footer="0" w:gutter="0"/>
          <w:cols w:equalWidth="0" w:num="2">
            <w:col w:w="5634" w:space="100"/>
            <w:col w:w="4685" w:space="0"/>
          </w:cols>
        </w:sectPr>
        <w:rPr>
          <w:sz w:val="16"/>
          <w:szCs w:val="16"/>
        </w:rPr>
      </w:pPr>
    </w:p>
    <w:p>
      <w:pPr>
        <w:spacing w:line="355" w:lineRule="auto"/>
        <w:rPr>
          <w:rFonts w:ascii="Arial"/>
          <w:sz w:val="21"/>
        </w:rPr>
      </w:pPr>
      <w:r/>
    </w:p>
    <w:p>
      <w:pPr>
        <w:ind w:left="10260"/>
        <w:spacing w:before="55" w:line="18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3</w:t>
      </w:r>
    </w:p>
    <w:p>
      <w:pPr>
        <w:spacing w:before="75" w:line="240" w:lineRule="exact"/>
        <w:rPr>
          <w:rFonts w:ascii="Arial" w:hAnsi="Arial" w:eastAsia="Arial" w:cs="Arial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10"/>
        </w:rPr>
        <w:t>中国知网</w:t>
      </w: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1"/>
        </w:rPr>
        <w:t xml:space="preserve">     </w:t>
      </w:r>
      <w:r>
        <w:rPr>
          <w:rFonts w:ascii="Arial" w:hAnsi="Arial" w:eastAsia="Arial" w:cs="Arial"/>
          <w:sz w:val="22"/>
          <w:szCs w:val="22"/>
          <w:color w:val="999999"/>
        </w:rPr>
        <w:t>https</w:t>
      </w:r>
      <w:r>
        <w:rPr>
          <w:rFonts w:ascii="Arial" w:hAnsi="Arial" w:eastAsia="Arial" w:cs="Arial"/>
          <w:sz w:val="22"/>
          <w:szCs w:val="22"/>
          <w:color w:val="999999"/>
          <w:spacing w:val="10"/>
        </w:rPr>
        <w:t>:</w:t>
      </w:r>
      <w:r>
        <w:rPr>
          <w:sz w:val="22"/>
          <w:szCs w:val="22"/>
          <w:position w:val="-1"/>
        </w:rPr>
        <w:drawing>
          <wp:inline distT="0" distB="0" distL="0" distR="0">
            <wp:extent cx="45084" cy="109727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"/>
        </w:rPr>
        <w:drawing>
          <wp:inline distT="0" distB="0" distL="0" distR="0">
            <wp:extent cx="45084" cy="109727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  <w:color w:val="999999"/>
          <w:position w:val="2"/>
        </w:rPr>
        <w:t>Www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2"/>
        </w:rPr>
        <w:t>.</w:t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cnki</w:t>
      </w:r>
      <w:r>
        <w:rPr>
          <w:rFonts w:ascii="Arial" w:hAnsi="Arial" w:eastAsia="Arial" w:cs="Arial"/>
          <w:sz w:val="22"/>
          <w:szCs w:val="22"/>
          <w:color w:val="999999"/>
          <w:spacing w:val="-16"/>
          <w:position w:val="1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2"/>
        </w:rPr>
        <w:t>.</w:t>
      </w:r>
      <w:r>
        <w:rPr>
          <w:rFonts w:ascii="Arial" w:hAnsi="Arial" w:eastAsia="Arial" w:cs="Arial"/>
          <w:sz w:val="22"/>
          <w:szCs w:val="22"/>
          <w:color w:val="999999"/>
          <w:spacing w:val="-35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position w:val="2"/>
        </w:rPr>
        <w:t>net</w:t>
      </w:r>
    </w:p>
    <w:sectPr>
      <w:type w:val="continuous"/>
      <w:pgSz w:w="11906" w:h="16158"/>
      <w:pgMar w:top="1105" w:right="1064" w:bottom="354" w:left="424" w:header="776" w:footer="0" w:gutter="0"/>
      <w:cols w:equalWidth="0" w:num="1">
        <w:col w:w="1041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3"/>
      <w:spacing w:line="175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231F20"/>
      </w:rPr>
      <w:t>2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729"/>
      <w:spacing w:line="319" w:lineRule="exact"/>
      <w:rPr/>
    </w:pPr>
    <w:r>
      <w:pict>
        <v:shape id="_x0000_s2" style="position:absolute;margin-left:57.6614pt;margin-top:54.5669pt;mso-position-vertical-relative:page;mso-position-horizontal-relative:page;width:480.95pt;height:0.75pt;z-index:-251658240;" o:allowincell="f" filled="false" strokecolor="#009D59" strokeweight="0.71pt" coordsize="9619,15" coordorigin="0,0" path="m0,7l9618,7e">
          <v:stroke joinstyle="miter" miterlimit="4"/>
        </v:shape>
      </w:pict>
    </w:r>
    <w:r>
      <w:pict>
        <v:shape id="_x0000_s4" style="position:absolute;margin-left:489.653pt;margin-top:40.8679pt;mso-position-vertical-relative:page;mso-position-horizontal-relative:page;width:17.45pt;height:13.75pt;z-index:25166028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17" w:lineRule="auto"/>
                  <w:rPr>
                    <w:rFonts w:ascii="SimHei" w:hAnsi="SimHei" w:eastAsia="SimHei" w:cs="SimHei"/>
                    <w:sz w:val="20"/>
                    <w:szCs w:val="20"/>
                  </w:rPr>
                </w:pPr>
                <w:r>
                  <w:rPr>
                    <w:rFonts w:ascii="SimHei" w:hAnsi="SimHei" w:eastAsia="SimHei" w:cs="SimHei"/>
                    <w:sz w:val="20"/>
                    <w:szCs w:val="20"/>
                    <w:color w:val="009D59"/>
                    <w:spacing w:val="8"/>
                  </w:rPr>
                  <w:t>|论</w:t>
                </w:r>
              </w:p>
            </w:txbxContent>
          </v:textbox>
        </v:shape>
      </w:pict>
    </w:r>
    <w:r>
      <w:pict>
        <v:shape id="_x0000_s6" style="position:absolute;margin-left:520.433pt;margin-top:40.8679pt;mso-position-vertical-relative:page;mso-position-horizontal-relative:page;width:19.2pt;height:13.75pt;z-index:25165926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19" w:line="217" w:lineRule="auto"/>
                  <w:jc w:val="right"/>
                  <w:rPr>
                    <w:rFonts w:ascii="SimHei" w:hAnsi="SimHei" w:eastAsia="SimHei" w:cs="SimHei"/>
                    <w:sz w:val="20"/>
                    <w:szCs w:val="20"/>
                  </w:rPr>
                </w:pPr>
                <w:r>
                  <w:rPr>
                    <w:rFonts w:ascii="SimHei" w:hAnsi="SimHei" w:eastAsia="SimHei" w:cs="SimHei"/>
                    <w:sz w:val="20"/>
                    <w:szCs w:val="20"/>
                    <w:color w:val="009D59"/>
                    <w:spacing w:val="-25"/>
                  </w:rPr>
                  <w:t>著</w:t>
                </w:r>
                <w:r>
                  <w:rPr>
                    <w:rFonts w:ascii="SimHei" w:hAnsi="SimHei" w:eastAsia="SimHei" w:cs="SimHei"/>
                    <w:sz w:val="20"/>
                    <w:szCs w:val="20"/>
                    <w:color w:val="009D59"/>
                    <w:spacing w:val="-8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20"/>
                    <w:szCs w:val="20"/>
                    <w:color w:val="009D59"/>
                    <w:spacing w:val="-25"/>
                  </w:rPr>
                  <w:t>|</w:t>
                </w:r>
              </w:p>
            </w:txbxContent>
          </v:textbox>
        </v:shape>
      </w:pict>
    </w:r>
    <w:r>
      <w:rPr>
        <w:position w:val="-6"/>
      </w:rPr>
      <w:pict>
        <v:shape id="_x0000_s8" style="mso-position-vertical-relative:line;mso-position-horizontal-relative:char;width:195.7pt;height:16.15pt;" fillcolor="#009D59" filled="true" stroked="false" type="#_x0000_t202">
          <v:fill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174"/>
                  <w:spacing w:before="65" w:line="222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"/>
                  </w:rPr>
                  <w:t>中国乡村医药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"/>
                  </w:rPr>
                  <w:t>2024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"/>
                  </w:rPr>
                  <w:t>年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"/>
                  </w:rPr>
                  <w:t>12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35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"/>
                  </w:rPr>
                  <w:t>月第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"/>
                  </w:rPr>
                  <w:t>31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37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"/>
                  </w:rPr>
                  <w:t>卷第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5"/>
                  </w:rPr>
                  <w:t>24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5"/>
                  </w:rPr>
                  <w:t>期</w:t>
                </w:r>
              </w:p>
            </w:txbxContent>
          </v:textbox>
        </v:shape>
      </w:pic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6414"/>
      <w:spacing w:line="319" w:lineRule="exact"/>
      <w:rPr/>
    </w:pPr>
    <w:r>
      <w:pict>
        <v:shape id="WordPictureWatermark12" style="position:absolute;margin-left:21.2pt;margin-top:777.674pt;mso-position-vertical-relative:page;mso-position-horizontal-relative:page;width:168.95pt;height:12.5pt;z-index:-251655168;" o:allowincell="f" filled="false" stroked="false" type="#_x0000_t75">
          <v:imagedata o:title="" r:id="rId1"/>
        </v:shape>
      </w:pict>
    </w:r>
    <w:r>
      <w:pict>
        <v:shape id="_x0000_s14" style="position:absolute;margin-left:56.6924pt;margin-top:54.5669pt;mso-position-vertical-relative:page;mso-position-horizontal-relative:page;width:480.95pt;height:0.75pt;z-index:-251654144;" o:allowincell="f" filled="false" strokecolor="#009D59" strokeweight="0.71pt" coordsize="9619,15" coordorigin="0,0" path="m0,7l9618,7e">
          <v:stroke joinstyle="miter" miterlimit="4"/>
        </v:shape>
      </w:pict>
    </w:r>
    <w:r>
      <w:pict>
        <v:shape id="_x0000_s16" style="position:absolute;margin-left:57.7624pt;margin-top:40.8679pt;mso-position-vertical-relative:page;mso-position-horizontal-relative:page;width:17.45pt;height:13.75pt;z-index:25166438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17" w:lineRule="auto"/>
                  <w:rPr>
                    <w:rFonts w:ascii="SimHei" w:hAnsi="SimHei" w:eastAsia="SimHei" w:cs="SimHei"/>
                    <w:sz w:val="20"/>
                    <w:szCs w:val="20"/>
                  </w:rPr>
                </w:pPr>
                <w:r>
                  <w:rPr>
                    <w:rFonts w:ascii="SimHei" w:hAnsi="SimHei" w:eastAsia="SimHei" w:cs="SimHei"/>
                    <w:sz w:val="20"/>
                    <w:szCs w:val="20"/>
                    <w:color w:val="009D59"/>
                    <w:spacing w:val="8"/>
                  </w:rPr>
                  <w:t>|论</w:t>
                </w:r>
              </w:p>
            </w:txbxContent>
          </v:textbox>
        </v:shape>
      </w:pict>
    </w:r>
    <w:r>
      <w:pict>
        <v:shape id="_x0000_s18" style="position:absolute;margin-left:88.5424pt;margin-top:40.8679pt;mso-position-vertical-relative:page;mso-position-horizontal-relative:page;width:19.2pt;height:13.75pt;z-index:25166336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19" w:line="217" w:lineRule="auto"/>
                  <w:jc w:val="right"/>
                  <w:rPr>
                    <w:rFonts w:ascii="SimHei" w:hAnsi="SimHei" w:eastAsia="SimHei" w:cs="SimHei"/>
                    <w:sz w:val="20"/>
                    <w:szCs w:val="20"/>
                  </w:rPr>
                </w:pPr>
                <w:r>
                  <w:rPr>
                    <w:rFonts w:ascii="SimHei" w:hAnsi="SimHei" w:eastAsia="SimHei" w:cs="SimHei"/>
                    <w:sz w:val="20"/>
                    <w:szCs w:val="20"/>
                    <w:color w:val="009D59"/>
                    <w:spacing w:val="-25"/>
                  </w:rPr>
                  <w:t>著</w:t>
                </w:r>
                <w:r>
                  <w:rPr>
                    <w:rFonts w:ascii="SimHei" w:hAnsi="SimHei" w:eastAsia="SimHei" w:cs="SimHei"/>
                    <w:sz w:val="20"/>
                    <w:szCs w:val="20"/>
                    <w:color w:val="009D59"/>
                    <w:spacing w:val="-8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20"/>
                    <w:szCs w:val="20"/>
                    <w:color w:val="009D59"/>
                    <w:spacing w:val="-25"/>
                  </w:rPr>
                  <w:t>|</w:t>
                </w:r>
              </w:p>
            </w:txbxContent>
          </v:textbox>
        </v:shape>
      </w:pict>
    </w:r>
    <w:r>
      <w:rPr>
        <w:position w:val="-6"/>
      </w:rPr>
      <w:pict>
        <v:shape id="_x0000_s20" style="mso-position-vertical-relative:line;mso-position-horizontal-relative:char;width:195.7pt;height:16.15pt;" fillcolor="#009D59" filled="true" stroked="false" type="#_x0000_t202">
          <v:fill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174"/>
                  <w:spacing w:before="65" w:line="222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"/>
                  </w:rPr>
                  <w:t>中国乡村医药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"/>
                  </w:rPr>
                  <w:t>2024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"/>
                  </w:rPr>
                  <w:t>年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"/>
                  </w:rPr>
                  <w:t>12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35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"/>
                  </w:rPr>
                  <w:t>月第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"/>
                  </w:rPr>
                  <w:t>31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37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"/>
                  </w:rPr>
                  <w:t>卷第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5"/>
                  </w:rPr>
                  <w:t>24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5"/>
                  </w:rPr>
                  <w:t>期</w:t>
                </w:r>
              </w:p>
            </w:txbxContent>
          </v:textbox>
        </v:shape>
      </w:pic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729"/>
      <w:spacing w:line="319" w:lineRule="exact"/>
      <w:rPr/>
    </w:pPr>
    <w:r>
      <w:pict>
        <v:shape id="_x0000_s28" style="position:absolute;margin-left:57.6614pt;margin-top:54.5669pt;mso-position-vertical-relative:page;mso-position-horizontal-relative:page;width:480.95pt;height:0.75pt;z-index:-251651072;" o:allowincell="f" filled="false" strokecolor="#009D59" strokeweight="0.71pt" coordsize="9619,15" coordorigin="0,0" path="m0,7l9618,7e">
          <v:stroke joinstyle="miter" miterlimit="4"/>
        </v:shape>
      </w:pict>
    </w:r>
    <w:r>
      <w:pict>
        <v:shape id="_x0000_s30" style="position:absolute;margin-left:489.653pt;margin-top:40.8679pt;mso-position-vertical-relative:page;mso-position-horizontal-relative:page;width:17.45pt;height:13.75pt;z-index:25166745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17" w:lineRule="auto"/>
                  <w:rPr>
                    <w:rFonts w:ascii="SimHei" w:hAnsi="SimHei" w:eastAsia="SimHei" w:cs="SimHei"/>
                    <w:sz w:val="20"/>
                    <w:szCs w:val="20"/>
                  </w:rPr>
                </w:pPr>
                <w:r>
                  <w:rPr>
                    <w:rFonts w:ascii="SimHei" w:hAnsi="SimHei" w:eastAsia="SimHei" w:cs="SimHei"/>
                    <w:sz w:val="20"/>
                    <w:szCs w:val="20"/>
                    <w:color w:val="009D59"/>
                    <w:spacing w:val="8"/>
                  </w:rPr>
                  <w:t>|论</w:t>
                </w:r>
              </w:p>
            </w:txbxContent>
          </v:textbox>
        </v:shape>
      </w:pict>
    </w:r>
    <w:r>
      <w:pict>
        <v:shape id="_x0000_s32" style="position:absolute;margin-left:520.433pt;margin-top:40.8679pt;mso-position-vertical-relative:page;mso-position-horizontal-relative:page;width:19.2pt;height:13.75pt;z-index:25166643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19" w:line="217" w:lineRule="auto"/>
                  <w:jc w:val="right"/>
                  <w:rPr>
                    <w:rFonts w:ascii="SimHei" w:hAnsi="SimHei" w:eastAsia="SimHei" w:cs="SimHei"/>
                    <w:sz w:val="20"/>
                    <w:szCs w:val="20"/>
                  </w:rPr>
                </w:pPr>
                <w:r>
                  <w:rPr>
                    <w:rFonts w:ascii="SimHei" w:hAnsi="SimHei" w:eastAsia="SimHei" w:cs="SimHei"/>
                    <w:sz w:val="20"/>
                    <w:szCs w:val="20"/>
                    <w:color w:val="009D59"/>
                    <w:spacing w:val="-25"/>
                  </w:rPr>
                  <w:t>著</w:t>
                </w:r>
                <w:r>
                  <w:rPr>
                    <w:rFonts w:ascii="SimHei" w:hAnsi="SimHei" w:eastAsia="SimHei" w:cs="SimHei"/>
                    <w:sz w:val="20"/>
                    <w:szCs w:val="20"/>
                    <w:color w:val="009D59"/>
                    <w:spacing w:val="-8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20"/>
                    <w:szCs w:val="20"/>
                    <w:color w:val="009D59"/>
                    <w:spacing w:val="-25"/>
                  </w:rPr>
                  <w:t>|</w:t>
                </w:r>
              </w:p>
            </w:txbxContent>
          </v:textbox>
        </v:shape>
      </w:pict>
    </w:r>
    <w:r>
      <w:rPr>
        <w:position w:val="-6"/>
      </w:rPr>
      <w:pict>
        <v:shape id="_x0000_s34" style="mso-position-vertical-relative:line;mso-position-horizontal-relative:char;width:195.7pt;height:16.15pt;" fillcolor="#009D59" filled="true" stroked="false" type="#_x0000_t202">
          <v:fill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174"/>
                  <w:spacing w:before="65" w:line="222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"/>
                  </w:rPr>
                  <w:t>中国乡村医药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"/>
                  </w:rPr>
                  <w:t>2024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"/>
                  </w:rPr>
                  <w:t>年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"/>
                  </w:rPr>
                  <w:t>12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35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"/>
                  </w:rPr>
                  <w:t>月第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"/>
                  </w:rPr>
                  <w:t>31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37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"/>
                  </w:rPr>
                  <w:t>卷第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5"/>
                  </w:rPr>
                  <w:t>24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5"/>
                  </w:rPr>
                  <w:t>期</w:t>
                </w:r>
              </w:p>
            </w:txbxContent>
          </v:textbox>
        </v:shape>
      </w:pic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png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9" Type="http://schemas.openxmlformats.org/officeDocument/2006/relationships/fontTable" Target="fontTable.xml"/><Relationship Id="rId18" Type="http://schemas.openxmlformats.org/officeDocument/2006/relationships/styles" Target="styles.xml"/><Relationship Id="rId17" Type="http://schemas.openxmlformats.org/officeDocument/2006/relationships/settings" Target="settings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footer" Target="footer2.xml"/><Relationship Id="rId11" Type="http://schemas.openxmlformats.org/officeDocument/2006/relationships/header" Target="header3.xml"/><Relationship Id="rId10" Type="http://schemas.openxmlformats.org/officeDocument/2006/relationships/image" Target="media/image8.png"/><Relationship Id="rId1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2024-12-27T09:37:05Z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2025-10-28T21:32:34</vt:filetime>
  </property>
</Properties>
</file>